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77777777" w:rsidR="00691F6A"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新兴能源转型城市矿产循环利用潜力及挑战</w:t>
      </w:r>
    </w:p>
    <w:p w14:paraId="5259E208" w14:textId="77777777" w:rsidR="00691F6A" w:rsidRPr="00881A13" w:rsidRDefault="00691F6A">
      <w:pPr>
        <w:widowControl/>
        <w:spacing w:line="240" w:lineRule="atLeast"/>
        <w:jc w:val="center"/>
        <w:rPr>
          <w:rFonts w:ascii="Times New Roman" w:hAnsi="Times New Roman" w:cs="Times New Roman"/>
          <w:color w:val="FF0000"/>
          <w:kern w:val="0"/>
          <w:szCs w:val="21"/>
        </w:rPr>
      </w:pPr>
    </w:p>
    <w:p w14:paraId="3D51A99A" w14:textId="482A5A20" w:rsidR="00691F6A"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新兴能源转型使其关键金属需求激增，城市矿产循环利用对保障资源供应与绿色发展至关重要。本文旨在分析新兴能源转型中城市矿产循环利用的潜力与挑战，从</w:t>
      </w:r>
      <w:r w:rsidR="00F41280">
        <w:rPr>
          <w:rFonts w:ascii="Times New Roman" w:eastAsia="宋体" w:hAnsi="Times New Roman" w:cs="Times New Roman" w:hint="eastAsia"/>
          <w:kern w:val="0"/>
          <w:szCs w:val="21"/>
        </w:rPr>
        <w:t>风电、光伏及储能产业中</w:t>
      </w:r>
      <w:r>
        <w:rPr>
          <w:rFonts w:ascii="Times New Roman" w:eastAsia="宋体" w:hAnsi="Times New Roman" w:cs="Times New Roman" w:hint="eastAsia"/>
          <w:kern w:val="0"/>
          <w:szCs w:val="21"/>
        </w:rPr>
        <w:t>关键金属</w:t>
      </w:r>
      <w:r w:rsidR="00F41280">
        <w:rPr>
          <w:rFonts w:ascii="Times New Roman" w:eastAsia="宋体" w:hAnsi="Times New Roman" w:cs="Times New Roman" w:hint="eastAsia"/>
          <w:kern w:val="0"/>
          <w:szCs w:val="21"/>
        </w:rPr>
        <w:t>消费需求</w:t>
      </w:r>
      <w:r>
        <w:rPr>
          <w:rFonts w:ascii="Times New Roman" w:eastAsia="宋体" w:hAnsi="Times New Roman" w:cs="Times New Roman" w:hint="eastAsia"/>
          <w:kern w:val="0"/>
          <w:szCs w:val="21"/>
        </w:rPr>
        <w:t>、回收潜力、循环现状与挑战</w:t>
      </w:r>
      <w:r w:rsidR="00F41280">
        <w:rPr>
          <w:rFonts w:ascii="Times New Roman" w:eastAsia="宋体" w:hAnsi="Times New Roman" w:cs="Times New Roman" w:hint="eastAsia"/>
          <w:kern w:val="0"/>
          <w:szCs w:val="21"/>
        </w:rPr>
        <w:t>三个</w:t>
      </w:r>
      <w:r>
        <w:rPr>
          <w:rFonts w:ascii="Times New Roman" w:eastAsia="宋体" w:hAnsi="Times New Roman" w:cs="Times New Roman" w:hint="eastAsia"/>
          <w:kern w:val="0"/>
          <w:szCs w:val="21"/>
        </w:rPr>
        <w:t>方面阐述；并针对风机叶片复合材料、光伏组件、废旧锂离子电池等典型城市矿产，剖析了主流回收技术路径及其在技术成熟度、经济可行性、政策法规、产业链协同与环境影响等方面的瓶颈。研究显示，新兴能源领域的城市矿产资源潜力可观，但其高效循环利用普遍面临技术复杂性高、回收成本与环境代价大、产业链不完善及政策支持不足等多重制约。针对当前难点，未来应聚焦于突破核心回收技术、健全政策标准体系、优化产业链布局、强化经济激励机制并推动产品生态设计。本研究可为提升新兴能源产业城市矿产资源化水平、保障战略资源安全及促进绿色低碳发展提供参考。</w:t>
      </w:r>
    </w:p>
    <w:p w14:paraId="5B8A5061" w14:textId="77777777" w:rsidR="00691F6A" w:rsidRDefault="00000000">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城市矿产</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循环经济</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关键金属</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资源化；固体废物</w:t>
      </w:r>
    </w:p>
    <w:p w14:paraId="47C32B2C" w14:textId="4D2B5685" w:rsidR="00691F6A"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kern w:val="0"/>
          <w:szCs w:val="21"/>
        </w:rPr>
        <w:t xml:space="preserve">TP393.1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1E30E2C5" w14:textId="77777777" w:rsidR="00691F6A" w:rsidRDefault="00691F6A">
      <w:pPr>
        <w:widowControl/>
        <w:spacing w:line="240" w:lineRule="atLeast"/>
        <w:rPr>
          <w:rFonts w:ascii="Times New Roman" w:eastAsia="宋体" w:hAnsi="Times New Roman" w:cs="Times New Roman"/>
          <w:color w:val="FF0000"/>
          <w:kern w:val="0"/>
          <w:szCs w:val="21"/>
        </w:rPr>
      </w:pPr>
    </w:p>
    <w:p w14:paraId="3280F036" w14:textId="77777777" w:rsidR="00691F6A" w:rsidRDefault="00691F6A">
      <w:pPr>
        <w:widowControl/>
        <w:spacing w:line="240" w:lineRule="atLeast"/>
        <w:rPr>
          <w:rFonts w:ascii="Times New Roman" w:eastAsiaTheme="majorEastAsia" w:hAnsi="Times New Roman" w:cs="Times New Roman"/>
          <w:color w:val="FF0000"/>
          <w:kern w:val="0"/>
          <w:szCs w:val="21"/>
        </w:rPr>
        <w:sectPr w:rsidR="00691F6A">
          <w:footerReference w:type="first" r:id="rId16"/>
          <w:type w:val="continuous"/>
          <w:pgSz w:w="11906" w:h="16838"/>
          <w:pgMar w:top="1440" w:right="1106" w:bottom="1440" w:left="1106" w:header="851" w:footer="992" w:gutter="0"/>
          <w:cols w:space="425"/>
          <w:titlePg/>
          <w:docGrid w:type="linesAndChars" w:linePitch="312"/>
        </w:sectPr>
      </w:pPr>
    </w:p>
    <w:p w14:paraId="4B3AD1C9" w14:textId="77777777" w:rsidR="00691F6A"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在全球应对气候变化和追求碳中和目标的浪潮中，能源体系的绿色低碳转型已成为不可逆转的趋势，深刻地重塑着全球技术格局与产业结构</w:t>
      </w:r>
      <w:r>
        <w:rPr>
          <w:rFonts w:ascii="Times New Roman" w:hAnsi="Times New Roman" w:cs="Times New Roman" w:hint="eastAsia"/>
          <w:color w:val="FF0000"/>
          <w:szCs w:val="21"/>
          <w:vertAlign w:val="superscript"/>
        </w:rPr>
        <w:t>[1]</w:t>
      </w:r>
      <w:r>
        <w:rPr>
          <w:rFonts w:ascii="Times New Roman" w:hAnsi="Times New Roman" w:cs="Times New Roman" w:hint="eastAsia"/>
          <w:szCs w:val="21"/>
        </w:rPr>
        <w:t>。太阳能光伏、风力发电以及新能源汽车等清洁能源技术的飞速发展，是实现绿色低碳转型的核心驱动力</w:t>
      </w:r>
      <w:r>
        <w:rPr>
          <w:rFonts w:ascii="Times New Roman" w:hAnsi="Times New Roman" w:cs="Times New Roman" w:hint="eastAsia"/>
          <w:color w:val="FF0000"/>
          <w:szCs w:val="21"/>
          <w:vertAlign w:val="superscript"/>
        </w:rPr>
        <w:t>[2]</w:t>
      </w:r>
      <w:r>
        <w:rPr>
          <w:rFonts w:ascii="Times New Roman" w:hAnsi="Times New Roman" w:cs="Times New Roman" w:hint="eastAsia"/>
          <w:szCs w:val="21"/>
        </w:rPr>
        <w:t>。然而，这些新兴产业的蓬勃发展高度依赖于锂、钴、镍、稀土、铟、镓等关键金属资源</w:t>
      </w:r>
      <w:r>
        <w:rPr>
          <w:rFonts w:ascii="Times New Roman" w:hAnsi="Times New Roman" w:cs="Times New Roman" w:hint="eastAsia"/>
          <w:color w:val="FF0000"/>
          <w:szCs w:val="21"/>
          <w:vertAlign w:val="superscript"/>
        </w:rPr>
        <w:t>[3]</w:t>
      </w:r>
      <w:r>
        <w:rPr>
          <w:rFonts w:ascii="Times New Roman" w:hAnsi="Times New Roman" w:cs="Times New Roman" w:hint="eastAsia"/>
          <w:szCs w:val="21"/>
        </w:rPr>
        <w:t>。据国际能源署（</w:t>
      </w:r>
      <w:r>
        <w:rPr>
          <w:rFonts w:ascii="Times New Roman" w:hAnsi="Times New Roman" w:cs="Times New Roman" w:hint="eastAsia"/>
          <w:szCs w:val="21"/>
        </w:rPr>
        <w:t>IEA</w:t>
      </w:r>
      <w:r>
        <w:rPr>
          <w:rFonts w:ascii="Times New Roman" w:hAnsi="Times New Roman" w:cs="Times New Roman" w:hint="eastAsia"/>
          <w:szCs w:val="21"/>
        </w:rPr>
        <w:t>）预测，到</w:t>
      </w:r>
      <w:r>
        <w:rPr>
          <w:rFonts w:ascii="Times New Roman" w:hAnsi="Times New Roman" w:cs="Times New Roman" w:hint="eastAsia"/>
          <w:szCs w:val="21"/>
        </w:rPr>
        <w:t>2040</w:t>
      </w:r>
      <w:r>
        <w:rPr>
          <w:rFonts w:ascii="Times New Roman" w:hAnsi="Times New Roman" w:cs="Times New Roman" w:hint="eastAsia"/>
          <w:szCs w:val="21"/>
        </w:rPr>
        <w:t>年，清洁能源技术对矿产资源的总需求量在可持续发展情景下将增长六倍</w:t>
      </w:r>
      <w:r>
        <w:rPr>
          <w:rFonts w:ascii="Times New Roman" w:hAnsi="Times New Roman" w:cs="Times New Roman" w:hint="eastAsia"/>
          <w:color w:val="FF0000"/>
          <w:szCs w:val="21"/>
          <w:vertAlign w:val="superscript"/>
        </w:rPr>
        <w:t>[4]</w:t>
      </w:r>
      <w:r>
        <w:rPr>
          <w:rFonts w:ascii="Times New Roman" w:hAnsi="Times New Roman" w:cs="Times New Roman" w:hint="eastAsia"/>
          <w:szCs w:val="21"/>
        </w:rPr>
        <w:t>。这种需求的激增不仅对传统矿产资源的开采构成了巨大压力，也引发了人们对关键金属供应链韧性、安全及其可持续性的广泛担忧</w:t>
      </w:r>
      <w:r>
        <w:rPr>
          <w:rFonts w:ascii="Times New Roman" w:hAnsi="Times New Roman" w:cs="Times New Roman" w:hint="eastAsia"/>
          <w:color w:val="FF0000"/>
          <w:szCs w:val="21"/>
          <w:vertAlign w:val="superscript"/>
        </w:rPr>
        <w:t>[5-8]</w:t>
      </w:r>
      <w:r>
        <w:rPr>
          <w:rFonts w:ascii="Times New Roman" w:hAnsi="Times New Roman" w:cs="Times New Roman" w:hint="eastAsia"/>
          <w:szCs w:val="21"/>
        </w:rPr>
        <w:t>。研究指出，中国在</w:t>
      </w:r>
      <w:r>
        <w:rPr>
          <w:rFonts w:ascii="Times New Roman" w:hAnsi="Times New Roman" w:cs="Times New Roman" w:hint="eastAsia"/>
          <w:szCs w:val="21"/>
        </w:rPr>
        <w:t>2050</w:t>
      </w:r>
      <w:r>
        <w:rPr>
          <w:rFonts w:ascii="Times New Roman" w:hAnsi="Times New Roman" w:cs="Times New Roman" w:hint="eastAsia"/>
          <w:szCs w:val="21"/>
        </w:rPr>
        <w:t>年可再生能源转型过程中，光伏产业所需的镉、碲、铟、镓、硒、锗等关键金属均面临高度短缺和供应风险</w:t>
      </w:r>
      <w:r>
        <w:rPr>
          <w:rFonts w:ascii="Times New Roman" w:hAnsi="Times New Roman" w:cs="Times New Roman" w:hint="eastAsia"/>
          <w:color w:val="FF0000"/>
          <w:szCs w:val="21"/>
          <w:vertAlign w:val="superscript"/>
        </w:rPr>
        <w:t>[9]</w:t>
      </w:r>
      <w:r>
        <w:rPr>
          <w:rFonts w:ascii="Times New Roman" w:hAnsi="Times New Roman" w:cs="Times New Roman" w:hint="eastAsia"/>
          <w:szCs w:val="21"/>
        </w:rPr>
        <w:t>，其</w:t>
      </w:r>
      <w:r>
        <w:rPr>
          <w:rFonts w:ascii="Times New Roman" w:hAnsi="Times New Roman" w:cs="Times New Roman" w:hint="eastAsia"/>
          <w:szCs w:val="21"/>
        </w:rPr>
        <w:t>2015</w:t>
      </w:r>
      <w:r>
        <w:rPr>
          <w:rFonts w:ascii="Times New Roman" w:hAnsi="Times New Roman" w:cs="Times New Roman" w:hint="eastAsia"/>
          <w:szCs w:val="21"/>
        </w:rPr>
        <w:t>至</w:t>
      </w:r>
      <w:r>
        <w:rPr>
          <w:rFonts w:ascii="Times New Roman" w:hAnsi="Times New Roman" w:cs="Times New Roman" w:hint="eastAsia"/>
          <w:szCs w:val="21"/>
        </w:rPr>
        <w:t>2050</w:t>
      </w:r>
      <w:r>
        <w:rPr>
          <w:rFonts w:ascii="Times New Roman" w:hAnsi="Times New Roman" w:cs="Times New Roman" w:hint="eastAsia"/>
          <w:szCs w:val="21"/>
        </w:rPr>
        <w:t>年的累积需求量将远超现有国家储备，而风电产业对钕、镝等稀土元素的需求也对现有产能的规模化扩张提</w:t>
      </w:r>
      <w:r>
        <w:rPr>
          <w:rStyle w:val="af7"/>
          <w:rFonts w:ascii="Times New Roman" w:hAnsi="Times New Roman" w:cs="Times New Roman"/>
          <w:szCs w:val="21"/>
        </w:rPr>
        <w:footnoteReference w:customMarkFollows="1" w:id="1"/>
        <w:sym w:font="Symbol" w:char="F020"/>
      </w:r>
      <w:r>
        <w:rPr>
          <w:rFonts w:ascii="Times New Roman" w:hAnsi="Times New Roman" w:cs="Times New Roman" w:hint="eastAsia"/>
          <w:szCs w:val="21"/>
        </w:rPr>
        <w:t>出了挑战</w:t>
      </w:r>
      <w:r>
        <w:rPr>
          <w:rFonts w:ascii="Times New Roman" w:hAnsi="Times New Roman" w:cs="Times New Roman" w:hint="eastAsia"/>
          <w:color w:val="FF0000"/>
          <w:szCs w:val="21"/>
          <w:vertAlign w:val="superscript"/>
        </w:rPr>
        <w:t>[3]</w:t>
      </w:r>
      <w:r>
        <w:rPr>
          <w:rFonts w:ascii="Times New Roman" w:hAnsi="Times New Roman" w:cs="Times New Roman" w:hint="eastAsia"/>
          <w:szCs w:val="21"/>
        </w:rPr>
        <w:t>。在此背景下，“城市矿产”——即蕴藏在废弃电器电子产品、报废汽车、工业废弃物等城市固体废物中的可回收利用资源——并探索其循环利用潜力</w:t>
      </w:r>
      <w:r>
        <w:rPr>
          <w:rFonts w:ascii="Times New Roman" w:hAnsi="Times New Roman" w:cs="Times New Roman" w:hint="eastAsia"/>
          <w:color w:val="FF0000"/>
          <w:szCs w:val="21"/>
          <w:vertAlign w:val="superscript"/>
        </w:rPr>
        <w:t>[10]</w:t>
      </w:r>
      <w:r>
        <w:rPr>
          <w:rFonts w:ascii="Times New Roman" w:hAnsi="Times New Roman" w:cs="Times New Roman" w:hint="eastAsia"/>
          <w:szCs w:val="21"/>
        </w:rPr>
        <w:t>，对于缓解资源瓶颈、保障新兴能源产业发展、构建绿色低碳循环经济体系具有至关重要的战略意义</w:t>
      </w:r>
      <w:r>
        <w:rPr>
          <w:rFonts w:ascii="Times New Roman" w:hAnsi="Times New Roman" w:cs="Times New Roman"/>
          <w:szCs w:val="21"/>
        </w:rPr>
        <w:t>。</w:t>
      </w:r>
    </w:p>
    <w:p w14:paraId="6BBEECE8" w14:textId="71E5282C" w:rsidR="00691F6A" w:rsidRDefault="00000000" w:rsidP="004D65F8">
      <w:pPr>
        <w:spacing w:line="240" w:lineRule="atLeast"/>
        <w:ind w:firstLine="420"/>
        <w:rPr>
          <w:rFonts w:ascii="Times New Roman" w:hAnsi="Times New Roman" w:cs="Times New Roman"/>
          <w:szCs w:val="21"/>
        </w:rPr>
      </w:pPr>
      <w:r>
        <w:rPr>
          <w:rFonts w:ascii="Times New Roman" w:hAnsi="Times New Roman" w:cs="Times New Roman" w:hint="eastAsia"/>
          <w:szCs w:val="21"/>
        </w:rPr>
        <w:t>城市矿产作为一种重要的二次资源，其循环利用为满足能源转型对关键金属的巨大需求提供</w:t>
      </w:r>
      <w:r w:rsidR="009D03E1">
        <w:rPr>
          <w:rFonts w:ascii="Times New Roman" w:hAnsi="Times New Roman" w:cs="Times New Roman" w:hint="eastAsia"/>
          <w:szCs w:val="21"/>
        </w:rPr>
        <w:t>潜力</w:t>
      </w:r>
      <w:r>
        <w:rPr>
          <w:rFonts w:ascii="Times New Roman" w:hAnsi="Times New Roman" w:cs="Times New Roman" w:hint="eastAsia"/>
          <w:szCs w:val="21"/>
        </w:rPr>
        <w:t>。研究表明，中国城市矿产中典型的</w:t>
      </w:r>
      <w:r>
        <w:rPr>
          <w:rFonts w:ascii="Times New Roman" w:hAnsi="Times New Roman" w:cs="Times New Roman" w:hint="eastAsia"/>
          <w:szCs w:val="21"/>
        </w:rPr>
        <w:t>23</w:t>
      </w:r>
      <w:r>
        <w:rPr>
          <w:rFonts w:ascii="Times New Roman" w:hAnsi="Times New Roman" w:cs="Times New Roman" w:hint="eastAsia"/>
          <w:szCs w:val="21"/>
        </w:rPr>
        <w:t>种有价材料中，有</w:t>
      </w:r>
      <w:r>
        <w:rPr>
          <w:rFonts w:ascii="Times New Roman" w:hAnsi="Times New Roman" w:cs="Times New Roman" w:hint="eastAsia"/>
          <w:szCs w:val="21"/>
        </w:rPr>
        <w:t>20</w:t>
      </w:r>
      <w:r>
        <w:rPr>
          <w:rFonts w:ascii="Times New Roman" w:hAnsi="Times New Roman" w:cs="Times New Roman" w:hint="eastAsia"/>
          <w:szCs w:val="21"/>
        </w:rPr>
        <w:t>种的二次资源总量有望在</w:t>
      </w:r>
      <w:r>
        <w:rPr>
          <w:rFonts w:ascii="Times New Roman" w:hAnsi="Times New Roman" w:cs="Times New Roman" w:hint="eastAsia"/>
          <w:szCs w:val="21"/>
        </w:rPr>
        <w:t>2050</w:t>
      </w:r>
      <w:r>
        <w:rPr>
          <w:rFonts w:ascii="Times New Roman" w:hAnsi="Times New Roman" w:cs="Times New Roman" w:hint="eastAsia"/>
          <w:szCs w:val="21"/>
        </w:rPr>
        <w:t>年前超过产业发展需求，实现自给自足</w:t>
      </w:r>
      <w:r>
        <w:rPr>
          <w:rFonts w:ascii="Times New Roman" w:hAnsi="Times New Roman" w:cs="Times New Roman" w:hint="eastAsia"/>
          <w:color w:val="FF0000"/>
          <w:szCs w:val="21"/>
          <w:vertAlign w:val="superscript"/>
        </w:rPr>
        <w:t>[8]</w:t>
      </w:r>
      <w:r>
        <w:rPr>
          <w:rFonts w:ascii="Times New Roman" w:hAnsi="Times New Roman" w:cs="Times New Roman" w:hint="eastAsia"/>
          <w:szCs w:val="21"/>
        </w:rPr>
        <w:t>。随着电动汽车产业的快速发展，废旧动力电池中锂、钴等金属的回</w:t>
      </w:r>
      <w:r>
        <w:rPr>
          <w:rFonts w:ascii="Times New Roman" w:hAnsi="Times New Roman" w:cs="Times New Roman" w:hint="eastAsia"/>
          <w:szCs w:val="21"/>
        </w:rPr>
        <w:t>收潜力巨大；同时，报废的光伏组件和风力发电设备也蕴藏着可观的硅、铜、稀土以及铟、碲等关键金属</w:t>
      </w:r>
      <w:r>
        <w:rPr>
          <w:rFonts w:ascii="Times New Roman" w:hAnsi="Times New Roman" w:cs="Times New Roman" w:hint="eastAsia"/>
          <w:color w:val="FF0000"/>
          <w:szCs w:val="21"/>
          <w:vertAlign w:val="superscript"/>
        </w:rPr>
        <w:t>[3,9]</w:t>
      </w:r>
      <w:r>
        <w:rPr>
          <w:rFonts w:ascii="Times New Roman" w:hAnsi="Times New Roman" w:cs="Times New Roman" w:hint="eastAsia"/>
          <w:szCs w:val="21"/>
        </w:rPr>
        <w:t>。发展城市矿产的循环利用，不仅可以有效补充原生矿产资源的不足，降低对外依存度，还能显著减少因原生矿开采带来的环境破坏和碳排放，助力实现碳中和目标</w:t>
      </w:r>
      <w:r>
        <w:rPr>
          <w:rFonts w:ascii="Times New Roman" w:hAnsi="Times New Roman" w:cs="Times New Roman" w:hint="eastAsia"/>
          <w:color w:val="FF0000"/>
          <w:szCs w:val="21"/>
          <w:vertAlign w:val="superscript"/>
        </w:rPr>
        <w:t>[2]</w:t>
      </w:r>
      <w:r>
        <w:rPr>
          <w:rFonts w:ascii="Times New Roman" w:hAnsi="Times New Roman" w:cs="Times New Roman" w:hint="eastAsia"/>
          <w:szCs w:val="21"/>
        </w:rPr>
        <w:t>。然而，目前，全球范围内，特别是发展中国家，包括电子废弃物在内的多种城市矿产的规范回收率依然偏低。此外，技术瓶颈、经济成本、政策法规体系不完善、产业链协同不足以及消费者环保意识和参与度不高等因素，均制约着城市矿产循环利用产业的规模化和高效化发展</w:t>
      </w:r>
      <w:r>
        <w:rPr>
          <w:rFonts w:ascii="Times New Roman" w:hAnsi="Times New Roman" w:cs="Times New Roman" w:hint="eastAsia"/>
          <w:color w:val="FF0000"/>
          <w:szCs w:val="21"/>
          <w:vertAlign w:val="superscript"/>
        </w:rPr>
        <w:t>[10]</w:t>
      </w:r>
      <w:r>
        <w:rPr>
          <w:rFonts w:ascii="Times New Roman" w:hAnsi="Times New Roman" w:cs="Times New Roman" w:hint="eastAsia"/>
          <w:szCs w:val="21"/>
        </w:rPr>
        <w:t>。鉴于此，本文通过深入剖析典型新兴能源转型产业关键金属消费、城市矿产循环利用潜力，系统分析其面临的技术、经济、社会及环境挑战，并探索有效的应对策略和发展路径，对于保障国家战略性金属资源安全、推动绿色供应链创新和实现可持续发展目标具有重要的理论价值和现实指导意义。</w:t>
      </w:r>
    </w:p>
    <w:p w14:paraId="6AE3DE66" w14:textId="77777777" w:rsidR="00691F6A" w:rsidRDefault="00000000">
      <w:pPr>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典型新兴能源转型产业关键金属消费</w:t>
      </w:r>
    </w:p>
    <w:p w14:paraId="42D7D961" w14:textId="77777777" w:rsidR="00691F6A" w:rsidRDefault="00000000">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 xml:space="preserve">1.1  </w:t>
      </w:r>
      <w:r>
        <w:rPr>
          <w:rFonts w:ascii="Times New Roman" w:eastAsia="宋体" w:hAnsi="Times New Roman" w:cs="Times New Roman" w:hint="eastAsia"/>
          <w:b/>
          <w:kern w:val="0"/>
          <w:szCs w:val="21"/>
        </w:rPr>
        <w:t>风力发电设备产业中关键金属消费</w:t>
      </w:r>
    </w:p>
    <w:p w14:paraId="65E87623"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风力发电作为全球应对气候变化、推动能源结构向清洁低碳转型的核心支柱之一，其产业规模正以前所未有的速度扩张。风力发电设备，尤其是现代大型化、高效能的风力发电机组，其制造过程需要消耗种类繁多且数量可观的关键金属材料</w:t>
      </w:r>
      <w:r>
        <w:rPr>
          <w:rFonts w:ascii="Times New Roman" w:hAnsi="Times New Roman" w:cs="Times New Roman" w:hint="eastAsia"/>
          <w:color w:val="FF0000"/>
          <w:szCs w:val="21"/>
        </w:rPr>
        <w:t xml:space="preserve"> </w:t>
      </w:r>
      <w:r>
        <w:rPr>
          <w:rFonts w:ascii="Times New Roman" w:hAnsi="Times New Roman" w:cs="Times New Roman" w:hint="eastAsia"/>
          <w:color w:val="FF0000"/>
          <w:szCs w:val="21"/>
          <w:vertAlign w:val="superscript"/>
        </w:rPr>
        <w:t>[9]</w:t>
      </w:r>
      <w:r>
        <w:rPr>
          <w:rFonts w:ascii="Times New Roman" w:hAnsi="Times New Roman" w:cs="Times New Roman" w:hint="eastAsia"/>
          <w:szCs w:val="21"/>
        </w:rPr>
        <w:t>。国际能源署（</w:t>
      </w:r>
      <w:r>
        <w:rPr>
          <w:rFonts w:ascii="Times New Roman" w:hAnsi="Times New Roman" w:cs="Times New Roman" w:hint="eastAsia"/>
          <w:szCs w:val="21"/>
        </w:rPr>
        <w:t>International Energy Agency, IEA</w:t>
      </w:r>
      <w:r>
        <w:rPr>
          <w:rFonts w:ascii="Times New Roman" w:hAnsi="Times New Roman" w:cs="Times New Roman" w:hint="eastAsia"/>
          <w:szCs w:val="21"/>
        </w:rPr>
        <w:t>）的《世界能源展望》预计到</w:t>
      </w:r>
      <w:r>
        <w:rPr>
          <w:rFonts w:ascii="Times New Roman" w:hAnsi="Times New Roman" w:cs="Times New Roman" w:hint="eastAsia"/>
          <w:szCs w:val="21"/>
        </w:rPr>
        <w:t>2040</w:t>
      </w:r>
      <w:r>
        <w:rPr>
          <w:rFonts w:ascii="Times New Roman" w:hAnsi="Times New Roman" w:cs="Times New Roman" w:hint="eastAsia"/>
          <w:szCs w:val="21"/>
        </w:rPr>
        <w:t>年，可再生能源将占欧盟发电量的三分之二，其中风能和太阳能光伏是主要增长点</w:t>
      </w:r>
      <w:r>
        <w:rPr>
          <w:rFonts w:ascii="Times New Roman" w:hAnsi="Times New Roman" w:cs="Times New Roman" w:hint="eastAsia"/>
          <w:color w:val="FF0000"/>
          <w:szCs w:val="21"/>
          <w:vertAlign w:val="superscript"/>
        </w:rPr>
        <w:t>[11]</w:t>
      </w:r>
      <w:r>
        <w:rPr>
          <w:rFonts w:ascii="Times New Roman" w:hAnsi="Times New Roman" w:cs="Times New Roman" w:hint="eastAsia"/>
          <w:szCs w:val="21"/>
        </w:rPr>
        <w:t>。具体到风电领域，国际可再生能源机构（</w:t>
      </w:r>
      <w:r>
        <w:rPr>
          <w:rFonts w:ascii="Times New Roman" w:hAnsi="Times New Roman" w:cs="Times New Roman" w:hint="eastAsia"/>
          <w:szCs w:val="21"/>
        </w:rPr>
        <w:t>IRENA</w:t>
      </w:r>
      <w:r>
        <w:rPr>
          <w:rFonts w:ascii="Times New Roman" w:hAnsi="Times New Roman" w:cs="Times New Roman" w:hint="eastAsia"/>
          <w:szCs w:val="21"/>
        </w:rPr>
        <w:t>）预计，</w:t>
      </w:r>
      <w:r>
        <w:rPr>
          <w:rFonts w:ascii="Times New Roman" w:hAnsi="Times New Roman" w:cs="Times New Roman" w:hint="eastAsia"/>
          <w:szCs w:val="21"/>
        </w:rPr>
        <w:t>2050</w:t>
      </w:r>
      <w:r>
        <w:rPr>
          <w:rFonts w:ascii="Times New Roman" w:hAnsi="Times New Roman" w:cs="Times New Roman" w:hint="eastAsia"/>
          <w:szCs w:val="21"/>
        </w:rPr>
        <w:t>年风能发电量将</w:t>
      </w:r>
      <w:r>
        <w:rPr>
          <w:rFonts w:ascii="Times New Roman" w:hAnsi="Times New Roman" w:cs="Times New Roman" w:hint="eastAsia"/>
          <w:szCs w:val="21"/>
        </w:rPr>
        <w:lastRenderedPageBreak/>
        <w:t>达到约</w:t>
      </w:r>
      <w:r>
        <w:rPr>
          <w:rFonts w:ascii="Times New Roman" w:hAnsi="Times New Roman" w:cs="Times New Roman" w:hint="eastAsia"/>
          <w:szCs w:val="21"/>
        </w:rPr>
        <w:t>20000TWh/yr</w:t>
      </w:r>
      <w:r>
        <w:rPr>
          <w:rFonts w:ascii="Times New Roman" w:hAnsi="Times New Roman" w:cs="Times New Roman" w:hint="eastAsia"/>
          <w:szCs w:val="21"/>
        </w:rPr>
        <w:t>，占全球发电量的</w:t>
      </w:r>
      <w:r>
        <w:rPr>
          <w:rFonts w:ascii="Times New Roman" w:hAnsi="Times New Roman" w:cs="Times New Roman" w:hint="eastAsia"/>
          <w:szCs w:val="21"/>
        </w:rPr>
        <w:t>36%</w:t>
      </w:r>
      <w:r>
        <w:rPr>
          <w:rFonts w:ascii="Times New Roman" w:hAnsi="Times New Roman" w:cs="Times New Roman" w:hint="eastAsia"/>
          <w:color w:val="EE0000"/>
          <w:szCs w:val="21"/>
          <w:vertAlign w:val="superscript"/>
        </w:rPr>
        <w:t>[12]</w:t>
      </w:r>
      <w:r>
        <w:rPr>
          <w:rFonts w:ascii="Times New Roman" w:hAnsi="Times New Roman" w:cs="Times New Roman" w:hint="eastAsia"/>
          <w:szCs w:val="21"/>
        </w:rPr>
        <w:t>。这一装机容量的扩张直接导致了原材料消耗的显著增加。此外，风力涡轮机尺寸的增大也会不成比例地增加原材料用量，转子尺寸从</w:t>
      </w:r>
      <w:r>
        <w:rPr>
          <w:rFonts w:ascii="Times New Roman" w:hAnsi="Times New Roman" w:cs="Times New Roman" w:hint="eastAsia"/>
          <w:szCs w:val="21"/>
        </w:rPr>
        <w:t>90</w:t>
      </w:r>
      <w:r>
        <w:rPr>
          <w:rFonts w:ascii="Times New Roman" w:hAnsi="Times New Roman" w:cs="Times New Roman" w:hint="eastAsia"/>
          <w:szCs w:val="21"/>
        </w:rPr>
        <w:t>米增加到</w:t>
      </w:r>
      <w:r>
        <w:rPr>
          <w:rFonts w:ascii="Times New Roman" w:hAnsi="Times New Roman" w:cs="Times New Roman" w:hint="eastAsia"/>
          <w:szCs w:val="21"/>
        </w:rPr>
        <w:t>150</w:t>
      </w:r>
      <w:r>
        <w:rPr>
          <w:rFonts w:ascii="Times New Roman" w:hAnsi="Times New Roman" w:cs="Times New Roman" w:hint="eastAsia"/>
          <w:szCs w:val="21"/>
        </w:rPr>
        <w:t>米，钢材总消耗量便从</w:t>
      </w:r>
      <w:r>
        <w:rPr>
          <w:rFonts w:ascii="Times New Roman" w:hAnsi="Times New Roman" w:cs="Times New Roman" w:hint="eastAsia"/>
          <w:szCs w:val="21"/>
        </w:rPr>
        <w:t>200</w:t>
      </w:r>
      <w:r>
        <w:rPr>
          <w:rFonts w:ascii="Times New Roman" w:hAnsi="Times New Roman" w:cs="Times New Roman" w:hint="eastAsia"/>
          <w:szCs w:val="21"/>
        </w:rPr>
        <w:t>吨增加到</w:t>
      </w:r>
      <w:r>
        <w:rPr>
          <w:rFonts w:ascii="Times New Roman" w:hAnsi="Times New Roman" w:cs="Times New Roman" w:hint="eastAsia"/>
          <w:szCs w:val="21"/>
        </w:rPr>
        <w:t>620</w:t>
      </w:r>
      <w:r>
        <w:rPr>
          <w:rFonts w:ascii="Times New Roman" w:hAnsi="Times New Roman" w:cs="Times New Roman" w:hint="eastAsia"/>
          <w:szCs w:val="21"/>
        </w:rPr>
        <w:t>吨，增幅达</w:t>
      </w:r>
      <w:r>
        <w:rPr>
          <w:rFonts w:ascii="Times New Roman" w:hAnsi="Times New Roman" w:cs="Times New Roman" w:hint="eastAsia"/>
          <w:szCs w:val="21"/>
        </w:rPr>
        <w:t>200%</w:t>
      </w:r>
      <w:r>
        <w:rPr>
          <w:rFonts w:ascii="Times New Roman" w:hAnsi="Times New Roman" w:cs="Times New Roman" w:hint="eastAsia"/>
          <w:szCs w:val="21"/>
        </w:rPr>
        <w:t>，铝和聚合物材料的消耗量也分别增长约</w:t>
      </w:r>
      <w:r>
        <w:rPr>
          <w:rFonts w:ascii="Times New Roman" w:hAnsi="Times New Roman" w:cs="Times New Roman" w:hint="eastAsia"/>
          <w:szCs w:val="21"/>
        </w:rPr>
        <w:t>150%</w:t>
      </w:r>
      <w:r>
        <w:rPr>
          <w:rFonts w:ascii="Times New Roman" w:hAnsi="Times New Roman" w:cs="Times New Roman" w:hint="eastAsia"/>
          <w:szCs w:val="21"/>
        </w:rPr>
        <w:t>和</w:t>
      </w:r>
      <w:r>
        <w:rPr>
          <w:rFonts w:ascii="Times New Roman" w:hAnsi="Times New Roman" w:cs="Times New Roman" w:hint="eastAsia"/>
          <w:szCs w:val="21"/>
        </w:rPr>
        <w:t>250%</w:t>
      </w:r>
      <w:r>
        <w:rPr>
          <w:rFonts w:ascii="Times New Roman" w:hAnsi="Times New Roman" w:cs="Times New Roman" w:hint="eastAsia"/>
          <w:color w:val="EE0000"/>
          <w:szCs w:val="21"/>
          <w:vertAlign w:val="superscript"/>
        </w:rPr>
        <w:t>[13]</w:t>
      </w:r>
      <w:r>
        <w:rPr>
          <w:rFonts w:ascii="Times New Roman" w:hAnsi="Times New Roman" w:cs="Times New Roman" w:hint="eastAsia"/>
          <w:szCs w:val="21"/>
        </w:rPr>
        <w:t>。此外，据世界银行预测，到</w:t>
      </w:r>
      <w:r>
        <w:rPr>
          <w:rFonts w:ascii="Times New Roman" w:hAnsi="Times New Roman" w:cs="Times New Roman" w:hint="eastAsia"/>
          <w:szCs w:val="21"/>
        </w:rPr>
        <w:t>2050</w:t>
      </w:r>
      <w:r>
        <w:rPr>
          <w:rFonts w:ascii="Times New Roman" w:hAnsi="Times New Roman" w:cs="Times New Roman" w:hint="eastAsia"/>
          <w:szCs w:val="21"/>
        </w:rPr>
        <w:t>年风能技术对金属的需求中位数在</w:t>
      </w:r>
      <w:r>
        <w:rPr>
          <w:rFonts w:ascii="Times New Roman" w:hAnsi="Times New Roman" w:cs="Times New Roman" w:hint="eastAsia"/>
          <w:szCs w:val="21"/>
        </w:rPr>
        <w:t>4</w:t>
      </w:r>
      <w:r>
        <w:rPr>
          <w:rFonts w:ascii="Times New Roman" w:hAnsi="Times New Roman" w:cs="Times New Roman" w:hint="eastAsia"/>
          <w:szCs w:val="21"/>
        </w:rPr>
        <w:t>℃气候情景下，将增长约</w:t>
      </w:r>
      <w:r>
        <w:rPr>
          <w:rFonts w:ascii="Times New Roman" w:hAnsi="Times New Roman" w:cs="Times New Roman" w:hint="eastAsia"/>
          <w:szCs w:val="21"/>
        </w:rPr>
        <w:t>150%</w:t>
      </w:r>
      <w:r>
        <w:rPr>
          <w:rFonts w:ascii="Times New Roman" w:hAnsi="Times New Roman" w:cs="Times New Roman" w:hint="eastAsia"/>
          <w:szCs w:val="21"/>
        </w:rPr>
        <w:t>，在</w:t>
      </w:r>
      <w:r>
        <w:rPr>
          <w:rFonts w:ascii="Times New Roman" w:hAnsi="Times New Roman" w:cs="Times New Roman" w:hint="eastAsia"/>
          <w:szCs w:val="21"/>
        </w:rPr>
        <w:t>2</w:t>
      </w:r>
      <w:r>
        <w:rPr>
          <w:rFonts w:ascii="Times New Roman" w:hAnsi="Times New Roman" w:cs="Times New Roman" w:hint="eastAsia"/>
          <w:szCs w:val="21"/>
        </w:rPr>
        <w:t>℃气候情景下，将增长约</w:t>
      </w:r>
      <w:r>
        <w:rPr>
          <w:rFonts w:ascii="Times New Roman" w:hAnsi="Times New Roman" w:cs="Times New Roman" w:hint="eastAsia"/>
          <w:szCs w:val="21"/>
        </w:rPr>
        <w:t>250%</w:t>
      </w:r>
      <w:r>
        <w:rPr>
          <w:rFonts w:ascii="Times New Roman" w:hAnsi="Times New Roman" w:cs="Times New Roman" w:hint="eastAsia"/>
          <w:color w:val="EE0000"/>
          <w:szCs w:val="21"/>
          <w:vertAlign w:val="superscript"/>
        </w:rPr>
        <w:t xml:space="preserve"> [14]</w:t>
      </w:r>
      <w:r>
        <w:rPr>
          <w:rFonts w:ascii="Times New Roman" w:hAnsi="Times New Roman" w:cs="Times New Roman" w:hint="eastAsia"/>
          <w:szCs w:val="21"/>
        </w:rPr>
        <w:t>。</w:t>
      </w:r>
      <w:r>
        <w:rPr>
          <w:rFonts w:ascii="Times New Roman" w:hAnsi="Times New Roman" w:cs="Times New Roman" w:hint="eastAsia"/>
          <w:szCs w:val="21"/>
        </w:rPr>
        <w:t>IEA</w:t>
      </w:r>
      <w:r>
        <w:rPr>
          <w:rFonts w:ascii="Times New Roman" w:hAnsi="Times New Roman" w:cs="Times New Roman" w:hint="eastAsia"/>
          <w:szCs w:val="21"/>
        </w:rPr>
        <w:t>的预测也显示，到</w:t>
      </w:r>
      <w:r>
        <w:rPr>
          <w:rFonts w:ascii="Times New Roman" w:hAnsi="Times New Roman" w:cs="Times New Roman" w:hint="eastAsia"/>
          <w:szCs w:val="21"/>
        </w:rPr>
        <w:t>2040</w:t>
      </w:r>
      <w:r>
        <w:rPr>
          <w:rFonts w:ascii="Times New Roman" w:hAnsi="Times New Roman" w:cs="Times New Roman" w:hint="eastAsia"/>
          <w:szCs w:val="21"/>
        </w:rPr>
        <w:t>年，全球清洁能源技术对矿产的总需求将在基准政策情景中翻一番，在可持续发展情景中将翻两番</w:t>
      </w:r>
      <w:r>
        <w:rPr>
          <w:rFonts w:ascii="Times New Roman" w:hAnsi="Times New Roman" w:cs="Times New Roman" w:hint="eastAsia"/>
          <w:color w:val="EE0000"/>
          <w:szCs w:val="21"/>
          <w:vertAlign w:val="superscript"/>
        </w:rPr>
        <w:t>[4]</w:t>
      </w:r>
      <w:r>
        <w:rPr>
          <w:rFonts w:ascii="Times New Roman" w:hAnsi="Times New Roman" w:cs="Times New Roman" w:hint="eastAsia"/>
          <w:szCs w:val="21"/>
        </w:rPr>
        <w:t>。清洁能源技术与关键金属的重要性度如图</w:t>
      </w:r>
      <w:r>
        <w:rPr>
          <w:rFonts w:ascii="Times New Roman" w:hAnsi="Times New Roman" w:cs="Times New Roman" w:hint="eastAsia"/>
          <w:szCs w:val="21"/>
        </w:rPr>
        <w:t>1</w:t>
      </w:r>
      <w:r>
        <w:rPr>
          <w:rFonts w:ascii="Times New Roman" w:hAnsi="Times New Roman" w:cs="Times New Roman" w:hint="eastAsia"/>
          <w:szCs w:val="21"/>
        </w:rPr>
        <w:t>所示。</w:t>
      </w:r>
    </w:p>
    <w:p w14:paraId="36A8A266" w14:textId="77777777" w:rsidR="00691F6A" w:rsidRDefault="00000000">
      <w:pPr>
        <w:spacing w:line="240" w:lineRule="atLeast"/>
        <w:rPr>
          <w:rFonts w:ascii="Times New Roman" w:hAnsi="Times New Roman" w:cs="Times New Roman"/>
          <w:szCs w:val="21"/>
        </w:rPr>
      </w:pPr>
      <w:r>
        <w:rPr>
          <w:rFonts w:ascii="Times New Roman" w:hAnsi="Times New Roman" w:hint="eastAsia"/>
          <w:noProof/>
          <w:color w:val="FF0000"/>
        </w:rPr>
        <w:drawing>
          <wp:inline distT="0" distB="0" distL="0" distR="0" wp14:anchorId="74A1D2D0" wp14:editId="7F215E89">
            <wp:extent cx="2942590" cy="2018665"/>
            <wp:effectExtent l="0" t="0" r="0" b="635"/>
            <wp:docPr id="96062869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628697" name="图片 6"/>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42590" cy="2018665"/>
                    </a:xfrm>
                    <a:prstGeom prst="rect">
                      <a:avLst/>
                    </a:prstGeom>
                  </pic:spPr>
                </pic:pic>
              </a:graphicData>
            </a:graphic>
          </wp:inline>
        </w:drawing>
      </w:r>
    </w:p>
    <w:p w14:paraId="691CF39C" w14:textId="77777777" w:rsidR="00691F6A" w:rsidRDefault="00000000">
      <w:pPr>
        <w:snapToGrid w:val="0"/>
        <w:spacing w:line="240" w:lineRule="atLeast"/>
        <w:jc w:val="center"/>
        <w:rPr>
          <w:rFonts w:ascii="Times New Roman" w:hAnsi="Times New Roman" w:cs="Times New Roman"/>
          <w:sz w:val="18"/>
          <w:szCs w:val="18"/>
        </w:rPr>
      </w:pPr>
      <w:r>
        <w:rPr>
          <w:rFonts w:ascii="Times New Roman" w:hAnsi="Times New Roman" w:cs="Times New Roman" w:hint="eastAsia"/>
          <w:sz w:val="18"/>
          <w:szCs w:val="18"/>
        </w:rPr>
        <w:t>图</w:t>
      </w:r>
      <w:r>
        <w:rPr>
          <w:rFonts w:ascii="Times New Roman" w:hAnsi="Times New Roman" w:cs="Times New Roman" w:hint="eastAsia"/>
          <w:sz w:val="18"/>
          <w:szCs w:val="18"/>
        </w:rPr>
        <w:t>1</w:t>
      </w:r>
      <w:r>
        <w:rPr>
          <w:rFonts w:ascii="Times New Roman" w:hAnsi="Times New Roman" w:cs="Times New Roman"/>
          <w:sz w:val="18"/>
          <w:szCs w:val="18"/>
        </w:rPr>
        <w:t xml:space="preserve"> </w:t>
      </w:r>
      <w:r>
        <w:rPr>
          <w:rFonts w:ascii="Times New Roman" w:hAnsi="Times New Roman" w:cs="Times New Roman" w:hint="eastAsia"/>
          <w:sz w:val="18"/>
          <w:szCs w:val="18"/>
        </w:rPr>
        <w:t>清洁能源技术所需的关键矿产重要性排序</w:t>
      </w:r>
    </w:p>
    <w:p w14:paraId="72C94751"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钢铁是风力发电设备中用量最大的金属，平均占涡轮机总质量的</w:t>
      </w:r>
      <w:r>
        <w:rPr>
          <w:rFonts w:ascii="Times New Roman" w:hAnsi="Times New Roman" w:cs="Times New Roman" w:hint="eastAsia"/>
          <w:szCs w:val="21"/>
        </w:rPr>
        <w:t>80%</w:t>
      </w:r>
      <w:r>
        <w:rPr>
          <w:rFonts w:ascii="Times New Roman" w:hAnsi="Times New Roman" w:cs="Times New Roman" w:hint="eastAsia"/>
          <w:color w:val="EE0000"/>
          <w:szCs w:val="21"/>
          <w:vertAlign w:val="superscript"/>
        </w:rPr>
        <w:t>[15]</w:t>
      </w:r>
      <w:r>
        <w:rPr>
          <w:rFonts w:ascii="Times New Roman" w:hAnsi="Times New Roman" w:cs="Times New Roman" w:hint="eastAsia"/>
          <w:szCs w:val="21"/>
        </w:rPr>
        <w:t>。塔架、变速箱、发电机和涡轮变压器等关键部件均主要由钢和不锈钢构成</w:t>
      </w:r>
      <w:r>
        <w:rPr>
          <w:rFonts w:ascii="Times New Roman" w:hAnsi="Times New Roman" w:cs="Times New Roman" w:hint="eastAsia"/>
          <w:color w:val="EE0000"/>
          <w:szCs w:val="21"/>
          <w:vertAlign w:val="superscript"/>
        </w:rPr>
        <w:t>[9]</w:t>
      </w:r>
      <w:r>
        <w:rPr>
          <w:rFonts w:ascii="Times New Roman" w:hAnsi="Times New Roman" w:cs="Times New Roman" w:hint="eastAsia"/>
          <w:szCs w:val="21"/>
        </w:rPr>
        <w:t>。随着全球风电装机容量的增长，对高强度、耐腐蚀特种钢材的需求持续旺盛。据</w:t>
      </w:r>
      <w:r>
        <w:rPr>
          <w:rFonts w:ascii="Times New Roman" w:hAnsi="Times New Roman" w:cs="Times New Roman" w:hint="eastAsia"/>
          <w:szCs w:val="21"/>
        </w:rPr>
        <w:t>IRENA</w:t>
      </w:r>
      <w:r>
        <w:rPr>
          <w:rFonts w:ascii="Times New Roman" w:hAnsi="Times New Roman" w:cs="Times New Roman" w:hint="eastAsia"/>
          <w:szCs w:val="21"/>
        </w:rPr>
        <w:t>预测，到</w:t>
      </w:r>
      <w:r>
        <w:rPr>
          <w:rFonts w:ascii="Times New Roman" w:hAnsi="Times New Roman" w:cs="Times New Roman" w:hint="eastAsia"/>
          <w:szCs w:val="21"/>
        </w:rPr>
        <w:t>2050</w:t>
      </w:r>
      <w:r>
        <w:rPr>
          <w:rFonts w:ascii="Times New Roman" w:hAnsi="Times New Roman" w:cs="Times New Roman" w:hint="eastAsia"/>
          <w:szCs w:val="21"/>
        </w:rPr>
        <w:t>年，全球陆上风电装机量将达到</w:t>
      </w:r>
      <w:r>
        <w:rPr>
          <w:rFonts w:ascii="Times New Roman" w:hAnsi="Times New Roman" w:cs="Times New Roman" w:hint="eastAsia"/>
          <w:szCs w:val="21"/>
        </w:rPr>
        <w:t>6000GW</w:t>
      </w:r>
      <w:r>
        <w:rPr>
          <w:rFonts w:ascii="Times New Roman" w:hAnsi="Times New Roman" w:cs="Times New Roman" w:hint="eastAsia"/>
          <w:szCs w:val="21"/>
        </w:rPr>
        <w:t>，海上风电装机量将达到</w:t>
      </w:r>
      <w:r>
        <w:rPr>
          <w:rFonts w:ascii="Times New Roman" w:hAnsi="Times New Roman" w:cs="Times New Roman" w:hint="eastAsia"/>
          <w:szCs w:val="21"/>
        </w:rPr>
        <w:t>1400GW</w:t>
      </w:r>
      <w:r>
        <w:rPr>
          <w:rFonts w:ascii="Times New Roman" w:hAnsi="Times New Roman" w:cs="Times New Roman" w:hint="eastAsia"/>
          <w:szCs w:val="21"/>
        </w:rPr>
        <w:t>，总计</w:t>
      </w:r>
      <w:r>
        <w:rPr>
          <w:rFonts w:ascii="Times New Roman" w:hAnsi="Times New Roman" w:cs="Times New Roman" w:hint="eastAsia"/>
          <w:szCs w:val="21"/>
        </w:rPr>
        <w:t>7400GW</w:t>
      </w:r>
      <w:r>
        <w:rPr>
          <w:rFonts w:ascii="Times New Roman" w:hAnsi="Times New Roman" w:cs="Times New Roman" w:hint="eastAsia"/>
          <w:color w:val="EE0000"/>
          <w:szCs w:val="21"/>
          <w:vertAlign w:val="superscript"/>
        </w:rPr>
        <w:t>[12]</w:t>
      </w:r>
      <w:r>
        <w:rPr>
          <w:rFonts w:ascii="Times New Roman" w:hAnsi="Times New Roman" w:cs="Times New Roman" w:hint="eastAsia"/>
          <w:szCs w:val="21"/>
        </w:rPr>
        <w:t>。在此背景下，风力发电设备对钢铁的需求量巨大，有研究指出，在基准情景和碳中和情景下，</w:t>
      </w:r>
      <w:r>
        <w:rPr>
          <w:rFonts w:ascii="Times New Roman" w:hAnsi="Times New Roman" w:cs="Times New Roman" w:hint="eastAsia"/>
          <w:szCs w:val="21"/>
        </w:rPr>
        <w:t>2035-2050</w:t>
      </w:r>
      <w:r>
        <w:rPr>
          <w:rFonts w:ascii="Times New Roman" w:hAnsi="Times New Roman" w:cs="Times New Roman" w:hint="eastAsia"/>
          <w:szCs w:val="21"/>
        </w:rPr>
        <w:t>年间风电设备对钢铁的需求量预计分别达到</w:t>
      </w:r>
      <w:r>
        <w:rPr>
          <w:rFonts w:ascii="Times New Roman" w:hAnsi="Times New Roman" w:cs="Times New Roman" w:hint="eastAsia"/>
          <w:szCs w:val="21"/>
        </w:rPr>
        <w:t>1.3</w:t>
      </w:r>
      <w:r>
        <w:rPr>
          <w:rFonts w:ascii="Times New Roman" w:hAnsi="Times New Roman" w:cs="Times New Roman" w:hint="eastAsia"/>
          <w:szCs w:val="21"/>
        </w:rPr>
        <w:t>亿至</w:t>
      </w:r>
      <w:r>
        <w:rPr>
          <w:rFonts w:ascii="Times New Roman" w:hAnsi="Times New Roman" w:cs="Times New Roman" w:hint="eastAsia"/>
          <w:szCs w:val="21"/>
        </w:rPr>
        <w:t>30</w:t>
      </w:r>
      <w:r>
        <w:rPr>
          <w:rFonts w:ascii="Times New Roman" w:hAnsi="Times New Roman" w:cs="Times New Roman" w:hint="eastAsia"/>
          <w:szCs w:val="21"/>
        </w:rPr>
        <w:t>亿吨和</w:t>
      </w:r>
      <w:r>
        <w:rPr>
          <w:rFonts w:ascii="Times New Roman" w:hAnsi="Times New Roman" w:cs="Times New Roman" w:hint="eastAsia"/>
          <w:szCs w:val="21"/>
        </w:rPr>
        <w:t>1.5</w:t>
      </w:r>
      <w:r>
        <w:rPr>
          <w:rFonts w:ascii="Times New Roman" w:hAnsi="Times New Roman" w:cs="Times New Roman" w:hint="eastAsia"/>
          <w:szCs w:val="21"/>
        </w:rPr>
        <w:t>亿至</w:t>
      </w:r>
      <w:r>
        <w:rPr>
          <w:rFonts w:ascii="Times New Roman" w:hAnsi="Times New Roman" w:cs="Times New Roman" w:hint="eastAsia"/>
          <w:szCs w:val="21"/>
        </w:rPr>
        <w:t>40</w:t>
      </w:r>
      <w:r>
        <w:rPr>
          <w:rFonts w:ascii="Times New Roman" w:hAnsi="Times New Roman" w:cs="Times New Roman" w:hint="eastAsia"/>
          <w:szCs w:val="21"/>
        </w:rPr>
        <w:t>亿吨</w:t>
      </w:r>
      <w:r>
        <w:rPr>
          <w:rFonts w:ascii="Times New Roman" w:hAnsi="Times New Roman" w:cs="Times New Roman" w:hint="eastAsia"/>
          <w:color w:val="EE0000"/>
          <w:szCs w:val="21"/>
          <w:vertAlign w:val="superscript"/>
        </w:rPr>
        <w:t>[16]</w:t>
      </w:r>
      <w:r>
        <w:rPr>
          <w:rFonts w:ascii="Times New Roman" w:hAnsi="Times New Roman" w:cs="Times New Roman" w:hint="eastAsia"/>
          <w:szCs w:val="21"/>
        </w:rPr>
        <w:t>。尽管铁矿石</w:t>
      </w:r>
      <w:r>
        <w:rPr>
          <w:rFonts w:ascii="Times New Roman" w:hAnsi="Times New Roman" w:cs="Times New Roman" w:hint="eastAsia"/>
          <w:szCs w:val="21"/>
        </w:rPr>
        <w:t>资源全球分布相对广泛，但特定品质的铁矿石供应及价格波动仍是行业关注的焦点。</w:t>
      </w:r>
    </w:p>
    <w:p w14:paraId="474D9974" w14:textId="742D1DA1" w:rsidR="00691F6A" w:rsidRDefault="00000000" w:rsidP="004D65F8">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铜和铝在风力发电设备中同样扮演着关键角色。铜主要用于发电机的定子和转子绕组、高压电力电缆导体以及变压器线圈</w:t>
      </w:r>
      <w:r>
        <w:rPr>
          <w:rFonts w:ascii="Times New Roman" w:hAnsi="Times New Roman" w:cs="Times New Roman" w:hint="eastAsia"/>
          <w:color w:val="EE0000"/>
          <w:szCs w:val="21"/>
          <w:vertAlign w:val="superscript"/>
        </w:rPr>
        <w:t>[9]</w:t>
      </w:r>
      <w:r>
        <w:rPr>
          <w:rFonts w:ascii="Times New Roman" w:hAnsi="Times New Roman" w:cs="Times New Roman" w:hint="eastAsia"/>
          <w:szCs w:val="21"/>
        </w:rPr>
        <w:t>。铝则因其轻质高强特性，应用于涡轮机塔架、机舱、电缆及冷却系统等部件。如图</w:t>
      </w:r>
      <w:r>
        <w:rPr>
          <w:rFonts w:ascii="Times New Roman" w:hAnsi="Times New Roman" w:cs="Times New Roman" w:hint="eastAsia"/>
          <w:szCs w:val="21"/>
        </w:rPr>
        <w:t>2</w:t>
      </w:r>
      <w:r>
        <w:rPr>
          <w:rFonts w:ascii="Times New Roman" w:hAnsi="Times New Roman" w:cs="Times New Roman" w:hint="eastAsia"/>
          <w:szCs w:val="21"/>
        </w:rPr>
        <w:t>所示，根据欧盟预测，从</w:t>
      </w:r>
      <w:r>
        <w:rPr>
          <w:rFonts w:ascii="Times New Roman" w:hAnsi="Times New Roman" w:cs="Times New Roman" w:hint="eastAsia"/>
          <w:szCs w:val="21"/>
        </w:rPr>
        <w:t>2021</w:t>
      </w:r>
      <w:r>
        <w:rPr>
          <w:rFonts w:ascii="Times New Roman" w:hAnsi="Times New Roman" w:cs="Times New Roman" w:hint="eastAsia"/>
          <w:szCs w:val="21"/>
        </w:rPr>
        <w:t>年到</w:t>
      </w:r>
      <w:r>
        <w:rPr>
          <w:rFonts w:ascii="Times New Roman" w:hAnsi="Times New Roman" w:cs="Times New Roman" w:hint="eastAsia"/>
          <w:szCs w:val="21"/>
        </w:rPr>
        <w:t>2050</w:t>
      </w:r>
      <w:r>
        <w:rPr>
          <w:rFonts w:ascii="Times New Roman" w:hAnsi="Times New Roman" w:cs="Times New Roman" w:hint="eastAsia"/>
          <w:szCs w:val="21"/>
        </w:rPr>
        <w:t>年，风电装机（假设直驱永磁同步电机（</w:t>
      </w:r>
      <w:r>
        <w:rPr>
          <w:rFonts w:ascii="Times New Roman" w:hAnsi="Times New Roman" w:cs="Times New Roman" w:hint="eastAsia"/>
          <w:szCs w:val="21"/>
        </w:rPr>
        <w:t>DD-PMSG</w:t>
      </w:r>
      <w:r>
        <w:rPr>
          <w:rFonts w:ascii="Times New Roman" w:hAnsi="Times New Roman" w:cs="Times New Roman" w:hint="eastAsia"/>
          <w:szCs w:val="21"/>
        </w:rPr>
        <w:t>）占</w:t>
      </w:r>
      <w:r>
        <w:rPr>
          <w:rFonts w:ascii="Times New Roman" w:hAnsi="Times New Roman" w:cs="Times New Roman" w:hint="eastAsia"/>
          <w:szCs w:val="21"/>
        </w:rPr>
        <w:t>60%</w:t>
      </w:r>
      <w:r>
        <w:rPr>
          <w:rFonts w:ascii="Times New Roman" w:hAnsi="Times New Roman" w:cs="Times New Roman" w:hint="eastAsia"/>
          <w:szCs w:val="21"/>
        </w:rPr>
        <w:t>，变速箱永磁同步电机（</w:t>
      </w:r>
      <w:r>
        <w:rPr>
          <w:rFonts w:ascii="Times New Roman" w:hAnsi="Times New Roman" w:cs="Times New Roman" w:hint="eastAsia"/>
          <w:szCs w:val="21"/>
        </w:rPr>
        <w:t>GB-PMSG</w:t>
      </w:r>
      <w:r>
        <w:rPr>
          <w:rFonts w:ascii="Times New Roman" w:hAnsi="Times New Roman" w:cs="Times New Roman" w:hint="eastAsia"/>
          <w:szCs w:val="21"/>
        </w:rPr>
        <w:t>）占</w:t>
      </w:r>
      <w:r>
        <w:rPr>
          <w:rFonts w:ascii="Times New Roman" w:hAnsi="Times New Roman" w:cs="Times New Roman" w:hint="eastAsia"/>
          <w:szCs w:val="21"/>
        </w:rPr>
        <w:t>40%</w:t>
      </w:r>
      <w:r>
        <w:rPr>
          <w:rFonts w:ascii="Times New Roman" w:hAnsi="Times New Roman" w:cs="Times New Roman" w:hint="eastAsia"/>
          <w:szCs w:val="21"/>
        </w:rPr>
        <w:t>）将消耗铜</w:t>
      </w:r>
      <w:r>
        <w:rPr>
          <w:rFonts w:ascii="Times New Roman" w:hAnsi="Times New Roman" w:cs="Times New Roman" w:hint="eastAsia"/>
          <w:szCs w:val="21"/>
        </w:rPr>
        <w:t>1395</w:t>
      </w:r>
      <w:r>
        <w:rPr>
          <w:rFonts w:ascii="Times New Roman" w:hAnsi="Times New Roman" w:cs="Times New Roman" w:hint="eastAsia"/>
          <w:szCs w:val="21"/>
        </w:rPr>
        <w:t>万吨，耗铝</w:t>
      </w:r>
      <w:r>
        <w:rPr>
          <w:rFonts w:ascii="Times New Roman" w:hAnsi="Times New Roman" w:cs="Times New Roman" w:hint="eastAsia"/>
          <w:szCs w:val="21"/>
        </w:rPr>
        <w:t>600</w:t>
      </w:r>
      <w:r>
        <w:rPr>
          <w:rFonts w:ascii="Times New Roman" w:hAnsi="Times New Roman" w:cs="Times New Roman" w:hint="eastAsia"/>
          <w:szCs w:val="21"/>
        </w:rPr>
        <w:t>万吨</w:t>
      </w:r>
      <w:r>
        <w:rPr>
          <w:rFonts w:ascii="Times New Roman" w:hAnsi="Times New Roman" w:cs="Times New Roman" w:hint="eastAsia"/>
          <w:color w:val="EE0000"/>
          <w:szCs w:val="21"/>
          <w:vertAlign w:val="superscript"/>
        </w:rPr>
        <w:t>[12]</w:t>
      </w:r>
      <w:r>
        <w:rPr>
          <w:rFonts w:ascii="Times New Roman" w:hAnsi="Times New Roman" w:cs="Times New Roman" w:hint="eastAsia"/>
          <w:szCs w:val="21"/>
        </w:rPr>
        <w:t>。相比之下，</w:t>
      </w:r>
      <w:r>
        <w:rPr>
          <w:rFonts w:ascii="Times New Roman" w:hAnsi="Times New Roman" w:cs="Times New Roman" w:hint="eastAsia"/>
          <w:szCs w:val="21"/>
        </w:rPr>
        <w:t>GB-PMSG</w:t>
      </w:r>
      <w:r>
        <w:rPr>
          <w:rFonts w:ascii="Times New Roman" w:hAnsi="Times New Roman" w:cs="Times New Roman" w:hint="eastAsia"/>
          <w:szCs w:val="21"/>
        </w:rPr>
        <w:t>每</w:t>
      </w:r>
      <w:r>
        <w:rPr>
          <w:rFonts w:ascii="Times New Roman" w:hAnsi="Times New Roman" w:cs="Times New Roman" w:hint="eastAsia"/>
          <w:szCs w:val="21"/>
        </w:rPr>
        <w:t>GW</w:t>
      </w:r>
      <w:r>
        <w:rPr>
          <w:rFonts w:ascii="Times New Roman" w:hAnsi="Times New Roman" w:cs="Times New Roman" w:hint="eastAsia"/>
          <w:szCs w:val="21"/>
        </w:rPr>
        <w:t>消耗铜</w:t>
      </w:r>
      <w:r>
        <w:rPr>
          <w:rFonts w:ascii="Times New Roman" w:hAnsi="Times New Roman" w:cs="Times New Roman" w:hint="eastAsia"/>
          <w:szCs w:val="21"/>
        </w:rPr>
        <w:t>950</w:t>
      </w:r>
      <w:r>
        <w:rPr>
          <w:rFonts w:ascii="Times New Roman" w:hAnsi="Times New Roman" w:cs="Times New Roman" w:hint="eastAsia"/>
          <w:szCs w:val="21"/>
        </w:rPr>
        <w:t>吨、铝</w:t>
      </w:r>
      <w:r>
        <w:rPr>
          <w:rFonts w:ascii="Times New Roman" w:hAnsi="Times New Roman" w:cs="Times New Roman" w:hint="eastAsia"/>
          <w:szCs w:val="21"/>
        </w:rPr>
        <w:t>1600</w:t>
      </w:r>
      <w:r>
        <w:rPr>
          <w:rFonts w:ascii="Times New Roman" w:hAnsi="Times New Roman" w:cs="Times New Roman" w:hint="eastAsia"/>
          <w:szCs w:val="21"/>
        </w:rPr>
        <w:t>吨。而</w:t>
      </w:r>
      <w:bookmarkStart w:id="0" w:name="_Hlk199343908"/>
      <w:r>
        <w:rPr>
          <w:rFonts w:ascii="Times New Roman" w:hAnsi="Times New Roman" w:cs="Times New Roman" w:hint="eastAsia"/>
          <w:szCs w:val="21"/>
        </w:rPr>
        <w:t>DD-EESG</w:t>
      </w:r>
      <w:r>
        <w:rPr>
          <w:rFonts w:ascii="Times New Roman" w:hAnsi="Times New Roman" w:cs="Times New Roman" w:hint="eastAsia"/>
          <w:szCs w:val="21"/>
        </w:rPr>
        <w:t>（直驱电力磁同步发电机）</w:t>
      </w:r>
      <w:bookmarkEnd w:id="0"/>
      <w:r>
        <w:rPr>
          <w:rFonts w:ascii="Times New Roman" w:hAnsi="Times New Roman" w:cs="Times New Roman" w:hint="eastAsia"/>
          <w:szCs w:val="21"/>
        </w:rPr>
        <w:t>由于不使用永磁体，其稀土需求为零，但铜消耗量可能高达</w:t>
      </w:r>
      <w:r>
        <w:rPr>
          <w:rFonts w:ascii="Times New Roman" w:hAnsi="Times New Roman" w:cs="Times New Roman" w:hint="eastAsia"/>
          <w:szCs w:val="21"/>
        </w:rPr>
        <w:t>5000</w:t>
      </w:r>
      <w:r>
        <w:rPr>
          <w:rFonts w:ascii="Times New Roman" w:hAnsi="Times New Roman" w:cs="Times New Roman" w:hint="eastAsia"/>
          <w:szCs w:val="21"/>
        </w:rPr>
        <w:t>吨</w:t>
      </w:r>
      <w:r>
        <w:rPr>
          <w:rFonts w:ascii="Times New Roman" w:hAnsi="Times New Roman" w:cs="Times New Roman" w:hint="eastAsia"/>
          <w:szCs w:val="21"/>
        </w:rPr>
        <w:t>/GW</w:t>
      </w:r>
      <w:r>
        <w:rPr>
          <w:rFonts w:ascii="Times New Roman" w:hAnsi="Times New Roman" w:cs="Times New Roman" w:hint="eastAsia"/>
          <w:color w:val="EE0000"/>
          <w:szCs w:val="21"/>
          <w:vertAlign w:val="superscript"/>
        </w:rPr>
        <w:t>[12]</w:t>
      </w:r>
      <w:r>
        <w:rPr>
          <w:rFonts w:ascii="Times New Roman" w:hAnsi="Times New Roman" w:cs="Times New Roman" w:hint="eastAsia"/>
          <w:szCs w:val="21"/>
        </w:rPr>
        <w:t>。未来技术如高温超导体（</w:t>
      </w:r>
      <w:r>
        <w:rPr>
          <w:rFonts w:ascii="Times New Roman" w:hAnsi="Times New Roman" w:cs="Times New Roman" w:hint="eastAsia"/>
          <w:szCs w:val="21"/>
        </w:rPr>
        <w:t>HTS</w:t>
      </w:r>
      <w:r>
        <w:rPr>
          <w:rFonts w:ascii="Times New Roman" w:hAnsi="Times New Roman" w:cs="Times New Roman" w:hint="eastAsia"/>
          <w:szCs w:val="21"/>
        </w:rPr>
        <w:t>）发电机，可能采用</w:t>
      </w:r>
      <w:r>
        <w:rPr>
          <w:rFonts w:ascii="Times New Roman" w:hAnsi="Times New Roman" w:cs="Times New Roman" w:hint="eastAsia"/>
          <w:szCs w:val="21"/>
        </w:rPr>
        <w:t>YBCO</w:t>
      </w:r>
      <w:r>
        <w:rPr>
          <w:rFonts w:ascii="Times New Roman" w:hAnsi="Times New Roman" w:cs="Times New Roman" w:hint="eastAsia"/>
          <w:szCs w:val="21"/>
        </w:rPr>
        <w:t>（钇</w:t>
      </w:r>
      <w:r>
        <w:rPr>
          <w:rFonts w:ascii="Times New Roman" w:hAnsi="Times New Roman" w:cs="Times New Roman" w:hint="eastAsia"/>
          <w:szCs w:val="21"/>
        </w:rPr>
        <w:t>-</w:t>
      </w:r>
      <w:r>
        <w:rPr>
          <w:rFonts w:ascii="Times New Roman" w:hAnsi="Times New Roman" w:cs="Times New Roman" w:hint="eastAsia"/>
          <w:szCs w:val="21"/>
        </w:rPr>
        <w:t>钡</w:t>
      </w:r>
      <w:r>
        <w:rPr>
          <w:rFonts w:ascii="Times New Roman" w:hAnsi="Times New Roman" w:cs="Times New Roman" w:hint="eastAsia"/>
          <w:szCs w:val="21"/>
        </w:rPr>
        <w:t>-</w:t>
      </w:r>
      <w:r>
        <w:rPr>
          <w:rFonts w:ascii="Times New Roman" w:hAnsi="Times New Roman" w:cs="Times New Roman" w:hint="eastAsia"/>
          <w:szCs w:val="21"/>
        </w:rPr>
        <w:t>氧化铜）材料</w:t>
      </w:r>
      <w:r>
        <w:rPr>
          <w:rFonts w:ascii="Times New Roman" w:hAnsi="Times New Roman" w:cs="Times New Roman" w:hint="eastAsia"/>
          <w:color w:val="EE0000"/>
          <w:szCs w:val="21"/>
          <w:vertAlign w:val="superscript"/>
        </w:rPr>
        <w:t>[</w:t>
      </w:r>
      <w:r w:rsidR="004D65F8">
        <w:rPr>
          <w:rFonts w:ascii="Times New Roman" w:hAnsi="Times New Roman" w:cs="Times New Roman" w:hint="eastAsia"/>
          <w:color w:val="EE0000"/>
          <w:szCs w:val="21"/>
          <w:vertAlign w:val="superscript"/>
        </w:rPr>
        <w:t>17</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。这种材料包括稀土元素钇以及少量的铈和镧系元素，估计对稀土的需求为</w:t>
      </w:r>
      <w:r>
        <w:rPr>
          <w:rFonts w:ascii="Times New Roman" w:hAnsi="Times New Roman" w:cs="Times New Roman" w:hint="eastAsia"/>
          <w:szCs w:val="21"/>
        </w:rPr>
        <w:t>2 kg/MW</w:t>
      </w:r>
      <w:r>
        <w:rPr>
          <w:rFonts w:ascii="Times New Roman" w:hAnsi="Times New Roman" w:cs="Times New Roman" w:hint="eastAsia"/>
          <w:szCs w:val="21"/>
        </w:rPr>
        <w:t>，远低于永磁电机</w:t>
      </w:r>
      <w:r>
        <w:rPr>
          <w:rFonts w:ascii="Times New Roman" w:hAnsi="Times New Roman" w:cs="Times New Roman" w:hint="eastAsia"/>
          <w:color w:val="EE0000"/>
          <w:szCs w:val="21"/>
          <w:vertAlign w:val="superscript"/>
        </w:rPr>
        <w:t>[</w:t>
      </w:r>
      <w:r w:rsidR="004D65F8">
        <w:rPr>
          <w:rFonts w:ascii="Times New Roman" w:hAnsi="Times New Roman" w:cs="Times New Roman" w:hint="eastAsia"/>
          <w:color w:val="EE0000"/>
          <w:szCs w:val="21"/>
          <w:vertAlign w:val="superscript"/>
        </w:rPr>
        <w:t>18</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。这些技术路线的选择和市场份额变化，将显著影响未来风电产业对特定金属的总体需求结构。</w:t>
      </w:r>
    </w:p>
    <w:p w14:paraId="186B6B22" w14:textId="44AA70A7" w:rsidR="00691F6A" w:rsidRDefault="00000000">
      <w:pPr>
        <w:spacing w:line="240" w:lineRule="atLeast"/>
        <w:ind w:firstLineChars="200" w:firstLine="420"/>
        <w:rPr>
          <w:rFonts w:ascii="Times New Roman" w:hAnsi="Times New Roman" w:cs="Times New Roman"/>
          <w:szCs w:val="21"/>
        </w:rPr>
        <w:sectPr w:rsidR="00691F6A">
          <w:type w:val="continuous"/>
          <w:pgSz w:w="11906" w:h="16838"/>
          <w:pgMar w:top="1440" w:right="1106" w:bottom="1440" w:left="1106" w:header="851" w:footer="992" w:gutter="0"/>
          <w:cols w:num="2" w:space="425"/>
          <w:titlePg/>
          <w:docGrid w:type="linesAndChars" w:linePitch="312"/>
        </w:sectPr>
      </w:pPr>
      <w:r>
        <w:rPr>
          <w:rFonts w:ascii="Times New Roman" w:hAnsi="Times New Roman" w:cs="Times New Roman" w:hint="eastAsia"/>
          <w:szCs w:val="21"/>
        </w:rPr>
        <w:t>稀土金属，特别是钕（</w:t>
      </w:r>
      <w:r>
        <w:rPr>
          <w:rFonts w:ascii="Times New Roman" w:hAnsi="Times New Roman" w:cs="Times New Roman" w:hint="eastAsia"/>
          <w:szCs w:val="21"/>
        </w:rPr>
        <w:t>Nd</w:t>
      </w:r>
      <w:r>
        <w:rPr>
          <w:rFonts w:ascii="Times New Roman" w:hAnsi="Times New Roman" w:cs="Times New Roman" w:hint="eastAsia"/>
          <w:szCs w:val="21"/>
        </w:rPr>
        <w:t>）和镝（</w:t>
      </w:r>
      <w:r>
        <w:rPr>
          <w:rFonts w:ascii="Times New Roman" w:hAnsi="Times New Roman" w:cs="Times New Roman" w:hint="eastAsia"/>
          <w:szCs w:val="21"/>
        </w:rPr>
        <w:t>Dy</w:t>
      </w:r>
      <w:r>
        <w:rPr>
          <w:rFonts w:ascii="Times New Roman" w:hAnsi="Times New Roman" w:cs="Times New Roman" w:hint="eastAsia"/>
          <w:szCs w:val="21"/>
        </w:rPr>
        <w:t>），是制造永磁直驱（</w:t>
      </w:r>
      <w:r>
        <w:rPr>
          <w:rFonts w:ascii="Times New Roman" w:hAnsi="Times New Roman" w:cs="Times New Roman" w:hint="eastAsia"/>
          <w:szCs w:val="21"/>
        </w:rPr>
        <w:t>PMSG</w:t>
      </w:r>
      <w:r>
        <w:rPr>
          <w:rFonts w:ascii="Times New Roman" w:hAnsi="Times New Roman" w:cs="Times New Roman" w:hint="eastAsia"/>
          <w:szCs w:val="21"/>
        </w:rPr>
        <w:t>）风力发电机的核心材料，而研究表明大约</w:t>
      </w:r>
      <w:r>
        <w:rPr>
          <w:rFonts w:ascii="Times New Roman" w:hAnsi="Times New Roman" w:cs="Times New Roman" w:hint="eastAsia"/>
          <w:szCs w:val="21"/>
        </w:rPr>
        <w:t>20%</w:t>
      </w:r>
      <w:r>
        <w:rPr>
          <w:rFonts w:ascii="Times New Roman" w:hAnsi="Times New Roman" w:cs="Times New Roman" w:hint="eastAsia"/>
          <w:szCs w:val="21"/>
        </w:rPr>
        <w:t>的已安装涡轮机采用含稀土的直驱永磁发电机，而永磁体平均含有</w:t>
      </w:r>
      <w:r>
        <w:rPr>
          <w:rFonts w:ascii="Times New Roman" w:hAnsi="Times New Roman" w:cs="Times New Roman" w:hint="eastAsia"/>
          <w:szCs w:val="21"/>
        </w:rPr>
        <w:t>28.5%</w:t>
      </w:r>
      <w:r>
        <w:rPr>
          <w:rFonts w:ascii="Times New Roman" w:hAnsi="Times New Roman" w:cs="Times New Roman" w:hint="eastAsia"/>
          <w:szCs w:val="21"/>
        </w:rPr>
        <w:t>的钕和</w:t>
      </w:r>
      <w:r>
        <w:rPr>
          <w:rFonts w:ascii="Times New Roman" w:hAnsi="Times New Roman" w:cs="Times New Roman" w:hint="eastAsia"/>
          <w:szCs w:val="21"/>
        </w:rPr>
        <w:t>4.4%</w:t>
      </w:r>
      <w:r>
        <w:rPr>
          <w:rFonts w:ascii="Times New Roman" w:hAnsi="Times New Roman" w:cs="Times New Roman" w:hint="eastAsia"/>
          <w:szCs w:val="21"/>
        </w:rPr>
        <w:t>的镝</w:t>
      </w:r>
      <w:r>
        <w:rPr>
          <w:rFonts w:ascii="Times New Roman" w:hAnsi="Times New Roman" w:cs="Times New Roman" w:hint="eastAsia"/>
          <w:color w:val="EE0000"/>
          <w:szCs w:val="21"/>
          <w:vertAlign w:val="superscript"/>
        </w:rPr>
        <w:t>[1</w:t>
      </w:r>
      <w:r w:rsidR="004D65F8">
        <w:rPr>
          <w:rFonts w:ascii="Times New Roman" w:hAnsi="Times New Roman" w:cs="Times New Roman" w:hint="eastAsia"/>
          <w:color w:val="EE0000"/>
          <w:szCs w:val="21"/>
          <w:vertAlign w:val="superscript"/>
        </w:rPr>
        <w:t>9</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。此外，由于永磁直驱电机因其高效率和低维护成本，在海上风电中的市场份额预计将稳定在</w:t>
      </w:r>
      <w:r>
        <w:rPr>
          <w:rFonts w:ascii="Times New Roman" w:hAnsi="Times New Roman" w:cs="Times New Roman" w:hint="eastAsia"/>
          <w:szCs w:val="21"/>
        </w:rPr>
        <w:t>60%</w:t>
      </w:r>
      <w:r>
        <w:rPr>
          <w:rFonts w:ascii="Times New Roman" w:hAnsi="Times New Roman" w:cs="Times New Roman" w:hint="eastAsia"/>
          <w:szCs w:val="21"/>
        </w:rPr>
        <w:t>，齿轮箱永磁电机稳定在</w:t>
      </w:r>
      <w:r>
        <w:rPr>
          <w:rFonts w:ascii="Times New Roman" w:hAnsi="Times New Roman" w:cs="Times New Roman" w:hint="eastAsia"/>
          <w:szCs w:val="21"/>
        </w:rPr>
        <w:t>10%</w:t>
      </w:r>
      <w:r>
        <w:rPr>
          <w:rFonts w:ascii="Times New Roman" w:hAnsi="Times New Roman" w:cs="Times New Roman" w:hint="eastAsia"/>
          <w:szCs w:val="21"/>
        </w:rPr>
        <w:t>，合计市场份额达</w:t>
      </w:r>
      <w:r>
        <w:rPr>
          <w:rFonts w:ascii="Times New Roman" w:hAnsi="Times New Roman" w:cs="Times New Roman" w:hint="eastAsia"/>
          <w:szCs w:val="21"/>
        </w:rPr>
        <w:t>70%</w:t>
      </w:r>
      <w:r>
        <w:rPr>
          <w:rFonts w:ascii="Times New Roman" w:hAnsi="Times New Roman" w:cs="Times New Roman" w:hint="eastAsia"/>
          <w:szCs w:val="21"/>
        </w:rPr>
        <w:t>左右；陆上风电中永磁体的渗透率也将从目前的</w:t>
      </w:r>
      <w:r>
        <w:rPr>
          <w:rFonts w:ascii="Times New Roman" w:hAnsi="Times New Roman" w:cs="Times New Roman" w:hint="eastAsia"/>
          <w:szCs w:val="21"/>
        </w:rPr>
        <w:t>30%</w:t>
      </w:r>
      <w:r>
        <w:rPr>
          <w:rFonts w:ascii="Times New Roman" w:hAnsi="Times New Roman" w:cs="Times New Roman" w:hint="eastAsia"/>
          <w:szCs w:val="21"/>
        </w:rPr>
        <w:t>提升至</w:t>
      </w:r>
      <w:r>
        <w:rPr>
          <w:rFonts w:ascii="Times New Roman" w:hAnsi="Times New Roman" w:cs="Times New Roman" w:hint="eastAsia"/>
          <w:szCs w:val="21"/>
        </w:rPr>
        <w:t>2050</w:t>
      </w:r>
      <w:r>
        <w:rPr>
          <w:rFonts w:ascii="Times New Roman" w:hAnsi="Times New Roman" w:cs="Times New Roman" w:hint="eastAsia"/>
          <w:szCs w:val="21"/>
        </w:rPr>
        <w:t>年的</w:t>
      </w:r>
      <w:r>
        <w:rPr>
          <w:rFonts w:ascii="Times New Roman" w:hAnsi="Times New Roman" w:cs="Times New Roman" w:hint="eastAsia"/>
          <w:szCs w:val="21"/>
        </w:rPr>
        <w:t>50%</w:t>
      </w:r>
      <w:r>
        <w:rPr>
          <w:rFonts w:ascii="Times New Roman" w:hAnsi="Times New Roman" w:cs="Times New Roman" w:hint="eastAsia"/>
          <w:color w:val="EE0000"/>
          <w:szCs w:val="21"/>
          <w:vertAlign w:val="superscript"/>
        </w:rPr>
        <w:t>[12]</w:t>
      </w:r>
      <w:r>
        <w:rPr>
          <w:rFonts w:ascii="Times New Roman" w:hAnsi="Times New Roman" w:cs="Times New Roman" w:hint="eastAsia"/>
          <w:szCs w:val="21"/>
        </w:rPr>
        <w:t>。基于此，预计从</w:t>
      </w:r>
      <w:r>
        <w:rPr>
          <w:rFonts w:ascii="Times New Roman" w:hAnsi="Times New Roman" w:cs="Times New Roman" w:hint="eastAsia"/>
          <w:szCs w:val="21"/>
        </w:rPr>
        <w:t>2021</w:t>
      </w:r>
      <w:r>
        <w:rPr>
          <w:rFonts w:ascii="Times New Roman" w:hAnsi="Times New Roman" w:cs="Times New Roman" w:hint="eastAsia"/>
          <w:szCs w:val="21"/>
        </w:rPr>
        <w:t>年到</w:t>
      </w:r>
      <w:r>
        <w:rPr>
          <w:rFonts w:ascii="Times New Roman" w:hAnsi="Times New Roman" w:cs="Times New Roman" w:hint="eastAsia"/>
          <w:szCs w:val="21"/>
        </w:rPr>
        <w:t>2050</w:t>
      </w:r>
      <w:r>
        <w:rPr>
          <w:rFonts w:ascii="Times New Roman" w:hAnsi="Times New Roman" w:cs="Times New Roman" w:hint="eastAsia"/>
          <w:szCs w:val="21"/>
        </w:rPr>
        <w:t>年，风电装机将消耗镨钕</w:t>
      </w:r>
      <w:r>
        <w:rPr>
          <w:rFonts w:ascii="Times New Roman" w:hAnsi="Times New Roman" w:cs="Times New Roman" w:hint="eastAsia"/>
          <w:szCs w:val="21"/>
        </w:rPr>
        <w:t>97</w:t>
      </w:r>
      <w:r>
        <w:rPr>
          <w:rFonts w:ascii="Times New Roman" w:hAnsi="Times New Roman" w:cs="Times New Roman" w:hint="eastAsia"/>
          <w:szCs w:val="21"/>
        </w:rPr>
        <w:t>万吨</w:t>
      </w:r>
      <w:r>
        <w:rPr>
          <w:rFonts w:ascii="Times New Roman" w:hAnsi="Times New Roman" w:cs="Times New Roman" w:hint="eastAsia"/>
          <w:color w:val="EE0000"/>
          <w:szCs w:val="21"/>
          <w:vertAlign w:val="superscript"/>
        </w:rPr>
        <w:t>[12]</w:t>
      </w:r>
      <w:r>
        <w:rPr>
          <w:rFonts w:ascii="Times New Roman" w:hAnsi="Times New Roman" w:cs="Times New Roman" w:hint="eastAsia"/>
          <w:szCs w:val="21"/>
        </w:rPr>
        <w:t>。据世界银行统计，尽管钕的年总产量仅</w:t>
      </w:r>
      <w:r>
        <w:rPr>
          <w:rFonts w:ascii="Times New Roman" w:hAnsi="Times New Roman" w:cs="Times New Roman" w:hint="eastAsia"/>
          <w:szCs w:val="21"/>
        </w:rPr>
        <w:t>7000</w:t>
      </w:r>
      <w:r>
        <w:rPr>
          <w:rFonts w:ascii="Times New Roman" w:hAnsi="Times New Roman" w:cs="Times New Roman" w:hint="eastAsia"/>
          <w:szCs w:val="21"/>
        </w:rPr>
        <w:t>吨左右，但其累计需求可能增加到</w:t>
      </w:r>
      <w:r>
        <w:rPr>
          <w:rFonts w:ascii="Times New Roman" w:hAnsi="Times New Roman" w:cs="Times New Roman" w:hint="eastAsia"/>
          <w:szCs w:val="21"/>
        </w:rPr>
        <w:t>35</w:t>
      </w:r>
      <w:r>
        <w:rPr>
          <w:rFonts w:ascii="Times New Roman" w:hAnsi="Times New Roman" w:cs="Times New Roman" w:hint="eastAsia"/>
          <w:szCs w:val="21"/>
        </w:rPr>
        <w:t>万吨以上</w:t>
      </w:r>
      <w:r>
        <w:rPr>
          <w:rFonts w:ascii="Times New Roman" w:hAnsi="Times New Roman" w:cs="Times New Roman" w:hint="eastAsia"/>
          <w:color w:val="EE0000"/>
          <w:szCs w:val="21"/>
          <w:vertAlign w:val="superscript"/>
        </w:rPr>
        <w:t>[14]</w:t>
      </w:r>
      <w:r>
        <w:rPr>
          <w:rFonts w:ascii="Times New Roman" w:hAnsi="Times New Roman" w:cs="Times New Roman" w:hint="eastAsia"/>
          <w:szCs w:val="21"/>
        </w:rPr>
        <w:t>。另一项针对中国可再生能源目标的研究预测，到</w:t>
      </w:r>
      <w:r>
        <w:rPr>
          <w:rFonts w:ascii="Times New Roman" w:hAnsi="Times New Roman" w:cs="Times New Roman" w:hint="eastAsia"/>
          <w:szCs w:val="21"/>
        </w:rPr>
        <w:t>2050</w:t>
      </w:r>
      <w:r>
        <w:rPr>
          <w:rFonts w:ascii="Times New Roman" w:hAnsi="Times New Roman" w:cs="Times New Roman" w:hint="eastAsia"/>
          <w:szCs w:val="21"/>
        </w:rPr>
        <w:t>年，风力发电对钕、镝的需求量分别约为</w:t>
      </w:r>
      <w:r>
        <w:rPr>
          <w:rFonts w:ascii="Times New Roman" w:hAnsi="Times New Roman" w:cs="Times New Roman" w:hint="eastAsia"/>
          <w:szCs w:val="21"/>
        </w:rPr>
        <w:t>80.4-105.6</w:t>
      </w:r>
      <w:r>
        <w:rPr>
          <w:rFonts w:ascii="Times New Roman" w:hAnsi="Times New Roman" w:cs="Times New Roman" w:hint="eastAsia"/>
          <w:szCs w:val="21"/>
        </w:rPr>
        <w:t>万吨、</w:t>
      </w:r>
      <w:r>
        <w:rPr>
          <w:rFonts w:ascii="Times New Roman" w:hAnsi="Times New Roman" w:cs="Times New Roman" w:hint="eastAsia"/>
          <w:szCs w:val="21"/>
        </w:rPr>
        <w:t>6.6-8.5</w:t>
      </w:r>
      <w:r>
        <w:rPr>
          <w:rFonts w:ascii="Times New Roman" w:hAnsi="Times New Roman" w:cs="Times New Roman" w:hint="eastAsia"/>
          <w:szCs w:val="21"/>
        </w:rPr>
        <w:t>万吨，这占中国目前储量的</w:t>
      </w:r>
      <w:r>
        <w:rPr>
          <w:rFonts w:ascii="Times New Roman" w:hAnsi="Times New Roman" w:cs="Times New Roman" w:hint="eastAsia"/>
          <w:szCs w:val="21"/>
        </w:rPr>
        <w:t>10%</w:t>
      </w:r>
      <w:r>
        <w:rPr>
          <w:rFonts w:ascii="Times New Roman" w:hAnsi="Times New Roman" w:cs="Times New Roman" w:hint="eastAsia"/>
          <w:szCs w:val="21"/>
        </w:rPr>
        <w:t>左右，中国稀土生产的有限可扩展性可能仍会制约风电发展</w:t>
      </w:r>
      <w:r>
        <w:rPr>
          <w:rFonts w:ascii="Times New Roman" w:hAnsi="Times New Roman" w:cs="Times New Roman" w:hint="eastAsia"/>
          <w:color w:val="EE0000"/>
          <w:szCs w:val="21"/>
          <w:vertAlign w:val="superscript"/>
        </w:rPr>
        <w:t>[</w:t>
      </w:r>
      <w:r w:rsidR="004D65F8">
        <w:rPr>
          <w:rFonts w:ascii="Times New Roman" w:hAnsi="Times New Roman" w:cs="Times New Roman" w:hint="eastAsia"/>
          <w:color w:val="EE0000"/>
          <w:szCs w:val="21"/>
          <w:vertAlign w:val="superscript"/>
        </w:rPr>
        <w:t>20</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w:t>
      </w:r>
    </w:p>
    <w:p w14:paraId="6F0EE8F1" w14:textId="1E76D5DC" w:rsidR="00691F6A" w:rsidRDefault="00EC5B42">
      <w:pPr>
        <w:spacing w:line="240" w:lineRule="atLeast"/>
        <w:jc w:val="center"/>
      </w:pPr>
      <w:r>
        <w:rPr>
          <w:rFonts w:hint="eastAsia"/>
        </w:rPr>
        <w:object w:dxaOrig="30852" w:dyaOrig="11030" w14:anchorId="5B38AD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25pt;height:200.6pt" o:ole="">
            <v:imagedata r:id="rId18" o:title="" cropleft="1872f" cropright="7352f"/>
          </v:shape>
          <o:OLEObject Type="Embed" ProgID="Origin95.Graph" ShapeID="_x0000_i1025" DrawAspect="Content" ObjectID="_1811340056" r:id="rId19"/>
        </w:object>
      </w:r>
    </w:p>
    <w:p w14:paraId="16FC0707" w14:textId="612BD7D7" w:rsidR="00691F6A" w:rsidRDefault="00000000">
      <w:pPr>
        <w:spacing w:line="240" w:lineRule="atLeast"/>
        <w:jc w:val="center"/>
        <w:rPr>
          <w:sz w:val="18"/>
          <w:szCs w:val="18"/>
        </w:rPr>
        <w:sectPr w:rsidR="00691F6A">
          <w:type w:val="continuous"/>
          <w:pgSz w:w="11906" w:h="16838"/>
          <w:pgMar w:top="1440" w:right="1106" w:bottom="1440" w:left="1106" w:header="851" w:footer="992" w:gutter="0"/>
          <w:cols w:space="425"/>
          <w:titlePg/>
          <w:docGrid w:type="linesAndChars" w:linePitch="312"/>
        </w:sectPr>
      </w:pPr>
      <w:r>
        <w:rPr>
          <w:rFonts w:hint="eastAsia"/>
          <w:sz w:val="18"/>
          <w:szCs w:val="18"/>
        </w:rPr>
        <w:t>图</w:t>
      </w:r>
      <w:r>
        <w:rPr>
          <w:rFonts w:hint="eastAsia"/>
          <w:sz w:val="18"/>
          <w:szCs w:val="18"/>
        </w:rPr>
        <w:t xml:space="preserve">2 </w:t>
      </w:r>
      <w:r>
        <w:rPr>
          <w:rFonts w:hint="eastAsia"/>
          <w:sz w:val="18"/>
          <w:szCs w:val="18"/>
        </w:rPr>
        <w:t>不同金属在风力涡轮机中材料用量分布（注：</w:t>
      </w:r>
      <w:r>
        <w:rPr>
          <w:rFonts w:ascii="Times New Roman" w:hAnsi="Times New Roman" w:cs="Times New Roman" w:hint="eastAsia"/>
          <w:sz w:val="18"/>
          <w:szCs w:val="18"/>
        </w:rPr>
        <w:t>DD-PMSG</w:t>
      </w:r>
      <w:r>
        <w:rPr>
          <w:rFonts w:ascii="Times New Roman" w:hAnsi="Times New Roman" w:cs="Times New Roman" w:hint="eastAsia"/>
          <w:sz w:val="18"/>
          <w:szCs w:val="18"/>
        </w:rPr>
        <w:t>、</w:t>
      </w:r>
      <w:r>
        <w:rPr>
          <w:rFonts w:ascii="Times New Roman" w:hAnsi="Times New Roman" w:cs="Times New Roman" w:hint="eastAsia"/>
          <w:sz w:val="18"/>
          <w:szCs w:val="18"/>
        </w:rPr>
        <w:t>GB-PMSG</w:t>
      </w:r>
      <w:r>
        <w:rPr>
          <w:rFonts w:ascii="Times New Roman" w:hAnsi="Times New Roman" w:cs="Times New Roman" w:hint="eastAsia"/>
          <w:sz w:val="18"/>
          <w:szCs w:val="18"/>
        </w:rPr>
        <w:t>、</w:t>
      </w:r>
      <w:r>
        <w:rPr>
          <w:rFonts w:ascii="Times New Roman" w:hAnsi="Times New Roman" w:cs="Times New Roman" w:hint="eastAsia"/>
          <w:sz w:val="18"/>
          <w:szCs w:val="18"/>
        </w:rPr>
        <w:t>DD-EESG</w:t>
      </w:r>
      <w:r>
        <w:rPr>
          <w:rFonts w:ascii="Times New Roman" w:hAnsi="Times New Roman" w:cs="Times New Roman" w:hint="eastAsia"/>
          <w:sz w:val="18"/>
          <w:szCs w:val="18"/>
        </w:rPr>
        <w:t>以及</w:t>
      </w:r>
      <w:r>
        <w:rPr>
          <w:rFonts w:ascii="Times New Roman" w:hAnsi="Times New Roman" w:cs="Times New Roman" w:hint="eastAsia"/>
          <w:sz w:val="18"/>
          <w:szCs w:val="18"/>
        </w:rPr>
        <w:t>GB-PMSG</w:t>
      </w:r>
      <w:r>
        <w:rPr>
          <w:rFonts w:ascii="Times New Roman" w:hAnsi="Times New Roman" w:cs="Times New Roman" w:hint="eastAsia"/>
          <w:sz w:val="18"/>
          <w:szCs w:val="18"/>
        </w:rPr>
        <w:t>分别代表直驱永磁同步电机、变速箱永磁同步电机、直驱电力磁同步发电机以及</w:t>
      </w:r>
      <w:r w:rsidR="00904D53">
        <w:rPr>
          <w:rFonts w:ascii="Times New Roman" w:hAnsi="Times New Roman" w:cs="Times New Roman" w:hint="eastAsia"/>
          <w:sz w:val="18"/>
          <w:szCs w:val="18"/>
        </w:rPr>
        <w:t>永磁同步发电机</w:t>
      </w:r>
      <w:r>
        <w:rPr>
          <w:rFonts w:hint="eastAsia"/>
          <w:sz w:val="18"/>
          <w:szCs w:val="18"/>
        </w:rPr>
        <w:t>）</w:t>
      </w:r>
    </w:p>
    <w:p w14:paraId="706B44FB" w14:textId="723FEBD3"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镍作为不锈钢和特种合金的关键成分，在风力发电设备的高强度螺栓、轴承、齿轮以及海洋风电基础结构中有所应用</w:t>
      </w:r>
      <w:r>
        <w:rPr>
          <w:rFonts w:ascii="Times New Roman" w:hAnsi="Times New Roman" w:cs="Times New Roman" w:hint="eastAsia"/>
          <w:color w:val="EE0000"/>
          <w:szCs w:val="21"/>
          <w:vertAlign w:val="superscript"/>
        </w:rPr>
        <w:t>[</w:t>
      </w:r>
      <w:r w:rsidR="004D65F8">
        <w:rPr>
          <w:rFonts w:ascii="Times New Roman" w:hAnsi="Times New Roman" w:cs="Times New Roman" w:hint="eastAsia"/>
          <w:color w:val="EE0000"/>
          <w:szCs w:val="21"/>
          <w:vertAlign w:val="superscript"/>
        </w:rPr>
        <w:t>21</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。风力涡轮机将大量需要镍，但其需求增长预计低于电动汽车行业。如图</w:t>
      </w:r>
      <w:r>
        <w:rPr>
          <w:rFonts w:ascii="Times New Roman" w:hAnsi="Times New Roman" w:cs="Times New Roman" w:hint="eastAsia"/>
          <w:szCs w:val="21"/>
        </w:rPr>
        <w:t>2</w:t>
      </w:r>
      <w:r>
        <w:rPr>
          <w:rFonts w:ascii="Times New Roman" w:hAnsi="Times New Roman" w:cs="Times New Roman" w:hint="eastAsia"/>
          <w:szCs w:val="21"/>
        </w:rPr>
        <w:t>所示，根据</w:t>
      </w:r>
      <w:r>
        <w:rPr>
          <w:rFonts w:ascii="Times New Roman" w:hAnsi="Times New Roman" w:cs="Times New Roman" w:hint="eastAsia"/>
          <w:szCs w:val="21"/>
        </w:rPr>
        <w:t>2021</w:t>
      </w:r>
      <w:r>
        <w:rPr>
          <w:rFonts w:ascii="Times New Roman" w:hAnsi="Times New Roman" w:cs="Times New Roman" w:hint="eastAsia"/>
          <w:szCs w:val="21"/>
        </w:rPr>
        <w:t>年至</w:t>
      </w:r>
      <w:r>
        <w:rPr>
          <w:rFonts w:ascii="Times New Roman" w:hAnsi="Times New Roman" w:cs="Times New Roman" w:hint="eastAsia"/>
          <w:szCs w:val="21"/>
        </w:rPr>
        <w:t>2050</w:t>
      </w:r>
      <w:r>
        <w:rPr>
          <w:rFonts w:ascii="Times New Roman" w:hAnsi="Times New Roman" w:cs="Times New Roman" w:hint="eastAsia"/>
          <w:szCs w:val="21"/>
        </w:rPr>
        <w:t>年的风电装机预测（</w:t>
      </w:r>
      <w:r>
        <w:rPr>
          <w:rFonts w:ascii="Times New Roman" w:hAnsi="Times New Roman" w:cs="Times New Roman" w:hint="eastAsia"/>
          <w:szCs w:val="21"/>
        </w:rPr>
        <w:t>DD-PMSG</w:t>
      </w:r>
      <w:r>
        <w:rPr>
          <w:rFonts w:ascii="Times New Roman" w:hAnsi="Times New Roman" w:cs="Times New Roman" w:hint="eastAsia"/>
          <w:szCs w:val="21"/>
        </w:rPr>
        <w:t>占</w:t>
      </w:r>
      <w:r>
        <w:rPr>
          <w:rFonts w:ascii="Times New Roman" w:hAnsi="Times New Roman" w:cs="Times New Roman" w:hint="eastAsia"/>
          <w:szCs w:val="21"/>
        </w:rPr>
        <w:t>60%</w:t>
      </w:r>
      <w:r>
        <w:rPr>
          <w:rFonts w:ascii="Times New Roman" w:hAnsi="Times New Roman" w:cs="Times New Roman" w:hint="eastAsia"/>
          <w:szCs w:val="21"/>
        </w:rPr>
        <w:t>，</w:t>
      </w:r>
      <w:r>
        <w:rPr>
          <w:rFonts w:ascii="Times New Roman" w:hAnsi="Times New Roman" w:cs="Times New Roman" w:hint="eastAsia"/>
          <w:szCs w:val="21"/>
        </w:rPr>
        <w:t>GB-PMSG</w:t>
      </w:r>
      <w:r>
        <w:rPr>
          <w:rFonts w:ascii="Times New Roman" w:hAnsi="Times New Roman" w:cs="Times New Roman" w:hint="eastAsia"/>
          <w:szCs w:val="21"/>
        </w:rPr>
        <w:t>占</w:t>
      </w:r>
      <w:r>
        <w:rPr>
          <w:rFonts w:ascii="Times New Roman" w:hAnsi="Times New Roman" w:cs="Times New Roman" w:hint="eastAsia"/>
          <w:szCs w:val="21"/>
        </w:rPr>
        <w:t>40%</w:t>
      </w:r>
      <w:r>
        <w:rPr>
          <w:rFonts w:ascii="Times New Roman" w:hAnsi="Times New Roman" w:cs="Times New Roman" w:hint="eastAsia"/>
          <w:szCs w:val="21"/>
        </w:rPr>
        <w:t>），该行业将消耗镍</w:t>
      </w:r>
      <w:r>
        <w:rPr>
          <w:rFonts w:ascii="Times New Roman" w:hAnsi="Times New Roman" w:cs="Times New Roman" w:hint="eastAsia"/>
          <w:szCs w:val="21"/>
        </w:rPr>
        <w:t>25</w:t>
      </w:r>
      <w:r>
        <w:rPr>
          <w:rFonts w:ascii="Times New Roman" w:hAnsi="Times New Roman" w:cs="Times New Roman" w:hint="eastAsia"/>
          <w:szCs w:val="21"/>
        </w:rPr>
        <w:t>万吨</w:t>
      </w:r>
      <w:r>
        <w:rPr>
          <w:rFonts w:ascii="Times New Roman" w:hAnsi="Times New Roman" w:cs="Times New Roman" w:hint="eastAsia"/>
          <w:color w:val="EE0000"/>
          <w:szCs w:val="21"/>
          <w:vertAlign w:val="superscript"/>
        </w:rPr>
        <w:t>[12]</w:t>
      </w:r>
      <w:r>
        <w:rPr>
          <w:rFonts w:ascii="Times New Roman" w:hAnsi="Times New Roman" w:cs="Times New Roman" w:hint="eastAsia"/>
          <w:szCs w:val="21"/>
        </w:rPr>
        <w:t>。值得注意的是，全球生产的镍有三分之二用于不锈钢制造</w:t>
      </w:r>
      <w:r>
        <w:rPr>
          <w:rFonts w:ascii="Times New Roman" w:hAnsi="Times New Roman" w:cs="Times New Roman" w:hint="eastAsia"/>
          <w:color w:val="EE0000"/>
          <w:szCs w:val="21"/>
          <w:vertAlign w:val="superscript"/>
        </w:rPr>
        <w:t>[2</w:t>
      </w:r>
      <w:r w:rsidR="004D65F8">
        <w:rPr>
          <w:rFonts w:ascii="Times New Roman" w:hAnsi="Times New Roman" w:cs="Times New Roman" w:hint="eastAsia"/>
          <w:color w:val="EE0000"/>
          <w:szCs w:val="21"/>
          <w:vertAlign w:val="superscript"/>
        </w:rPr>
        <w:t>2</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，因此镍的需求增长不仅受能源转型驱动，而且也可能与发展中国家的人口和经济增长密切相关</w:t>
      </w:r>
      <w:r>
        <w:rPr>
          <w:rFonts w:ascii="Times New Roman" w:hAnsi="Times New Roman" w:cs="Times New Roman" w:hint="eastAsia"/>
          <w:color w:val="EE0000"/>
          <w:szCs w:val="21"/>
          <w:vertAlign w:val="superscript"/>
        </w:rPr>
        <w:t>[2</w:t>
      </w:r>
      <w:r w:rsidR="004D65F8">
        <w:rPr>
          <w:rFonts w:ascii="Times New Roman" w:hAnsi="Times New Roman" w:cs="Times New Roman" w:hint="eastAsia"/>
          <w:color w:val="EE0000"/>
          <w:szCs w:val="21"/>
          <w:vertAlign w:val="superscript"/>
        </w:rPr>
        <w:t>3</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。对中国市场的研究估计，考虑到人口和经济增长，到</w:t>
      </w:r>
      <w:r>
        <w:rPr>
          <w:rFonts w:ascii="Times New Roman" w:hAnsi="Times New Roman" w:cs="Times New Roman" w:hint="eastAsia"/>
          <w:szCs w:val="21"/>
        </w:rPr>
        <w:t>2050</w:t>
      </w:r>
      <w:r>
        <w:rPr>
          <w:rFonts w:ascii="Times New Roman" w:hAnsi="Times New Roman" w:cs="Times New Roman" w:hint="eastAsia"/>
          <w:szCs w:val="21"/>
        </w:rPr>
        <w:t>年中国对镍的累计需求可能占到全球储量的</w:t>
      </w:r>
      <w:r>
        <w:rPr>
          <w:rFonts w:ascii="Times New Roman" w:hAnsi="Times New Roman" w:cs="Times New Roman" w:hint="eastAsia"/>
          <w:szCs w:val="21"/>
        </w:rPr>
        <w:t>50%</w:t>
      </w:r>
      <w:r>
        <w:rPr>
          <w:rFonts w:ascii="Times New Roman" w:hAnsi="Times New Roman" w:cs="Times New Roman" w:hint="eastAsia"/>
          <w:szCs w:val="21"/>
        </w:rPr>
        <w:t>以上</w:t>
      </w:r>
      <w:r>
        <w:rPr>
          <w:rFonts w:ascii="Times New Roman" w:hAnsi="Times New Roman" w:cs="Times New Roman" w:hint="eastAsia"/>
          <w:color w:val="EE0000"/>
          <w:szCs w:val="21"/>
          <w:vertAlign w:val="superscript"/>
        </w:rPr>
        <w:t>[2</w:t>
      </w:r>
      <w:r w:rsidR="004D65F8">
        <w:rPr>
          <w:rFonts w:ascii="Times New Roman" w:hAnsi="Times New Roman" w:cs="Times New Roman" w:hint="eastAsia"/>
          <w:color w:val="EE0000"/>
          <w:szCs w:val="21"/>
          <w:vertAlign w:val="superscript"/>
        </w:rPr>
        <w:t>4</w:t>
      </w:r>
      <w:r>
        <w:rPr>
          <w:rFonts w:ascii="Times New Roman" w:hAnsi="Times New Roman" w:cs="Times New Roman" w:hint="eastAsia"/>
          <w:color w:val="EE0000"/>
          <w:szCs w:val="21"/>
          <w:vertAlign w:val="superscript"/>
        </w:rPr>
        <w:t>]</w:t>
      </w:r>
      <w:r>
        <w:rPr>
          <w:rFonts w:ascii="Times New Roman" w:hAnsi="Times New Roman" w:cs="Times New Roman" w:hint="eastAsia"/>
          <w:szCs w:val="21"/>
        </w:rPr>
        <w:t>，凸显了确保镍稳定供应的重要性。</w:t>
      </w:r>
    </w:p>
    <w:p w14:paraId="33E29BCC"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根据国际能源署（</w:t>
      </w:r>
      <w:r>
        <w:rPr>
          <w:rFonts w:ascii="Times New Roman" w:hAnsi="Times New Roman" w:cs="Times New Roman" w:hint="eastAsia"/>
          <w:szCs w:val="21"/>
        </w:rPr>
        <w:t>IEA</w:t>
      </w:r>
      <w:r>
        <w:rPr>
          <w:rFonts w:ascii="Times New Roman" w:hAnsi="Times New Roman" w:cs="Times New Roman" w:hint="eastAsia"/>
          <w:szCs w:val="21"/>
        </w:rPr>
        <w:t>）的预测数据，风力发电设备产业对铜、镍、钕、镝等关键金属的需求在“既定政策情景”、“已宣布承诺情景”和“</w:t>
      </w:r>
      <w:r>
        <w:rPr>
          <w:rFonts w:ascii="Times New Roman" w:hAnsi="Times New Roman" w:cs="Times New Roman" w:hint="eastAsia"/>
          <w:szCs w:val="21"/>
        </w:rPr>
        <w:t>2050</w:t>
      </w:r>
      <w:r>
        <w:rPr>
          <w:rFonts w:ascii="Times New Roman" w:hAnsi="Times New Roman" w:cs="Times New Roman" w:hint="eastAsia"/>
          <w:szCs w:val="21"/>
        </w:rPr>
        <w:t>年净零碳排放情景”三种情景下均呈现上升趋势，其中“</w:t>
      </w:r>
      <w:r>
        <w:rPr>
          <w:rFonts w:ascii="Times New Roman" w:hAnsi="Times New Roman" w:cs="Times New Roman" w:hint="eastAsia"/>
          <w:szCs w:val="21"/>
        </w:rPr>
        <w:t>2050</w:t>
      </w:r>
      <w:r>
        <w:rPr>
          <w:rFonts w:ascii="Times New Roman" w:hAnsi="Times New Roman" w:cs="Times New Roman" w:hint="eastAsia"/>
          <w:szCs w:val="21"/>
        </w:rPr>
        <w:t>年净零碳排放情景”下的需求量普遍最高（如图</w:t>
      </w:r>
      <w:r>
        <w:rPr>
          <w:rFonts w:ascii="Times New Roman" w:hAnsi="Times New Roman" w:cs="Times New Roman" w:hint="eastAsia"/>
          <w:szCs w:val="21"/>
        </w:rPr>
        <w:t>3</w:t>
      </w:r>
      <w:r>
        <w:rPr>
          <w:rFonts w:ascii="Times New Roman" w:hAnsi="Times New Roman" w:cs="Times New Roman" w:hint="eastAsia"/>
          <w:szCs w:val="21"/>
        </w:rPr>
        <w:t>所示）。在该最积极情景下，至</w:t>
      </w:r>
      <w:r>
        <w:rPr>
          <w:rFonts w:ascii="Times New Roman" w:hAnsi="Times New Roman" w:cs="Times New Roman" w:hint="eastAsia"/>
          <w:szCs w:val="21"/>
        </w:rPr>
        <w:t>2050</w:t>
      </w:r>
      <w:r>
        <w:rPr>
          <w:rFonts w:ascii="Times New Roman" w:hAnsi="Times New Roman" w:cs="Times New Roman" w:hint="eastAsia"/>
          <w:szCs w:val="21"/>
        </w:rPr>
        <w:t>年铜需求预计达</w:t>
      </w:r>
      <w:r>
        <w:rPr>
          <w:rFonts w:ascii="Times New Roman" w:hAnsi="Times New Roman" w:cs="Times New Roman" w:hint="eastAsia"/>
          <w:szCs w:val="21"/>
        </w:rPr>
        <w:t>138</w:t>
      </w:r>
      <w:r>
        <w:rPr>
          <w:rFonts w:ascii="Times New Roman" w:hAnsi="Times New Roman" w:cs="Times New Roman" w:hint="eastAsia"/>
          <w:szCs w:val="21"/>
        </w:rPr>
        <w:t>万吨，镍需求达</w:t>
      </w:r>
      <w:r>
        <w:rPr>
          <w:rFonts w:ascii="Times New Roman" w:hAnsi="Times New Roman" w:cs="Times New Roman" w:hint="eastAsia"/>
          <w:szCs w:val="21"/>
        </w:rPr>
        <w:t>11</w:t>
      </w:r>
      <w:r>
        <w:rPr>
          <w:rFonts w:ascii="Times New Roman" w:hAnsi="Times New Roman" w:cs="Times New Roman" w:hint="eastAsia"/>
          <w:szCs w:val="21"/>
        </w:rPr>
        <w:t>万吨，钕需求达</w:t>
      </w:r>
      <w:r>
        <w:rPr>
          <w:rFonts w:ascii="Times New Roman" w:hAnsi="Times New Roman" w:cs="Times New Roman" w:hint="eastAsia"/>
          <w:szCs w:val="21"/>
        </w:rPr>
        <w:t>1.86</w:t>
      </w:r>
      <w:r>
        <w:rPr>
          <w:rFonts w:ascii="Times New Roman" w:hAnsi="Times New Roman" w:cs="Times New Roman" w:hint="eastAsia"/>
          <w:szCs w:val="21"/>
        </w:rPr>
        <w:t>万吨，而镝的需求也将达到</w:t>
      </w:r>
      <w:r>
        <w:rPr>
          <w:rFonts w:ascii="Times New Roman" w:hAnsi="Times New Roman" w:cs="Times New Roman" w:hint="eastAsia"/>
          <w:szCs w:val="21"/>
        </w:rPr>
        <w:t>0.219</w:t>
      </w:r>
      <w:r>
        <w:rPr>
          <w:rFonts w:ascii="Times New Roman" w:hAnsi="Times New Roman" w:cs="Times New Roman" w:hint="eastAsia"/>
          <w:szCs w:val="21"/>
        </w:rPr>
        <w:t>万吨。总体而言，更积极的减排政策将显著推高这些关键金属的需求。实现净零排放目标强力驱动风电等可再生能源的大规模快速部署，而风力发电机组本身对这些金属具有高度依赖性。因此，随着减排政策力度的加大和可再生能源装机容量目标的提升，对这些关键金属的需求也随之急剧放大，这也凸显了实现碳中和目标对风电产业链上游金属材料供应的巨大拉动作用。</w:t>
      </w:r>
    </w:p>
    <w:p w14:paraId="1F2B8219" w14:textId="11341B20" w:rsidR="00691F6A" w:rsidRDefault="00EC5B42">
      <w:pPr>
        <w:spacing w:line="240" w:lineRule="atLeast"/>
      </w:pPr>
      <w:r>
        <w:rPr>
          <w:rFonts w:hint="eastAsia"/>
        </w:rPr>
        <w:object w:dxaOrig="25639" w:dyaOrig="22651" w14:anchorId="4CA2BD92">
          <v:shape id="_x0000_i1026" type="#_x0000_t75" style="width:249.8pt;height:219.7pt" o:ole="">
            <v:imagedata r:id="rId20" o:title="" croptop="1446f" cropbottom="1205f" cropleft="1161f" cropright="852f"/>
          </v:shape>
          <o:OLEObject Type="Embed" ProgID="Origin95.Graph" ShapeID="_x0000_i1026" DrawAspect="Content" ObjectID="_1811340057" r:id="rId21"/>
        </w:object>
      </w:r>
    </w:p>
    <w:p w14:paraId="31B03134" w14:textId="77777777" w:rsidR="00691F6A" w:rsidRDefault="00000000">
      <w:pPr>
        <w:snapToGrid w:val="0"/>
        <w:spacing w:line="240" w:lineRule="atLeast"/>
        <w:jc w:val="center"/>
        <w:rPr>
          <w:rFonts w:ascii="Times New Roman" w:hAnsi="Times New Roman" w:cs="Times New Roman"/>
          <w:sz w:val="18"/>
          <w:szCs w:val="18"/>
        </w:rPr>
      </w:pPr>
      <w:r>
        <w:rPr>
          <w:rFonts w:ascii="Times New Roman" w:hAnsi="Times New Roman" w:cs="Times New Roman" w:hint="eastAsia"/>
          <w:sz w:val="18"/>
          <w:szCs w:val="18"/>
        </w:rPr>
        <w:t>图</w:t>
      </w:r>
      <w:r>
        <w:rPr>
          <w:rFonts w:ascii="Times New Roman" w:hAnsi="Times New Roman" w:cs="Times New Roman" w:hint="eastAsia"/>
          <w:sz w:val="18"/>
          <w:szCs w:val="18"/>
        </w:rPr>
        <w:t>3</w:t>
      </w:r>
      <w:r>
        <w:rPr>
          <w:rFonts w:ascii="Times New Roman" w:hAnsi="Times New Roman" w:cs="Times New Roman"/>
          <w:sz w:val="18"/>
          <w:szCs w:val="18"/>
        </w:rPr>
        <w:t xml:space="preserve"> </w:t>
      </w:r>
      <w:r>
        <w:rPr>
          <w:rFonts w:ascii="Times New Roman" w:hAnsi="Times New Roman" w:cs="Times New Roman" w:hint="eastAsia"/>
          <w:sz w:val="18"/>
          <w:szCs w:val="18"/>
        </w:rPr>
        <w:t>不同情景下风力发电所需的关键矿产需求预测（数据来源</w:t>
      </w:r>
      <w:r>
        <w:rPr>
          <w:rFonts w:ascii="Times New Roman" w:hAnsi="Times New Roman" w:cs="Times New Roman" w:hint="eastAsia"/>
          <w:sz w:val="18"/>
          <w:szCs w:val="18"/>
        </w:rPr>
        <w:t>IEA, 2024</w:t>
      </w:r>
      <w:r>
        <w:rPr>
          <w:rFonts w:ascii="Times New Roman" w:hAnsi="Times New Roman" w:cs="Times New Roman" w:hint="eastAsia"/>
          <w:sz w:val="18"/>
          <w:szCs w:val="18"/>
        </w:rPr>
        <w:t>）</w:t>
      </w:r>
    </w:p>
    <w:p w14:paraId="40B13AF4" w14:textId="77777777" w:rsidR="00691F6A"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1.2  </w:t>
      </w:r>
      <w:r>
        <w:rPr>
          <w:rFonts w:ascii="Times New Roman" w:eastAsia="宋体" w:hAnsi="Times New Roman" w:cs="Times New Roman" w:hint="eastAsia"/>
          <w:b/>
          <w:kern w:val="0"/>
          <w:szCs w:val="21"/>
        </w:rPr>
        <w:t>光伏发电设备产业中关键金属消费</w:t>
      </w:r>
    </w:p>
    <w:p w14:paraId="06F14526" w14:textId="14E137D1" w:rsidR="00881A13"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随着全球能源转型的推进与碳中和目标的深入实施，光伏发电已成为全球清洁能源体系的重要组成部分。其产业的迅速扩展显著提高了对相关关键金属的需求</w:t>
      </w:r>
      <w:r w:rsidR="00881A13">
        <w:rPr>
          <w:rFonts w:ascii="Times New Roman" w:eastAsia="宋体" w:hAnsi="Times New Roman" w:cs="Times New Roman" w:hint="eastAsia"/>
          <w:szCs w:val="21"/>
        </w:rPr>
        <w:t>（如表</w:t>
      </w:r>
      <w:r w:rsidR="00881A13">
        <w:rPr>
          <w:rFonts w:ascii="Times New Roman" w:eastAsia="宋体" w:hAnsi="Times New Roman" w:cs="Times New Roman" w:hint="eastAsia"/>
          <w:szCs w:val="21"/>
        </w:rPr>
        <w:t>1</w:t>
      </w:r>
      <w:r w:rsidR="00881A13">
        <w:rPr>
          <w:rFonts w:ascii="Times New Roman" w:eastAsia="宋体" w:hAnsi="Times New Roman" w:cs="Times New Roman" w:hint="eastAsia"/>
          <w:szCs w:val="21"/>
        </w:rPr>
        <w:t>和图</w:t>
      </w:r>
      <w:r w:rsidR="00881A13">
        <w:rPr>
          <w:rFonts w:ascii="Times New Roman" w:eastAsia="宋体" w:hAnsi="Times New Roman" w:cs="Times New Roman" w:hint="eastAsia"/>
          <w:szCs w:val="21"/>
        </w:rPr>
        <w:t>4</w:t>
      </w:r>
      <w:r w:rsidR="00881A13">
        <w:rPr>
          <w:rFonts w:ascii="Times New Roman" w:eastAsia="宋体" w:hAnsi="Times New Roman" w:cs="Times New Roman" w:hint="eastAsia"/>
          <w:szCs w:val="21"/>
        </w:rPr>
        <w:t>所示）</w:t>
      </w:r>
      <w:r>
        <w:rPr>
          <w:rFonts w:ascii="Times New Roman" w:eastAsia="宋体" w:hAnsi="Times New Roman" w:cs="Times New Roman" w:hint="eastAsia"/>
          <w:szCs w:val="21"/>
        </w:rPr>
        <w:t>。</w:t>
      </w:r>
    </w:p>
    <w:p w14:paraId="4B6A04CC" w14:textId="0537EDC4" w:rsidR="00881A13" w:rsidRPr="00D05E26" w:rsidRDefault="00D05E26" w:rsidP="00D05E26">
      <w:pPr>
        <w:spacing w:line="240" w:lineRule="atLeast"/>
        <w:jc w:val="center"/>
        <w:rPr>
          <w:rFonts w:ascii="Times New Roman" w:eastAsia="宋体" w:hAnsi="Times New Roman" w:cs="Times New Roman"/>
          <w:sz w:val="18"/>
          <w:szCs w:val="18"/>
        </w:rPr>
      </w:pPr>
      <w:r w:rsidRPr="00D05E26">
        <w:rPr>
          <w:rFonts w:ascii="Times New Roman" w:eastAsia="宋体" w:hAnsi="Times New Roman" w:cs="Times New Roman" w:hint="eastAsia"/>
          <w:sz w:val="18"/>
          <w:szCs w:val="18"/>
        </w:rPr>
        <w:t>表</w:t>
      </w:r>
      <w:r w:rsidRPr="00D05E26">
        <w:rPr>
          <w:rFonts w:ascii="Times New Roman" w:eastAsia="宋体" w:hAnsi="Times New Roman" w:cs="Times New Roman" w:hint="eastAsia"/>
          <w:sz w:val="18"/>
          <w:szCs w:val="18"/>
        </w:rPr>
        <w:t xml:space="preserve">1 </w:t>
      </w:r>
      <w:r w:rsidRPr="00D05E26">
        <w:rPr>
          <w:rFonts w:ascii="Times New Roman" w:eastAsia="宋体" w:hAnsi="Times New Roman" w:cs="Times New Roman" w:hint="eastAsia"/>
          <w:sz w:val="18"/>
          <w:szCs w:val="18"/>
        </w:rPr>
        <w:t>晶体硅和碲化镉太阳能光伏制造中的关键材料</w:t>
      </w:r>
    </w:p>
    <w:tbl>
      <w:tblPr>
        <w:tblStyle w:val="af1"/>
        <w:tblW w:w="0" w:type="auto"/>
        <w:tblBorders>
          <w:left w:val="none" w:sz="0" w:space="0" w:color="auto"/>
          <w:right w:val="none" w:sz="0" w:space="0" w:color="auto"/>
        </w:tblBorders>
        <w:tblLook w:val="04A0" w:firstRow="1" w:lastRow="0" w:firstColumn="1" w:lastColumn="0" w:noHBand="0" w:noVBand="1"/>
      </w:tblPr>
      <w:tblGrid>
        <w:gridCol w:w="704"/>
        <w:gridCol w:w="1134"/>
        <w:gridCol w:w="2786"/>
      </w:tblGrid>
      <w:tr w:rsidR="00881A13" w14:paraId="5444728B" w14:textId="77777777" w:rsidTr="00881A13">
        <w:tc>
          <w:tcPr>
            <w:tcW w:w="704" w:type="dxa"/>
            <w:tcBorders>
              <w:top w:val="single" w:sz="4" w:space="0" w:color="auto"/>
              <w:left w:val="nil"/>
              <w:bottom w:val="single" w:sz="4" w:space="0" w:color="auto"/>
              <w:right w:val="nil"/>
            </w:tcBorders>
            <w:hideMark/>
          </w:tcPr>
          <w:p w14:paraId="08026C9F" w14:textId="77777777" w:rsidR="00881A13" w:rsidRDefault="00881A13">
            <w:pPr>
              <w:spacing w:line="240" w:lineRule="atLeast"/>
              <w:rPr>
                <w:rFonts w:ascii="Times New Roman" w:eastAsia="宋体" w:hAnsi="Times New Roman" w:cs="Times New Roman"/>
                <w:sz w:val="18"/>
                <w:szCs w:val="18"/>
              </w:rPr>
            </w:pPr>
            <w:r>
              <w:rPr>
                <w:rFonts w:ascii="宋体" w:hAnsi="宋体" w:hint="eastAsia"/>
                <w:sz w:val="18"/>
                <w:szCs w:val="18"/>
              </w:rPr>
              <w:t>技术</w:t>
            </w:r>
          </w:p>
        </w:tc>
        <w:tc>
          <w:tcPr>
            <w:tcW w:w="1134" w:type="dxa"/>
            <w:tcBorders>
              <w:top w:val="single" w:sz="4" w:space="0" w:color="auto"/>
              <w:left w:val="nil"/>
              <w:bottom w:val="single" w:sz="4" w:space="0" w:color="auto"/>
              <w:right w:val="nil"/>
            </w:tcBorders>
            <w:hideMark/>
          </w:tcPr>
          <w:p w14:paraId="600DCE8D" w14:textId="77777777" w:rsidR="00881A13" w:rsidRDefault="00881A13">
            <w:pPr>
              <w:spacing w:line="240" w:lineRule="atLeast"/>
              <w:rPr>
                <w:rFonts w:ascii="Times New Roman" w:hAnsi="Times New Roman"/>
                <w:sz w:val="18"/>
                <w:szCs w:val="18"/>
              </w:rPr>
            </w:pPr>
            <w:r>
              <w:rPr>
                <w:rFonts w:ascii="宋体" w:hAnsi="宋体" w:hint="eastAsia"/>
                <w:sz w:val="18"/>
                <w:szCs w:val="18"/>
              </w:rPr>
              <w:t>关键材料</w:t>
            </w:r>
          </w:p>
        </w:tc>
        <w:tc>
          <w:tcPr>
            <w:tcW w:w="2786" w:type="dxa"/>
            <w:tcBorders>
              <w:top w:val="single" w:sz="4" w:space="0" w:color="auto"/>
              <w:left w:val="nil"/>
              <w:bottom w:val="single" w:sz="4" w:space="0" w:color="auto"/>
              <w:right w:val="nil"/>
            </w:tcBorders>
            <w:hideMark/>
          </w:tcPr>
          <w:p w14:paraId="0CB9F04D" w14:textId="77777777" w:rsidR="00881A13" w:rsidRDefault="00881A13">
            <w:pPr>
              <w:spacing w:line="240" w:lineRule="atLeast"/>
              <w:rPr>
                <w:rFonts w:ascii="Times New Roman" w:hAnsi="Times New Roman"/>
                <w:sz w:val="18"/>
                <w:szCs w:val="18"/>
              </w:rPr>
            </w:pPr>
            <w:r>
              <w:rPr>
                <w:rFonts w:ascii="宋体" w:hAnsi="宋体" w:hint="eastAsia"/>
                <w:sz w:val="18"/>
                <w:szCs w:val="18"/>
              </w:rPr>
              <w:t>主要用途</w:t>
            </w:r>
          </w:p>
        </w:tc>
      </w:tr>
      <w:tr w:rsidR="00881A13" w14:paraId="66D423AD" w14:textId="77777777" w:rsidTr="00881A13">
        <w:tc>
          <w:tcPr>
            <w:tcW w:w="704" w:type="dxa"/>
            <w:tcBorders>
              <w:top w:val="single" w:sz="4" w:space="0" w:color="auto"/>
              <w:left w:val="nil"/>
              <w:bottom w:val="nil"/>
              <w:right w:val="nil"/>
            </w:tcBorders>
            <w:hideMark/>
          </w:tcPr>
          <w:p w14:paraId="60EB1DA7" w14:textId="77777777" w:rsidR="00881A13" w:rsidRDefault="00881A13">
            <w:pPr>
              <w:spacing w:line="240" w:lineRule="atLeast"/>
              <w:rPr>
                <w:rFonts w:ascii="Times New Roman" w:hAnsi="Times New Roman"/>
                <w:sz w:val="18"/>
                <w:szCs w:val="18"/>
              </w:rPr>
            </w:pPr>
            <w:r>
              <w:rPr>
                <w:rFonts w:ascii="Times New Roman" w:hAnsi="Times New Roman"/>
                <w:sz w:val="18"/>
                <w:szCs w:val="18"/>
              </w:rPr>
              <w:t>c-Si</w:t>
            </w:r>
          </w:p>
        </w:tc>
        <w:tc>
          <w:tcPr>
            <w:tcW w:w="1134" w:type="dxa"/>
            <w:tcBorders>
              <w:top w:val="single" w:sz="4" w:space="0" w:color="auto"/>
              <w:left w:val="nil"/>
              <w:bottom w:val="nil"/>
              <w:right w:val="nil"/>
            </w:tcBorders>
            <w:hideMark/>
          </w:tcPr>
          <w:p w14:paraId="36DD83BC" w14:textId="77777777" w:rsidR="00881A13" w:rsidRDefault="00881A13">
            <w:pPr>
              <w:spacing w:line="240" w:lineRule="atLeast"/>
              <w:rPr>
                <w:rFonts w:ascii="Times New Roman" w:hAnsi="Times New Roman"/>
                <w:sz w:val="18"/>
                <w:szCs w:val="18"/>
              </w:rPr>
            </w:pPr>
            <w:r>
              <w:rPr>
                <w:rFonts w:ascii="宋体" w:hAnsi="宋体" w:hint="eastAsia"/>
                <w:sz w:val="18"/>
                <w:szCs w:val="18"/>
              </w:rPr>
              <w:t>铝</w:t>
            </w:r>
          </w:p>
        </w:tc>
        <w:tc>
          <w:tcPr>
            <w:tcW w:w="2786" w:type="dxa"/>
            <w:tcBorders>
              <w:top w:val="single" w:sz="4" w:space="0" w:color="auto"/>
              <w:left w:val="nil"/>
              <w:bottom w:val="nil"/>
              <w:right w:val="nil"/>
            </w:tcBorders>
            <w:hideMark/>
          </w:tcPr>
          <w:p w14:paraId="6B1384A2" w14:textId="77777777" w:rsidR="00881A13" w:rsidRDefault="00881A13">
            <w:pPr>
              <w:spacing w:line="240" w:lineRule="atLeast"/>
              <w:rPr>
                <w:rFonts w:ascii="Times New Roman" w:hAnsi="Times New Roman"/>
                <w:sz w:val="18"/>
                <w:szCs w:val="18"/>
              </w:rPr>
            </w:pPr>
            <w:r>
              <w:rPr>
                <w:rFonts w:ascii="宋体" w:hAnsi="宋体" w:hint="eastAsia"/>
                <w:sz w:val="18"/>
                <w:szCs w:val="18"/>
              </w:rPr>
              <w:t>组件框架；安装结构；连接器；背接触件；逆变器</w:t>
            </w:r>
          </w:p>
        </w:tc>
      </w:tr>
      <w:tr w:rsidR="00881A13" w14:paraId="1F66BBF3" w14:textId="77777777" w:rsidTr="00881A13">
        <w:tc>
          <w:tcPr>
            <w:tcW w:w="704" w:type="dxa"/>
            <w:tcBorders>
              <w:top w:val="nil"/>
              <w:left w:val="nil"/>
              <w:bottom w:val="nil"/>
              <w:right w:val="nil"/>
            </w:tcBorders>
          </w:tcPr>
          <w:p w14:paraId="7369822E"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31B412DA" w14:textId="77777777" w:rsidR="00881A13" w:rsidRDefault="00881A13">
            <w:pPr>
              <w:spacing w:line="240" w:lineRule="atLeast"/>
              <w:rPr>
                <w:rFonts w:ascii="Times New Roman" w:hAnsi="Times New Roman"/>
                <w:sz w:val="18"/>
                <w:szCs w:val="18"/>
              </w:rPr>
            </w:pPr>
            <w:r>
              <w:rPr>
                <w:rFonts w:ascii="宋体" w:hAnsi="宋体" w:hint="eastAsia"/>
                <w:sz w:val="18"/>
                <w:szCs w:val="18"/>
              </w:rPr>
              <w:t>锑</w:t>
            </w:r>
          </w:p>
        </w:tc>
        <w:tc>
          <w:tcPr>
            <w:tcW w:w="2786" w:type="dxa"/>
            <w:tcBorders>
              <w:top w:val="nil"/>
              <w:left w:val="nil"/>
              <w:bottom w:val="nil"/>
              <w:right w:val="nil"/>
            </w:tcBorders>
            <w:hideMark/>
          </w:tcPr>
          <w:p w14:paraId="6443FDA6" w14:textId="77777777" w:rsidR="00881A13" w:rsidRDefault="00881A13">
            <w:pPr>
              <w:spacing w:line="240" w:lineRule="atLeast"/>
              <w:rPr>
                <w:rFonts w:ascii="Times New Roman" w:hAnsi="Times New Roman"/>
                <w:sz w:val="18"/>
                <w:szCs w:val="18"/>
              </w:rPr>
            </w:pPr>
            <w:r>
              <w:rPr>
                <w:rFonts w:ascii="宋体" w:hAnsi="宋体" w:hint="eastAsia"/>
                <w:sz w:val="18"/>
                <w:szCs w:val="18"/>
              </w:rPr>
              <w:t>太阳能级玻璃和封装材料</w:t>
            </w:r>
          </w:p>
        </w:tc>
      </w:tr>
      <w:tr w:rsidR="00881A13" w14:paraId="0FD9DA0C" w14:textId="77777777" w:rsidTr="00881A13">
        <w:tc>
          <w:tcPr>
            <w:tcW w:w="704" w:type="dxa"/>
            <w:tcBorders>
              <w:top w:val="nil"/>
              <w:left w:val="nil"/>
              <w:bottom w:val="nil"/>
              <w:right w:val="nil"/>
            </w:tcBorders>
          </w:tcPr>
          <w:p w14:paraId="4345094E"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4A82DFBC" w14:textId="77777777" w:rsidR="00881A13" w:rsidRDefault="00881A13">
            <w:pPr>
              <w:spacing w:line="240" w:lineRule="atLeast"/>
              <w:rPr>
                <w:rFonts w:ascii="Times New Roman" w:hAnsi="Times New Roman"/>
                <w:sz w:val="18"/>
                <w:szCs w:val="18"/>
              </w:rPr>
            </w:pPr>
            <w:r>
              <w:rPr>
                <w:rFonts w:ascii="宋体" w:hAnsi="宋体" w:hint="eastAsia"/>
                <w:sz w:val="18"/>
                <w:szCs w:val="18"/>
              </w:rPr>
              <w:t>铜</w:t>
            </w:r>
          </w:p>
        </w:tc>
        <w:tc>
          <w:tcPr>
            <w:tcW w:w="2786" w:type="dxa"/>
            <w:tcBorders>
              <w:top w:val="nil"/>
              <w:left w:val="nil"/>
              <w:bottom w:val="nil"/>
              <w:right w:val="nil"/>
            </w:tcBorders>
            <w:hideMark/>
          </w:tcPr>
          <w:p w14:paraId="19CE0671" w14:textId="77777777" w:rsidR="00881A13" w:rsidRDefault="00881A13">
            <w:pPr>
              <w:spacing w:line="240" w:lineRule="atLeast"/>
              <w:rPr>
                <w:rFonts w:ascii="Times New Roman" w:hAnsi="Times New Roman"/>
                <w:sz w:val="18"/>
                <w:szCs w:val="18"/>
              </w:rPr>
            </w:pPr>
            <w:r>
              <w:rPr>
                <w:rFonts w:ascii="宋体" w:hAnsi="宋体" w:hint="eastAsia"/>
                <w:sz w:val="18"/>
                <w:szCs w:val="18"/>
              </w:rPr>
              <w:t>电缆、电线、焊带、逆变器</w:t>
            </w:r>
          </w:p>
        </w:tc>
      </w:tr>
      <w:tr w:rsidR="00881A13" w14:paraId="7A38B5C6" w14:textId="77777777" w:rsidTr="00881A13">
        <w:tc>
          <w:tcPr>
            <w:tcW w:w="704" w:type="dxa"/>
            <w:tcBorders>
              <w:top w:val="nil"/>
              <w:left w:val="nil"/>
              <w:bottom w:val="nil"/>
              <w:right w:val="nil"/>
            </w:tcBorders>
          </w:tcPr>
          <w:p w14:paraId="338EAC4B"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037479FD" w14:textId="77777777" w:rsidR="00881A13" w:rsidRDefault="00881A13">
            <w:pPr>
              <w:spacing w:line="240" w:lineRule="atLeast"/>
              <w:rPr>
                <w:rFonts w:ascii="Times New Roman" w:hAnsi="Times New Roman"/>
                <w:sz w:val="18"/>
                <w:szCs w:val="18"/>
              </w:rPr>
            </w:pPr>
            <w:r>
              <w:rPr>
                <w:rFonts w:ascii="宋体" w:hAnsi="宋体" w:hint="eastAsia"/>
                <w:sz w:val="18"/>
                <w:szCs w:val="18"/>
              </w:rPr>
              <w:t>铟</w:t>
            </w:r>
          </w:p>
        </w:tc>
        <w:tc>
          <w:tcPr>
            <w:tcW w:w="2786" w:type="dxa"/>
            <w:tcBorders>
              <w:top w:val="nil"/>
              <w:left w:val="nil"/>
              <w:bottom w:val="nil"/>
              <w:right w:val="nil"/>
            </w:tcBorders>
            <w:hideMark/>
          </w:tcPr>
          <w:p w14:paraId="26788FFD" w14:textId="77777777" w:rsidR="00881A13" w:rsidRDefault="00881A13">
            <w:pPr>
              <w:spacing w:line="240" w:lineRule="atLeast"/>
              <w:rPr>
                <w:rFonts w:ascii="Times New Roman" w:hAnsi="Times New Roman"/>
                <w:sz w:val="18"/>
                <w:szCs w:val="18"/>
              </w:rPr>
            </w:pPr>
            <w:r>
              <w:rPr>
                <w:rFonts w:ascii="宋体" w:hAnsi="宋体" w:hint="eastAsia"/>
                <w:sz w:val="18"/>
                <w:szCs w:val="18"/>
              </w:rPr>
              <w:t>硅异质结</w:t>
            </w:r>
            <w:r>
              <w:rPr>
                <w:rFonts w:ascii="Times New Roman" w:hAnsi="Times New Roman" w:hint="eastAsia"/>
                <w:sz w:val="18"/>
                <w:szCs w:val="18"/>
              </w:rPr>
              <w:t xml:space="preserve"> (SHJ) </w:t>
            </w:r>
            <w:r>
              <w:rPr>
                <w:rFonts w:ascii="宋体" w:hAnsi="宋体" w:hint="eastAsia"/>
                <w:sz w:val="18"/>
                <w:szCs w:val="18"/>
              </w:rPr>
              <w:t xml:space="preserve">中的透明导电层（氧化铟锡 </w:t>
            </w:r>
            <w:r>
              <w:rPr>
                <w:rFonts w:ascii="Times New Roman" w:hAnsi="Times New Roman" w:hint="eastAsia"/>
                <w:sz w:val="18"/>
                <w:szCs w:val="18"/>
              </w:rPr>
              <w:t>[ITO]</w:t>
            </w:r>
            <w:r>
              <w:rPr>
                <w:rFonts w:ascii="宋体" w:hAnsi="宋体" w:hint="eastAsia"/>
                <w:sz w:val="18"/>
                <w:szCs w:val="18"/>
              </w:rPr>
              <w:t>） 铅 晶体硅组件中的焊膏和焊带涂层</w:t>
            </w:r>
          </w:p>
        </w:tc>
      </w:tr>
      <w:tr w:rsidR="00881A13" w14:paraId="0A471B6A" w14:textId="77777777" w:rsidTr="00881A13">
        <w:tc>
          <w:tcPr>
            <w:tcW w:w="704" w:type="dxa"/>
            <w:tcBorders>
              <w:top w:val="nil"/>
              <w:left w:val="nil"/>
              <w:bottom w:val="nil"/>
              <w:right w:val="nil"/>
            </w:tcBorders>
          </w:tcPr>
          <w:p w14:paraId="6CA2571A"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2AF4691F" w14:textId="77777777" w:rsidR="00881A13" w:rsidRDefault="00881A13">
            <w:pPr>
              <w:spacing w:line="240" w:lineRule="atLeast"/>
              <w:rPr>
                <w:rFonts w:ascii="Times New Roman" w:hAnsi="Times New Roman"/>
                <w:sz w:val="18"/>
                <w:szCs w:val="18"/>
              </w:rPr>
            </w:pPr>
            <w:r>
              <w:rPr>
                <w:rFonts w:ascii="宋体" w:hAnsi="宋体" w:hint="eastAsia"/>
                <w:sz w:val="18"/>
                <w:szCs w:val="18"/>
              </w:rPr>
              <w:t>硅</w:t>
            </w:r>
          </w:p>
        </w:tc>
        <w:tc>
          <w:tcPr>
            <w:tcW w:w="2786" w:type="dxa"/>
            <w:tcBorders>
              <w:top w:val="nil"/>
              <w:left w:val="nil"/>
              <w:bottom w:val="nil"/>
              <w:right w:val="nil"/>
            </w:tcBorders>
            <w:hideMark/>
          </w:tcPr>
          <w:p w14:paraId="7D719AA8" w14:textId="77777777" w:rsidR="00881A13" w:rsidRDefault="00881A13">
            <w:pPr>
              <w:spacing w:line="240" w:lineRule="atLeast"/>
              <w:rPr>
                <w:rFonts w:ascii="Times New Roman" w:hAnsi="Times New Roman"/>
                <w:sz w:val="18"/>
                <w:szCs w:val="18"/>
              </w:rPr>
            </w:pPr>
            <w:r>
              <w:rPr>
                <w:rFonts w:ascii="宋体" w:hAnsi="宋体" w:hint="eastAsia"/>
                <w:sz w:val="18"/>
                <w:szCs w:val="18"/>
              </w:rPr>
              <w:t>晶体硅晶片；高纯石英</w:t>
            </w:r>
            <w:r>
              <w:rPr>
                <w:rFonts w:ascii="Times New Roman" w:hAnsi="Times New Roman" w:hint="eastAsia"/>
                <w:sz w:val="18"/>
                <w:szCs w:val="18"/>
              </w:rPr>
              <w:t xml:space="preserve"> (HPQ) </w:t>
            </w:r>
            <w:r>
              <w:rPr>
                <w:rFonts w:ascii="宋体" w:hAnsi="宋体" w:hint="eastAsia"/>
                <w:sz w:val="18"/>
                <w:szCs w:val="18"/>
              </w:rPr>
              <w:t>形</w:t>
            </w:r>
            <w:r>
              <w:rPr>
                <w:rFonts w:ascii="宋体" w:hAnsi="宋体" w:hint="eastAsia"/>
                <w:sz w:val="18"/>
                <w:szCs w:val="18"/>
              </w:rPr>
              <w:lastRenderedPageBreak/>
              <w:t>式，用于通过提拉法生长单晶硅锭的坩埚</w:t>
            </w:r>
          </w:p>
        </w:tc>
      </w:tr>
      <w:tr w:rsidR="00881A13" w14:paraId="756B0AEF" w14:textId="77777777" w:rsidTr="00881A13">
        <w:tc>
          <w:tcPr>
            <w:tcW w:w="704" w:type="dxa"/>
            <w:tcBorders>
              <w:top w:val="nil"/>
              <w:left w:val="nil"/>
              <w:bottom w:val="single" w:sz="4" w:space="0" w:color="auto"/>
              <w:right w:val="nil"/>
            </w:tcBorders>
          </w:tcPr>
          <w:p w14:paraId="64F37910" w14:textId="77777777" w:rsidR="00881A13" w:rsidRDefault="00881A13">
            <w:pPr>
              <w:spacing w:line="240" w:lineRule="atLeast"/>
              <w:rPr>
                <w:rFonts w:ascii="Times New Roman" w:hAnsi="Times New Roman"/>
                <w:sz w:val="18"/>
                <w:szCs w:val="18"/>
              </w:rPr>
            </w:pPr>
          </w:p>
        </w:tc>
        <w:tc>
          <w:tcPr>
            <w:tcW w:w="1134" w:type="dxa"/>
            <w:tcBorders>
              <w:top w:val="nil"/>
              <w:left w:val="nil"/>
              <w:bottom w:val="single" w:sz="4" w:space="0" w:color="auto"/>
              <w:right w:val="nil"/>
            </w:tcBorders>
            <w:hideMark/>
          </w:tcPr>
          <w:p w14:paraId="6B78468F" w14:textId="77777777" w:rsidR="00881A13" w:rsidRDefault="00881A13">
            <w:pPr>
              <w:spacing w:line="240" w:lineRule="atLeast"/>
              <w:rPr>
                <w:rFonts w:ascii="Times New Roman" w:hAnsi="Times New Roman"/>
                <w:sz w:val="18"/>
                <w:szCs w:val="18"/>
              </w:rPr>
            </w:pPr>
            <w:r>
              <w:rPr>
                <w:rFonts w:ascii="宋体" w:hAnsi="宋体" w:hint="eastAsia"/>
                <w:sz w:val="18"/>
                <w:szCs w:val="18"/>
              </w:rPr>
              <w:t>银</w:t>
            </w:r>
          </w:p>
        </w:tc>
        <w:tc>
          <w:tcPr>
            <w:tcW w:w="2786" w:type="dxa"/>
            <w:tcBorders>
              <w:top w:val="nil"/>
              <w:left w:val="nil"/>
              <w:bottom w:val="single" w:sz="4" w:space="0" w:color="auto"/>
              <w:right w:val="nil"/>
            </w:tcBorders>
            <w:hideMark/>
          </w:tcPr>
          <w:p w14:paraId="0037BD6F" w14:textId="77777777" w:rsidR="00881A13" w:rsidRDefault="00881A13">
            <w:pPr>
              <w:spacing w:line="240" w:lineRule="atLeast"/>
              <w:rPr>
                <w:rFonts w:ascii="Times New Roman" w:hAnsi="Times New Roman"/>
                <w:sz w:val="18"/>
                <w:szCs w:val="18"/>
              </w:rPr>
            </w:pPr>
            <w:r>
              <w:rPr>
                <w:rFonts w:ascii="宋体" w:hAnsi="宋体" w:hint="eastAsia"/>
                <w:sz w:val="18"/>
                <w:szCs w:val="18"/>
              </w:rPr>
              <w:t>电子触点：银浆、母线和焊料</w:t>
            </w:r>
          </w:p>
        </w:tc>
      </w:tr>
      <w:tr w:rsidR="00881A13" w14:paraId="67EA83D8" w14:textId="77777777" w:rsidTr="00881A13">
        <w:tc>
          <w:tcPr>
            <w:tcW w:w="704" w:type="dxa"/>
            <w:tcBorders>
              <w:top w:val="single" w:sz="4" w:space="0" w:color="auto"/>
              <w:left w:val="nil"/>
              <w:bottom w:val="nil"/>
              <w:right w:val="nil"/>
            </w:tcBorders>
            <w:hideMark/>
          </w:tcPr>
          <w:p w14:paraId="268F7B32" w14:textId="77777777" w:rsidR="00881A13" w:rsidRDefault="00881A13">
            <w:pPr>
              <w:spacing w:line="240" w:lineRule="atLeast"/>
              <w:rPr>
                <w:rFonts w:ascii="Times New Roman" w:hAnsi="Times New Roman"/>
                <w:sz w:val="18"/>
                <w:szCs w:val="18"/>
              </w:rPr>
            </w:pPr>
            <w:r>
              <w:rPr>
                <w:rFonts w:ascii="宋体" w:hAnsi="宋体" w:hint="eastAsia"/>
                <w:sz w:val="18"/>
                <w:szCs w:val="18"/>
              </w:rPr>
              <w:t>薄膜</w:t>
            </w:r>
            <w:r>
              <w:rPr>
                <w:rFonts w:ascii="Times New Roman" w:hAnsi="Times New Roman" w:hint="eastAsia"/>
                <w:sz w:val="18"/>
                <w:szCs w:val="18"/>
              </w:rPr>
              <w:t xml:space="preserve"> CdTe</w:t>
            </w:r>
          </w:p>
        </w:tc>
        <w:tc>
          <w:tcPr>
            <w:tcW w:w="1134" w:type="dxa"/>
            <w:tcBorders>
              <w:top w:val="single" w:sz="4" w:space="0" w:color="auto"/>
              <w:left w:val="nil"/>
              <w:bottom w:val="nil"/>
              <w:right w:val="nil"/>
            </w:tcBorders>
            <w:hideMark/>
          </w:tcPr>
          <w:p w14:paraId="69760581" w14:textId="77777777" w:rsidR="00881A13" w:rsidRDefault="00881A13">
            <w:pPr>
              <w:spacing w:line="240" w:lineRule="atLeast"/>
              <w:rPr>
                <w:rFonts w:ascii="Times New Roman" w:hAnsi="Times New Roman"/>
                <w:sz w:val="18"/>
                <w:szCs w:val="18"/>
              </w:rPr>
            </w:pPr>
            <w:r>
              <w:rPr>
                <w:rFonts w:ascii="宋体" w:hAnsi="宋体" w:hint="eastAsia"/>
                <w:sz w:val="18"/>
                <w:szCs w:val="18"/>
              </w:rPr>
              <w:t>铝</w:t>
            </w:r>
          </w:p>
        </w:tc>
        <w:tc>
          <w:tcPr>
            <w:tcW w:w="2786" w:type="dxa"/>
            <w:tcBorders>
              <w:top w:val="single" w:sz="4" w:space="0" w:color="auto"/>
              <w:left w:val="nil"/>
              <w:bottom w:val="nil"/>
              <w:right w:val="nil"/>
            </w:tcBorders>
            <w:hideMark/>
          </w:tcPr>
          <w:p w14:paraId="6FBE059E" w14:textId="77777777" w:rsidR="00881A13" w:rsidRDefault="00881A13">
            <w:pPr>
              <w:spacing w:line="240" w:lineRule="atLeast"/>
              <w:rPr>
                <w:rFonts w:ascii="Times New Roman" w:hAnsi="Times New Roman"/>
                <w:sz w:val="18"/>
                <w:szCs w:val="18"/>
              </w:rPr>
            </w:pPr>
            <w:r>
              <w:rPr>
                <w:rFonts w:ascii="宋体" w:hAnsi="宋体" w:hint="eastAsia"/>
                <w:sz w:val="18"/>
                <w:szCs w:val="18"/>
              </w:rPr>
              <w:t>组件框架；安装结构；连接器；逆变器</w:t>
            </w:r>
          </w:p>
        </w:tc>
      </w:tr>
      <w:tr w:rsidR="00881A13" w14:paraId="333CD475" w14:textId="77777777" w:rsidTr="00881A13">
        <w:tc>
          <w:tcPr>
            <w:tcW w:w="704" w:type="dxa"/>
            <w:tcBorders>
              <w:top w:val="nil"/>
              <w:left w:val="nil"/>
              <w:bottom w:val="nil"/>
              <w:right w:val="nil"/>
            </w:tcBorders>
          </w:tcPr>
          <w:p w14:paraId="2AD0E2A4"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2A937A02" w14:textId="77777777" w:rsidR="00881A13" w:rsidRDefault="00881A13">
            <w:pPr>
              <w:spacing w:line="240" w:lineRule="atLeast"/>
              <w:rPr>
                <w:rFonts w:ascii="Times New Roman" w:hAnsi="Times New Roman"/>
                <w:sz w:val="18"/>
                <w:szCs w:val="18"/>
              </w:rPr>
            </w:pPr>
            <w:r>
              <w:rPr>
                <w:rFonts w:ascii="宋体" w:hAnsi="宋体" w:hint="eastAsia"/>
                <w:sz w:val="18"/>
                <w:szCs w:val="18"/>
              </w:rPr>
              <w:t>锑</w:t>
            </w:r>
          </w:p>
        </w:tc>
        <w:tc>
          <w:tcPr>
            <w:tcW w:w="2786" w:type="dxa"/>
            <w:tcBorders>
              <w:top w:val="nil"/>
              <w:left w:val="nil"/>
              <w:bottom w:val="nil"/>
              <w:right w:val="nil"/>
            </w:tcBorders>
            <w:hideMark/>
          </w:tcPr>
          <w:p w14:paraId="76BC5CB0" w14:textId="77777777" w:rsidR="00881A13" w:rsidRDefault="00881A13">
            <w:pPr>
              <w:spacing w:line="240" w:lineRule="atLeast"/>
              <w:rPr>
                <w:rFonts w:ascii="Times New Roman" w:hAnsi="Times New Roman"/>
                <w:sz w:val="18"/>
                <w:szCs w:val="18"/>
              </w:rPr>
            </w:pPr>
            <w:r>
              <w:rPr>
                <w:rFonts w:ascii="宋体" w:hAnsi="宋体" w:hint="eastAsia"/>
                <w:sz w:val="18"/>
                <w:szCs w:val="18"/>
              </w:rPr>
              <w:t>太阳能级</w:t>
            </w:r>
          </w:p>
        </w:tc>
      </w:tr>
      <w:tr w:rsidR="00881A13" w14:paraId="47EF7674" w14:textId="77777777" w:rsidTr="00881A13">
        <w:tc>
          <w:tcPr>
            <w:tcW w:w="704" w:type="dxa"/>
            <w:tcBorders>
              <w:top w:val="nil"/>
              <w:left w:val="nil"/>
              <w:bottom w:val="nil"/>
              <w:right w:val="nil"/>
            </w:tcBorders>
          </w:tcPr>
          <w:p w14:paraId="3FAF648C"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46B112BF" w14:textId="77777777" w:rsidR="00881A13" w:rsidRDefault="00881A13">
            <w:pPr>
              <w:spacing w:line="240" w:lineRule="atLeast"/>
              <w:rPr>
                <w:rFonts w:ascii="Times New Roman" w:hAnsi="Times New Roman"/>
                <w:sz w:val="18"/>
                <w:szCs w:val="18"/>
              </w:rPr>
            </w:pPr>
            <w:r>
              <w:rPr>
                <w:rFonts w:ascii="宋体" w:hAnsi="宋体" w:hint="eastAsia"/>
                <w:sz w:val="18"/>
                <w:szCs w:val="18"/>
              </w:rPr>
              <w:t>镉</w:t>
            </w:r>
          </w:p>
        </w:tc>
        <w:tc>
          <w:tcPr>
            <w:tcW w:w="2786" w:type="dxa"/>
            <w:tcBorders>
              <w:top w:val="nil"/>
              <w:left w:val="nil"/>
              <w:bottom w:val="nil"/>
              <w:right w:val="nil"/>
            </w:tcBorders>
            <w:hideMark/>
          </w:tcPr>
          <w:p w14:paraId="1228F298" w14:textId="77777777" w:rsidR="00881A13" w:rsidRDefault="00881A13">
            <w:pPr>
              <w:spacing w:line="240" w:lineRule="atLeast"/>
              <w:rPr>
                <w:rFonts w:ascii="Times New Roman" w:hAnsi="Times New Roman"/>
                <w:sz w:val="18"/>
                <w:szCs w:val="18"/>
              </w:rPr>
            </w:pPr>
            <w:r>
              <w:rPr>
                <w:rFonts w:ascii="宋体" w:hAnsi="宋体" w:hint="eastAsia"/>
                <w:sz w:val="18"/>
                <w:szCs w:val="18"/>
              </w:rPr>
              <w:t>吸收层</w:t>
            </w:r>
          </w:p>
        </w:tc>
      </w:tr>
      <w:tr w:rsidR="00881A13" w14:paraId="6E708478" w14:textId="77777777" w:rsidTr="00881A13">
        <w:tc>
          <w:tcPr>
            <w:tcW w:w="704" w:type="dxa"/>
            <w:tcBorders>
              <w:top w:val="nil"/>
              <w:left w:val="nil"/>
              <w:bottom w:val="nil"/>
              <w:right w:val="nil"/>
            </w:tcBorders>
          </w:tcPr>
          <w:p w14:paraId="48A013AF"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40200EB8" w14:textId="77777777" w:rsidR="00881A13" w:rsidRDefault="00881A13">
            <w:pPr>
              <w:spacing w:line="240" w:lineRule="atLeast"/>
              <w:rPr>
                <w:rFonts w:ascii="Times New Roman" w:hAnsi="Times New Roman"/>
                <w:sz w:val="18"/>
                <w:szCs w:val="18"/>
              </w:rPr>
            </w:pPr>
            <w:r>
              <w:rPr>
                <w:rFonts w:ascii="宋体" w:hAnsi="宋体" w:hint="eastAsia"/>
                <w:sz w:val="18"/>
                <w:szCs w:val="18"/>
              </w:rPr>
              <w:t>铜</w:t>
            </w:r>
          </w:p>
        </w:tc>
        <w:tc>
          <w:tcPr>
            <w:tcW w:w="2786" w:type="dxa"/>
            <w:tcBorders>
              <w:top w:val="nil"/>
              <w:left w:val="nil"/>
              <w:bottom w:val="nil"/>
              <w:right w:val="nil"/>
            </w:tcBorders>
            <w:hideMark/>
          </w:tcPr>
          <w:p w14:paraId="28E18322" w14:textId="77777777" w:rsidR="00881A13" w:rsidRDefault="00881A13">
            <w:pPr>
              <w:spacing w:line="240" w:lineRule="atLeast"/>
              <w:rPr>
                <w:rFonts w:ascii="Times New Roman" w:hAnsi="Times New Roman"/>
                <w:sz w:val="18"/>
                <w:szCs w:val="18"/>
              </w:rPr>
            </w:pPr>
            <w:r>
              <w:rPr>
                <w:rFonts w:ascii="宋体" w:hAnsi="宋体" w:hint="eastAsia"/>
                <w:sz w:val="18"/>
                <w:szCs w:val="18"/>
              </w:rPr>
              <w:t>电缆、电线、带状导体、逆变器</w:t>
            </w:r>
          </w:p>
        </w:tc>
      </w:tr>
      <w:tr w:rsidR="00881A13" w14:paraId="34BB5038" w14:textId="77777777" w:rsidTr="00881A13">
        <w:tc>
          <w:tcPr>
            <w:tcW w:w="704" w:type="dxa"/>
            <w:tcBorders>
              <w:top w:val="nil"/>
              <w:left w:val="nil"/>
              <w:bottom w:val="nil"/>
              <w:right w:val="nil"/>
            </w:tcBorders>
          </w:tcPr>
          <w:p w14:paraId="6D96D69E"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4EB4624F" w14:textId="77777777" w:rsidR="00881A13" w:rsidRDefault="00881A13">
            <w:pPr>
              <w:spacing w:line="240" w:lineRule="atLeast"/>
              <w:rPr>
                <w:rFonts w:ascii="Times New Roman" w:hAnsi="Times New Roman"/>
                <w:sz w:val="18"/>
                <w:szCs w:val="18"/>
              </w:rPr>
            </w:pPr>
            <w:r>
              <w:rPr>
                <w:rFonts w:ascii="宋体" w:hAnsi="宋体" w:hint="eastAsia"/>
                <w:sz w:val="18"/>
                <w:szCs w:val="18"/>
              </w:rPr>
              <w:t>铟</w:t>
            </w:r>
          </w:p>
        </w:tc>
        <w:tc>
          <w:tcPr>
            <w:tcW w:w="2786" w:type="dxa"/>
            <w:tcBorders>
              <w:top w:val="nil"/>
              <w:left w:val="nil"/>
              <w:bottom w:val="nil"/>
              <w:right w:val="nil"/>
            </w:tcBorders>
            <w:hideMark/>
          </w:tcPr>
          <w:p w14:paraId="792C54BA" w14:textId="77777777" w:rsidR="00881A13" w:rsidRDefault="00881A13">
            <w:pPr>
              <w:spacing w:line="240" w:lineRule="atLeast"/>
              <w:rPr>
                <w:rFonts w:ascii="Times New Roman" w:hAnsi="Times New Roman"/>
                <w:sz w:val="18"/>
                <w:szCs w:val="18"/>
              </w:rPr>
            </w:pPr>
            <w:r>
              <w:rPr>
                <w:rFonts w:ascii="宋体" w:hAnsi="宋体" w:hint="eastAsia"/>
                <w:sz w:val="18"/>
                <w:szCs w:val="18"/>
              </w:rPr>
              <w:t>透明导电层（氧化铟锡</w:t>
            </w:r>
            <w:r>
              <w:rPr>
                <w:rFonts w:ascii="Times New Roman" w:hAnsi="Times New Roman" w:hint="eastAsia"/>
                <w:sz w:val="18"/>
                <w:szCs w:val="18"/>
              </w:rPr>
              <w:t xml:space="preserve"> [ITO]</w:t>
            </w:r>
            <w:r>
              <w:rPr>
                <w:rFonts w:ascii="宋体" w:hAnsi="宋体" w:hint="eastAsia"/>
                <w:sz w:val="18"/>
                <w:szCs w:val="18"/>
              </w:rPr>
              <w:t>）</w:t>
            </w:r>
          </w:p>
        </w:tc>
      </w:tr>
      <w:tr w:rsidR="00881A13" w14:paraId="42D27A85" w14:textId="77777777" w:rsidTr="00881A13">
        <w:tc>
          <w:tcPr>
            <w:tcW w:w="704" w:type="dxa"/>
            <w:tcBorders>
              <w:top w:val="nil"/>
              <w:left w:val="nil"/>
              <w:bottom w:val="nil"/>
              <w:right w:val="nil"/>
            </w:tcBorders>
          </w:tcPr>
          <w:p w14:paraId="11013682"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7694DB9C" w14:textId="77777777" w:rsidR="00881A13" w:rsidRDefault="00881A13">
            <w:pPr>
              <w:spacing w:line="240" w:lineRule="atLeast"/>
              <w:rPr>
                <w:rFonts w:ascii="Times New Roman" w:hAnsi="Times New Roman"/>
                <w:sz w:val="18"/>
                <w:szCs w:val="18"/>
              </w:rPr>
            </w:pPr>
            <w:r>
              <w:rPr>
                <w:rFonts w:ascii="宋体" w:hAnsi="宋体" w:hint="eastAsia"/>
                <w:sz w:val="18"/>
                <w:szCs w:val="18"/>
              </w:rPr>
              <w:t>钼</w:t>
            </w:r>
          </w:p>
        </w:tc>
        <w:tc>
          <w:tcPr>
            <w:tcW w:w="2786" w:type="dxa"/>
            <w:tcBorders>
              <w:top w:val="nil"/>
              <w:left w:val="nil"/>
              <w:bottom w:val="nil"/>
              <w:right w:val="nil"/>
            </w:tcBorders>
            <w:hideMark/>
          </w:tcPr>
          <w:p w14:paraId="47B9ED54" w14:textId="77777777" w:rsidR="00881A13" w:rsidRDefault="00881A13">
            <w:pPr>
              <w:spacing w:line="240" w:lineRule="atLeast"/>
              <w:rPr>
                <w:rFonts w:ascii="Times New Roman" w:hAnsi="Times New Roman"/>
                <w:sz w:val="18"/>
                <w:szCs w:val="18"/>
              </w:rPr>
            </w:pPr>
            <w:r>
              <w:rPr>
                <w:rFonts w:ascii="宋体" w:hAnsi="宋体" w:hint="eastAsia"/>
                <w:sz w:val="18"/>
                <w:szCs w:val="18"/>
              </w:rPr>
              <w:t>背接触层</w:t>
            </w:r>
          </w:p>
        </w:tc>
      </w:tr>
      <w:tr w:rsidR="00881A13" w14:paraId="23F37BEF" w14:textId="77777777" w:rsidTr="00881A13">
        <w:tc>
          <w:tcPr>
            <w:tcW w:w="704" w:type="dxa"/>
            <w:tcBorders>
              <w:top w:val="nil"/>
              <w:left w:val="nil"/>
              <w:bottom w:val="nil"/>
              <w:right w:val="nil"/>
            </w:tcBorders>
          </w:tcPr>
          <w:p w14:paraId="1FB31357" w14:textId="77777777" w:rsidR="00881A13" w:rsidRDefault="00881A13">
            <w:pPr>
              <w:spacing w:line="240" w:lineRule="atLeast"/>
              <w:rPr>
                <w:rFonts w:ascii="Times New Roman" w:hAnsi="Times New Roman"/>
                <w:sz w:val="18"/>
                <w:szCs w:val="18"/>
              </w:rPr>
            </w:pPr>
          </w:p>
        </w:tc>
        <w:tc>
          <w:tcPr>
            <w:tcW w:w="1134" w:type="dxa"/>
            <w:tcBorders>
              <w:top w:val="nil"/>
              <w:left w:val="nil"/>
              <w:bottom w:val="nil"/>
              <w:right w:val="nil"/>
            </w:tcBorders>
            <w:hideMark/>
          </w:tcPr>
          <w:p w14:paraId="33F9ADF9" w14:textId="77777777" w:rsidR="00881A13" w:rsidRDefault="00881A13">
            <w:pPr>
              <w:spacing w:line="240" w:lineRule="atLeast"/>
              <w:rPr>
                <w:rFonts w:ascii="Times New Roman" w:hAnsi="Times New Roman"/>
                <w:sz w:val="18"/>
                <w:szCs w:val="18"/>
              </w:rPr>
            </w:pPr>
            <w:r>
              <w:rPr>
                <w:rFonts w:ascii="宋体" w:hAnsi="宋体" w:hint="eastAsia"/>
                <w:sz w:val="18"/>
                <w:szCs w:val="18"/>
              </w:rPr>
              <w:t>硒</w:t>
            </w:r>
          </w:p>
        </w:tc>
        <w:tc>
          <w:tcPr>
            <w:tcW w:w="2786" w:type="dxa"/>
            <w:tcBorders>
              <w:top w:val="nil"/>
              <w:left w:val="nil"/>
              <w:bottom w:val="nil"/>
              <w:right w:val="nil"/>
            </w:tcBorders>
            <w:hideMark/>
          </w:tcPr>
          <w:p w14:paraId="0C93FA3C" w14:textId="77777777" w:rsidR="00881A13" w:rsidRDefault="00881A13">
            <w:pPr>
              <w:spacing w:line="240" w:lineRule="atLeast"/>
              <w:rPr>
                <w:rFonts w:ascii="Times New Roman" w:hAnsi="Times New Roman"/>
                <w:sz w:val="18"/>
                <w:szCs w:val="18"/>
              </w:rPr>
            </w:pPr>
            <w:r>
              <w:rPr>
                <w:rFonts w:ascii="宋体" w:hAnsi="宋体" w:hint="eastAsia"/>
                <w:sz w:val="18"/>
                <w:szCs w:val="18"/>
              </w:rPr>
              <w:t>部分</w:t>
            </w:r>
            <w:r>
              <w:rPr>
                <w:rFonts w:ascii="Times New Roman" w:hAnsi="Times New Roman" w:hint="eastAsia"/>
                <w:sz w:val="18"/>
                <w:szCs w:val="18"/>
              </w:rPr>
              <w:t xml:space="preserve"> CdTe </w:t>
            </w:r>
            <w:r>
              <w:rPr>
                <w:rFonts w:ascii="宋体" w:hAnsi="宋体" w:hint="eastAsia"/>
                <w:sz w:val="18"/>
                <w:szCs w:val="18"/>
              </w:rPr>
              <w:t>电池中的吸收层 银 电子触点：银浆和银焊料</w:t>
            </w:r>
          </w:p>
        </w:tc>
      </w:tr>
      <w:tr w:rsidR="00881A13" w14:paraId="062132D7" w14:textId="77777777" w:rsidTr="00881A13">
        <w:tc>
          <w:tcPr>
            <w:tcW w:w="704" w:type="dxa"/>
            <w:tcBorders>
              <w:top w:val="nil"/>
              <w:left w:val="nil"/>
              <w:bottom w:val="single" w:sz="4" w:space="0" w:color="auto"/>
              <w:right w:val="nil"/>
            </w:tcBorders>
          </w:tcPr>
          <w:p w14:paraId="4EE632C6" w14:textId="77777777" w:rsidR="00881A13" w:rsidRDefault="00881A13">
            <w:pPr>
              <w:spacing w:line="240" w:lineRule="atLeast"/>
              <w:rPr>
                <w:rFonts w:ascii="Times New Roman" w:hAnsi="Times New Roman"/>
                <w:sz w:val="18"/>
                <w:szCs w:val="18"/>
              </w:rPr>
            </w:pPr>
          </w:p>
        </w:tc>
        <w:tc>
          <w:tcPr>
            <w:tcW w:w="1134" w:type="dxa"/>
            <w:tcBorders>
              <w:top w:val="nil"/>
              <w:left w:val="nil"/>
              <w:bottom w:val="single" w:sz="4" w:space="0" w:color="auto"/>
              <w:right w:val="nil"/>
            </w:tcBorders>
            <w:hideMark/>
          </w:tcPr>
          <w:p w14:paraId="7036C38C" w14:textId="77777777" w:rsidR="00881A13" w:rsidRDefault="00881A13">
            <w:pPr>
              <w:spacing w:line="240" w:lineRule="atLeast"/>
              <w:rPr>
                <w:rFonts w:ascii="Times New Roman" w:hAnsi="Times New Roman"/>
                <w:sz w:val="18"/>
                <w:szCs w:val="18"/>
              </w:rPr>
            </w:pPr>
            <w:r>
              <w:rPr>
                <w:rFonts w:ascii="宋体" w:hAnsi="宋体" w:hint="eastAsia"/>
                <w:sz w:val="18"/>
                <w:szCs w:val="18"/>
              </w:rPr>
              <w:t>碲</w:t>
            </w:r>
          </w:p>
        </w:tc>
        <w:tc>
          <w:tcPr>
            <w:tcW w:w="2786" w:type="dxa"/>
            <w:tcBorders>
              <w:top w:val="nil"/>
              <w:left w:val="nil"/>
              <w:bottom w:val="single" w:sz="4" w:space="0" w:color="auto"/>
              <w:right w:val="nil"/>
            </w:tcBorders>
            <w:hideMark/>
          </w:tcPr>
          <w:p w14:paraId="7FF8C818" w14:textId="77777777" w:rsidR="00881A13" w:rsidRDefault="00881A13">
            <w:pPr>
              <w:spacing w:line="240" w:lineRule="atLeast"/>
              <w:rPr>
                <w:rFonts w:ascii="Times New Roman" w:hAnsi="Times New Roman"/>
                <w:sz w:val="18"/>
                <w:szCs w:val="18"/>
              </w:rPr>
            </w:pPr>
            <w:r>
              <w:rPr>
                <w:rFonts w:ascii="宋体" w:hAnsi="宋体" w:hint="eastAsia"/>
                <w:sz w:val="18"/>
                <w:szCs w:val="18"/>
              </w:rPr>
              <w:t>吸收层</w:t>
            </w:r>
            <w:r>
              <w:rPr>
                <w:rFonts w:ascii="Times New Roman" w:hAnsi="Times New Roman" w:hint="eastAsia"/>
                <w:sz w:val="18"/>
                <w:szCs w:val="18"/>
              </w:rPr>
              <w:t xml:space="preserve"> (CdTe) </w:t>
            </w:r>
            <w:r>
              <w:rPr>
                <w:rFonts w:ascii="宋体" w:hAnsi="宋体" w:hint="eastAsia"/>
                <w:sz w:val="18"/>
                <w:szCs w:val="18"/>
              </w:rPr>
              <w:t xml:space="preserve">和背接触层 </w:t>
            </w:r>
            <w:r>
              <w:rPr>
                <w:rFonts w:ascii="Times New Roman" w:hAnsi="Times New Roman" w:hint="eastAsia"/>
                <w:sz w:val="18"/>
                <w:szCs w:val="18"/>
              </w:rPr>
              <w:t>(ZnTe)</w:t>
            </w:r>
          </w:p>
        </w:tc>
      </w:tr>
    </w:tbl>
    <w:p w14:paraId="15C0E867" w14:textId="1441EA01" w:rsidR="007C3930" w:rsidRDefault="004B36C7" w:rsidP="007C3930">
      <w:pPr>
        <w:spacing w:line="240" w:lineRule="atLeast"/>
        <w:rPr>
          <w:rFonts w:ascii="Times New Roman" w:eastAsia="宋体" w:hAnsi="Times New Roman" w:cs="Times New Roman"/>
          <w:szCs w:val="21"/>
        </w:rPr>
      </w:pPr>
      <w:r>
        <w:rPr>
          <w:rFonts w:hint="eastAsia"/>
        </w:rPr>
        <w:object w:dxaOrig="15437" w:dyaOrig="11815" w14:anchorId="6A4219F9">
          <v:shape id="_x0000_i1027" type="#_x0000_t75" style="width:227.7pt;height:169.1pt" o:ole="">
            <v:imagedata r:id="rId22" o:title="" croptop="6520f" cropbottom="3758f" cropleft="4256f" cropright="8185f"/>
          </v:shape>
          <o:OLEObject Type="Embed" ProgID="Origin95.Graph" ShapeID="_x0000_i1027" DrawAspect="Content" ObjectID="_1811340058" r:id="rId23"/>
        </w:object>
      </w:r>
    </w:p>
    <w:p w14:paraId="3697BD78" w14:textId="6164F939" w:rsidR="00881A13" w:rsidRPr="009345F2" w:rsidRDefault="007C3930" w:rsidP="007C3930">
      <w:pPr>
        <w:widowControl/>
        <w:spacing w:line="240" w:lineRule="atLeast"/>
        <w:ind w:firstLineChars="200" w:firstLine="360"/>
        <w:jc w:val="center"/>
        <w:rPr>
          <w:rFonts w:ascii="Times New Roman" w:hAnsi="Times New Roman" w:cs="Times New Roman"/>
          <w:kern w:val="0"/>
          <w:sz w:val="18"/>
          <w:szCs w:val="18"/>
        </w:rPr>
      </w:pPr>
      <w:r w:rsidRPr="009345F2">
        <w:rPr>
          <w:rFonts w:ascii="Times New Roman" w:hAnsi="Times New Roman" w:cs="Times New Roman"/>
          <w:sz w:val="18"/>
          <w:szCs w:val="18"/>
        </w:rPr>
        <w:t>图</w:t>
      </w:r>
      <w:r w:rsidRPr="009345F2">
        <w:rPr>
          <w:rFonts w:ascii="Times New Roman" w:hAnsi="Times New Roman" w:cs="Times New Roman"/>
          <w:sz w:val="18"/>
          <w:szCs w:val="18"/>
        </w:rPr>
        <w:t>4 2020-2040</w:t>
      </w:r>
      <w:r w:rsidRPr="009345F2">
        <w:rPr>
          <w:rFonts w:ascii="Times New Roman" w:hAnsi="Times New Roman" w:cs="Times New Roman"/>
          <w:sz w:val="18"/>
          <w:szCs w:val="18"/>
        </w:rPr>
        <w:t>年太阳能光伏矿产需求</w:t>
      </w:r>
      <w:r w:rsidRPr="009345F2">
        <w:rPr>
          <w:rFonts w:ascii="Times New Roman" w:hAnsi="Times New Roman" w:cs="Times New Roman"/>
          <w:kern w:val="0"/>
          <w:sz w:val="18"/>
          <w:szCs w:val="18"/>
        </w:rPr>
        <w:t>（</w:t>
      </w:r>
      <w:r w:rsidR="009345F2" w:rsidRPr="009345F2">
        <w:rPr>
          <w:rFonts w:ascii="Times New Roman" w:hAnsi="Times New Roman" w:cs="Times New Roman"/>
          <w:kern w:val="0"/>
          <w:sz w:val="18"/>
          <w:szCs w:val="18"/>
        </w:rPr>
        <w:t>其中，</w:t>
      </w:r>
      <w:r w:rsidR="009345F2" w:rsidRPr="009345F2">
        <w:rPr>
          <w:rFonts w:ascii="Times New Roman" w:hAnsi="Times New Roman" w:cs="Times New Roman"/>
          <w:kern w:val="0"/>
          <w:sz w:val="18"/>
          <w:szCs w:val="18"/>
        </w:rPr>
        <w:t>SPS</w:t>
      </w:r>
      <w:r w:rsidR="009345F2" w:rsidRPr="009345F2">
        <w:rPr>
          <w:rFonts w:ascii="Times New Roman" w:hAnsi="Times New Roman" w:cs="Times New Roman"/>
          <w:kern w:val="0"/>
          <w:sz w:val="18"/>
          <w:szCs w:val="18"/>
        </w:rPr>
        <w:t>代表既定政策情景，</w:t>
      </w:r>
      <w:r w:rsidR="009345F2" w:rsidRPr="009345F2">
        <w:rPr>
          <w:rFonts w:ascii="Times New Roman" w:hAnsi="Times New Roman" w:cs="Times New Roman"/>
          <w:kern w:val="0"/>
          <w:sz w:val="18"/>
          <w:szCs w:val="18"/>
        </w:rPr>
        <w:t>S</w:t>
      </w:r>
      <w:r w:rsidR="009345F2">
        <w:rPr>
          <w:rFonts w:ascii="Times New Roman" w:hAnsi="Times New Roman" w:cs="Times New Roman" w:hint="eastAsia"/>
          <w:kern w:val="0"/>
          <w:sz w:val="18"/>
          <w:szCs w:val="18"/>
        </w:rPr>
        <w:t>D</w:t>
      </w:r>
      <w:r w:rsidR="009345F2" w:rsidRPr="009345F2">
        <w:rPr>
          <w:rFonts w:ascii="Times New Roman" w:hAnsi="Times New Roman" w:cs="Times New Roman"/>
          <w:kern w:val="0"/>
          <w:sz w:val="18"/>
          <w:szCs w:val="18"/>
        </w:rPr>
        <w:t>S</w:t>
      </w:r>
      <w:r w:rsidR="009345F2" w:rsidRPr="009345F2">
        <w:rPr>
          <w:rFonts w:ascii="Times New Roman" w:hAnsi="Times New Roman" w:cs="Times New Roman"/>
          <w:kern w:val="0"/>
          <w:sz w:val="18"/>
          <w:szCs w:val="18"/>
        </w:rPr>
        <w:t>代表可持续发展情景。</w:t>
      </w:r>
      <w:r w:rsidRPr="009345F2">
        <w:rPr>
          <w:rFonts w:ascii="Times New Roman" w:hAnsi="Times New Roman" w:cs="Times New Roman"/>
          <w:kern w:val="0"/>
          <w:sz w:val="18"/>
          <w:szCs w:val="18"/>
        </w:rPr>
        <w:t>数据来源：</w:t>
      </w:r>
      <w:r w:rsidRPr="009345F2">
        <w:rPr>
          <w:rFonts w:ascii="Times New Roman" w:hAnsi="Times New Roman" w:cs="Times New Roman"/>
          <w:kern w:val="0"/>
          <w:sz w:val="18"/>
          <w:szCs w:val="18"/>
        </w:rPr>
        <w:t>IEA. Solar PV Global Supply Chains</w:t>
      </w:r>
      <w:r w:rsidRPr="009345F2">
        <w:rPr>
          <w:rFonts w:ascii="Times New Roman" w:hAnsi="Times New Roman" w:cs="Times New Roman"/>
          <w:kern w:val="0"/>
          <w:sz w:val="18"/>
          <w:szCs w:val="18"/>
        </w:rPr>
        <w:t>）</w:t>
      </w:r>
    </w:p>
    <w:p w14:paraId="0B083E19" w14:textId="7357B615"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银因其优异的导电性与化学稳定性，成为光伏设备晶硅太阳能板中不可或缺的导电材料。白银协会（</w:t>
      </w:r>
      <w:r>
        <w:rPr>
          <w:rFonts w:ascii="Times New Roman" w:eastAsia="宋体" w:hAnsi="Times New Roman" w:cs="Times New Roman" w:hint="eastAsia"/>
          <w:szCs w:val="21"/>
        </w:rPr>
        <w:t>Silver Institute</w:t>
      </w:r>
      <w:r>
        <w:rPr>
          <w:rFonts w:ascii="Times New Roman" w:eastAsia="宋体" w:hAnsi="Times New Roman" w:cs="Times New Roman" w:hint="eastAsia"/>
          <w:szCs w:val="21"/>
        </w:rPr>
        <w:t>）数据显示，</w:t>
      </w:r>
      <w:r>
        <w:rPr>
          <w:rFonts w:ascii="Times New Roman" w:eastAsia="宋体" w:hAnsi="Times New Roman" w:cs="Times New Roman" w:hint="eastAsia"/>
          <w:szCs w:val="21"/>
        </w:rPr>
        <w:t>2023</w:t>
      </w:r>
      <w:r>
        <w:rPr>
          <w:rFonts w:ascii="Times New Roman" w:eastAsia="宋体" w:hAnsi="Times New Roman" w:cs="Times New Roman" w:hint="eastAsia"/>
          <w:szCs w:val="21"/>
        </w:rPr>
        <w:t>年用于光伏板生产的银达约</w:t>
      </w:r>
      <w:r>
        <w:rPr>
          <w:rFonts w:ascii="Times New Roman" w:eastAsia="宋体" w:hAnsi="Times New Roman" w:cs="Times New Roman" w:hint="eastAsia"/>
          <w:szCs w:val="21"/>
        </w:rPr>
        <w:t>4000</w:t>
      </w:r>
      <w:r>
        <w:rPr>
          <w:rFonts w:ascii="Times New Roman" w:eastAsia="宋体" w:hAnsi="Times New Roman" w:cs="Times New Roman" w:hint="eastAsia"/>
          <w:szCs w:val="21"/>
        </w:rPr>
        <w:t>吨，占全球银消费量的</w:t>
      </w:r>
      <w:r>
        <w:rPr>
          <w:rFonts w:ascii="Times New Roman" w:eastAsia="宋体" w:hAnsi="Times New Roman" w:cs="Times New Roman" w:hint="eastAsia"/>
          <w:szCs w:val="21"/>
        </w:rPr>
        <w:t>14%</w:t>
      </w:r>
      <w:r>
        <w:rPr>
          <w:rFonts w:ascii="Times New Roman" w:eastAsia="宋体" w:hAnsi="Times New Roman" w:cs="Times New Roman" w:hint="eastAsia"/>
          <w:szCs w:val="21"/>
        </w:rPr>
        <w:t>；预计到</w:t>
      </w:r>
      <w:r>
        <w:rPr>
          <w:rFonts w:ascii="Times New Roman" w:eastAsia="宋体" w:hAnsi="Times New Roman" w:cs="Times New Roman" w:hint="eastAsia"/>
          <w:szCs w:val="21"/>
        </w:rPr>
        <w:t>2030</w:t>
      </w:r>
      <w:r>
        <w:rPr>
          <w:rFonts w:ascii="Times New Roman" w:eastAsia="宋体" w:hAnsi="Times New Roman" w:cs="Times New Roman" w:hint="eastAsia"/>
          <w:szCs w:val="21"/>
        </w:rPr>
        <w:t>年，这一比例将升至</w:t>
      </w:r>
      <w:r>
        <w:rPr>
          <w:rFonts w:ascii="Times New Roman" w:eastAsia="宋体" w:hAnsi="Times New Roman" w:cs="Times New Roman" w:hint="eastAsia"/>
          <w:szCs w:val="21"/>
        </w:rPr>
        <w:t>20%</w:t>
      </w:r>
      <w:r>
        <w:rPr>
          <w:rFonts w:ascii="Times New Roman" w:eastAsia="宋体" w:hAnsi="Times New Roman" w:cs="Times New Roman" w:hint="eastAsia"/>
          <w:szCs w:val="21"/>
        </w:rPr>
        <w:t>，为</w:t>
      </w:r>
      <w:r>
        <w:rPr>
          <w:rFonts w:ascii="Times New Roman" w:eastAsia="宋体" w:hAnsi="Times New Roman" w:cs="Times New Roman" w:hint="eastAsia"/>
          <w:szCs w:val="21"/>
        </w:rPr>
        <w:t>2014</w:t>
      </w:r>
      <w:r>
        <w:rPr>
          <w:rFonts w:ascii="Times New Roman" w:eastAsia="宋体" w:hAnsi="Times New Roman" w:cs="Times New Roman" w:hint="eastAsia"/>
          <w:szCs w:val="21"/>
        </w:rPr>
        <w:t>年的四倍</w:t>
      </w:r>
      <w:r>
        <w:rPr>
          <w:rFonts w:ascii="Times New Roman" w:hAnsi="Times New Roman" w:cs="Times New Roman" w:hint="eastAsia"/>
          <w:color w:val="EE0000"/>
          <w:szCs w:val="21"/>
          <w:vertAlign w:val="superscript"/>
        </w:rPr>
        <w:t>[25]</w:t>
      </w:r>
      <w:r>
        <w:rPr>
          <w:rFonts w:ascii="Times New Roman" w:eastAsia="宋体" w:hAnsi="Times New Roman" w:cs="Times New Roman" w:hint="eastAsia"/>
          <w:szCs w:val="21"/>
        </w:rPr>
        <w:t>。而全球银供应量近年来未显著增长，缺乏大型新银矿开发。</w:t>
      </w:r>
      <w:r>
        <w:rPr>
          <w:rFonts w:ascii="Times New Roman" w:eastAsia="宋体" w:hAnsi="Times New Roman" w:cs="Times New Roman" w:hint="eastAsia"/>
          <w:szCs w:val="21"/>
        </w:rPr>
        <w:t>2023</w:t>
      </w:r>
      <w:r>
        <w:rPr>
          <w:rFonts w:ascii="Times New Roman" w:eastAsia="宋体" w:hAnsi="Times New Roman" w:cs="Times New Roman" w:hint="eastAsia"/>
          <w:szCs w:val="21"/>
        </w:rPr>
        <w:t>年，全球银供应量中仅</w:t>
      </w:r>
      <w:r>
        <w:rPr>
          <w:rFonts w:ascii="Times New Roman" w:eastAsia="宋体" w:hAnsi="Times New Roman" w:cs="Times New Roman" w:hint="eastAsia"/>
          <w:szCs w:val="21"/>
        </w:rPr>
        <w:t>28%</w:t>
      </w:r>
      <w:r>
        <w:rPr>
          <w:rFonts w:ascii="Times New Roman" w:eastAsia="宋体" w:hAnsi="Times New Roman" w:cs="Times New Roman" w:hint="eastAsia"/>
          <w:szCs w:val="21"/>
        </w:rPr>
        <w:t>来自原生资源，其余</w:t>
      </w:r>
      <w:r>
        <w:rPr>
          <w:rFonts w:ascii="Times New Roman" w:eastAsia="宋体" w:hAnsi="Times New Roman" w:cs="Times New Roman" w:hint="eastAsia"/>
          <w:szCs w:val="21"/>
        </w:rPr>
        <w:t>72%</w:t>
      </w:r>
      <w:r>
        <w:rPr>
          <w:rFonts w:ascii="Times New Roman" w:eastAsia="宋体" w:hAnsi="Times New Roman" w:cs="Times New Roman" w:hint="eastAsia"/>
          <w:szCs w:val="21"/>
        </w:rPr>
        <w:t>来自铜、金、铅和锌项目的副产品</w:t>
      </w:r>
      <w:r>
        <w:rPr>
          <w:rFonts w:ascii="Times New Roman" w:hAnsi="Times New Roman" w:cs="Times New Roman" w:hint="eastAsia"/>
          <w:color w:val="EE0000"/>
          <w:szCs w:val="21"/>
          <w:vertAlign w:val="superscript"/>
        </w:rPr>
        <w:t>[26]</w:t>
      </w:r>
      <w:r>
        <w:rPr>
          <w:rFonts w:ascii="Times New Roman" w:eastAsia="宋体" w:hAnsi="Times New Roman" w:cs="Times New Roman" w:hint="eastAsia"/>
          <w:szCs w:val="21"/>
        </w:rPr>
        <w:t>。银在光伏产业链中的关键角色，但同时这对全球银价和库存造成较大压力。</w:t>
      </w:r>
    </w:p>
    <w:p w14:paraId="524C4F84" w14:textId="77777777"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光伏系统中的逆变器、电缆、连接器等配套设施对铜与铝的依赖也日益加剧。铜因其卓越的导电性与散热性能，在光伏系统中每兆瓦的平均需求量为</w:t>
      </w:r>
      <w:r>
        <w:rPr>
          <w:rFonts w:ascii="Times New Roman" w:eastAsia="宋体" w:hAnsi="Times New Roman" w:cs="Times New Roman" w:hint="eastAsia"/>
          <w:szCs w:val="21"/>
        </w:rPr>
        <w:t>4-5</w:t>
      </w:r>
      <w:r>
        <w:rPr>
          <w:rFonts w:ascii="Times New Roman" w:eastAsia="宋体" w:hAnsi="Times New Roman" w:cs="Times New Roman" w:hint="eastAsia"/>
          <w:szCs w:val="21"/>
        </w:rPr>
        <w:t>吨；而铝则主要用于组件框架和支架系统，每兆瓦需求量大于铜，约为</w:t>
      </w:r>
      <w:r>
        <w:rPr>
          <w:rFonts w:ascii="Times New Roman" w:eastAsia="宋体" w:hAnsi="Times New Roman" w:cs="Times New Roman" w:hint="eastAsia"/>
          <w:szCs w:val="21"/>
        </w:rPr>
        <w:t>10</w:t>
      </w:r>
      <w:r>
        <w:rPr>
          <w:rFonts w:ascii="Times New Roman" w:eastAsia="宋体" w:hAnsi="Times New Roman" w:cs="Times New Roman" w:hint="eastAsia"/>
          <w:szCs w:val="21"/>
        </w:rPr>
        <w:t>吨</w:t>
      </w:r>
      <w:r>
        <w:rPr>
          <w:rFonts w:ascii="Times New Roman" w:hAnsi="Times New Roman" w:cs="Times New Roman" w:hint="eastAsia"/>
          <w:color w:val="EE0000"/>
          <w:szCs w:val="21"/>
          <w:vertAlign w:val="superscript"/>
        </w:rPr>
        <w:t>[27]</w:t>
      </w:r>
      <w:r>
        <w:rPr>
          <w:rFonts w:ascii="Times New Roman" w:eastAsia="宋体" w:hAnsi="Times New Roman" w:cs="Times New Roman" w:hint="eastAsia"/>
          <w:szCs w:val="21"/>
        </w:rPr>
        <w:t>。铜与铝的需求不仅推动相关采矿与冶炼技术的发展，还引发了金属市场的供需动态变化，对产业链的长期可持续发展构成挑战。</w:t>
      </w:r>
    </w:p>
    <w:p w14:paraId="2C9BC4E9" w14:textId="77777777"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新型薄膜太阳能技术的兴起，如碲化镉</w:t>
      </w:r>
      <w:r>
        <w:rPr>
          <w:rFonts w:ascii="Times New Roman" w:eastAsia="宋体" w:hAnsi="Times New Roman" w:cs="Times New Roman" w:hint="eastAsia"/>
          <w:szCs w:val="21"/>
        </w:rPr>
        <w:t>（</w:t>
      </w:r>
      <w:r>
        <w:rPr>
          <w:rFonts w:ascii="Times New Roman" w:eastAsia="宋体" w:hAnsi="Times New Roman" w:cs="Times New Roman" w:hint="eastAsia"/>
          <w:szCs w:val="21"/>
        </w:rPr>
        <w:t>CdTe</w:t>
      </w:r>
      <w:r>
        <w:rPr>
          <w:rFonts w:ascii="Times New Roman" w:eastAsia="宋体" w:hAnsi="Times New Roman" w:cs="Times New Roman" w:hint="eastAsia"/>
          <w:szCs w:val="21"/>
        </w:rPr>
        <w:t>）与铜铟镓硒（</w:t>
      </w:r>
      <w:r>
        <w:rPr>
          <w:rFonts w:ascii="Times New Roman" w:eastAsia="宋体" w:hAnsi="Times New Roman" w:cs="Times New Roman" w:hint="eastAsia"/>
          <w:szCs w:val="21"/>
        </w:rPr>
        <w:t>CIGS</w:t>
      </w:r>
      <w:r>
        <w:rPr>
          <w:rFonts w:ascii="Times New Roman" w:eastAsia="宋体" w:hAnsi="Times New Roman" w:cs="Times New Roman" w:hint="eastAsia"/>
          <w:szCs w:val="21"/>
        </w:rPr>
        <w:t>）技术，进一步加大了稀有金属（如碲、铟、镓）的需求。以</w:t>
      </w:r>
      <w:r>
        <w:rPr>
          <w:rFonts w:ascii="Times New Roman" w:eastAsia="宋体" w:hAnsi="Times New Roman" w:cs="Times New Roman" w:hint="eastAsia"/>
          <w:szCs w:val="21"/>
        </w:rPr>
        <w:t>CdTe</w:t>
      </w:r>
      <w:r>
        <w:rPr>
          <w:rFonts w:ascii="Times New Roman" w:eastAsia="宋体" w:hAnsi="Times New Roman" w:cs="Times New Roman" w:hint="eastAsia"/>
          <w:szCs w:val="21"/>
        </w:rPr>
        <w:t>板为例，虽然碲的用量相对较少，但其全球储量有限，供应风险突出</w:t>
      </w:r>
      <w:r>
        <w:rPr>
          <w:rFonts w:ascii="Times New Roman" w:hAnsi="Times New Roman" w:cs="Times New Roman" w:hint="eastAsia"/>
          <w:color w:val="EE0000"/>
          <w:szCs w:val="21"/>
          <w:vertAlign w:val="superscript"/>
        </w:rPr>
        <w:t>[28]</w:t>
      </w:r>
      <w:r>
        <w:rPr>
          <w:rFonts w:ascii="Times New Roman" w:eastAsia="宋体" w:hAnsi="Times New Roman" w:cs="Times New Roman" w:hint="eastAsia"/>
          <w:szCs w:val="21"/>
        </w:rPr>
        <w:t>。因此，薄膜太阳能技术领域正在加速探索资源回收和替代材料的研发，以期降低对稀有金属的依赖，维护产业链的稳定与环保特性。一些研究尝试在钙钛矿及其他新型光伏材料中掺杂微量铟、镓</w:t>
      </w:r>
      <w:r>
        <w:rPr>
          <w:rFonts w:ascii="Times New Roman" w:hAnsi="Times New Roman" w:cs="Times New Roman" w:hint="eastAsia"/>
          <w:color w:val="EE0000"/>
          <w:szCs w:val="21"/>
          <w:vertAlign w:val="superscript"/>
        </w:rPr>
        <w:t>[29]</w:t>
      </w:r>
      <w:r>
        <w:rPr>
          <w:rFonts w:ascii="Times New Roman" w:eastAsia="宋体" w:hAnsi="Times New Roman" w:cs="Times New Roman" w:hint="eastAsia"/>
          <w:szCs w:val="21"/>
        </w:rPr>
        <w:t>。例如，在钙钛矿器件中添加少量镓，不仅可改善晶体界面的质量，降低缺陷浓度，还能加速电荷传输，从而提升光电转换效率；而微量铟则有助于增强钙钛矿结构的稳定性，延长器件的使用寿命</w:t>
      </w:r>
      <w:r>
        <w:rPr>
          <w:rFonts w:ascii="Times New Roman" w:hAnsi="Times New Roman" w:cs="Times New Roman" w:hint="eastAsia"/>
          <w:color w:val="EE0000"/>
          <w:szCs w:val="21"/>
          <w:vertAlign w:val="superscript"/>
        </w:rPr>
        <w:t>[30]</w:t>
      </w:r>
      <w:r>
        <w:rPr>
          <w:rFonts w:ascii="Times New Roman" w:eastAsia="宋体" w:hAnsi="Times New Roman" w:cs="Times New Roman" w:hint="eastAsia"/>
          <w:szCs w:val="21"/>
        </w:rPr>
        <w:t>。</w:t>
      </w:r>
    </w:p>
    <w:p w14:paraId="19FAC79D" w14:textId="77777777"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光伏产业对关键金属的需求，反映了技术升级与高效发电对资源趋势的影响，同时揭示了原材料供应的潜在风险。提高金属资源的利用效率，突破回收技术，开发替代材料，将成为未来推动光伏产业实现绿色与可持续发展的重要途径。</w:t>
      </w:r>
    </w:p>
    <w:p w14:paraId="025E4794" w14:textId="77777777" w:rsidR="00691F6A"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1.3  </w:t>
      </w:r>
      <w:r>
        <w:rPr>
          <w:rFonts w:ascii="Times New Roman" w:eastAsia="宋体" w:hAnsi="Times New Roman" w:cs="Times New Roman" w:hint="eastAsia"/>
          <w:b/>
          <w:kern w:val="0"/>
          <w:szCs w:val="21"/>
        </w:rPr>
        <w:t>电力储能设备产业中关键金属消费</w:t>
      </w:r>
    </w:p>
    <w:p w14:paraId="4EE4B702" w14:textId="77777777" w:rsidR="00691F6A" w:rsidRDefault="00000000">
      <w:pPr>
        <w:widowControl/>
        <w:spacing w:line="240" w:lineRule="atLeast"/>
        <w:ind w:firstLine="420"/>
        <w:rPr>
          <w:rFonts w:ascii="Times New Roman" w:hAnsi="Times New Roman" w:cs="Times New Roman"/>
          <w:szCs w:val="21"/>
        </w:rPr>
      </w:pPr>
      <w:r>
        <w:rPr>
          <w:rFonts w:ascii="Times New Roman" w:hAnsi="Times New Roman" w:cs="Times New Roman" w:hint="eastAsia"/>
          <w:szCs w:val="21"/>
        </w:rPr>
        <w:t>电力储能设备产业作为支撑全球能源转型的核心产业，随着电力系统转型需求与能源安全等需求的快速驱动，正处于高速发展阶段。</w:t>
      </w:r>
      <w:r>
        <w:rPr>
          <w:rFonts w:ascii="Times New Roman" w:hAnsi="Times New Roman" w:cs="Times New Roman" w:hint="eastAsia"/>
          <w:szCs w:val="21"/>
        </w:rPr>
        <w:t>IEA</w:t>
      </w:r>
      <w:r>
        <w:rPr>
          <w:rFonts w:ascii="Times New Roman" w:hAnsi="Times New Roman" w:cs="Times New Roman" w:hint="eastAsia"/>
          <w:szCs w:val="21"/>
        </w:rPr>
        <w:t>在《电网与保障能源转型》报告中</w:t>
      </w:r>
      <w:r>
        <w:rPr>
          <w:rFonts w:ascii="Times New Roman" w:hAnsi="Times New Roman" w:cs="Times New Roman" w:hint="eastAsia"/>
          <w:color w:val="EE0000"/>
          <w:szCs w:val="21"/>
          <w:vertAlign w:val="superscript"/>
        </w:rPr>
        <w:t>[31]</w:t>
      </w:r>
      <w:r>
        <w:rPr>
          <w:rFonts w:ascii="Times New Roman" w:hAnsi="Times New Roman" w:cs="Times New Roman" w:hint="eastAsia"/>
          <w:szCs w:val="21"/>
        </w:rPr>
        <w:t>，强调了电力储能在能源转型与气候目标中的关键作用。报告指出，当前全球电网基础设施每年投资额度稳定于</w:t>
      </w:r>
      <w:r>
        <w:rPr>
          <w:rFonts w:ascii="Times New Roman" w:hAnsi="Times New Roman" w:cs="Times New Roman" w:hint="eastAsia"/>
          <w:szCs w:val="21"/>
        </w:rPr>
        <w:t>3000</w:t>
      </w:r>
      <w:r>
        <w:rPr>
          <w:rFonts w:ascii="Times New Roman" w:hAnsi="Times New Roman" w:cs="Times New Roman" w:hint="eastAsia"/>
          <w:szCs w:val="21"/>
        </w:rPr>
        <w:t>亿美元左右。其中，</w:t>
      </w:r>
      <w:r>
        <w:rPr>
          <w:rFonts w:ascii="Times New Roman" w:hAnsi="Times New Roman" w:cs="Times New Roman" w:hint="eastAsia"/>
          <w:szCs w:val="21"/>
        </w:rPr>
        <w:t>2023</w:t>
      </w:r>
      <w:r>
        <w:rPr>
          <w:rFonts w:ascii="Times New Roman" w:hAnsi="Times New Roman" w:cs="Times New Roman" w:hint="eastAsia"/>
          <w:szCs w:val="21"/>
        </w:rPr>
        <w:t>年储能电池全球投资额度约为</w:t>
      </w:r>
      <w:r>
        <w:rPr>
          <w:rFonts w:ascii="Times New Roman" w:hAnsi="Times New Roman" w:cs="Times New Roman" w:hint="eastAsia"/>
          <w:szCs w:val="21"/>
        </w:rPr>
        <w:t>400</w:t>
      </w:r>
      <w:r>
        <w:rPr>
          <w:rFonts w:ascii="Times New Roman" w:hAnsi="Times New Roman" w:cs="Times New Roman" w:hint="eastAsia"/>
          <w:szCs w:val="21"/>
        </w:rPr>
        <w:t>亿美元</w:t>
      </w:r>
      <w:r>
        <w:rPr>
          <w:rFonts w:ascii="Times New Roman" w:hAnsi="Times New Roman" w:cs="Times New Roman" w:hint="eastAsia"/>
          <w:color w:val="EE0000"/>
          <w:szCs w:val="21"/>
          <w:vertAlign w:val="superscript"/>
        </w:rPr>
        <w:t>[32]</w:t>
      </w:r>
      <w:r>
        <w:rPr>
          <w:rFonts w:ascii="Times New Roman" w:hAnsi="Times New Roman" w:cs="Times New Roman" w:hint="eastAsia"/>
          <w:szCs w:val="21"/>
        </w:rPr>
        <w:t>。当前至</w:t>
      </w:r>
      <w:r>
        <w:rPr>
          <w:rFonts w:ascii="Times New Roman" w:hAnsi="Times New Roman" w:cs="Times New Roman" w:hint="eastAsia"/>
          <w:szCs w:val="21"/>
        </w:rPr>
        <w:t>2030</w:t>
      </w:r>
      <w:r>
        <w:rPr>
          <w:rFonts w:ascii="Times New Roman" w:hAnsi="Times New Roman" w:cs="Times New Roman" w:hint="eastAsia"/>
          <w:szCs w:val="21"/>
        </w:rPr>
        <w:t>年，若要满足储能需求，全球储能电池投资额仍需每年增长</w:t>
      </w:r>
      <w:r>
        <w:rPr>
          <w:rFonts w:ascii="Times New Roman" w:hAnsi="Times New Roman" w:cs="Times New Roman" w:hint="eastAsia"/>
          <w:szCs w:val="21"/>
        </w:rPr>
        <w:t>25%</w:t>
      </w:r>
      <w:r>
        <w:rPr>
          <w:rFonts w:ascii="Times New Roman" w:hAnsi="Times New Roman" w:cs="Times New Roman" w:hint="eastAsia"/>
          <w:szCs w:val="21"/>
        </w:rPr>
        <w:t>，以填补缺口。储能成本下降将是支持全球更多经济部署的关键。</w:t>
      </w:r>
      <w:r>
        <w:rPr>
          <w:rFonts w:ascii="Times New Roman" w:hAnsi="Times New Roman" w:cs="Times New Roman" w:hint="eastAsia"/>
          <w:szCs w:val="21"/>
        </w:rPr>
        <w:t>IEA</w:t>
      </w:r>
      <w:r>
        <w:rPr>
          <w:rFonts w:ascii="Times New Roman" w:hAnsi="Times New Roman" w:cs="Times New Roman" w:hint="eastAsia"/>
          <w:szCs w:val="21"/>
        </w:rPr>
        <w:t>能源效率进度研究表明，全球电力占总消费总量（</w:t>
      </w:r>
      <w:r>
        <w:rPr>
          <w:rFonts w:ascii="Times New Roman" w:hAnsi="Times New Roman" w:cs="Times New Roman" w:hint="eastAsia"/>
          <w:szCs w:val="21"/>
        </w:rPr>
        <w:t>TFC</w:t>
      </w:r>
      <w:r>
        <w:rPr>
          <w:rFonts w:ascii="Times New Roman" w:hAnsi="Times New Roman" w:cs="Times New Roman" w:hint="eastAsia"/>
          <w:szCs w:val="21"/>
        </w:rPr>
        <w:t>）份额，</w:t>
      </w:r>
      <w:r>
        <w:rPr>
          <w:rFonts w:ascii="Times New Roman" w:hAnsi="Times New Roman" w:cs="Times New Roman" w:hint="eastAsia"/>
          <w:szCs w:val="21"/>
        </w:rPr>
        <w:t>2010-2019</w:t>
      </w:r>
      <w:r>
        <w:rPr>
          <w:rFonts w:ascii="Times New Roman" w:hAnsi="Times New Roman" w:cs="Times New Roman" w:hint="eastAsia"/>
          <w:szCs w:val="21"/>
        </w:rPr>
        <w:t>年平均为</w:t>
      </w:r>
      <w:r>
        <w:rPr>
          <w:rFonts w:ascii="Times New Roman" w:hAnsi="Times New Roman" w:cs="Times New Roman" w:hint="eastAsia"/>
          <w:szCs w:val="21"/>
        </w:rPr>
        <w:t>18.7%</w:t>
      </w:r>
      <w:r>
        <w:rPr>
          <w:rFonts w:ascii="Times New Roman" w:hAnsi="Times New Roman" w:cs="Times New Roman" w:hint="eastAsia"/>
          <w:szCs w:val="21"/>
        </w:rPr>
        <w:t>，</w:t>
      </w:r>
      <w:r>
        <w:rPr>
          <w:rFonts w:ascii="Times New Roman" w:hAnsi="Times New Roman" w:cs="Times New Roman" w:hint="eastAsia"/>
          <w:szCs w:val="21"/>
        </w:rPr>
        <w:t>021-2024</w:t>
      </w:r>
      <w:r>
        <w:rPr>
          <w:rFonts w:ascii="Times New Roman" w:hAnsi="Times New Roman" w:cs="Times New Roman" w:hint="eastAsia"/>
          <w:szCs w:val="21"/>
        </w:rPr>
        <w:t>平均为</w:t>
      </w:r>
      <w:r>
        <w:rPr>
          <w:rFonts w:ascii="Times New Roman" w:hAnsi="Times New Roman" w:cs="Times New Roman" w:hint="eastAsia"/>
          <w:szCs w:val="21"/>
        </w:rPr>
        <w:t>21.1%</w:t>
      </w:r>
      <w:r>
        <w:rPr>
          <w:rFonts w:ascii="Times New Roman" w:hAnsi="Times New Roman" w:cs="Times New Roman" w:hint="eastAsia"/>
          <w:color w:val="EE0000"/>
          <w:szCs w:val="21"/>
          <w:vertAlign w:val="superscript"/>
        </w:rPr>
        <w:t>[33]</w:t>
      </w:r>
      <w:r>
        <w:rPr>
          <w:rFonts w:ascii="Times New Roman" w:hAnsi="Times New Roman" w:cs="Times New Roman" w:hint="eastAsia"/>
          <w:szCs w:val="21"/>
        </w:rPr>
        <w:t>。</w:t>
      </w:r>
    </w:p>
    <w:p w14:paraId="2846C8F2" w14:textId="77777777" w:rsidR="00691F6A" w:rsidRDefault="00000000">
      <w:pPr>
        <w:widowControl/>
        <w:spacing w:line="240" w:lineRule="atLeast"/>
        <w:ind w:firstLine="420"/>
        <w:rPr>
          <w:rFonts w:cs="Calibri"/>
        </w:rPr>
      </w:pPr>
      <w:r>
        <w:rPr>
          <w:rFonts w:ascii="宋体" w:hAnsi="宋体" w:hint="eastAsia"/>
        </w:rPr>
        <w:t>锂离子电池因其能量密度高（</w:t>
      </w:r>
      <w:r>
        <w:rPr>
          <w:rFonts w:ascii="Times New Roman" w:hAnsi="Times New Roman" w:hint="eastAsia"/>
        </w:rPr>
        <w:t>130-200Wh/kg</w:t>
      </w:r>
      <w:r>
        <w:rPr>
          <w:rFonts w:ascii="宋体" w:hAnsi="宋体" w:hint="eastAsia"/>
        </w:rPr>
        <w:t>）、响应速度快与产业链配套完善等优势，占据全球电力储能市场的</w:t>
      </w:r>
      <w:r>
        <w:rPr>
          <w:rFonts w:ascii="Times New Roman" w:hAnsi="Times New Roman" w:hint="eastAsia"/>
        </w:rPr>
        <w:t>95%</w:t>
      </w:r>
      <w:r>
        <w:rPr>
          <w:rFonts w:ascii="宋体" w:hAnsi="宋体" w:hint="eastAsia"/>
        </w:rPr>
        <w:t>以上，是具有绝对主导地位的市场份额的部分</w:t>
      </w:r>
      <w:r>
        <w:rPr>
          <w:rFonts w:ascii="Times New Roman" w:hAnsi="Times New Roman" w:cs="Times New Roman" w:hint="eastAsia"/>
          <w:color w:val="EE0000"/>
          <w:szCs w:val="21"/>
          <w:vertAlign w:val="superscript"/>
        </w:rPr>
        <w:t>[34]</w:t>
      </w:r>
      <w:r>
        <w:rPr>
          <w:rFonts w:ascii="宋体" w:hAnsi="宋体" w:hint="eastAsia"/>
        </w:rPr>
        <w:t>。近年来，随着锂离子储能电池装机量的迅猛增加，作为其关键原材料的锂、钴、镍、锰等关键金属消费量也迎来了爆发式增长。锂离子电池占新型储能电池装机量的约</w:t>
      </w:r>
      <w:r>
        <w:rPr>
          <w:rFonts w:cs="Calibri" w:hint="eastAsia"/>
        </w:rPr>
        <w:t>90%</w:t>
      </w:r>
      <w:r>
        <w:rPr>
          <w:rFonts w:ascii="宋体" w:hAnsi="宋体" w:hint="eastAsia"/>
        </w:rPr>
        <w:t>，而磷酸铁锂电池（</w:t>
      </w:r>
      <w:r>
        <w:rPr>
          <w:rFonts w:cs="Calibri" w:hint="eastAsia"/>
        </w:rPr>
        <w:t>LFP</w:t>
      </w:r>
      <w:r>
        <w:rPr>
          <w:rFonts w:ascii="宋体" w:hAnsi="宋体" w:hint="eastAsia"/>
        </w:rPr>
        <w:t>）占储能锂离子电池的超过</w:t>
      </w:r>
      <w:r>
        <w:rPr>
          <w:rFonts w:cs="Calibri" w:hint="eastAsia"/>
        </w:rPr>
        <w:t>95%</w:t>
      </w:r>
      <w:r>
        <w:rPr>
          <w:rFonts w:ascii="Times New Roman" w:hAnsi="Times New Roman" w:cs="Times New Roman" w:hint="eastAsia"/>
          <w:color w:val="EE0000"/>
          <w:szCs w:val="21"/>
          <w:vertAlign w:val="superscript"/>
        </w:rPr>
        <w:t>[35]</w:t>
      </w:r>
      <w:r>
        <w:rPr>
          <w:rFonts w:ascii="宋体" w:hAnsi="宋体" w:hint="eastAsia"/>
        </w:rPr>
        <w:t>。全球锂消费从</w:t>
      </w:r>
      <w:r>
        <w:rPr>
          <w:rFonts w:cs="Calibri" w:hint="eastAsia"/>
        </w:rPr>
        <w:t>2010</w:t>
      </w:r>
      <w:r>
        <w:rPr>
          <w:rFonts w:ascii="宋体" w:hAnsi="宋体" w:hint="eastAsia"/>
        </w:rPr>
        <w:t>年的不足</w:t>
      </w:r>
      <w:r>
        <w:rPr>
          <w:rFonts w:cs="Calibri" w:hint="eastAsia"/>
        </w:rPr>
        <w:t>10</w:t>
      </w:r>
      <w:r>
        <w:rPr>
          <w:rFonts w:ascii="宋体" w:hAnsi="宋体" w:hint="eastAsia"/>
        </w:rPr>
        <w:t>万吨激增至</w:t>
      </w:r>
      <w:r>
        <w:rPr>
          <w:rFonts w:cs="Calibri" w:hint="eastAsia"/>
        </w:rPr>
        <w:t>2023</w:t>
      </w:r>
      <w:r>
        <w:rPr>
          <w:rFonts w:ascii="宋体" w:hAnsi="宋体" w:hint="eastAsia"/>
        </w:rPr>
        <w:t>年超过</w:t>
      </w:r>
      <w:r>
        <w:rPr>
          <w:rFonts w:cs="Calibri" w:hint="eastAsia"/>
        </w:rPr>
        <w:t>80</w:t>
      </w:r>
      <w:r>
        <w:rPr>
          <w:rFonts w:ascii="宋体" w:hAnsi="宋体" w:hint="eastAsia"/>
        </w:rPr>
        <w:t>万吨（碳酸锂当量），全球电池用锂占比已达</w:t>
      </w:r>
      <w:r>
        <w:rPr>
          <w:rFonts w:cs="Calibri" w:hint="eastAsia"/>
        </w:rPr>
        <w:t>87%</w:t>
      </w:r>
      <w:r>
        <w:rPr>
          <w:rFonts w:ascii="Times New Roman" w:hAnsi="Times New Roman" w:cs="Times New Roman" w:hint="eastAsia"/>
          <w:color w:val="EE0000"/>
          <w:szCs w:val="21"/>
          <w:vertAlign w:val="superscript"/>
        </w:rPr>
        <w:t>[36]</w:t>
      </w:r>
      <w:r>
        <w:rPr>
          <w:rFonts w:ascii="宋体" w:hAnsi="宋体" w:hint="eastAsia"/>
        </w:rPr>
        <w:t>，其中储能用锂占比从</w:t>
      </w:r>
      <w:r>
        <w:rPr>
          <w:rFonts w:cs="Calibri" w:hint="eastAsia"/>
        </w:rPr>
        <w:t>2020</w:t>
      </w:r>
      <w:r>
        <w:rPr>
          <w:rFonts w:ascii="宋体" w:hAnsi="宋体" w:hint="eastAsia"/>
        </w:rPr>
        <w:t>年的</w:t>
      </w:r>
      <w:r>
        <w:rPr>
          <w:rFonts w:cs="Calibri" w:hint="eastAsia"/>
        </w:rPr>
        <w:t>10%</w:t>
      </w:r>
      <w:r>
        <w:rPr>
          <w:rFonts w:ascii="宋体" w:hAnsi="宋体" w:hint="eastAsia"/>
        </w:rPr>
        <w:t>增加至</w:t>
      </w:r>
      <w:r>
        <w:rPr>
          <w:rFonts w:cs="Calibri" w:hint="eastAsia"/>
        </w:rPr>
        <w:t>2025</w:t>
      </w:r>
      <w:r>
        <w:rPr>
          <w:rFonts w:ascii="宋体" w:hAnsi="宋体" w:hint="eastAsia"/>
        </w:rPr>
        <w:t>年的</w:t>
      </w:r>
      <w:r>
        <w:rPr>
          <w:rFonts w:cs="Calibri" w:hint="eastAsia"/>
        </w:rPr>
        <w:t>25%</w:t>
      </w:r>
      <w:r>
        <w:rPr>
          <w:rFonts w:ascii="宋体" w:hAnsi="宋体" w:hint="eastAsia"/>
        </w:rPr>
        <w:t>；从全球电池用钴消费情况来看，</w:t>
      </w:r>
      <w:r>
        <w:rPr>
          <w:rFonts w:cs="Calibri" w:hint="eastAsia"/>
        </w:rPr>
        <w:t>NCM</w:t>
      </w:r>
      <w:r>
        <w:rPr>
          <w:rFonts w:ascii="宋体" w:hAnsi="宋体" w:hint="eastAsia"/>
        </w:rPr>
        <w:t>三元电池在欧盟市场的主导地位导致</w:t>
      </w:r>
      <w:r>
        <w:rPr>
          <w:rFonts w:ascii="宋体" w:hAnsi="宋体" w:hint="eastAsia"/>
        </w:rPr>
        <w:lastRenderedPageBreak/>
        <w:t>全球电池用钴消费量仍较大，</w:t>
      </w:r>
      <w:r>
        <w:rPr>
          <w:rFonts w:cs="Calibri" w:hint="eastAsia"/>
        </w:rPr>
        <w:t>2023</w:t>
      </w:r>
      <w:r>
        <w:rPr>
          <w:rFonts w:ascii="宋体" w:hAnsi="宋体" w:hint="eastAsia"/>
        </w:rPr>
        <w:t>年为</w:t>
      </w:r>
      <w:r>
        <w:rPr>
          <w:rFonts w:cs="Calibri" w:hint="eastAsia"/>
        </w:rPr>
        <w:t>6.5</w:t>
      </w:r>
      <w:r>
        <w:rPr>
          <w:rFonts w:ascii="宋体" w:hAnsi="宋体" w:hint="eastAsia"/>
        </w:rPr>
        <w:t>万吨，其中动力电池用钴</w:t>
      </w:r>
      <w:r>
        <w:rPr>
          <w:rFonts w:cs="Calibri" w:hint="eastAsia"/>
        </w:rPr>
        <w:t>6.2</w:t>
      </w:r>
      <w:r>
        <w:rPr>
          <w:rFonts w:ascii="宋体" w:hAnsi="宋体" w:hint="eastAsia"/>
        </w:rPr>
        <w:t>万吨，储能电池用钴</w:t>
      </w:r>
      <w:r>
        <w:rPr>
          <w:rFonts w:cs="Calibri" w:hint="eastAsia"/>
        </w:rPr>
        <w:t>3000</w:t>
      </w:r>
      <w:r>
        <w:rPr>
          <w:rFonts w:ascii="宋体" w:hAnsi="宋体" w:hint="eastAsia"/>
        </w:rPr>
        <w:t>吨，清洁能源用钴量占比</w:t>
      </w:r>
      <w:r>
        <w:rPr>
          <w:rFonts w:cs="Calibri" w:hint="eastAsia"/>
        </w:rPr>
        <w:t>30%</w:t>
      </w:r>
      <w:r>
        <w:rPr>
          <w:rFonts w:ascii="宋体" w:hAnsi="宋体" w:hint="eastAsia"/>
        </w:rPr>
        <w:t>，而这一比例在</w:t>
      </w:r>
      <w:r>
        <w:rPr>
          <w:rFonts w:cs="Calibri" w:hint="eastAsia"/>
        </w:rPr>
        <w:t>2017</w:t>
      </w:r>
      <w:r>
        <w:rPr>
          <w:rFonts w:ascii="宋体" w:hAnsi="宋体" w:hint="eastAsia"/>
        </w:rPr>
        <w:t>年为</w:t>
      </w:r>
      <w:r>
        <w:rPr>
          <w:rFonts w:cs="Calibri" w:hint="eastAsia"/>
        </w:rPr>
        <w:t>17%</w:t>
      </w:r>
      <w:r>
        <w:rPr>
          <w:rFonts w:ascii="Times New Roman" w:hAnsi="Times New Roman" w:cs="Times New Roman" w:hint="eastAsia"/>
          <w:color w:val="EE0000"/>
          <w:szCs w:val="21"/>
          <w:vertAlign w:val="superscript"/>
        </w:rPr>
        <w:t>[37]</w:t>
      </w:r>
      <w:r>
        <w:rPr>
          <w:rFonts w:ascii="宋体" w:hAnsi="宋体" w:hint="eastAsia"/>
        </w:rPr>
        <w:t>。但随着全球高镍低钴产业技术的驱动，电池用钴量占比正逐渐降低；从镍资源消费情况来看，全球电池用镍占比从</w:t>
      </w:r>
      <w:r>
        <w:rPr>
          <w:rFonts w:cs="Calibri" w:hint="eastAsia"/>
        </w:rPr>
        <w:t>2017</w:t>
      </w:r>
      <w:r>
        <w:rPr>
          <w:rFonts w:ascii="宋体" w:hAnsi="宋体" w:hint="eastAsia"/>
        </w:rPr>
        <w:t>年的</w:t>
      </w:r>
      <w:r>
        <w:rPr>
          <w:rFonts w:cs="Calibri" w:hint="eastAsia"/>
        </w:rPr>
        <w:t>6%</w:t>
      </w:r>
      <w:r>
        <w:rPr>
          <w:rFonts w:ascii="宋体" w:hAnsi="宋体" w:hint="eastAsia"/>
        </w:rPr>
        <w:t>增加至</w:t>
      </w:r>
      <w:r>
        <w:rPr>
          <w:rFonts w:cs="Calibri" w:hint="eastAsia"/>
        </w:rPr>
        <w:t>2023</w:t>
      </w:r>
      <w:r>
        <w:rPr>
          <w:rFonts w:ascii="宋体" w:hAnsi="宋体" w:hint="eastAsia"/>
        </w:rPr>
        <w:t>年的</w:t>
      </w:r>
      <w:r>
        <w:rPr>
          <w:rFonts w:cs="Calibri" w:hint="eastAsia"/>
        </w:rPr>
        <w:t>15%</w:t>
      </w:r>
      <w:r>
        <w:rPr>
          <w:rFonts w:ascii="宋体" w:hAnsi="宋体" w:hint="eastAsia"/>
        </w:rPr>
        <w:t>左右</w:t>
      </w:r>
      <w:r>
        <w:rPr>
          <w:rFonts w:ascii="Times New Roman" w:hAnsi="Times New Roman" w:cs="Times New Roman" w:hint="eastAsia"/>
          <w:color w:val="EE0000"/>
          <w:szCs w:val="21"/>
          <w:vertAlign w:val="superscript"/>
        </w:rPr>
        <w:t>[38]</w:t>
      </w:r>
      <w:r>
        <w:rPr>
          <w:rFonts w:ascii="宋体" w:hAnsi="宋体" w:hint="eastAsia"/>
        </w:rPr>
        <w:t>。</w:t>
      </w:r>
    </w:p>
    <w:p w14:paraId="78CBCF0E" w14:textId="4395DB68" w:rsidR="00691F6A" w:rsidRDefault="00000000">
      <w:pPr>
        <w:widowControl/>
        <w:spacing w:line="240" w:lineRule="atLeast"/>
        <w:ind w:firstLineChars="200" w:firstLine="420"/>
        <w:rPr>
          <w:rFonts w:ascii="宋体" w:hAnsi="宋体" w:hint="eastAsia"/>
        </w:rPr>
      </w:pPr>
      <w:r>
        <w:rPr>
          <w:rFonts w:cs="Calibri" w:hint="eastAsia"/>
        </w:rPr>
        <w:t>2022</w:t>
      </w:r>
      <w:r>
        <w:rPr>
          <w:rFonts w:ascii="宋体" w:hAnsi="宋体" w:hint="eastAsia"/>
        </w:rPr>
        <w:t>年和</w:t>
      </w:r>
      <w:r>
        <w:rPr>
          <w:rFonts w:cs="Calibri" w:hint="eastAsia"/>
        </w:rPr>
        <w:t>2024</w:t>
      </w:r>
      <w:r>
        <w:rPr>
          <w:rFonts w:ascii="宋体" w:hAnsi="宋体" w:hint="eastAsia"/>
        </w:rPr>
        <w:t>年储能电池金属的消费量对比如图</w:t>
      </w:r>
      <w:r w:rsidR="00867723" w:rsidRPr="00867723">
        <w:rPr>
          <w:rFonts w:ascii="Times New Roman" w:hAnsi="Times New Roman" w:cs="Times New Roman"/>
        </w:rPr>
        <w:t>5</w:t>
      </w:r>
      <w:r>
        <w:rPr>
          <w:rFonts w:ascii="宋体" w:hAnsi="宋体" w:hint="eastAsia"/>
        </w:rPr>
        <w:t>所示。锂和镍的消费量在</w:t>
      </w:r>
      <w:r>
        <w:rPr>
          <w:rFonts w:cs="Calibri" w:hint="eastAsia"/>
        </w:rPr>
        <w:t>2024</w:t>
      </w:r>
      <w:r>
        <w:rPr>
          <w:rFonts w:ascii="宋体" w:hAnsi="宋体" w:hint="eastAsia"/>
        </w:rPr>
        <w:t>年显著增加，锂的增长最为明显。钴的消费量在</w:t>
      </w:r>
      <w:r>
        <w:rPr>
          <w:rFonts w:cs="Calibri" w:hint="eastAsia"/>
        </w:rPr>
        <w:t>2023</w:t>
      </w:r>
      <w:r>
        <w:rPr>
          <w:rFonts w:ascii="宋体" w:hAnsi="宋体" w:hint="eastAsia"/>
        </w:rPr>
        <w:t>年有所下降，反映出市场对钴的需求减少或被其他材料替代。锰的消费量变化不大，有轻微的降低，显示出相对稳定的市场需求。</w:t>
      </w:r>
    </w:p>
    <w:p w14:paraId="77F4F5D3" w14:textId="7194F905" w:rsidR="00691F6A" w:rsidRDefault="00493838">
      <w:pPr>
        <w:widowControl/>
        <w:spacing w:line="240" w:lineRule="atLeast"/>
        <w:rPr>
          <w:szCs w:val="21"/>
        </w:rPr>
      </w:pPr>
      <w:r w:rsidRPr="00493838">
        <w:rPr>
          <w:noProof/>
          <w:szCs w:val="21"/>
        </w:rPr>
        <w:drawing>
          <wp:inline distT="0" distB="0" distL="0" distR="0" wp14:anchorId="10629A96" wp14:editId="1D04A2E8">
            <wp:extent cx="2773680" cy="1845310"/>
            <wp:effectExtent l="0" t="0" r="7620" b="2540"/>
            <wp:docPr id="21435307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75556" cy="1846558"/>
                    </a:xfrm>
                    <a:prstGeom prst="rect">
                      <a:avLst/>
                    </a:prstGeom>
                    <a:noFill/>
                    <a:ln>
                      <a:noFill/>
                    </a:ln>
                  </pic:spPr>
                </pic:pic>
              </a:graphicData>
            </a:graphic>
          </wp:inline>
        </w:drawing>
      </w:r>
    </w:p>
    <w:p w14:paraId="5B6B5E3F" w14:textId="0BC0386F" w:rsidR="00691F6A" w:rsidRDefault="00000000">
      <w:pPr>
        <w:widowControl/>
        <w:spacing w:line="240" w:lineRule="atLeast"/>
        <w:jc w:val="center"/>
        <w:rPr>
          <w:sz w:val="18"/>
          <w:szCs w:val="18"/>
        </w:rPr>
      </w:pPr>
      <w:r>
        <w:rPr>
          <w:rFonts w:ascii="宋体" w:hAnsi="宋体" w:hint="eastAsia"/>
          <w:sz w:val="18"/>
          <w:szCs w:val="18"/>
        </w:rPr>
        <w:t>图</w:t>
      </w:r>
      <w:r>
        <w:rPr>
          <w:rFonts w:hint="eastAsia"/>
          <w:sz w:val="18"/>
          <w:szCs w:val="18"/>
        </w:rPr>
        <w:t xml:space="preserve"> </w:t>
      </w:r>
      <w:r w:rsidR="007C3930">
        <w:rPr>
          <w:rFonts w:cs="Calibri" w:hint="eastAsia"/>
          <w:sz w:val="18"/>
          <w:szCs w:val="18"/>
        </w:rPr>
        <w:t>5</w:t>
      </w:r>
      <w:r>
        <w:rPr>
          <w:rFonts w:cs="Calibri" w:hint="eastAsia"/>
          <w:sz w:val="18"/>
          <w:szCs w:val="18"/>
        </w:rPr>
        <w:t xml:space="preserve"> </w:t>
      </w:r>
      <w:r>
        <w:rPr>
          <w:rFonts w:ascii="宋体" w:hAnsi="宋体" w:hint="eastAsia"/>
          <w:sz w:val="18"/>
          <w:szCs w:val="18"/>
        </w:rPr>
        <w:t>全球储能电池金属消费及同比变化情况（数据来源</w:t>
      </w:r>
      <w:r>
        <w:rPr>
          <w:rFonts w:cs="Calibri" w:hint="eastAsia"/>
          <w:sz w:val="18"/>
          <w:szCs w:val="18"/>
        </w:rPr>
        <w:t>IEA</w:t>
      </w:r>
      <w:r>
        <w:rPr>
          <w:rFonts w:ascii="宋体" w:hAnsi="宋体" w:hint="eastAsia"/>
          <w:sz w:val="18"/>
          <w:szCs w:val="18"/>
        </w:rPr>
        <w:t>）</w:t>
      </w:r>
    </w:p>
    <w:p w14:paraId="2601802D" w14:textId="20BB903F" w:rsidR="00691F6A" w:rsidRDefault="00F74BBF">
      <w:pPr>
        <w:widowControl/>
        <w:spacing w:line="240" w:lineRule="atLeast"/>
        <w:ind w:firstLineChars="200" w:firstLine="420"/>
        <w:rPr>
          <w:rFonts w:ascii="宋体" w:hAnsi="宋体" w:hint="eastAsia"/>
        </w:rPr>
      </w:pPr>
      <w:r>
        <w:rPr>
          <w:rFonts w:ascii="宋体" w:hAnsi="宋体" w:hint="eastAsia"/>
        </w:rPr>
        <w:t>由图</w:t>
      </w:r>
      <w:r w:rsidRPr="00F74BBF">
        <w:rPr>
          <w:rFonts w:ascii="Times New Roman" w:hAnsi="Times New Roman" w:cs="Times New Roman"/>
        </w:rPr>
        <w:t>5</w:t>
      </w:r>
      <w:r>
        <w:rPr>
          <w:rFonts w:ascii="宋体" w:hAnsi="宋体" w:hint="eastAsia"/>
        </w:rPr>
        <w:t>可知，</w:t>
      </w:r>
      <w:r>
        <w:t>2022</w:t>
      </w:r>
      <w:r>
        <w:rPr>
          <w:rFonts w:ascii="宋体" w:hAnsi="宋体"/>
        </w:rPr>
        <w:t>年和</w:t>
      </w:r>
      <w:r>
        <w:rPr>
          <w:rFonts w:cs="Calibri"/>
        </w:rPr>
        <w:t>202</w:t>
      </w:r>
      <w:r>
        <w:rPr>
          <w:rFonts w:cs="Calibri" w:hint="eastAsia"/>
        </w:rPr>
        <w:t>4</w:t>
      </w:r>
      <w:r>
        <w:rPr>
          <w:rFonts w:ascii="宋体" w:hAnsi="宋体"/>
        </w:rPr>
        <w:t>年储能电池金属钴、锂、锰、镍的消费量</w:t>
      </w:r>
      <w:r>
        <w:rPr>
          <w:rFonts w:ascii="宋体" w:hAnsi="宋体" w:hint="eastAsia"/>
        </w:rPr>
        <w:t>同比变化来看：</w:t>
      </w:r>
      <w:r>
        <w:rPr>
          <w:rFonts w:ascii="宋体" w:hAnsi="宋体"/>
        </w:rPr>
        <w:t>锂消费量增加了</w:t>
      </w:r>
      <w:r>
        <w:rPr>
          <w:rFonts w:hint="eastAsia"/>
        </w:rPr>
        <w:t>135.06</w:t>
      </w:r>
      <w:r>
        <w:t>%</w:t>
      </w:r>
      <w:r>
        <w:rPr>
          <w:rFonts w:ascii="宋体" w:hAnsi="宋体" w:hint="eastAsia"/>
        </w:rPr>
        <w:t>，驱动因素为储能电池市场需求量的快速增加，而锂电池是当前及在可预见的未来无法取代的储能电池类型，因此锂的消费变化率与分析契合，具有大幅的翻倍增加；同时值得注意的是，</w:t>
      </w:r>
      <w:r>
        <w:rPr>
          <w:rFonts w:ascii="宋体" w:hAnsi="宋体"/>
        </w:rPr>
        <w:t>镍</w:t>
      </w:r>
      <w:r>
        <w:rPr>
          <w:rFonts w:ascii="宋体" w:hAnsi="宋体" w:hint="eastAsia"/>
        </w:rPr>
        <w:t>的</w:t>
      </w:r>
      <w:r>
        <w:rPr>
          <w:rFonts w:ascii="宋体" w:hAnsi="宋体"/>
        </w:rPr>
        <w:t>消费量</w:t>
      </w:r>
      <w:r>
        <w:rPr>
          <w:rFonts w:ascii="宋体" w:hAnsi="宋体" w:hint="eastAsia"/>
        </w:rPr>
        <w:t>也</w:t>
      </w:r>
      <w:r>
        <w:rPr>
          <w:rFonts w:ascii="宋体" w:hAnsi="宋体"/>
        </w:rPr>
        <w:t>增加了</w:t>
      </w:r>
      <w:r>
        <w:t>3</w:t>
      </w:r>
      <w:r>
        <w:rPr>
          <w:rFonts w:hint="eastAsia"/>
        </w:rPr>
        <w:t>8.00</w:t>
      </w:r>
      <w:r>
        <w:t>%</w:t>
      </w:r>
      <w:r>
        <w:rPr>
          <w:rFonts w:ascii="宋体" w:hAnsi="宋体" w:hint="eastAsia"/>
        </w:rPr>
        <w:t>，说明储能电池中还具有一定比例的含镍电池，由此造成用镍消费总量增加。而钴与锰的消费量呈现了明显的减少趋势，这主要由于高镍低钴（或无钴）电池的技术趋势造成。已有研究显示，若不降低电池钴用来，未来钴需求量可能为钴储量的</w:t>
      </w:r>
      <w:r>
        <w:rPr>
          <w:rFonts w:cs="Calibri" w:hint="eastAsia"/>
        </w:rPr>
        <w:t>400%</w:t>
      </w:r>
      <w:r>
        <w:rPr>
          <w:rFonts w:ascii="Times New Roman" w:hAnsi="Times New Roman" w:cs="Times New Roman" w:hint="eastAsia"/>
          <w:color w:val="EE0000"/>
          <w:szCs w:val="21"/>
          <w:vertAlign w:val="superscript"/>
        </w:rPr>
        <w:t>[39]</w:t>
      </w:r>
      <w:r>
        <w:rPr>
          <w:rFonts w:ascii="宋体" w:hAnsi="宋体" w:hint="eastAsia"/>
        </w:rPr>
        <w:t>。具体来看，</w:t>
      </w:r>
      <w:r>
        <w:rPr>
          <w:rFonts w:ascii="宋体" w:hAnsi="宋体"/>
        </w:rPr>
        <w:t>钴消费量减少了约</w:t>
      </w:r>
      <w:r>
        <w:t>29.53</w:t>
      </w:r>
      <w:r>
        <w:rPr>
          <w:rFonts w:cs="Calibri" w:hint="eastAsia"/>
        </w:rPr>
        <w:t>%</w:t>
      </w:r>
      <w:r>
        <w:rPr>
          <w:rFonts w:ascii="宋体" w:hAnsi="宋体" w:hint="eastAsia"/>
        </w:rPr>
        <w:t>；</w:t>
      </w:r>
      <w:r>
        <w:rPr>
          <w:rFonts w:ascii="宋体" w:hAnsi="宋体"/>
        </w:rPr>
        <w:t>锰消费量减少了约</w:t>
      </w:r>
      <w:r>
        <w:t>17.65%</w:t>
      </w:r>
      <w:r>
        <w:rPr>
          <w:rFonts w:ascii="宋体" w:hAnsi="宋体" w:hint="eastAsia"/>
        </w:rPr>
        <w:t>。未来，对于储能电池的钴与镍资源的消费量，呈现明显的降低趋势，</w:t>
      </w:r>
      <w:r>
        <w:rPr>
          <w:rFonts w:cs="Calibri" w:hint="eastAsia"/>
        </w:rPr>
        <w:t>LFP</w:t>
      </w:r>
      <w:r>
        <w:rPr>
          <w:rFonts w:ascii="宋体" w:hAnsi="宋体" w:hint="eastAsia"/>
        </w:rPr>
        <w:t>的主导占比地位成为钴、镍降低的必然条件，而钠离子电池商业化也或成为关键变量。</w:t>
      </w:r>
    </w:p>
    <w:p w14:paraId="479E8C05" w14:textId="6D587F8E" w:rsidR="00691F6A" w:rsidRDefault="00000000">
      <w:pPr>
        <w:widowControl/>
        <w:spacing w:line="240" w:lineRule="atLeast"/>
        <w:ind w:firstLine="420"/>
        <w:rPr>
          <w:rFonts w:ascii="Times New Roman" w:hAnsi="Times New Roman"/>
          <w:kern w:val="0"/>
        </w:rPr>
      </w:pPr>
      <w:r>
        <w:rPr>
          <w:rFonts w:ascii="宋体" w:hAnsi="宋体" w:hint="eastAsia"/>
          <w:kern w:val="0"/>
        </w:rPr>
        <w:t>电力储能行业作为电网发展的补充与博弈行业，与</w:t>
      </w:r>
      <w:r>
        <w:rPr>
          <w:rFonts w:ascii="Times New Roman" w:hAnsi="Times New Roman" w:hint="eastAsia"/>
          <w:kern w:val="0"/>
        </w:rPr>
        <w:t>EV</w:t>
      </w:r>
      <w:r>
        <w:rPr>
          <w:rFonts w:ascii="宋体" w:hAnsi="宋体" w:hint="eastAsia"/>
          <w:kern w:val="0"/>
        </w:rPr>
        <w:t>电池市场相同，发展趋势迅猛。</w:t>
      </w:r>
      <w:r>
        <w:rPr>
          <w:rFonts w:ascii="Times New Roman" w:hAnsi="Times New Roman" w:hint="eastAsia"/>
          <w:kern w:val="0"/>
        </w:rPr>
        <w:t>2023</w:t>
      </w:r>
      <w:r>
        <w:rPr>
          <w:rFonts w:ascii="宋体" w:hAnsi="宋体" w:hint="eastAsia"/>
          <w:kern w:val="0"/>
        </w:rPr>
        <w:t>年，全</w:t>
      </w:r>
      <w:r>
        <w:rPr>
          <w:rFonts w:ascii="宋体" w:hAnsi="宋体" w:hint="eastAsia"/>
          <w:kern w:val="0"/>
        </w:rPr>
        <w:t>球储能电池市场创下迄今为止最大涨幅</w:t>
      </w:r>
      <w:r>
        <w:rPr>
          <w:rFonts w:ascii="Times New Roman" w:hAnsi="Times New Roman" w:cs="Times New Roman" w:hint="eastAsia"/>
          <w:color w:val="EE0000"/>
          <w:kern w:val="0"/>
          <w:szCs w:val="21"/>
          <w:vertAlign w:val="superscript"/>
        </w:rPr>
        <w:t>[12]</w:t>
      </w:r>
      <w:r>
        <w:rPr>
          <w:rFonts w:ascii="宋体" w:hAnsi="宋体" w:hint="eastAsia"/>
          <w:kern w:val="0"/>
        </w:rPr>
        <w:t>，2023及2024年其市场年增长率均已超过EV电池年增长</w:t>
      </w:r>
      <w:r>
        <w:rPr>
          <w:rFonts w:hint="eastAsia"/>
        </w:rPr>
        <w:t>率</w:t>
      </w:r>
      <w:r w:rsidR="0018405C">
        <w:rPr>
          <w:rFonts w:ascii="Times New Roman" w:hAnsi="Times New Roman" w:cs="Times New Roman" w:hint="eastAsia"/>
          <w:color w:val="EE0000"/>
          <w:kern w:val="0"/>
          <w:szCs w:val="21"/>
          <w:vertAlign w:val="superscript"/>
        </w:rPr>
        <w:t>[40]</w:t>
      </w:r>
      <w:r>
        <w:rPr>
          <w:rFonts w:ascii="宋体" w:hAnsi="宋体" w:hint="eastAsia"/>
          <w:kern w:val="0"/>
        </w:rPr>
        <w:t>。在可预见的未来，储能电池（</w:t>
      </w:r>
      <w:r>
        <w:rPr>
          <w:rFonts w:ascii="Times New Roman" w:hAnsi="Times New Roman" w:hint="eastAsia"/>
          <w:kern w:val="0"/>
        </w:rPr>
        <w:t>ESS</w:t>
      </w:r>
      <w:r>
        <w:rPr>
          <w:rFonts w:ascii="宋体" w:hAnsi="宋体" w:hint="eastAsia"/>
          <w:kern w:val="0"/>
        </w:rPr>
        <w:t>）行业将以高于全球行业平均水平的增长率增长。据现有研究显示，</w:t>
      </w:r>
      <w:r>
        <w:rPr>
          <w:rFonts w:ascii="Times New Roman" w:hAnsi="Times New Roman" w:hint="eastAsia"/>
          <w:kern w:val="0"/>
        </w:rPr>
        <w:t>2025</w:t>
      </w:r>
      <w:r>
        <w:rPr>
          <w:rFonts w:ascii="宋体" w:hAnsi="宋体" w:hint="eastAsia"/>
          <w:kern w:val="0"/>
        </w:rPr>
        <w:t>年至</w:t>
      </w:r>
      <w:r>
        <w:rPr>
          <w:rFonts w:ascii="Times New Roman" w:hAnsi="Times New Roman" w:hint="eastAsia"/>
          <w:kern w:val="0"/>
        </w:rPr>
        <w:t>2030</w:t>
      </w:r>
      <w:r>
        <w:rPr>
          <w:rFonts w:ascii="宋体" w:hAnsi="宋体" w:hint="eastAsia"/>
          <w:kern w:val="0"/>
        </w:rPr>
        <w:t>年，全球储能市场将以约</w:t>
      </w:r>
      <w:r>
        <w:rPr>
          <w:rFonts w:ascii="Times New Roman" w:hAnsi="Times New Roman" w:hint="eastAsia"/>
          <w:kern w:val="0"/>
        </w:rPr>
        <w:t>21%</w:t>
      </w:r>
      <w:r>
        <w:rPr>
          <w:rFonts w:ascii="宋体" w:hAnsi="宋体" w:hint="eastAsia"/>
          <w:kern w:val="0"/>
        </w:rPr>
        <w:t>的年复合增长率快速增长，到</w:t>
      </w:r>
      <w:r>
        <w:rPr>
          <w:rFonts w:ascii="Times New Roman" w:hAnsi="Times New Roman" w:hint="eastAsia"/>
          <w:kern w:val="0"/>
        </w:rPr>
        <w:t xml:space="preserve">2030 </w:t>
      </w:r>
      <w:r>
        <w:rPr>
          <w:rFonts w:ascii="宋体" w:hAnsi="宋体" w:hint="eastAsia"/>
          <w:kern w:val="0"/>
        </w:rPr>
        <w:t xml:space="preserve">年将达到 </w:t>
      </w:r>
      <w:r>
        <w:rPr>
          <w:rFonts w:ascii="Times New Roman" w:hAnsi="Times New Roman" w:hint="eastAsia"/>
          <w:kern w:val="0"/>
        </w:rPr>
        <w:t>442GWh</w:t>
      </w:r>
      <w:r>
        <w:rPr>
          <w:rFonts w:ascii="Times New Roman" w:hAnsi="Times New Roman" w:cs="Times New Roman" w:hint="eastAsia"/>
          <w:color w:val="EE0000"/>
          <w:kern w:val="0"/>
          <w:szCs w:val="21"/>
          <w:vertAlign w:val="superscript"/>
        </w:rPr>
        <w:t>[35]</w:t>
      </w:r>
      <w:r>
        <w:rPr>
          <w:rFonts w:ascii="宋体" w:hAnsi="宋体" w:hint="eastAsia"/>
          <w:kern w:val="0"/>
        </w:rPr>
        <w:t>。而</w:t>
      </w:r>
      <w:r>
        <w:rPr>
          <w:rFonts w:ascii="Times New Roman" w:hAnsi="Times New Roman" w:hint="eastAsia"/>
          <w:kern w:val="0"/>
        </w:rPr>
        <w:t>2030</w:t>
      </w:r>
      <w:r>
        <w:rPr>
          <w:rFonts w:ascii="宋体" w:hAnsi="宋体" w:hint="eastAsia"/>
          <w:kern w:val="0"/>
        </w:rPr>
        <w:t>年至</w:t>
      </w:r>
      <w:r>
        <w:rPr>
          <w:rFonts w:ascii="Times New Roman" w:hAnsi="Times New Roman" w:hint="eastAsia"/>
          <w:kern w:val="0"/>
        </w:rPr>
        <w:t>2050</w:t>
      </w:r>
      <w:r>
        <w:rPr>
          <w:rFonts w:ascii="宋体" w:hAnsi="宋体" w:hint="eastAsia"/>
          <w:kern w:val="0"/>
        </w:rPr>
        <w:t>年，将以约</w:t>
      </w:r>
      <w:r>
        <w:rPr>
          <w:rFonts w:ascii="Times New Roman" w:hAnsi="Times New Roman" w:hint="eastAsia"/>
          <w:kern w:val="0"/>
        </w:rPr>
        <w:t>18%</w:t>
      </w:r>
      <w:r>
        <w:rPr>
          <w:rFonts w:ascii="宋体" w:hAnsi="宋体" w:hint="eastAsia"/>
          <w:kern w:val="0"/>
        </w:rPr>
        <w:t>的年复合增长率增长，按此计算可知，到</w:t>
      </w:r>
      <w:r>
        <w:rPr>
          <w:rFonts w:ascii="Times New Roman" w:hAnsi="Times New Roman" w:hint="eastAsia"/>
          <w:kern w:val="0"/>
        </w:rPr>
        <w:t>2050</w:t>
      </w:r>
      <w:r>
        <w:rPr>
          <w:rFonts w:ascii="宋体" w:hAnsi="宋体" w:hint="eastAsia"/>
          <w:kern w:val="0"/>
        </w:rPr>
        <w:t>年，全球储能电池的市场需求量可能高达</w:t>
      </w:r>
      <w:r>
        <w:rPr>
          <w:rFonts w:ascii="Times New Roman" w:hAnsi="Times New Roman" w:hint="eastAsia"/>
          <w:kern w:val="0"/>
        </w:rPr>
        <w:t>12TWh</w:t>
      </w:r>
      <w:r>
        <w:rPr>
          <w:rFonts w:ascii="宋体" w:hAnsi="宋体" w:hint="eastAsia"/>
          <w:kern w:val="0"/>
        </w:rPr>
        <w:t>，而这远远高于前期预测的约</w:t>
      </w:r>
      <w:r>
        <w:rPr>
          <w:rFonts w:ascii="Times New Roman" w:hAnsi="Times New Roman" w:hint="eastAsia"/>
          <w:kern w:val="0"/>
        </w:rPr>
        <w:t>2000GWh</w:t>
      </w:r>
      <w:r>
        <w:rPr>
          <w:rFonts w:ascii="宋体" w:hAnsi="宋体" w:hint="eastAsia"/>
          <w:kern w:val="0"/>
        </w:rPr>
        <w:t>。在此预测假设下，按韦伯分布原理计算报废量（假设形状参数</w:t>
      </w:r>
      <w:r>
        <w:rPr>
          <w:rFonts w:ascii="Arial" w:hAnsi="Arial" w:cs="Arial"/>
          <w:kern w:val="0"/>
        </w:rPr>
        <w:t>β</w:t>
      </w:r>
      <w:r>
        <w:rPr>
          <w:rFonts w:ascii="宋体" w:hAnsi="宋体" w:hint="eastAsia"/>
          <w:kern w:val="0"/>
        </w:rPr>
        <w:t>设为</w:t>
      </w:r>
      <w:r>
        <w:rPr>
          <w:rFonts w:ascii="Times New Roman" w:hAnsi="Times New Roman" w:hint="eastAsia"/>
          <w:kern w:val="0"/>
        </w:rPr>
        <w:t>2</w:t>
      </w:r>
      <w:r>
        <w:rPr>
          <w:rFonts w:ascii="宋体" w:hAnsi="宋体" w:hint="eastAsia"/>
          <w:kern w:val="0"/>
        </w:rPr>
        <w:t>，尺度参数η设为</w:t>
      </w:r>
      <w:r>
        <w:rPr>
          <w:rFonts w:ascii="Times New Roman" w:hAnsi="Times New Roman" w:hint="eastAsia"/>
          <w:kern w:val="0"/>
        </w:rPr>
        <w:t>15</w:t>
      </w:r>
      <w:r>
        <w:rPr>
          <w:rFonts w:ascii="宋体" w:hAnsi="宋体" w:hint="eastAsia"/>
          <w:kern w:val="0"/>
        </w:rPr>
        <w:t>）</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1</w:t>
      </w:r>
      <w:r>
        <w:rPr>
          <w:rFonts w:ascii="Times New Roman" w:hAnsi="Times New Roman" w:cs="Times New Roman" w:hint="eastAsia"/>
          <w:color w:val="EE0000"/>
          <w:kern w:val="0"/>
          <w:szCs w:val="21"/>
          <w:vertAlign w:val="superscript"/>
        </w:rPr>
        <w:t>]</w:t>
      </w:r>
      <w:r>
        <w:rPr>
          <w:rFonts w:ascii="宋体" w:hAnsi="宋体" w:hint="eastAsia"/>
          <w:kern w:val="0"/>
        </w:rPr>
        <w:t>，到</w:t>
      </w:r>
      <w:r>
        <w:rPr>
          <w:rFonts w:ascii="Times New Roman" w:hAnsi="Times New Roman" w:hint="eastAsia"/>
          <w:kern w:val="0"/>
        </w:rPr>
        <w:t>2050</w:t>
      </w:r>
      <w:r>
        <w:rPr>
          <w:rFonts w:ascii="宋体" w:hAnsi="宋体" w:hint="eastAsia"/>
          <w:kern w:val="0"/>
        </w:rPr>
        <w:t>年全球储能电池报报废总量可能超过</w:t>
      </w:r>
      <w:r>
        <w:rPr>
          <w:rFonts w:ascii="Times New Roman" w:hAnsi="Times New Roman" w:hint="eastAsia"/>
          <w:kern w:val="0"/>
        </w:rPr>
        <w:t xml:space="preserve">5TWh. </w:t>
      </w:r>
    </w:p>
    <w:p w14:paraId="7CD65C2E" w14:textId="7132DFB9" w:rsidR="00691F6A" w:rsidRPr="00867723" w:rsidRDefault="009D03E1" w:rsidP="00867723">
      <w:pPr>
        <w:widowControl/>
        <w:spacing w:line="240" w:lineRule="atLeast"/>
        <w:ind w:firstLine="420"/>
        <w:rPr>
          <w:rFonts w:ascii="宋体" w:hAnsi="宋体" w:hint="eastAsia"/>
          <w:kern w:val="0"/>
        </w:rPr>
      </w:pPr>
      <w:r>
        <w:rPr>
          <w:rFonts w:ascii="宋体" w:hAnsi="宋体" w:hint="eastAsia"/>
          <w:kern w:val="0"/>
        </w:rPr>
        <w:t>此外，</w:t>
      </w:r>
      <w:r w:rsidRPr="00881A13">
        <w:rPr>
          <w:rFonts w:ascii="宋体" w:hAnsi="宋体" w:hint="eastAsia"/>
          <w:kern w:val="0"/>
        </w:rPr>
        <w:t>不使用钴与镍元素的磷酸铁锂（</w:t>
      </w:r>
      <w:r w:rsidRPr="00881A13">
        <w:rPr>
          <w:rFonts w:ascii="Times New Roman" w:hAnsi="Times New Roman"/>
          <w:kern w:val="0"/>
        </w:rPr>
        <w:t>LFP</w:t>
      </w:r>
      <w:r w:rsidRPr="00881A13">
        <w:rPr>
          <w:rFonts w:ascii="宋体" w:hAnsi="宋体" w:hint="eastAsia"/>
          <w:kern w:val="0"/>
        </w:rPr>
        <w:t>）</w:t>
      </w:r>
      <w:r>
        <w:rPr>
          <w:rFonts w:ascii="宋体" w:hAnsi="宋体" w:hint="eastAsia"/>
          <w:kern w:val="0"/>
        </w:rPr>
        <w:t>也</w:t>
      </w:r>
      <w:r w:rsidRPr="00881A13">
        <w:rPr>
          <w:rFonts w:ascii="宋体" w:hAnsi="宋体" w:hint="eastAsia"/>
          <w:kern w:val="0"/>
        </w:rPr>
        <w:t>是值得关注的对象，</w:t>
      </w:r>
      <w:r>
        <w:rPr>
          <w:rFonts w:ascii="宋体" w:hAnsi="宋体" w:hint="eastAsia"/>
          <w:kern w:val="0"/>
        </w:rPr>
        <w:t>这</w:t>
      </w:r>
      <w:r w:rsidRPr="00881A13">
        <w:rPr>
          <w:rFonts w:ascii="宋体" w:hAnsi="宋体" w:hint="eastAsia"/>
          <w:kern w:val="0"/>
        </w:rPr>
        <w:t>得益于中国电池制造商主导的LFP制造产能的快速增加，全球</w:t>
      </w:r>
      <w:r w:rsidRPr="00881A13">
        <w:rPr>
          <w:rFonts w:ascii="Times New Roman" w:hAnsi="Times New Roman"/>
          <w:kern w:val="0"/>
        </w:rPr>
        <w:t>LFP</w:t>
      </w:r>
      <w:r w:rsidRPr="00881A13">
        <w:rPr>
          <w:rFonts w:ascii="宋体" w:hAnsi="宋体" w:hint="eastAsia"/>
          <w:kern w:val="0"/>
        </w:rPr>
        <w:t>电池市场份额持续增加，并逐渐超越了需要使用镍、锰、钴金属元素的三元电池的市场份额。</w:t>
      </w:r>
      <w:r w:rsidR="00867723" w:rsidRPr="00867723">
        <w:rPr>
          <w:rFonts w:ascii="Times New Roman" w:hAnsi="Times New Roman" w:cs="Times New Roman"/>
          <w:kern w:val="0"/>
        </w:rPr>
        <w:t>据</w:t>
      </w:r>
      <w:r w:rsidR="00867723" w:rsidRPr="00867723">
        <w:rPr>
          <w:rFonts w:ascii="Times New Roman" w:hAnsi="Times New Roman" w:cs="Times New Roman"/>
          <w:kern w:val="0"/>
        </w:rPr>
        <w:t>IEA</w:t>
      </w:r>
      <w:r w:rsidRPr="00867723">
        <w:rPr>
          <w:rFonts w:ascii="Times New Roman" w:hAnsi="Times New Roman" w:cs="Times New Roman"/>
          <w:kern w:val="0"/>
        </w:rPr>
        <w:t>数据显示</w:t>
      </w:r>
      <w:r w:rsidRPr="00881A13">
        <w:rPr>
          <w:rFonts w:ascii="宋体" w:hAnsi="宋体" w:hint="eastAsia"/>
          <w:kern w:val="0"/>
        </w:rPr>
        <w:t>，</w:t>
      </w:r>
      <w:r w:rsidRPr="00881A13">
        <w:rPr>
          <w:rFonts w:ascii="Times New Roman" w:hAnsi="Times New Roman"/>
          <w:kern w:val="0"/>
        </w:rPr>
        <w:t>2035</w:t>
      </w:r>
      <w:r w:rsidRPr="00881A13">
        <w:rPr>
          <w:rFonts w:ascii="宋体" w:hAnsi="宋体" w:hint="eastAsia"/>
          <w:kern w:val="0"/>
        </w:rPr>
        <w:t>年之后，全球</w:t>
      </w:r>
      <w:r w:rsidRPr="00881A13">
        <w:rPr>
          <w:rFonts w:ascii="Times New Roman" w:hAnsi="Times New Roman"/>
          <w:kern w:val="0"/>
        </w:rPr>
        <w:t>ESS</w:t>
      </w:r>
      <w:r w:rsidRPr="00881A13">
        <w:rPr>
          <w:rFonts w:ascii="宋体" w:hAnsi="宋体" w:hint="eastAsia"/>
          <w:kern w:val="0"/>
        </w:rPr>
        <w:t>电池用钴的需求量预测值快速下降，并在</w:t>
      </w:r>
      <w:r w:rsidRPr="00F74BBF">
        <w:rPr>
          <w:rFonts w:ascii="Times New Roman" w:hAnsi="Times New Roman" w:cs="Times New Roman"/>
          <w:kern w:val="0"/>
        </w:rPr>
        <w:t>2040</w:t>
      </w:r>
      <w:r w:rsidRPr="00881A13">
        <w:rPr>
          <w:rFonts w:ascii="宋体" w:hAnsi="宋体" w:hint="eastAsia"/>
          <w:kern w:val="0"/>
        </w:rPr>
        <w:t>年及之后的年份保持为零值。</w:t>
      </w:r>
      <w:r w:rsidRPr="00881A13">
        <w:rPr>
          <w:rFonts w:ascii="Times New Roman" w:hAnsi="Times New Roman"/>
          <w:kern w:val="0"/>
        </w:rPr>
        <w:t>IEA</w:t>
      </w:r>
      <w:r w:rsidRPr="00881A13">
        <w:rPr>
          <w:rFonts w:ascii="宋体" w:hAnsi="宋体" w:hint="eastAsia"/>
          <w:kern w:val="0"/>
        </w:rPr>
        <w:t>对储能电池未来金属需求进行基于</w:t>
      </w:r>
      <w:r w:rsidRPr="00881A13">
        <w:rPr>
          <w:rFonts w:ascii="Times New Roman" w:hAnsi="Times New Roman"/>
          <w:kern w:val="0"/>
        </w:rPr>
        <w:t>STEPS</w:t>
      </w:r>
      <w:r w:rsidRPr="00881A13">
        <w:rPr>
          <w:rFonts w:ascii="宋体" w:hAnsi="宋体" w:hint="eastAsia"/>
          <w:kern w:val="0"/>
        </w:rPr>
        <w:t>、</w:t>
      </w:r>
      <w:r w:rsidRPr="00881A13">
        <w:rPr>
          <w:rFonts w:ascii="Times New Roman" w:hAnsi="Times New Roman"/>
          <w:kern w:val="0"/>
        </w:rPr>
        <w:t>APS</w:t>
      </w:r>
      <w:r w:rsidRPr="00881A13">
        <w:rPr>
          <w:rFonts w:ascii="宋体" w:hAnsi="宋体" w:hint="eastAsia"/>
          <w:kern w:val="0"/>
        </w:rPr>
        <w:t>与</w:t>
      </w:r>
      <w:r w:rsidRPr="00881A13">
        <w:rPr>
          <w:rFonts w:ascii="Times New Roman" w:hAnsi="Times New Roman"/>
          <w:kern w:val="0"/>
        </w:rPr>
        <w:t>NZE</w:t>
      </w:r>
      <w:r w:rsidRPr="00881A13">
        <w:rPr>
          <w:rFonts w:ascii="宋体" w:hAnsi="宋体" w:hint="eastAsia"/>
          <w:kern w:val="0"/>
        </w:rPr>
        <w:t>三种情景模式下的测算</w:t>
      </w:r>
      <w:r w:rsidRPr="00881A13">
        <w:rPr>
          <w:rFonts w:ascii="Times New Roman" w:hAnsi="Times New Roman" w:cs="Times New Roman"/>
          <w:color w:val="EE0000"/>
          <w:kern w:val="0"/>
          <w:szCs w:val="21"/>
          <w:vertAlign w:val="superscript"/>
        </w:rPr>
        <w:t>[4]</w:t>
      </w:r>
      <w:r w:rsidRPr="00881A13">
        <w:rPr>
          <w:rFonts w:ascii="宋体" w:hAnsi="宋体" w:hint="eastAsia"/>
          <w:kern w:val="0"/>
        </w:rPr>
        <w:t>，</w:t>
      </w:r>
      <w:r w:rsidRPr="0018405C">
        <w:rPr>
          <w:rFonts w:ascii="Times New Roman" w:hAnsi="Times New Roman" w:cs="Times New Roman"/>
          <w:kern w:val="0"/>
        </w:rPr>
        <w:t>由图</w:t>
      </w:r>
      <w:r w:rsidR="00867723">
        <w:rPr>
          <w:rFonts w:ascii="Times New Roman" w:hAnsi="Times New Roman" w:cs="Times New Roman" w:hint="eastAsia"/>
          <w:kern w:val="0"/>
        </w:rPr>
        <w:t>6</w:t>
      </w:r>
      <w:r w:rsidRPr="0018405C">
        <w:rPr>
          <w:rFonts w:ascii="Times New Roman" w:hAnsi="Times New Roman" w:cs="Times New Roman"/>
          <w:kern w:val="0"/>
        </w:rPr>
        <w:t>可知，在净零情景（</w:t>
      </w:r>
      <w:r w:rsidRPr="0018405C">
        <w:rPr>
          <w:rFonts w:ascii="Times New Roman" w:hAnsi="Times New Roman" w:cs="Times New Roman"/>
          <w:kern w:val="0"/>
        </w:rPr>
        <w:t>NZE</w:t>
      </w:r>
      <w:r w:rsidRPr="0018405C">
        <w:rPr>
          <w:rFonts w:ascii="Times New Roman" w:hAnsi="Times New Roman" w:cs="Times New Roman"/>
          <w:kern w:val="0"/>
        </w:rPr>
        <w:t>）模式下，</w:t>
      </w:r>
      <w:r w:rsidRPr="0018405C">
        <w:rPr>
          <w:rFonts w:ascii="Times New Roman" w:hAnsi="Times New Roman" w:cs="Times New Roman"/>
          <w:kern w:val="0"/>
        </w:rPr>
        <w:t>2050</w:t>
      </w:r>
      <w:r w:rsidRPr="0018405C">
        <w:rPr>
          <w:rFonts w:ascii="Times New Roman" w:hAnsi="Times New Roman" w:cs="Times New Roman"/>
          <w:kern w:val="0"/>
        </w:rPr>
        <w:t>年锂需求达</w:t>
      </w:r>
      <w:r w:rsidRPr="0018405C">
        <w:rPr>
          <w:rFonts w:ascii="Times New Roman" w:hAnsi="Times New Roman" w:cs="Times New Roman"/>
          <w:kern w:val="0"/>
        </w:rPr>
        <w:t>13.7</w:t>
      </w:r>
      <w:r w:rsidRPr="0018405C">
        <w:rPr>
          <w:rFonts w:ascii="Times New Roman" w:hAnsi="Times New Roman" w:cs="Times New Roman"/>
          <w:kern w:val="0"/>
        </w:rPr>
        <w:t>万吨，是</w:t>
      </w:r>
      <w:r w:rsidRPr="0018405C">
        <w:rPr>
          <w:rFonts w:ascii="Times New Roman" w:hAnsi="Times New Roman" w:cs="Times New Roman"/>
          <w:kern w:val="0"/>
        </w:rPr>
        <w:t>2023</w:t>
      </w:r>
      <w:r w:rsidRPr="0018405C">
        <w:rPr>
          <w:rFonts w:ascii="Times New Roman" w:hAnsi="Times New Roman" w:cs="Times New Roman"/>
          <w:kern w:val="0"/>
        </w:rPr>
        <w:t>年需求量的约</w:t>
      </w:r>
      <w:r w:rsidRPr="0018405C">
        <w:rPr>
          <w:rFonts w:ascii="Times New Roman" w:hAnsi="Times New Roman" w:cs="Times New Roman"/>
          <w:kern w:val="0"/>
        </w:rPr>
        <w:t>15</w:t>
      </w:r>
      <w:r w:rsidRPr="0018405C">
        <w:rPr>
          <w:rFonts w:ascii="Times New Roman" w:hAnsi="Times New Roman" w:cs="Times New Roman"/>
          <w:kern w:val="0"/>
        </w:rPr>
        <w:t>倍，凸显了锂资源作为核心电池材料的重要地位。表明到</w:t>
      </w:r>
      <w:r w:rsidRPr="0018405C">
        <w:rPr>
          <w:rFonts w:ascii="Times New Roman" w:hAnsi="Times New Roman" w:cs="Times New Roman"/>
          <w:kern w:val="0"/>
        </w:rPr>
        <w:t>2050</w:t>
      </w:r>
      <w:r w:rsidRPr="0018405C">
        <w:rPr>
          <w:rFonts w:ascii="Times New Roman" w:hAnsi="Times New Roman" w:cs="Times New Roman"/>
          <w:kern w:val="0"/>
        </w:rPr>
        <w:t>年，锂资源仍是不可替代的电池材料。而钴的预测值在</w:t>
      </w:r>
      <w:r w:rsidRPr="0018405C">
        <w:rPr>
          <w:rFonts w:ascii="Times New Roman" w:hAnsi="Times New Roman" w:cs="Times New Roman"/>
          <w:kern w:val="0"/>
        </w:rPr>
        <w:t>2040</w:t>
      </w:r>
      <w:r w:rsidRPr="0018405C">
        <w:rPr>
          <w:rFonts w:ascii="Times New Roman" w:hAnsi="Times New Roman" w:cs="Times New Roman"/>
          <w:kern w:val="0"/>
        </w:rPr>
        <w:t>年后出现了归零的现象，表明电池技术正转向无钴方案或向其他替代新型电池技术路线转变。锰</w:t>
      </w:r>
      <w:r w:rsidRPr="0018405C">
        <w:rPr>
          <w:rFonts w:ascii="Times New Roman" w:hAnsi="Times New Roman" w:cs="Times New Roman"/>
          <w:kern w:val="0"/>
        </w:rPr>
        <w:t>/</w:t>
      </w:r>
      <w:r w:rsidRPr="0018405C">
        <w:rPr>
          <w:rFonts w:ascii="Times New Roman" w:hAnsi="Times New Roman" w:cs="Times New Roman"/>
          <w:kern w:val="0"/>
        </w:rPr>
        <w:t>镍需求增长显著，锰在净零情景下</w:t>
      </w:r>
      <w:r w:rsidRPr="0018405C">
        <w:rPr>
          <w:rFonts w:ascii="Times New Roman" w:hAnsi="Times New Roman" w:cs="Times New Roman"/>
          <w:kern w:val="0"/>
        </w:rPr>
        <w:t>2050</w:t>
      </w:r>
      <w:r w:rsidRPr="0018405C">
        <w:rPr>
          <w:rFonts w:ascii="Times New Roman" w:hAnsi="Times New Roman" w:cs="Times New Roman"/>
          <w:kern w:val="0"/>
        </w:rPr>
        <w:t>年</w:t>
      </w:r>
      <w:r w:rsidRPr="0018405C">
        <w:rPr>
          <w:rFonts w:ascii="Times New Roman" w:hAnsi="Times New Roman" w:cs="Times New Roman"/>
          <w:kern w:val="0"/>
        </w:rPr>
        <w:t>ESS</w:t>
      </w:r>
      <w:r w:rsidRPr="0018405C">
        <w:rPr>
          <w:rFonts w:ascii="Times New Roman" w:hAnsi="Times New Roman" w:cs="Times New Roman"/>
          <w:kern w:val="0"/>
        </w:rPr>
        <w:t>需求达</w:t>
      </w:r>
      <w:r w:rsidRPr="0018405C">
        <w:rPr>
          <w:rFonts w:ascii="Times New Roman" w:hAnsi="Times New Roman" w:cs="Times New Roman"/>
          <w:kern w:val="0"/>
        </w:rPr>
        <w:t>79.8</w:t>
      </w:r>
      <w:r w:rsidRPr="0018405C">
        <w:rPr>
          <w:rFonts w:ascii="Times New Roman" w:hAnsi="Times New Roman" w:cs="Times New Roman"/>
          <w:kern w:val="0"/>
        </w:rPr>
        <w:t>万吨，镍需求达</w:t>
      </w:r>
      <w:r w:rsidRPr="0018405C">
        <w:rPr>
          <w:rFonts w:ascii="Times New Roman" w:hAnsi="Times New Roman" w:cs="Times New Roman"/>
          <w:kern w:val="0"/>
        </w:rPr>
        <w:t>57.9</w:t>
      </w:r>
      <w:r w:rsidRPr="0018405C">
        <w:rPr>
          <w:rFonts w:ascii="Times New Roman" w:hAnsi="Times New Roman" w:cs="Times New Roman"/>
          <w:kern w:val="0"/>
        </w:rPr>
        <w:t>万吨，反映了未来</w:t>
      </w:r>
      <w:r w:rsidRPr="0018405C">
        <w:rPr>
          <w:rFonts w:ascii="Times New Roman" w:hAnsi="Times New Roman" w:cs="Times New Roman"/>
          <w:kern w:val="0"/>
        </w:rPr>
        <w:t>ESS</w:t>
      </w:r>
      <w:r w:rsidRPr="0018405C">
        <w:rPr>
          <w:rFonts w:ascii="Times New Roman" w:hAnsi="Times New Roman" w:cs="Times New Roman"/>
          <w:kern w:val="0"/>
        </w:rPr>
        <w:t>的高能量密度电池的发展方向。</w:t>
      </w:r>
    </w:p>
    <w:p w14:paraId="307681C6" w14:textId="65986736" w:rsidR="00691F6A" w:rsidRDefault="001E7D5E">
      <w:pPr>
        <w:widowControl/>
        <w:spacing w:line="240" w:lineRule="atLeast"/>
        <w:rPr>
          <w:rFonts w:ascii="Times New Roman" w:hAnsi="Times New Roman"/>
          <w:kern w:val="0"/>
        </w:rPr>
      </w:pPr>
      <w:r>
        <w:rPr>
          <w:rFonts w:hint="eastAsia"/>
        </w:rPr>
        <w:object w:dxaOrig="25737" w:dyaOrig="22514" w14:anchorId="4E7BDD59">
          <v:shape id="_x0000_i1028" type="#_x0000_t75" style="width:231.75pt;height:202.6pt" o:ole="">
            <v:imagedata r:id="rId25" o:title=""/>
          </v:shape>
          <o:OLEObject Type="Embed" ProgID="Origin95.Graph" ShapeID="_x0000_i1028" DrawAspect="Content" ObjectID="_1811340059" r:id="rId26"/>
        </w:object>
      </w:r>
    </w:p>
    <w:p w14:paraId="62D7E3C1" w14:textId="39623268" w:rsidR="00691F6A" w:rsidRDefault="00000000">
      <w:pPr>
        <w:snapToGrid w:val="0"/>
        <w:spacing w:line="240" w:lineRule="atLeast"/>
        <w:jc w:val="center"/>
        <w:rPr>
          <w:rFonts w:ascii="Times New Roman" w:hAnsi="Times New Roman" w:cs="Times New Roman"/>
          <w:sz w:val="18"/>
          <w:szCs w:val="18"/>
        </w:rPr>
      </w:pPr>
      <w:r>
        <w:rPr>
          <w:rFonts w:ascii="Times New Roman" w:hAnsi="Times New Roman" w:cs="Times New Roman" w:hint="eastAsia"/>
          <w:sz w:val="18"/>
          <w:szCs w:val="18"/>
        </w:rPr>
        <w:lastRenderedPageBreak/>
        <w:t>图</w:t>
      </w:r>
      <w:r w:rsidR="007C3930">
        <w:rPr>
          <w:rFonts w:ascii="Times New Roman" w:hAnsi="Times New Roman" w:cs="Times New Roman" w:hint="eastAsia"/>
          <w:sz w:val="18"/>
          <w:szCs w:val="18"/>
        </w:rPr>
        <w:t>6</w:t>
      </w:r>
      <w:r>
        <w:rPr>
          <w:rFonts w:ascii="Times New Roman" w:hAnsi="Times New Roman" w:cs="Times New Roman" w:hint="eastAsia"/>
          <w:sz w:val="18"/>
          <w:szCs w:val="18"/>
        </w:rPr>
        <w:t>不同情景下储能电池关键矿产需求预测（数据来源</w:t>
      </w:r>
      <w:r>
        <w:rPr>
          <w:rFonts w:ascii="Times New Roman" w:hAnsi="Times New Roman" w:cs="Times New Roman" w:hint="eastAsia"/>
          <w:sz w:val="18"/>
          <w:szCs w:val="18"/>
        </w:rPr>
        <w:t>IEA, 2025</w:t>
      </w:r>
      <w:r>
        <w:rPr>
          <w:rFonts w:ascii="Times New Roman" w:hAnsi="Times New Roman" w:cs="Times New Roman" w:hint="eastAsia"/>
          <w:sz w:val="18"/>
          <w:szCs w:val="18"/>
        </w:rPr>
        <w:t>）</w:t>
      </w:r>
    </w:p>
    <w:p w14:paraId="741B8480" w14:textId="77777777" w:rsidR="00691F6A" w:rsidRDefault="00000000">
      <w:pPr>
        <w:widowControl/>
        <w:tabs>
          <w:tab w:val="left" w:pos="2826"/>
        </w:tabs>
        <w:spacing w:beforeLines="50" w:before="156" w:afterLines="50" w:after="156" w:line="240" w:lineRule="atLeast"/>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新兴城市矿产循环利用潜力</w:t>
      </w:r>
      <w:r>
        <w:rPr>
          <w:rFonts w:ascii="Times New Roman" w:eastAsia="宋体" w:hAnsi="Times New Roman" w:cs="Times New Roman"/>
          <w:kern w:val="0"/>
          <w:sz w:val="24"/>
          <w:szCs w:val="24"/>
        </w:rPr>
        <w:t xml:space="preserve"> </w:t>
      </w:r>
    </w:p>
    <w:p w14:paraId="1F5FEB40" w14:textId="77777777" w:rsidR="00691F6A" w:rsidRDefault="00000000">
      <w:pPr>
        <w:widowControl/>
        <w:spacing w:beforeLines="50" w:before="156" w:afterLines="50" w:after="156" w:line="240" w:lineRule="atLeast"/>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风力发电设备产业中城市矿产循环利用潜力</w:t>
      </w:r>
    </w:p>
    <w:p w14:paraId="488E29C6" w14:textId="77777777"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随着全球风电装机容量的迅猛增长，早期风力发电机组正逐步达到其设计使用寿命，预示着未来数十年内将形成规模庞大的风电设备退役潮和新兴固体废物</w:t>
      </w:r>
      <w:r>
        <w:rPr>
          <w:rFonts w:ascii="Times New Roman" w:hAnsi="Times New Roman" w:cs="Times New Roman" w:hint="eastAsia"/>
          <w:color w:val="EE0000"/>
          <w:kern w:val="0"/>
          <w:szCs w:val="21"/>
          <w:vertAlign w:val="superscript"/>
        </w:rPr>
        <w:t>[1]</w:t>
      </w:r>
      <w:r>
        <w:rPr>
          <w:rFonts w:ascii="Times New Roman" w:hAnsi="Times New Roman" w:cs="Times New Roman" w:hint="eastAsia"/>
          <w:kern w:val="0"/>
          <w:szCs w:val="21"/>
        </w:rPr>
        <w:t>。研究预测，中国风电光伏行业的设备退役量（按质量计）预计在</w:t>
      </w:r>
      <w:r>
        <w:rPr>
          <w:rFonts w:ascii="Times New Roman" w:hAnsi="Times New Roman" w:cs="Times New Roman" w:hint="eastAsia"/>
          <w:kern w:val="0"/>
          <w:szCs w:val="21"/>
        </w:rPr>
        <w:t>2035</w:t>
      </w:r>
      <w:r>
        <w:rPr>
          <w:rFonts w:ascii="Times New Roman" w:hAnsi="Times New Roman" w:cs="Times New Roman" w:hint="eastAsia"/>
          <w:kern w:val="0"/>
          <w:szCs w:val="21"/>
        </w:rPr>
        <w:t>年和</w:t>
      </w:r>
      <w:r>
        <w:rPr>
          <w:rFonts w:ascii="Times New Roman" w:hAnsi="Times New Roman" w:cs="Times New Roman" w:hint="eastAsia"/>
          <w:kern w:val="0"/>
          <w:szCs w:val="21"/>
        </w:rPr>
        <w:t>2060</w:t>
      </w:r>
      <w:r>
        <w:rPr>
          <w:rFonts w:ascii="Times New Roman" w:hAnsi="Times New Roman" w:cs="Times New Roman" w:hint="eastAsia"/>
          <w:kern w:val="0"/>
          <w:szCs w:val="21"/>
        </w:rPr>
        <w:t>年分别达到</w:t>
      </w:r>
      <w:r>
        <w:rPr>
          <w:rFonts w:ascii="Times New Roman" w:hAnsi="Times New Roman" w:cs="Times New Roman" w:hint="eastAsia"/>
          <w:kern w:val="0"/>
          <w:szCs w:val="21"/>
        </w:rPr>
        <w:t>254</w:t>
      </w:r>
      <w:r>
        <w:rPr>
          <w:rFonts w:ascii="Times New Roman" w:hAnsi="Times New Roman" w:cs="Times New Roman" w:hint="eastAsia"/>
          <w:kern w:val="0"/>
          <w:szCs w:val="21"/>
        </w:rPr>
        <w:t>万吨、</w:t>
      </w:r>
      <w:r>
        <w:rPr>
          <w:rFonts w:ascii="Times New Roman" w:hAnsi="Times New Roman" w:cs="Times New Roman" w:hint="eastAsia"/>
          <w:kern w:val="0"/>
          <w:szCs w:val="21"/>
        </w:rPr>
        <w:t>1048</w:t>
      </w:r>
      <w:r>
        <w:rPr>
          <w:rFonts w:ascii="Times New Roman" w:hAnsi="Times New Roman" w:cs="Times New Roman" w:hint="eastAsia"/>
          <w:kern w:val="0"/>
          <w:szCs w:val="21"/>
        </w:rPr>
        <w:t>万吨</w:t>
      </w:r>
      <w:r>
        <w:rPr>
          <w:rFonts w:ascii="Times New Roman" w:hAnsi="Times New Roman" w:cs="Times New Roman" w:hint="eastAsia"/>
          <w:color w:val="EE0000"/>
          <w:kern w:val="0"/>
          <w:szCs w:val="21"/>
          <w:vertAlign w:val="superscript"/>
        </w:rPr>
        <w:t>[9]</w:t>
      </w:r>
      <w:r>
        <w:rPr>
          <w:rFonts w:ascii="Times New Roman" w:hAnsi="Times New Roman" w:cs="Times New Roman" w:hint="eastAsia"/>
          <w:kern w:val="0"/>
          <w:szCs w:val="21"/>
        </w:rPr>
        <w:t>。这些退役设备中蕴含着大量的有价金属，包括铜、铁、铝、镍以及稀土元素等。对这些金属进行高效、环保的循环利用，不仅能够显著缓解原生矿产资源的供应压力，降低风电产业对初级资源的依赖，还能大幅减少废弃物处置带来的环境影响。</w:t>
      </w:r>
    </w:p>
    <w:p w14:paraId="73436C7D" w14:textId="4D3D848A"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在风力发电机组中，钢铁是使用量最大的金属材料，广泛应用于塔筒、机舱骨架、轮毂、主轴、齿轮箱壳体以及地基中的钢筋等承重和结构部件</w:t>
      </w:r>
      <w:r>
        <w:rPr>
          <w:rFonts w:ascii="Times New Roman" w:hAnsi="Times New Roman" w:cs="Times New Roman" w:hint="eastAsia"/>
          <w:color w:val="EE0000"/>
          <w:kern w:val="0"/>
          <w:szCs w:val="21"/>
          <w:vertAlign w:val="superscript"/>
        </w:rPr>
        <w:t>[18]</w:t>
      </w:r>
      <w:r>
        <w:rPr>
          <w:rFonts w:ascii="Times New Roman" w:hAnsi="Times New Roman" w:cs="Times New Roman" w:hint="eastAsia"/>
          <w:kern w:val="0"/>
          <w:szCs w:val="21"/>
        </w:rPr>
        <w:t>。一台典型的风电机组中，塔筒的钢铁用量可达</w:t>
      </w:r>
      <w:r>
        <w:rPr>
          <w:rFonts w:ascii="Times New Roman" w:hAnsi="Times New Roman" w:cs="Times New Roman" w:hint="eastAsia"/>
          <w:kern w:val="0"/>
          <w:szCs w:val="21"/>
        </w:rPr>
        <w:t>143</w:t>
      </w:r>
      <w:r>
        <w:rPr>
          <w:rFonts w:ascii="Times New Roman" w:hAnsi="Times New Roman" w:cs="Times New Roman" w:hint="eastAsia"/>
          <w:kern w:val="0"/>
          <w:szCs w:val="21"/>
        </w:rPr>
        <w:t>吨，地基中的铁用量为</w:t>
      </w:r>
      <w:r>
        <w:rPr>
          <w:rFonts w:ascii="Times New Roman" w:hAnsi="Times New Roman" w:cs="Times New Roman" w:hint="eastAsia"/>
          <w:kern w:val="0"/>
          <w:szCs w:val="21"/>
        </w:rPr>
        <w:t>25</w:t>
      </w:r>
      <w:r>
        <w:rPr>
          <w:rFonts w:ascii="Times New Roman" w:hAnsi="Times New Roman" w:cs="Times New Roman" w:hint="eastAsia"/>
          <w:kern w:val="0"/>
          <w:szCs w:val="21"/>
        </w:rPr>
        <w:t>吨，机舱外壳为</w:t>
      </w:r>
      <w:r>
        <w:rPr>
          <w:rFonts w:ascii="Times New Roman" w:hAnsi="Times New Roman" w:cs="Times New Roman" w:hint="eastAsia"/>
          <w:kern w:val="0"/>
          <w:szCs w:val="21"/>
        </w:rPr>
        <w:t>10.5</w:t>
      </w:r>
      <w:r>
        <w:rPr>
          <w:rFonts w:ascii="Times New Roman" w:hAnsi="Times New Roman" w:cs="Times New Roman" w:hint="eastAsia"/>
          <w:kern w:val="0"/>
          <w:szCs w:val="21"/>
        </w:rPr>
        <w:t>吨，主轴为</w:t>
      </w:r>
      <w:r>
        <w:rPr>
          <w:rFonts w:ascii="Times New Roman" w:hAnsi="Times New Roman" w:cs="Times New Roman" w:hint="eastAsia"/>
          <w:kern w:val="0"/>
          <w:szCs w:val="21"/>
        </w:rPr>
        <w:t>6.1</w:t>
      </w:r>
      <w:r>
        <w:rPr>
          <w:rFonts w:ascii="Times New Roman" w:hAnsi="Times New Roman" w:cs="Times New Roman" w:hint="eastAsia"/>
          <w:kern w:val="0"/>
          <w:szCs w:val="21"/>
        </w:rPr>
        <w:t>吨，变压器含铁</w:t>
      </w:r>
      <w:r>
        <w:rPr>
          <w:rFonts w:ascii="Times New Roman" w:hAnsi="Times New Roman" w:cs="Times New Roman" w:hint="eastAsia"/>
          <w:kern w:val="0"/>
          <w:szCs w:val="21"/>
        </w:rPr>
        <w:t>3.3</w:t>
      </w:r>
      <w:r>
        <w:rPr>
          <w:rFonts w:ascii="Times New Roman" w:hAnsi="Times New Roman" w:cs="Times New Roman" w:hint="eastAsia"/>
          <w:kern w:val="0"/>
          <w:szCs w:val="21"/>
        </w:rPr>
        <w:t>吨，发电机含铁</w:t>
      </w:r>
      <w:r>
        <w:rPr>
          <w:rFonts w:ascii="Times New Roman" w:hAnsi="Times New Roman" w:cs="Times New Roman" w:hint="eastAsia"/>
          <w:kern w:val="0"/>
          <w:szCs w:val="21"/>
        </w:rPr>
        <w:t>4.29</w:t>
      </w:r>
      <w:r>
        <w:rPr>
          <w:rFonts w:ascii="Times New Roman" w:hAnsi="Times New Roman" w:cs="Times New Roman" w:hint="eastAsia"/>
          <w:kern w:val="0"/>
          <w:szCs w:val="21"/>
        </w:rPr>
        <w:t>吨，齿轮箱则含有</w:t>
      </w:r>
      <w:r>
        <w:rPr>
          <w:rFonts w:ascii="Times New Roman" w:hAnsi="Times New Roman" w:cs="Times New Roman" w:hint="eastAsia"/>
          <w:kern w:val="0"/>
          <w:szCs w:val="21"/>
        </w:rPr>
        <w:t>8</w:t>
      </w:r>
      <w:r>
        <w:rPr>
          <w:rFonts w:ascii="Times New Roman" w:hAnsi="Times New Roman" w:cs="Times New Roman" w:hint="eastAsia"/>
          <w:kern w:val="0"/>
          <w:szCs w:val="21"/>
        </w:rPr>
        <w:t>吨钢铁</w:t>
      </w:r>
      <w:r>
        <w:rPr>
          <w:rFonts w:ascii="Times New Roman" w:hAnsi="Times New Roman" w:cs="Times New Roman" w:hint="eastAsia"/>
          <w:color w:val="EE0000"/>
          <w:kern w:val="0"/>
          <w:szCs w:val="21"/>
          <w:vertAlign w:val="superscript"/>
        </w:rPr>
        <w:t>[9]</w:t>
      </w:r>
      <w:r>
        <w:rPr>
          <w:rFonts w:ascii="Times New Roman" w:hAnsi="Times New Roman" w:cs="Times New Roman" w:hint="eastAsia"/>
          <w:kern w:val="0"/>
          <w:szCs w:val="21"/>
        </w:rPr>
        <w:t>。这些庞大的在役风机形成了巨大的钢铁社会存量。随着设备退役，预计将有数百万至千万吨级别的钢铁进入回收流程。钢铁的回收技术已相对成熟，主要通过磁选从混合废料中高效分离，再经过剪切、破碎、熔炼等工艺进行再生</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2</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。全球范围内，废钢回收已成为钢铁工业重要的原料来源，每回收</w:t>
      </w:r>
      <w:r>
        <w:rPr>
          <w:rFonts w:ascii="Times New Roman" w:hAnsi="Times New Roman" w:cs="Times New Roman" w:hint="eastAsia"/>
          <w:kern w:val="0"/>
          <w:szCs w:val="21"/>
        </w:rPr>
        <w:t>1</w:t>
      </w:r>
      <w:r>
        <w:rPr>
          <w:rFonts w:ascii="Times New Roman" w:hAnsi="Times New Roman" w:cs="Times New Roman" w:hint="eastAsia"/>
          <w:kern w:val="0"/>
          <w:szCs w:val="21"/>
        </w:rPr>
        <w:t>吨废钢不仅可以节约</w:t>
      </w:r>
      <w:r>
        <w:rPr>
          <w:rFonts w:ascii="Times New Roman" w:hAnsi="Times New Roman" w:cs="Times New Roman" w:hint="eastAsia"/>
          <w:kern w:val="0"/>
          <w:szCs w:val="21"/>
        </w:rPr>
        <w:t>1.4</w:t>
      </w:r>
      <w:r>
        <w:rPr>
          <w:rFonts w:ascii="Times New Roman" w:hAnsi="Times New Roman" w:cs="Times New Roman" w:hint="eastAsia"/>
          <w:kern w:val="0"/>
          <w:szCs w:val="21"/>
        </w:rPr>
        <w:t>吨铁矿石和</w:t>
      </w:r>
      <w:r>
        <w:rPr>
          <w:rFonts w:ascii="Times New Roman" w:hAnsi="Times New Roman" w:cs="Times New Roman" w:hint="eastAsia"/>
          <w:kern w:val="0"/>
          <w:szCs w:val="21"/>
        </w:rPr>
        <w:t>740</w:t>
      </w:r>
      <w:r>
        <w:rPr>
          <w:rFonts w:ascii="Times New Roman" w:hAnsi="Times New Roman" w:cs="Times New Roman" w:hint="eastAsia"/>
          <w:kern w:val="0"/>
          <w:szCs w:val="21"/>
        </w:rPr>
        <w:t>千克煤炭，还能减少</w:t>
      </w:r>
      <w:r>
        <w:rPr>
          <w:rFonts w:ascii="Times New Roman" w:hAnsi="Times New Roman" w:cs="Times New Roman" w:hint="eastAsia"/>
          <w:kern w:val="0"/>
          <w:szCs w:val="21"/>
        </w:rPr>
        <w:t>1.5</w:t>
      </w:r>
      <w:r>
        <w:rPr>
          <w:rFonts w:ascii="Times New Roman" w:hAnsi="Times New Roman" w:cs="Times New Roman" w:hint="eastAsia"/>
          <w:kern w:val="0"/>
          <w:szCs w:val="21"/>
        </w:rPr>
        <w:t>吨二氧化碳的排放，每年全球回收的</w:t>
      </w:r>
      <w:r>
        <w:rPr>
          <w:rFonts w:ascii="Times New Roman" w:hAnsi="Times New Roman" w:cs="Times New Roman" w:hint="eastAsia"/>
          <w:kern w:val="0"/>
          <w:szCs w:val="21"/>
        </w:rPr>
        <w:t>6.3</w:t>
      </w:r>
      <w:r>
        <w:rPr>
          <w:rFonts w:ascii="Times New Roman" w:hAnsi="Times New Roman" w:cs="Times New Roman" w:hint="eastAsia"/>
          <w:kern w:val="0"/>
          <w:szCs w:val="21"/>
        </w:rPr>
        <w:t>亿吨废钢相当于减少了</w:t>
      </w:r>
      <w:r>
        <w:rPr>
          <w:rFonts w:ascii="Times New Roman" w:hAnsi="Times New Roman" w:cs="Times New Roman" w:hint="eastAsia"/>
          <w:kern w:val="0"/>
          <w:szCs w:val="21"/>
        </w:rPr>
        <w:t>9.45</w:t>
      </w:r>
      <w:r>
        <w:rPr>
          <w:rFonts w:ascii="Times New Roman" w:hAnsi="Times New Roman" w:cs="Times New Roman" w:hint="eastAsia"/>
          <w:kern w:val="0"/>
          <w:szCs w:val="21"/>
        </w:rPr>
        <w:t>亿吨的碳排放</w:t>
      </w:r>
      <w:r>
        <w:rPr>
          <w:rFonts w:ascii="Times New Roman" w:hAnsi="Times New Roman" w:cs="Times New Roman" w:hint="eastAsia"/>
          <w:color w:val="EE0000"/>
          <w:kern w:val="0"/>
          <w:szCs w:val="21"/>
          <w:vertAlign w:val="superscript"/>
        </w:rPr>
        <w:t>[16]</w:t>
      </w:r>
      <w:r>
        <w:rPr>
          <w:rFonts w:ascii="Times New Roman" w:hAnsi="Times New Roman" w:cs="Times New Roman" w:hint="eastAsia"/>
          <w:kern w:val="0"/>
          <w:szCs w:val="21"/>
        </w:rPr>
        <w:t>。风电机组中的钢铁部件因其体积大、质量重，相对易于收集和拆解，具有较高的回收价值和环境效益。</w:t>
      </w:r>
    </w:p>
    <w:p w14:paraId="0947DEB5" w14:textId="77777777"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铜和铝作为风电机组中关键的导电和结构材料，其回收潜力同样巨大。尽管现有政策目标持续提升，但再生材料的使用效率仍未能有效跟上材料消费的整体增长步伐。其中铜的二次供应在总需求中的占比已从</w:t>
      </w:r>
      <w:r>
        <w:rPr>
          <w:rFonts w:ascii="Times New Roman" w:hAnsi="Times New Roman" w:cs="Times New Roman" w:hint="eastAsia"/>
          <w:kern w:val="0"/>
          <w:szCs w:val="21"/>
        </w:rPr>
        <w:t>2015</w:t>
      </w:r>
      <w:r>
        <w:rPr>
          <w:rFonts w:ascii="Times New Roman" w:hAnsi="Times New Roman" w:cs="Times New Roman" w:hint="eastAsia"/>
          <w:kern w:val="0"/>
          <w:szCs w:val="21"/>
        </w:rPr>
        <w:t>年的</w:t>
      </w:r>
      <w:r>
        <w:rPr>
          <w:rFonts w:ascii="Times New Roman" w:hAnsi="Times New Roman" w:cs="Times New Roman" w:hint="eastAsia"/>
          <w:kern w:val="0"/>
          <w:szCs w:val="21"/>
        </w:rPr>
        <w:t>37%</w:t>
      </w:r>
      <w:r>
        <w:rPr>
          <w:rFonts w:ascii="Times New Roman" w:hAnsi="Times New Roman" w:cs="Times New Roman" w:hint="eastAsia"/>
          <w:kern w:val="0"/>
          <w:szCs w:val="21"/>
        </w:rPr>
        <w:t>降至</w:t>
      </w:r>
      <w:r>
        <w:rPr>
          <w:rFonts w:ascii="Times New Roman" w:hAnsi="Times New Roman" w:cs="Times New Roman" w:hint="eastAsia"/>
          <w:kern w:val="0"/>
          <w:szCs w:val="21"/>
        </w:rPr>
        <w:t>2023</w:t>
      </w:r>
      <w:r>
        <w:rPr>
          <w:rFonts w:ascii="Times New Roman" w:hAnsi="Times New Roman" w:cs="Times New Roman" w:hint="eastAsia"/>
          <w:kern w:val="0"/>
          <w:szCs w:val="21"/>
        </w:rPr>
        <w:t>年的</w:t>
      </w:r>
      <w:r>
        <w:rPr>
          <w:rFonts w:ascii="Times New Roman" w:hAnsi="Times New Roman" w:cs="Times New Roman" w:hint="eastAsia"/>
          <w:kern w:val="0"/>
          <w:szCs w:val="21"/>
        </w:rPr>
        <w:t>33%</w:t>
      </w:r>
      <w:r>
        <w:rPr>
          <w:rFonts w:ascii="Times New Roman" w:hAnsi="Times New Roman" w:cs="Times New Roman" w:hint="eastAsia"/>
          <w:kern w:val="0"/>
          <w:szCs w:val="21"/>
        </w:rPr>
        <w:t>（如图</w:t>
      </w:r>
      <w:r>
        <w:rPr>
          <w:rFonts w:ascii="Times New Roman" w:hAnsi="Times New Roman" w:cs="Times New Roman" w:hint="eastAsia"/>
          <w:kern w:val="0"/>
          <w:szCs w:val="21"/>
        </w:rPr>
        <w:t>8</w:t>
      </w:r>
      <w:r>
        <w:rPr>
          <w:rFonts w:ascii="Times New Roman" w:hAnsi="Times New Roman" w:cs="Times New Roman" w:hint="eastAsia"/>
          <w:kern w:val="0"/>
          <w:szCs w:val="21"/>
        </w:rPr>
        <w:t>所示）。风电机组作为未来重要的铜资源报废来源（单台机组变压器含铜约</w:t>
      </w:r>
      <w:r>
        <w:rPr>
          <w:rFonts w:ascii="Times New Roman" w:hAnsi="Times New Roman" w:cs="Times New Roman" w:hint="eastAsia"/>
          <w:kern w:val="0"/>
          <w:szCs w:val="21"/>
        </w:rPr>
        <w:t>1.5</w:t>
      </w:r>
      <w:r>
        <w:rPr>
          <w:rFonts w:ascii="Times New Roman" w:hAnsi="Times New Roman" w:cs="Times New Roman" w:hint="eastAsia"/>
          <w:kern w:val="0"/>
          <w:szCs w:val="21"/>
        </w:rPr>
        <w:t>吨，发电机约</w:t>
      </w:r>
      <w:r>
        <w:rPr>
          <w:rFonts w:ascii="Times New Roman" w:hAnsi="Times New Roman" w:cs="Times New Roman" w:hint="eastAsia"/>
          <w:kern w:val="0"/>
          <w:szCs w:val="21"/>
        </w:rPr>
        <w:t>2</w:t>
      </w:r>
      <w:r>
        <w:rPr>
          <w:rFonts w:ascii="Times New Roman" w:hAnsi="Times New Roman" w:cs="Times New Roman" w:hint="eastAsia"/>
          <w:kern w:val="0"/>
          <w:szCs w:val="21"/>
        </w:rPr>
        <w:t>吨</w:t>
      </w:r>
      <w:r>
        <w:rPr>
          <w:rFonts w:ascii="Times New Roman" w:hAnsi="Times New Roman" w:cs="Times New Roman" w:hint="eastAsia"/>
          <w:color w:val="EE0000"/>
          <w:kern w:val="0"/>
          <w:szCs w:val="21"/>
          <w:vertAlign w:val="superscript"/>
        </w:rPr>
        <w:t>[9]</w:t>
      </w:r>
      <w:r>
        <w:rPr>
          <w:rFonts w:ascii="Times New Roman" w:hAnsi="Times New Roman" w:cs="Times New Roman" w:hint="eastAsia"/>
          <w:kern w:val="0"/>
          <w:szCs w:val="21"/>
        </w:rPr>
        <w:t>），其回收潜力巨大。然而，参照全球约</w:t>
      </w:r>
      <w:r>
        <w:rPr>
          <w:rFonts w:ascii="Times New Roman" w:hAnsi="Times New Roman" w:cs="Times New Roman" w:hint="eastAsia"/>
          <w:kern w:val="0"/>
          <w:szCs w:val="21"/>
        </w:rPr>
        <w:t>40%</w:t>
      </w:r>
      <w:r>
        <w:rPr>
          <w:rFonts w:ascii="Times New Roman" w:hAnsi="Times New Roman" w:cs="Times New Roman" w:hint="eastAsia"/>
          <w:kern w:val="0"/>
          <w:szCs w:val="21"/>
        </w:rPr>
        <w:t>的废弃阶段铜回收率、</w:t>
      </w:r>
      <w:r>
        <w:rPr>
          <w:rFonts w:ascii="Times New Roman" w:hAnsi="Times New Roman" w:cs="Times New Roman" w:hint="eastAsia"/>
          <w:kern w:val="0"/>
          <w:szCs w:val="21"/>
        </w:rPr>
        <w:t>32%</w:t>
      </w:r>
      <w:r>
        <w:rPr>
          <w:rFonts w:ascii="Times New Roman" w:hAnsi="Times New Roman" w:cs="Times New Roman" w:hint="eastAsia"/>
          <w:kern w:val="0"/>
          <w:szCs w:val="21"/>
        </w:rPr>
        <w:t>的二次资源供应占比及</w:t>
      </w:r>
      <w:r>
        <w:rPr>
          <w:rFonts w:ascii="Times New Roman" w:hAnsi="Times New Roman" w:cs="Times New Roman" w:hint="eastAsia"/>
          <w:kern w:val="0"/>
          <w:szCs w:val="21"/>
        </w:rPr>
        <w:t>10-20%</w:t>
      </w:r>
      <w:r>
        <w:rPr>
          <w:rFonts w:ascii="Times New Roman" w:hAnsi="Times New Roman" w:cs="Times New Roman" w:hint="eastAsia"/>
          <w:kern w:val="0"/>
          <w:szCs w:val="21"/>
        </w:rPr>
        <w:t>的城市矿产回收率</w:t>
      </w:r>
      <w:r>
        <w:rPr>
          <w:rFonts w:ascii="Times New Roman" w:hAnsi="Times New Roman" w:cs="Times New Roman" w:hint="eastAsia"/>
          <w:color w:val="EE0000"/>
          <w:kern w:val="0"/>
          <w:szCs w:val="21"/>
          <w:vertAlign w:val="superscript"/>
        </w:rPr>
        <w:t>[1]</w:t>
      </w:r>
      <w:r>
        <w:rPr>
          <w:rFonts w:ascii="Times New Roman" w:hAnsi="Times New Roman" w:cs="Times New Roman" w:hint="eastAsia"/>
          <w:kern w:val="0"/>
          <w:szCs w:val="21"/>
        </w:rPr>
        <w:t>，专门针对风电机组中高纯度</w:t>
      </w:r>
      <w:r>
        <w:rPr>
          <w:rFonts w:ascii="Times New Roman" w:hAnsi="Times New Roman" w:cs="Times New Roman" w:hint="eastAsia"/>
          <w:kern w:val="0"/>
          <w:szCs w:val="21"/>
        </w:rPr>
        <w:t>铜的高效回收体系尚处于发展初期。相比之下，铝的再生利用表现稍好，其再生份额在同期从</w:t>
      </w:r>
      <w:r>
        <w:rPr>
          <w:rFonts w:ascii="Times New Roman" w:hAnsi="Times New Roman" w:cs="Times New Roman" w:hint="eastAsia"/>
          <w:kern w:val="0"/>
          <w:szCs w:val="21"/>
        </w:rPr>
        <w:t>32%</w:t>
      </w:r>
      <w:r>
        <w:rPr>
          <w:rFonts w:ascii="Times New Roman" w:hAnsi="Times New Roman" w:cs="Times New Roman" w:hint="eastAsia"/>
          <w:kern w:val="0"/>
          <w:szCs w:val="21"/>
        </w:rPr>
        <w:t>微升至</w:t>
      </w:r>
      <w:r>
        <w:rPr>
          <w:rFonts w:ascii="Times New Roman" w:hAnsi="Times New Roman" w:cs="Times New Roman" w:hint="eastAsia"/>
          <w:kern w:val="0"/>
          <w:szCs w:val="21"/>
        </w:rPr>
        <w:t>35%</w:t>
      </w:r>
      <w:r>
        <w:rPr>
          <w:rFonts w:ascii="Times New Roman" w:hAnsi="Times New Roman" w:cs="Times New Roman" w:hint="eastAsia"/>
          <w:kern w:val="0"/>
          <w:szCs w:val="21"/>
        </w:rPr>
        <w:t>（如图</w:t>
      </w:r>
      <w:r>
        <w:rPr>
          <w:rFonts w:ascii="Times New Roman" w:hAnsi="Times New Roman" w:cs="Times New Roman" w:hint="eastAsia"/>
          <w:kern w:val="0"/>
          <w:szCs w:val="21"/>
        </w:rPr>
        <w:t>8</w:t>
      </w:r>
      <w:r>
        <w:rPr>
          <w:rFonts w:ascii="Times New Roman" w:hAnsi="Times New Roman" w:cs="Times New Roman" w:hint="eastAsia"/>
          <w:kern w:val="0"/>
          <w:szCs w:val="21"/>
        </w:rPr>
        <w:t>所示），这部分得益于相对完善的废弃物管理和支持性法规。废铝的循环利用效益显著，相比原铝生产可减少高达</w:t>
      </w:r>
      <w:r>
        <w:rPr>
          <w:rFonts w:ascii="Times New Roman" w:hAnsi="Times New Roman" w:cs="Times New Roman" w:hint="eastAsia"/>
          <w:kern w:val="0"/>
          <w:szCs w:val="21"/>
        </w:rPr>
        <w:t>95%</w:t>
      </w:r>
      <w:r>
        <w:rPr>
          <w:rFonts w:ascii="Times New Roman" w:hAnsi="Times New Roman" w:cs="Times New Roman" w:hint="eastAsia"/>
          <w:kern w:val="0"/>
          <w:szCs w:val="21"/>
        </w:rPr>
        <w:t>的能耗和碳排放，每回收</w:t>
      </w:r>
      <w:r>
        <w:rPr>
          <w:rFonts w:ascii="Times New Roman" w:hAnsi="Times New Roman" w:cs="Times New Roman" w:hint="eastAsia"/>
          <w:kern w:val="0"/>
          <w:szCs w:val="21"/>
        </w:rPr>
        <w:t>1</w:t>
      </w:r>
      <w:r>
        <w:rPr>
          <w:rFonts w:ascii="Times New Roman" w:hAnsi="Times New Roman" w:cs="Times New Roman" w:hint="eastAsia"/>
          <w:kern w:val="0"/>
          <w:szCs w:val="21"/>
        </w:rPr>
        <w:t>吨废铝可节约</w:t>
      </w:r>
      <w:r>
        <w:rPr>
          <w:rFonts w:ascii="Times New Roman" w:hAnsi="Times New Roman" w:cs="Times New Roman" w:hint="eastAsia"/>
          <w:kern w:val="0"/>
          <w:szCs w:val="21"/>
        </w:rPr>
        <w:t>16</w:t>
      </w:r>
      <w:r>
        <w:rPr>
          <w:rFonts w:ascii="Times New Roman" w:hAnsi="Times New Roman" w:cs="Times New Roman" w:hint="eastAsia"/>
          <w:kern w:val="0"/>
          <w:szCs w:val="21"/>
        </w:rPr>
        <w:t>吨二氧化碳</w:t>
      </w:r>
      <w:r>
        <w:rPr>
          <w:rFonts w:ascii="Times New Roman" w:hAnsi="Times New Roman" w:cs="Times New Roman" w:hint="eastAsia"/>
          <w:color w:val="EE0000"/>
          <w:kern w:val="0"/>
          <w:szCs w:val="21"/>
          <w:vertAlign w:val="superscript"/>
        </w:rPr>
        <w:t>[16]</w:t>
      </w:r>
      <w:r>
        <w:rPr>
          <w:rFonts w:ascii="Times New Roman" w:hAnsi="Times New Roman" w:cs="Times New Roman" w:hint="eastAsia"/>
          <w:kern w:val="0"/>
          <w:szCs w:val="21"/>
        </w:rPr>
        <w:t>。中国在废铝回收方面已占全球较大比例。风电机组中的铝部件回收技术与铜类似，但核心挑战在于如何高效、低成本地分离与其他材料紧密结合的部分，并根据合金成分进行分类回收，以保证再生铜和再生铝的品质，满足市场的多样化需求。</w:t>
      </w:r>
    </w:p>
    <w:p w14:paraId="273E29A6" w14:textId="6CAC4655"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镍作为一种重要的战略性金属，在风电机组的某些合金部件中有所应用，再生镍在全球总供应中的份额已从</w:t>
      </w:r>
      <w:r>
        <w:rPr>
          <w:rFonts w:ascii="Times New Roman" w:hAnsi="Times New Roman" w:cs="Times New Roman" w:hint="eastAsia"/>
          <w:kern w:val="0"/>
          <w:szCs w:val="21"/>
        </w:rPr>
        <w:t>2015</w:t>
      </w:r>
      <w:r>
        <w:rPr>
          <w:rFonts w:ascii="Times New Roman" w:hAnsi="Times New Roman" w:cs="Times New Roman" w:hint="eastAsia"/>
          <w:kern w:val="0"/>
          <w:szCs w:val="21"/>
        </w:rPr>
        <w:t>年的</w:t>
      </w:r>
      <w:r>
        <w:rPr>
          <w:rFonts w:ascii="Times New Roman" w:hAnsi="Times New Roman" w:cs="Times New Roman" w:hint="eastAsia"/>
          <w:kern w:val="0"/>
          <w:szCs w:val="21"/>
        </w:rPr>
        <w:t>33%</w:t>
      </w:r>
      <w:r>
        <w:rPr>
          <w:rFonts w:ascii="Times New Roman" w:hAnsi="Times New Roman" w:cs="Times New Roman" w:hint="eastAsia"/>
          <w:kern w:val="0"/>
          <w:szCs w:val="21"/>
        </w:rPr>
        <w:t>降至</w:t>
      </w:r>
      <w:r>
        <w:rPr>
          <w:rFonts w:ascii="Times New Roman" w:hAnsi="Times New Roman" w:cs="Times New Roman" w:hint="eastAsia"/>
          <w:kern w:val="0"/>
          <w:szCs w:val="21"/>
        </w:rPr>
        <w:t>2023</w:t>
      </w:r>
      <w:r>
        <w:rPr>
          <w:rFonts w:ascii="Times New Roman" w:hAnsi="Times New Roman" w:cs="Times New Roman" w:hint="eastAsia"/>
          <w:kern w:val="0"/>
          <w:szCs w:val="21"/>
        </w:rPr>
        <w:t>年的</w:t>
      </w:r>
      <w:r>
        <w:rPr>
          <w:rFonts w:ascii="Times New Roman" w:hAnsi="Times New Roman" w:cs="Times New Roman" w:hint="eastAsia"/>
          <w:kern w:val="0"/>
          <w:szCs w:val="21"/>
        </w:rPr>
        <w:t>26%</w:t>
      </w:r>
      <w:r>
        <w:rPr>
          <w:rFonts w:ascii="Times New Roman" w:hAnsi="Times New Roman" w:cs="Times New Roman" w:hint="eastAsia"/>
          <w:kern w:val="0"/>
          <w:szCs w:val="21"/>
        </w:rPr>
        <w:t>（如图</w:t>
      </w:r>
      <w:r>
        <w:rPr>
          <w:rFonts w:ascii="Times New Roman" w:hAnsi="Times New Roman" w:cs="Times New Roman" w:hint="eastAsia"/>
          <w:kern w:val="0"/>
          <w:szCs w:val="21"/>
        </w:rPr>
        <w:t>8</w:t>
      </w:r>
      <w:r>
        <w:rPr>
          <w:rFonts w:ascii="Times New Roman" w:hAnsi="Times New Roman" w:cs="Times New Roman" w:hint="eastAsia"/>
          <w:kern w:val="0"/>
          <w:szCs w:val="21"/>
        </w:rPr>
        <w:t>所示），这反映镍资源循环利用体系面临着挑战。尽管其在风机中的具体含量和预期报废量的专项数据相对缺乏，但其回收价值和战略意义不容忽视。目前，全球镍的报废回收率约为</w:t>
      </w:r>
      <w:r>
        <w:rPr>
          <w:rFonts w:ascii="Times New Roman" w:hAnsi="Times New Roman" w:cs="Times New Roman" w:hint="eastAsia"/>
          <w:kern w:val="0"/>
          <w:szCs w:val="21"/>
        </w:rPr>
        <w:t>60%</w:t>
      </w:r>
      <w:r>
        <w:rPr>
          <w:rFonts w:ascii="Times New Roman" w:hAnsi="Times New Roman" w:cs="Times New Roman" w:hint="eastAsia"/>
          <w:kern w:val="0"/>
          <w:szCs w:val="21"/>
        </w:rPr>
        <w:t>，其中超过</w:t>
      </w:r>
      <w:r>
        <w:rPr>
          <w:rFonts w:ascii="Times New Roman" w:hAnsi="Times New Roman" w:cs="Times New Roman" w:hint="eastAsia"/>
          <w:kern w:val="0"/>
          <w:szCs w:val="21"/>
        </w:rPr>
        <w:t>95%</w:t>
      </w:r>
      <w:r>
        <w:rPr>
          <w:rFonts w:ascii="Times New Roman" w:hAnsi="Times New Roman" w:cs="Times New Roman" w:hint="eastAsia"/>
          <w:kern w:val="0"/>
          <w:szCs w:val="21"/>
        </w:rPr>
        <w:t>的回收镍以合金形式用于生产不锈钢，然而这种回收镍的纯度往往不足以满足电池制造等高纯度应用领域的需求</w:t>
      </w:r>
      <w:r>
        <w:rPr>
          <w:rFonts w:ascii="Times New Roman" w:hAnsi="Times New Roman" w:cs="Times New Roman" w:hint="eastAsia"/>
          <w:color w:val="EE0000"/>
          <w:kern w:val="0"/>
          <w:szCs w:val="21"/>
          <w:vertAlign w:val="superscript"/>
        </w:rPr>
        <w:t>[20]</w:t>
      </w:r>
      <w:r>
        <w:rPr>
          <w:rFonts w:ascii="Times New Roman" w:hAnsi="Times New Roman" w:cs="Times New Roman" w:hint="eastAsia"/>
          <w:kern w:val="0"/>
          <w:szCs w:val="21"/>
        </w:rPr>
        <w:t>。针对风电机组中含镍部件的回收，首先需要进行精确的拆解和材料识别。后续的回收工艺可能涉及化学湿法冶金（如酸浸、溶剂萃取）或火法冶金技术，以实现镍的提纯和回收。这些回收技术的复杂性、成本以及废弃物中镍含量的变异性，是当前实现风电机组中镍高效循环利用的主要制约因素。然而，一些研究指出，通过增加能源转型技术中镍的二次供应，整体环境影响和水需求将显著减少。例如，在考虑二次供应时，中国镍生产的耗水量可以减少</w:t>
      </w:r>
      <w:r>
        <w:rPr>
          <w:rFonts w:ascii="Times New Roman" w:hAnsi="Times New Roman" w:cs="Times New Roman" w:hint="eastAsia"/>
          <w:kern w:val="0"/>
          <w:szCs w:val="21"/>
        </w:rPr>
        <w:t>31-50%</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3</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。随着未来风机退役规模的持续扩大和回收技术的不断进步，镍的回收潜力和经济性有望得到进一步开发和提升。</w:t>
      </w:r>
    </w:p>
    <w:p w14:paraId="2525215A" w14:textId="35CA405A" w:rsidR="00691F6A" w:rsidRDefault="001E7D5E">
      <w:pPr>
        <w:widowControl/>
        <w:spacing w:line="240" w:lineRule="atLeast"/>
        <w:jc w:val="center"/>
      </w:pPr>
      <w:r>
        <w:rPr>
          <w:rFonts w:hint="eastAsia"/>
        </w:rPr>
        <w:object w:dxaOrig="15264" w:dyaOrig="11760" w14:anchorId="7054F6B2">
          <v:shape id="_x0000_i1029" type="#_x0000_t75" style="width:231.4pt;height:150.05pt" o:ole="">
            <v:imagedata r:id="rId27" o:title="" croptop="16776f" cropbottom="3587f" cropleft="4673f" cropright="7309f"/>
          </v:shape>
          <o:OLEObject Type="Embed" ProgID="Origin95.Graph" ShapeID="_x0000_i1029" DrawAspect="Content" ObjectID="_1811340060" r:id="rId28"/>
        </w:object>
      </w:r>
    </w:p>
    <w:p w14:paraId="374C47E3" w14:textId="009FC61E" w:rsidR="009D03E1" w:rsidRPr="009D03E1" w:rsidRDefault="009D03E1" w:rsidP="009D03E1">
      <w:pPr>
        <w:widowControl/>
        <w:spacing w:line="240" w:lineRule="atLeast"/>
        <w:jc w:val="center"/>
        <w:rPr>
          <w:rFonts w:ascii="Times New Roman" w:hAnsi="Times New Roman" w:cs="Times New Roman"/>
          <w:kern w:val="0"/>
          <w:sz w:val="18"/>
          <w:szCs w:val="18"/>
        </w:rPr>
      </w:pPr>
      <w:r>
        <w:rPr>
          <w:rFonts w:ascii="Times New Roman" w:hAnsi="Times New Roman" w:cs="Times New Roman" w:hint="eastAsia"/>
          <w:kern w:val="0"/>
          <w:sz w:val="18"/>
          <w:szCs w:val="18"/>
        </w:rPr>
        <w:t>图</w:t>
      </w:r>
      <w:r>
        <w:rPr>
          <w:rFonts w:ascii="Times New Roman" w:hAnsi="Times New Roman" w:cs="Times New Roman" w:hint="eastAsia"/>
          <w:kern w:val="0"/>
          <w:sz w:val="18"/>
          <w:szCs w:val="18"/>
        </w:rPr>
        <w:t>7 2015-2023</w:t>
      </w:r>
      <w:r>
        <w:rPr>
          <w:rFonts w:ascii="Times New Roman" w:hAnsi="Times New Roman" w:cs="Times New Roman" w:hint="eastAsia"/>
          <w:kern w:val="0"/>
          <w:sz w:val="18"/>
          <w:szCs w:val="18"/>
        </w:rPr>
        <w:t>年主要金属的历史回收投入率（数据来源：</w:t>
      </w:r>
      <w:r>
        <w:rPr>
          <w:rFonts w:ascii="Times New Roman" w:hAnsi="Times New Roman" w:cs="Times New Roman" w:hint="eastAsia"/>
          <w:kern w:val="0"/>
          <w:sz w:val="18"/>
          <w:szCs w:val="18"/>
        </w:rPr>
        <w:t>IEA. Recycling of Critical Minerals</w:t>
      </w:r>
      <w:r>
        <w:rPr>
          <w:rFonts w:ascii="Times New Roman" w:hAnsi="Times New Roman" w:cs="Times New Roman" w:hint="eastAsia"/>
          <w:kern w:val="0"/>
          <w:sz w:val="18"/>
          <w:szCs w:val="18"/>
        </w:rPr>
        <w:t>）</w:t>
      </w:r>
    </w:p>
    <w:p w14:paraId="6477FE36" w14:textId="24EF068D"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lastRenderedPageBreak/>
        <w:t>稀土元素，特别是钕（</w:t>
      </w:r>
      <w:r>
        <w:rPr>
          <w:rFonts w:ascii="Times New Roman" w:hAnsi="Times New Roman" w:cs="Times New Roman" w:hint="eastAsia"/>
          <w:kern w:val="0"/>
          <w:szCs w:val="21"/>
        </w:rPr>
        <w:t>Nd</w:t>
      </w:r>
      <w:r>
        <w:rPr>
          <w:rFonts w:ascii="Times New Roman" w:hAnsi="Times New Roman" w:cs="Times New Roman" w:hint="eastAsia"/>
          <w:kern w:val="0"/>
          <w:szCs w:val="21"/>
        </w:rPr>
        <w:t>）、镝（</w:t>
      </w:r>
      <w:r>
        <w:rPr>
          <w:rFonts w:ascii="Times New Roman" w:hAnsi="Times New Roman" w:cs="Times New Roman" w:hint="eastAsia"/>
          <w:kern w:val="0"/>
          <w:szCs w:val="21"/>
        </w:rPr>
        <w:t>Dy</w:t>
      </w:r>
      <w:r>
        <w:rPr>
          <w:rFonts w:ascii="Times New Roman" w:hAnsi="Times New Roman" w:cs="Times New Roman" w:hint="eastAsia"/>
          <w:kern w:val="0"/>
          <w:szCs w:val="21"/>
        </w:rPr>
        <w:t>）、铽（</w:t>
      </w:r>
      <w:r>
        <w:rPr>
          <w:rFonts w:ascii="Times New Roman" w:hAnsi="Times New Roman" w:cs="Times New Roman" w:hint="eastAsia"/>
          <w:kern w:val="0"/>
          <w:szCs w:val="21"/>
        </w:rPr>
        <w:t>Tb</w:t>
      </w:r>
      <w:r>
        <w:rPr>
          <w:rFonts w:ascii="Times New Roman" w:hAnsi="Times New Roman" w:cs="Times New Roman" w:hint="eastAsia"/>
          <w:kern w:val="0"/>
          <w:szCs w:val="21"/>
        </w:rPr>
        <w:t>）等，是风力发电机中永磁同步电机（</w:t>
      </w:r>
      <w:r>
        <w:rPr>
          <w:rFonts w:ascii="Times New Roman" w:hAnsi="Times New Roman" w:cs="Times New Roman" w:hint="eastAsia"/>
          <w:kern w:val="0"/>
          <w:szCs w:val="21"/>
        </w:rPr>
        <w:t>PMSG</w:t>
      </w:r>
      <w:r>
        <w:rPr>
          <w:rFonts w:ascii="Times New Roman" w:hAnsi="Times New Roman" w:cs="Times New Roman" w:hint="eastAsia"/>
          <w:kern w:val="0"/>
          <w:szCs w:val="21"/>
        </w:rPr>
        <w:t>）不可或缺的关键材料，主要用于制造高性能的钕铁硼（</w:t>
      </w:r>
      <w:r>
        <w:rPr>
          <w:rFonts w:ascii="Times New Roman" w:hAnsi="Times New Roman" w:cs="Times New Roman" w:hint="eastAsia"/>
          <w:kern w:val="0"/>
          <w:szCs w:val="21"/>
        </w:rPr>
        <w:t>NdFeB</w:t>
      </w:r>
      <w:r>
        <w:rPr>
          <w:rFonts w:ascii="Times New Roman" w:hAnsi="Times New Roman" w:cs="Times New Roman" w:hint="eastAsia"/>
          <w:kern w:val="0"/>
          <w:szCs w:val="21"/>
        </w:rPr>
        <w:t>）永磁体</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4</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。随着采用永磁直驱和半直驱技术的风电机组逐渐进入退役期，稀土永磁体的报废量将呈现持续增加的趋势。研究预测显示，到</w:t>
      </w:r>
      <w:r>
        <w:rPr>
          <w:rFonts w:ascii="Times New Roman" w:hAnsi="Times New Roman" w:cs="Times New Roman" w:hint="eastAsia"/>
          <w:kern w:val="0"/>
          <w:szCs w:val="21"/>
        </w:rPr>
        <w:t>2060</w:t>
      </w:r>
      <w:r>
        <w:rPr>
          <w:rFonts w:ascii="Times New Roman" w:hAnsi="Times New Roman" w:cs="Times New Roman" w:hint="eastAsia"/>
          <w:kern w:val="0"/>
          <w:szCs w:val="21"/>
        </w:rPr>
        <w:t>年，仅中国风电行业对钕的累计需求量就可能超过</w:t>
      </w:r>
      <w:r>
        <w:rPr>
          <w:rFonts w:ascii="Times New Roman" w:hAnsi="Times New Roman" w:cs="Times New Roman" w:hint="eastAsia"/>
          <w:kern w:val="0"/>
          <w:szCs w:val="21"/>
        </w:rPr>
        <w:t>22</w:t>
      </w:r>
      <w:r>
        <w:rPr>
          <w:rFonts w:ascii="Times New Roman" w:hAnsi="Times New Roman" w:cs="Times New Roman" w:hint="eastAsia"/>
          <w:kern w:val="0"/>
          <w:szCs w:val="21"/>
        </w:rPr>
        <w:t>万吨</w:t>
      </w:r>
      <w:r>
        <w:rPr>
          <w:rFonts w:ascii="Times New Roman" w:hAnsi="Times New Roman" w:cs="Times New Roman" w:hint="eastAsia"/>
          <w:color w:val="EE0000"/>
          <w:kern w:val="0"/>
          <w:szCs w:val="21"/>
          <w:vertAlign w:val="superscript"/>
        </w:rPr>
        <w:t>[16]</w:t>
      </w:r>
      <w:r>
        <w:rPr>
          <w:rFonts w:ascii="Times New Roman" w:hAnsi="Times New Roman" w:cs="Times New Roman" w:hint="eastAsia"/>
          <w:kern w:val="0"/>
          <w:szCs w:val="21"/>
        </w:rPr>
        <w:t>。在此背景下，退役风电机组中的钕将成为重要的二次资源来源。例如，在基准情景下，预计到</w:t>
      </w:r>
      <w:r>
        <w:rPr>
          <w:rFonts w:ascii="Times New Roman" w:hAnsi="Times New Roman" w:cs="Times New Roman" w:hint="eastAsia"/>
          <w:kern w:val="0"/>
          <w:szCs w:val="21"/>
        </w:rPr>
        <w:t>2035</w:t>
      </w:r>
      <w:r>
        <w:rPr>
          <w:rFonts w:ascii="Times New Roman" w:hAnsi="Times New Roman" w:cs="Times New Roman" w:hint="eastAsia"/>
          <w:kern w:val="0"/>
          <w:szCs w:val="21"/>
        </w:rPr>
        <w:t>年，退役风电机组中所含的钕将能满足当年风电行业钕需求的</w:t>
      </w:r>
      <w:r>
        <w:rPr>
          <w:rFonts w:ascii="Times New Roman" w:hAnsi="Times New Roman" w:cs="Times New Roman" w:hint="eastAsia"/>
          <w:kern w:val="0"/>
          <w:szCs w:val="21"/>
        </w:rPr>
        <w:t>23%-27%</w:t>
      </w:r>
      <w:r>
        <w:rPr>
          <w:rFonts w:ascii="Times New Roman" w:hAnsi="Times New Roman" w:cs="Times New Roman" w:hint="eastAsia"/>
          <w:color w:val="EE0000"/>
          <w:kern w:val="0"/>
          <w:szCs w:val="21"/>
          <w:vertAlign w:val="superscript"/>
        </w:rPr>
        <w:t>[9]</w:t>
      </w:r>
      <w:r>
        <w:rPr>
          <w:rFonts w:ascii="Times New Roman" w:hAnsi="Times New Roman" w:cs="Times New Roman" w:hint="eastAsia"/>
          <w:kern w:val="0"/>
          <w:szCs w:val="21"/>
        </w:rPr>
        <w:t>。然而，目前全球稀土元素的总体回收率依然偏低，特别是风电永磁体的回收尚处于技术探索和产业链构建的初级阶段。稀土永磁体的回收技术路线多样，主要包括物理法（如氢破碎）、化学法（如酸浸、离子液体萃取）以及电解法等，这些技术的目标是将永磁体中的稀土元素与其他组分（如铁、硼）有效分离并进行高纯度提纯</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4</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。当前面临的主要挑战包括永磁体结构复杂、稀土元素与其他金属结合紧密、回收过程可能引发二次污染以及回收成本较高等。为了防止因镝元素供应不足成为能源转型的瓶颈，有研究建议需要达到</w:t>
      </w:r>
      <w:r>
        <w:rPr>
          <w:rFonts w:ascii="Times New Roman" w:hAnsi="Times New Roman" w:cs="Times New Roman" w:hint="eastAsia"/>
          <w:kern w:val="0"/>
          <w:szCs w:val="21"/>
        </w:rPr>
        <w:t>80%</w:t>
      </w:r>
      <w:r>
        <w:rPr>
          <w:rFonts w:ascii="Times New Roman" w:hAnsi="Times New Roman" w:cs="Times New Roman" w:hint="eastAsia"/>
          <w:kern w:val="0"/>
          <w:szCs w:val="21"/>
        </w:rPr>
        <w:t>的回收率</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3</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w:t>
      </w:r>
    </w:p>
    <w:p w14:paraId="623064F1" w14:textId="77777777" w:rsidR="00691F6A"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.2  </w:t>
      </w:r>
      <w:r>
        <w:rPr>
          <w:rFonts w:ascii="Times New Roman" w:eastAsia="宋体" w:hAnsi="Times New Roman" w:cs="Times New Roman" w:hint="eastAsia"/>
          <w:b/>
          <w:kern w:val="0"/>
          <w:szCs w:val="21"/>
        </w:rPr>
        <w:t>光伏发电设备产业中城市矿产循环利用潜力</w:t>
      </w:r>
    </w:p>
    <w:p w14:paraId="1D0C3A52" w14:textId="6DF7B3B4"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尽管太阳能发电的增长为全球带来了巨大的利益，但报废太阳能电池板可能成为危险废物的来源。截至</w:t>
      </w:r>
      <w:r>
        <w:rPr>
          <w:rFonts w:ascii="Times New Roman" w:eastAsia="宋体" w:hAnsi="Times New Roman" w:cs="Times New Roman" w:hint="eastAsia"/>
          <w:szCs w:val="21"/>
        </w:rPr>
        <w:t>2017</w:t>
      </w:r>
      <w:r>
        <w:rPr>
          <w:rFonts w:ascii="Times New Roman" w:eastAsia="宋体" w:hAnsi="Times New Roman" w:cs="Times New Roman" w:hint="eastAsia"/>
          <w:szCs w:val="21"/>
        </w:rPr>
        <w:t>年底，全球光伏装机容量达到约</w:t>
      </w:r>
      <w:r>
        <w:rPr>
          <w:rFonts w:ascii="Times New Roman" w:eastAsia="宋体" w:hAnsi="Times New Roman" w:cs="Times New Roman" w:hint="eastAsia"/>
          <w:szCs w:val="21"/>
        </w:rPr>
        <w:t>400</w:t>
      </w:r>
      <w:r>
        <w:rPr>
          <w:rFonts w:ascii="Times New Roman" w:eastAsia="宋体" w:hAnsi="Times New Roman" w:cs="Times New Roman" w:hint="eastAsia"/>
          <w:szCs w:val="21"/>
        </w:rPr>
        <w:t>吉瓦，预计到</w:t>
      </w:r>
      <w:r>
        <w:rPr>
          <w:rFonts w:ascii="Times New Roman" w:eastAsia="宋体" w:hAnsi="Times New Roman" w:cs="Times New Roman" w:hint="eastAsia"/>
          <w:szCs w:val="21"/>
        </w:rPr>
        <w:t>20</w:t>
      </w:r>
      <w:r w:rsidR="00003FE5">
        <w:rPr>
          <w:rFonts w:ascii="Times New Roman" w:eastAsia="宋体" w:hAnsi="Times New Roman" w:cs="Times New Roman" w:hint="eastAsia"/>
          <w:szCs w:val="21"/>
        </w:rPr>
        <w:t>3</w:t>
      </w:r>
      <w:r>
        <w:rPr>
          <w:rFonts w:ascii="Times New Roman" w:eastAsia="宋体" w:hAnsi="Times New Roman" w:cs="Times New Roman" w:hint="eastAsia"/>
          <w:szCs w:val="21"/>
        </w:rPr>
        <w:t>0</w:t>
      </w:r>
      <w:r>
        <w:rPr>
          <w:rFonts w:ascii="Times New Roman" w:eastAsia="宋体" w:hAnsi="Times New Roman" w:cs="Times New Roman" w:hint="eastAsia"/>
          <w:szCs w:val="21"/>
        </w:rPr>
        <w:t>年将进一步上升至</w:t>
      </w:r>
      <w:r>
        <w:rPr>
          <w:rFonts w:ascii="Times New Roman" w:eastAsia="宋体" w:hAnsi="Times New Roman" w:cs="Times New Roman" w:hint="eastAsia"/>
          <w:szCs w:val="21"/>
        </w:rPr>
        <w:t>4500</w:t>
      </w:r>
      <w:r>
        <w:rPr>
          <w:rFonts w:ascii="Times New Roman" w:eastAsia="宋体" w:hAnsi="Times New Roman" w:cs="Times New Roman" w:hint="eastAsia"/>
          <w:szCs w:val="21"/>
        </w:rPr>
        <w:t>吉瓦</w:t>
      </w:r>
      <w:r w:rsidR="007C3930">
        <w:rPr>
          <w:rFonts w:ascii="Times New Roman" w:eastAsia="宋体" w:hAnsi="Times New Roman" w:cs="Times New Roman" w:hint="eastAsia"/>
          <w:szCs w:val="21"/>
        </w:rPr>
        <w:t>（图</w:t>
      </w:r>
      <w:r w:rsidR="007C3930">
        <w:rPr>
          <w:rFonts w:ascii="Times New Roman" w:eastAsia="宋体" w:hAnsi="Times New Roman" w:cs="Times New Roman" w:hint="eastAsia"/>
          <w:szCs w:val="21"/>
        </w:rPr>
        <w:t>8</w:t>
      </w:r>
      <w:r w:rsidR="007C3930">
        <w:rPr>
          <w:rFonts w:ascii="Times New Roman" w:eastAsia="宋体" w:hAnsi="Times New Roman" w:cs="Times New Roman" w:hint="eastAsia"/>
          <w:szCs w:val="21"/>
        </w:rPr>
        <w:t>）</w:t>
      </w:r>
      <w:r>
        <w:rPr>
          <w:rFonts w:ascii="Times New Roman" w:eastAsia="宋体" w:hAnsi="Times New Roman" w:cs="Times New Roman" w:hint="eastAsia"/>
          <w:szCs w:val="21"/>
        </w:rPr>
        <w:t>。考虑到电池板的平均寿命为</w:t>
      </w:r>
      <w:r>
        <w:rPr>
          <w:rFonts w:ascii="Times New Roman" w:eastAsia="宋体" w:hAnsi="Times New Roman" w:cs="Times New Roman" w:hint="eastAsia"/>
          <w:szCs w:val="21"/>
        </w:rPr>
        <w:t>25</w:t>
      </w:r>
      <w:r>
        <w:rPr>
          <w:rFonts w:ascii="Times New Roman" w:eastAsia="宋体" w:hAnsi="Times New Roman" w:cs="Times New Roman" w:hint="eastAsia"/>
          <w:szCs w:val="21"/>
        </w:rPr>
        <w:t>年，预计到</w:t>
      </w:r>
      <w:r>
        <w:rPr>
          <w:rFonts w:ascii="Times New Roman" w:eastAsia="宋体" w:hAnsi="Times New Roman" w:cs="Times New Roman" w:hint="eastAsia"/>
          <w:szCs w:val="21"/>
        </w:rPr>
        <w:t>2030</w:t>
      </w:r>
      <w:r>
        <w:rPr>
          <w:rFonts w:ascii="Times New Roman" w:eastAsia="宋体" w:hAnsi="Times New Roman" w:cs="Times New Roman" w:hint="eastAsia"/>
          <w:szCs w:val="21"/>
        </w:rPr>
        <w:t>年全球太阳能光伏废弃物将达到总发电量的</w:t>
      </w:r>
      <w:r>
        <w:rPr>
          <w:rFonts w:ascii="Times New Roman" w:eastAsia="宋体" w:hAnsi="Times New Roman" w:cs="Times New Roman" w:hint="eastAsia"/>
          <w:szCs w:val="21"/>
        </w:rPr>
        <w:t>4%-14%</w:t>
      </w:r>
      <w:r>
        <w:rPr>
          <w:rFonts w:ascii="Times New Roman" w:eastAsia="宋体" w:hAnsi="Times New Roman" w:cs="Times New Roman" w:hint="eastAsia"/>
          <w:szCs w:val="21"/>
        </w:rPr>
        <w:t>，到</w:t>
      </w:r>
      <w:r>
        <w:rPr>
          <w:rFonts w:ascii="Times New Roman" w:eastAsia="宋体" w:hAnsi="Times New Roman" w:cs="Times New Roman" w:hint="eastAsia"/>
          <w:szCs w:val="21"/>
        </w:rPr>
        <w:t>2050</w:t>
      </w:r>
      <w:r>
        <w:rPr>
          <w:rFonts w:ascii="Times New Roman" w:eastAsia="宋体" w:hAnsi="Times New Roman" w:cs="Times New Roman" w:hint="eastAsia"/>
          <w:szCs w:val="21"/>
        </w:rPr>
        <w:t>年将上升至</w:t>
      </w:r>
      <w:r>
        <w:rPr>
          <w:rFonts w:ascii="Times New Roman" w:eastAsia="宋体" w:hAnsi="Times New Roman" w:cs="Times New Roman" w:hint="eastAsia"/>
          <w:szCs w:val="21"/>
        </w:rPr>
        <w:t>80%</w:t>
      </w:r>
      <w:r>
        <w:rPr>
          <w:rFonts w:ascii="Times New Roman" w:eastAsia="宋体" w:hAnsi="Times New Roman" w:cs="Times New Roman" w:hint="eastAsia"/>
          <w:szCs w:val="21"/>
        </w:rPr>
        <w:t>以上（约</w:t>
      </w:r>
      <w:r>
        <w:rPr>
          <w:rFonts w:ascii="Times New Roman" w:eastAsia="宋体" w:hAnsi="Times New Roman" w:cs="Times New Roman" w:hint="eastAsia"/>
          <w:szCs w:val="21"/>
        </w:rPr>
        <w:t>7800</w:t>
      </w:r>
      <w:r>
        <w:rPr>
          <w:rFonts w:ascii="Times New Roman" w:eastAsia="宋体" w:hAnsi="Times New Roman" w:cs="Times New Roman" w:hint="eastAsia"/>
          <w:szCs w:val="21"/>
        </w:rPr>
        <w:t>万吨）。因此，光伏电池板的处理将成为未来几十年一个重要的环境问题</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5</w:t>
      </w:r>
      <w:r>
        <w:rPr>
          <w:rFonts w:ascii="Times New Roman" w:hAnsi="Times New Roman" w:cs="Times New Roman" w:hint="eastAsia"/>
          <w:color w:val="EE0000"/>
          <w:kern w:val="0"/>
          <w:szCs w:val="21"/>
          <w:vertAlign w:val="superscript"/>
        </w:rPr>
        <w:t>]</w:t>
      </w:r>
      <w:r>
        <w:rPr>
          <w:rFonts w:ascii="Times New Roman" w:eastAsia="宋体" w:hAnsi="Times New Roman" w:cs="Times New Roman" w:hint="eastAsia"/>
          <w:szCs w:val="21"/>
        </w:rPr>
        <w:t>。</w:t>
      </w:r>
    </w:p>
    <w:p w14:paraId="5A39BC02" w14:textId="169C400F" w:rsidR="007C3930" w:rsidRDefault="00FD1394" w:rsidP="00684349">
      <w:pPr>
        <w:spacing w:line="240" w:lineRule="atLeast"/>
        <w:jc w:val="center"/>
        <w:rPr>
          <w:rFonts w:ascii="Times New Roman" w:eastAsia="宋体" w:hAnsi="Times New Roman" w:cs="Times New Roman"/>
          <w:szCs w:val="21"/>
        </w:rPr>
      </w:pPr>
      <w:r>
        <w:rPr>
          <w:rFonts w:hint="eastAsia"/>
        </w:rPr>
        <w:object w:dxaOrig="15437" w:dyaOrig="11815" w14:anchorId="5CF6902C">
          <v:shape id="_x0000_i1030" type="#_x0000_t75" style="width:218.35pt;height:144.65pt" o:ole="">
            <v:imagedata r:id="rId29" o:title="" croptop="13815f" cropbottom="3602f" cropleft="4362f" cropright="8171f"/>
          </v:shape>
          <o:OLEObject Type="Embed" ProgID="Origin95.Graph" ShapeID="_x0000_i1030" DrawAspect="Content" ObjectID="_1811340061" r:id="rId30"/>
        </w:object>
      </w:r>
    </w:p>
    <w:p w14:paraId="7FF9C952" w14:textId="0F1D77E5" w:rsidR="007C3930" w:rsidRPr="007C3930" w:rsidRDefault="007C3930" w:rsidP="007C3930">
      <w:pPr>
        <w:spacing w:line="240" w:lineRule="atLeast"/>
        <w:jc w:val="center"/>
        <w:rPr>
          <w:rFonts w:ascii="Times New Roman" w:eastAsia="宋体" w:hAnsi="Times New Roman" w:cs="Times New Roman"/>
          <w:sz w:val="18"/>
          <w:szCs w:val="18"/>
        </w:rPr>
      </w:pPr>
      <w:r w:rsidRPr="007C3930">
        <w:rPr>
          <w:rFonts w:ascii="Times New Roman" w:eastAsia="宋体" w:hAnsi="Times New Roman" w:cs="Times New Roman" w:hint="eastAsia"/>
          <w:sz w:val="18"/>
          <w:szCs w:val="18"/>
        </w:rPr>
        <w:t>图</w:t>
      </w:r>
      <w:r w:rsidR="00684349">
        <w:rPr>
          <w:rFonts w:ascii="Times New Roman" w:eastAsia="宋体" w:hAnsi="Times New Roman" w:cs="Times New Roman" w:hint="eastAsia"/>
          <w:sz w:val="18"/>
          <w:szCs w:val="18"/>
        </w:rPr>
        <w:t>8</w:t>
      </w:r>
      <w:r w:rsidRPr="007C3930">
        <w:rPr>
          <w:rFonts w:ascii="Times New Roman" w:eastAsia="宋体" w:hAnsi="Times New Roman" w:cs="Times New Roman" w:hint="eastAsia"/>
          <w:sz w:val="18"/>
          <w:szCs w:val="18"/>
        </w:rPr>
        <w:t xml:space="preserve"> 2010-2030</w:t>
      </w:r>
      <w:r w:rsidRPr="007C3930">
        <w:rPr>
          <w:rFonts w:ascii="Times New Roman" w:eastAsia="宋体" w:hAnsi="Times New Roman" w:cs="Times New Roman" w:hint="eastAsia"/>
          <w:sz w:val="18"/>
          <w:szCs w:val="18"/>
        </w:rPr>
        <w:t>年各技术领域可再生能源发电能力增长情况（数据来源：</w:t>
      </w:r>
      <w:r w:rsidRPr="007C3930">
        <w:rPr>
          <w:rFonts w:ascii="Times New Roman" w:eastAsia="宋体" w:hAnsi="Times New Roman" w:cs="Times New Roman" w:hint="eastAsia"/>
          <w:sz w:val="18"/>
          <w:szCs w:val="18"/>
        </w:rPr>
        <w:t>IEA. Renewables 2024</w:t>
      </w:r>
      <w:r w:rsidRPr="007C3930">
        <w:rPr>
          <w:rFonts w:ascii="Times New Roman" w:eastAsia="宋体" w:hAnsi="Times New Roman" w:cs="Times New Roman" w:hint="eastAsia"/>
          <w:sz w:val="18"/>
          <w:szCs w:val="18"/>
        </w:rPr>
        <w:t>）</w:t>
      </w:r>
    </w:p>
    <w:p w14:paraId="79595AD1" w14:textId="2A6FCDDF"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欧盟最近已将光伏废弃物纳入新的《电气和电子设备废弃物》指令，以限制光伏废弃物数量持续增长带来的负面影响，并实施太阳能电池板回收利用</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6</w:t>
      </w:r>
      <w:r>
        <w:rPr>
          <w:rFonts w:ascii="Times New Roman" w:hAnsi="Times New Roman" w:cs="Times New Roman" w:hint="eastAsia"/>
          <w:color w:val="EE0000"/>
          <w:kern w:val="0"/>
          <w:szCs w:val="21"/>
          <w:vertAlign w:val="superscript"/>
        </w:rPr>
        <w:t>]</w:t>
      </w:r>
      <w:r>
        <w:rPr>
          <w:rFonts w:ascii="Times New Roman" w:eastAsia="宋体" w:hAnsi="Times New Roman" w:cs="Times New Roman" w:hint="eastAsia"/>
          <w:szCs w:val="21"/>
        </w:rPr>
        <w:t>。该指令（</w:t>
      </w:r>
      <w:r>
        <w:rPr>
          <w:rFonts w:ascii="Times New Roman" w:eastAsia="宋体" w:hAnsi="Times New Roman" w:cs="Times New Roman" w:hint="eastAsia"/>
          <w:szCs w:val="21"/>
        </w:rPr>
        <w:t>2012/19/EU</w:t>
      </w:r>
      <w:r>
        <w:rPr>
          <w:rFonts w:ascii="Times New Roman" w:eastAsia="宋体" w:hAnsi="Times New Roman" w:cs="Times New Roman" w:hint="eastAsia"/>
          <w:szCs w:val="21"/>
        </w:rPr>
        <w:t>）现已适用于欧洲家用和工业用废弃太阳能电池板的管理。用于制造太阳能光伏板的自然资源在适用法规范围内可视为辅助原材料。然而，光伏废弃物必须妥善处置和处理。欧洲禁止废物出口。除了经济、环境和社会影响之外，这项禁令还促进了太阳能光伏组件的回收利用。</w:t>
      </w:r>
    </w:p>
    <w:p w14:paraId="73FE0C11" w14:textId="2712D2EE"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美国目前缺少光伏组件回收利用的联邦法规或规章，但各州和行业主导的政策已开始出台，以解决报废光伏组件的管理问题。例如，华盛顿州最近实施了一项影响太阳能组件制造商的生产者责任延伸法规。该法规要求光伏组件制造商自</w:t>
      </w:r>
      <w:r>
        <w:rPr>
          <w:rFonts w:ascii="Times New Roman" w:eastAsia="宋体" w:hAnsi="Times New Roman" w:cs="Times New Roman" w:hint="eastAsia"/>
          <w:szCs w:val="21"/>
        </w:rPr>
        <w:t>2023</w:t>
      </w:r>
      <w:r>
        <w:rPr>
          <w:rFonts w:ascii="Times New Roman" w:eastAsia="宋体" w:hAnsi="Times New Roman" w:cs="Times New Roman" w:hint="eastAsia"/>
          <w:szCs w:val="21"/>
        </w:rPr>
        <w:t>年</w:t>
      </w:r>
      <w:r>
        <w:rPr>
          <w:rFonts w:ascii="Times New Roman" w:eastAsia="宋体" w:hAnsi="Times New Roman" w:cs="Times New Roman" w:hint="eastAsia"/>
          <w:szCs w:val="21"/>
        </w:rPr>
        <w:t>7</w:t>
      </w:r>
      <w:r>
        <w:rPr>
          <w:rFonts w:ascii="Times New Roman" w:eastAsia="宋体" w:hAnsi="Times New Roman" w:cs="Times New Roman" w:hint="eastAsia"/>
          <w:szCs w:val="21"/>
        </w:rPr>
        <w:t>月</w:t>
      </w:r>
      <w:r>
        <w:rPr>
          <w:rFonts w:ascii="Times New Roman" w:eastAsia="宋体" w:hAnsi="Times New Roman" w:cs="Times New Roman" w:hint="eastAsia"/>
          <w:szCs w:val="21"/>
        </w:rPr>
        <w:t>1</w:t>
      </w:r>
      <w:r>
        <w:rPr>
          <w:rFonts w:ascii="Times New Roman" w:eastAsia="宋体" w:hAnsi="Times New Roman" w:cs="Times New Roman" w:hint="eastAsia"/>
          <w:szCs w:val="21"/>
        </w:rPr>
        <w:t>日起，为</w:t>
      </w:r>
      <w:r>
        <w:rPr>
          <w:rFonts w:ascii="Times New Roman" w:eastAsia="宋体" w:hAnsi="Times New Roman" w:cs="Times New Roman" w:hint="eastAsia"/>
          <w:szCs w:val="21"/>
        </w:rPr>
        <w:t>2017</w:t>
      </w:r>
      <w:r>
        <w:rPr>
          <w:rFonts w:ascii="Times New Roman" w:eastAsia="宋体" w:hAnsi="Times New Roman" w:cs="Times New Roman" w:hint="eastAsia"/>
          <w:szCs w:val="21"/>
        </w:rPr>
        <w:t>年</w:t>
      </w:r>
      <w:r>
        <w:rPr>
          <w:rFonts w:ascii="Times New Roman" w:eastAsia="宋体" w:hAnsi="Times New Roman" w:cs="Times New Roman" w:hint="eastAsia"/>
          <w:szCs w:val="21"/>
        </w:rPr>
        <w:t>7</w:t>
      </w:r>
      <w:r>
        <w:rPr>
          <w:rFonts w:ascii="Times New Roman" w:eastAsia="宋体" w:hAnsi="Times New Roman" w:cs="Times New Roman" w:hint="eastAsia"/>
          <w:szCs w:val="21"/>
        </w:rPr>
        <w:t>月</w:t>
      </w:r>
      <w:r>
        <w:rPr>
          <w:rFonts w:ascii="Times New Roman" w:eastAsia="宋体" w:hAnsi="Times New Roman" w:cs="Times New Roman" w:hint="eastAsia"/>
          <w:szCs w:val="21"/>
        </w:rPr>
        <w:t>1</w:t>
      </w:r>
      <w:r>
        <w:rPr>
          <w:rFonts w:ascii="Times New Roman" w:eastAsia="宋体" w:hAnsi="Times New Roman" w:cs="Times New Roman" w:hint="eastAsia"/>
          <w:szCs w:val="21"/>
        </w:rPr>
        <w:t>日后在该州境内或向该州销售的光伏组件的回收、再利用或再循环提供资金，且最终用户无需承担任何费用。加利福尼亚州也通过了一项于</w:t>
      </w:r>
      <w:r>
        <w:rPr>
          <w:rFonts w:ascii="Times New Roman" w:eastAsia="宋体" w:hAnsi="Times New Roman" w:cs="Times New Roman" w:hint="eastAsia"/>
          <w:szCs w:val="21"/>
        </w:rPr>
        <w:t>2021</w:t>
      </w:r>
      <w:r>
        <w:rPr>
          <w:rFonts w:ascii="Times New Roman" w:eastAsia="宋体" w:hAnsi="Times New Roman" w:cs="Times New Roman" w:hint="eastAsia"/>
          <w:szCs w:val="21"/>
        </w:rPr>
        <w:t>年</w:t>
      </w:r>
      <w:r>
        <w:rPr>
          <w:rFonts w:ascii="Times New Roman" w:eastAsia="宋体" w:hAnsi="Times New Roman" w:cs="Times New Roman" w:hint="eastAsia"/>
          <w:szCs w:val="21"/>
        </w:rPr>
        <w:t>1</w:t>
      </w:r>
      <w:r>
        <w:rPr>
          <w:rFonts w:ascii="Times New Roman" w:eastAsia="宋体" w:hAnsi="Times New Roman" w:cs="Times New Roman" w:hint="eastAsia"/>
          <w:szCs w:val="21"/>
        </w:rPr>
        <w:t>月生效的法规，允许对回收或处置的组件进行较为宽松的处理、运输和储存要求监管，并禁止使用热处理和化学处理及回收工艺</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7</w:t>
      </w:r>
      <w:r>
        <w:rPr>
          <w:rFonts w:ascii="Times New Roman" w:hAnsi="Times New Roman" w:cs="Times New Roman" w:hint="eastAsia"/>
          <w:color w:val="EE0000"/>
          <w:kern w:val="0"/>
          <w:szCs w:val="21"/>
          <w:vertAlign w:val="superscript"/>
        </w:rPr>
        <w:t>]</w:t>
      </w:r>
      <w:r>
        <w:rPr>
          <w:rFonts w:ascii="Times New Roman" w:eastAsia="宋体" w:hAnsi="Times New Roman" w:cs="Times New Roman" w:hint="eastAsia"/>
          <w:szCs w:val="21"/>
        </w:rPr>
        <w:t>。</w:t>
      </w:r>
    </w:p>
    <w:p w14:paraId="7421EA06" w14:textId="6F329C60"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2015</w:t>
      </w:r>
      <w:r>
        <w:rPr>
          <w:rFonts w:ascii="Times New Roman" w:eastAsia="宋体" w:hAnsi="Times New Roman" w:cs="Times New Roman" w:hint="eastAsia"/>
          <w:szCs w:val="21"/>
        </w:rPr>
        <w:t>年，日本启动了光伏板回收路线图，提出了安全处理、收集和回收利用的方案。尽管相关指南仍在制定中，但经济产业省和环境省已积极应对这一问题。日本国家先进工业科学技术研究所正在开发回收技术，日本光伏能源协会也已出台了关于妥善处置的自愿性指南。日本太阳能公司</w:t>
      </w:r>
      <w:r>
        <w:rPr>
          <w:rFonts w:ascii="Times New Roman" w:eastAsia="宋体" w:hAnsi="Times New Roman" w:cs="Times New Roman" w:hint="eastAsia"/>
          <w:szCs w:val="21"/>
        </w:rPr>
        <w:t>NPC</w:t>
      </w:r>
      <w:r>
        <w:rPr>
          <w:rFonts w:ascii="Times New Roman" w:eastAsia="宋体" w:hAnsi="Times New Roman" w:cs="Times New Roman" w:hint="eastAsia"/>
          <w:szCs w:val="21"/>
        </w:rPr>
        <w:t>与工业废物处理公司</w:t>
      </w:r>
      <w:r>
        <w:rPr>
          <w:rFonts w:ascii="Times New Roman" w:eastAsia="宋体" w:hAnsi="Times New Roman" w:cs="Times New Roman" w:hint="eastAsia"/>
          <w:szCs w:val="21"/>
        </w:rPr>
        <w:t>Hamada</w:t>
      </w:r>
      <w:r>
        <w:rPr>
          <w:rFonts w:ascii="Times New Roman" w:eastAsia="宋体" w:hAnsi="Times New Roman" w:cs="Times New Roman" w:hint="eastAsia"/>
          <w:szCs w:val="21"/>
        </w:rPr>
        <w:t>合作，参与了由新能源产业技术开发组织支持的项目</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8</w:t>
      </w:r>
      <w:r>
        <w:rPr>
          <w:rFonts w:ascii="Times New Roman" w:hAnsi="Times New Roman" w:cs="Times New Roman" w:hint="eastAsia"/>
          <w:color w:val="EE0000"/>
          <w:kern w:val="0"/>
          <w:szCs w:val="21"/>
          <w:vertAlign w:val="superscript"/>
        </w:rPr>
        <w:t>]</w:t>
      </w:r>
      <w:r>
        <w:rPr>
          <w:rFonts w:ascii="Times New Roman" w:eastAsia="宋体" w:hAnsi="Times New Roman" w:cs="Times New Roman" w:hint="eastAsia"/>
          <w:szCs w:val="21"/>
        </w:rPr>
        <w:t>。</w:t>
      </w:r>
    </w:p>
    <w:p w14:paraId="541BE024" w14:textId="14106A6D"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光伏回收技术涵盖机械、热和化学过程。分层是回收过程中的关键步骤，主要涉及三种方法：机械、热和化学。热处理，特别是热解，可有效去除分层，但也面临晶片脆性和高能耗等挑战。虽然机械分层在经济上可行，但在处理破碎成分时会遇到复杂性。另一方面，化学分层在低温下效果良好，但需要解决与毒性和成本可行性相关的问题。所有硅基太阳能电池的化学回收过程都包含两个主要步骤。首先，使用</w:t>
      </w:r>
      <w:r>
        <w:rPr>
          <w:rFonts w:ascii="Times New Roman" w:eastAsia="宋体" w:hAnsi="Times New Roman" w:cs="Times New Roman" w:hint="eastAsia"/>
          <w:szCs w:val="21"/>
        </w:rPr>
        <w:t>30%</w:t>
      </w:r>
      <w:r>
        <w:rPr>
          <w:rFonts w:ascii="Times New Roman" w:eastAsia="宋体" w:hAnsi="Times New Roman" w:cs="Times New Roman" w:hint="eastAsia"/>
          <w:szCs w:val="21"/>
        </w:rPr>
        <w:t>的</w:t>
      </w:r>
      <w:r>
        <w:rPr>
          <w:rFonts w:ascii="Times New Roman" w:eastAsia="宋体" w:hAnsi="Times New Roman" w:cs="Times New Roman" w:hint="eastAsia"/>
          <w:szCs w:val="21"/>
        </w:rPr>
        <w:t>KOH</w:t>
      </w:r>
      <w:r>
        <w:rPr>
          <w:rFonts w:ascii="Times New Roman" w:eastAsia="宋体" w:hAnsi="Times New Roman" w:cs="Times New Roman" w:hint="eastAsia"/>
          <w:szCs w:val="21"/>
        </w:rPr>
        <w:t>水溶液在</w:t>
      </w:r>
      <w:r>
        <w:rPr>
          <w:rFonts w:ascii="Times New Roman" w:eastAsia="宋体" w:hAnsi="Times New Roman" w:cs="Times New Roman" w:hint="eastAsia"/>
          <w:szCs w:val="21"/>
        </w:rPr>
        <w:t>60-80</w:t>
      </w:r>
      <w:r>
        <w:rPr>
          <w:rFonts w:ascii="Times New Roman" w:eastAsia="宋体" w:hAnsi="Times New Roman" w:cs="Times New Roman" w:hint="eastAsia"/>
          <w:szCs w:val="21"/>
        </w:rPr>
        <w:t>°</w:t>
      </w:r>
      <w:r>
        <w:rPr>
          <w:rFonts w:ascii="Times New Roman" w:eastAsia="宋体" w:hAnsi="Times New Roman" w:cs="Times New Roman" w:hint="eastAsia"/>
          <w:szCs w:val="21"/>
        </w:rPr>
        <w:t>C</w:t>
      </w:r>
      <w:r>
        <w:rPr>
          <w:rFonts w:ascii="Times New Roman" w:eastAsia="宋体" w:hAnsi="Times New Roman" w:cs="Times New Roman" w:hint="eastAsia"/>
          <w:szCs w:val="21"/>
        </w:rPr>
        <w:t>的温度下处理</w:t>
      </w:r>
      <w:r>
        <w:rPr>
          <w:rFonts w:ascii="Times New Roman" w:eastAsia="宋体" w:hAnsi="Times New Roman" w:cs="Times New Roman" w:hint="eastAsia"/>
          <w:szCs w:val="21"/>
        </w:rPr>
        <w:t>2-3</w:t>
      </w:r>
      <w:r>
        <w:rPr>
          <w:rFonts w:ascii="Times New Roman" w:eastAsia="宋体" w:hAnsi="Times New Roman" w:cs="Times New Roman" w:hint="eastAsia"/>
          <w:szCs w:val="21"/>
        </w:rPr>
        <w:t>分钟，以去除铝金属涂层。随后，使用</w:t>
      </w:r>
      <w:r>
        <w:rPr>
          <w:rFonts w:ascii="Times New Roman" w:eastAsia="宋体" w:hAnsi="Times New Roman" w:cs="Times New Roman" w:hint="eastAsia"/>
          <w:szCs w:val="21"/>
        </w:rPr>
        <w:t xml:space="preserve"> 250 </w:t>
      </w:r>
      <w:r>
        <w:rPr>
          <w:rFonts w:ascii="Times New Roman" w:eastAsia="宋体" w:hAnsi="Times New Roman" w:cs="Times New Roman" w:hint="eastAsia"/>
          <w:szCs w:val="21"/>
        </w:rPr>
        <w:t>毫升</w:t>
      </w:r>
      <w:r>
        <w:rPr>
          <w:rFonts w:ascii="Times New Roman" w:eastAsia="宋体" w:hAnsi="Times New Roman" w:cs="Times New Roman" w:hint="eastAsia"/>
          <w:szCs w:val="21"/>
        </w:rPr>
        <w:t xml:space="preserve"> HNO3 (65%)</w:t>
      </w:r>
      <w:r>
        <w:rPr>
          <w:rFonts w:ascii="Times New Roman" w:eastAsia="宋体" w:hAnsi="Times New Roman" w:cs="Times New Roman" w:hint="eastAsia"/>
          <w:szCs w:val="21"/>
        </w:rPr>
        <w:t>、</w:t>
      </w:r>
      <w:r>
        <w:rPr>
          <w:rFonts w:ascii="Times New Roman" w:eastAsia="宋体" w:hAnsi="Times New Roman" w:cs="Times New Roman" w:hint="eastAsia"/>
          <w:szCs w:val="21"/>
        </w:rPr>
        <w:t xml:space="preserve">150 </w:t>
      </w:r>
      <w:r>
        <w:rPr>
          <w:rFonts w:ascii="Times New Roman" w:eastAsia="宋体" w:hAnsi="Times New Roman" w:cs="Times New Roman" w:hint="eastAsia"/>
          <w:szCs w:val="21"/>
        </w:rPr>
        <w:t>毫升</w:t>
      </w:r>
      <w:r>
        <w:rPr>
          <w:rFonts w:ascii="Times New Roman" w:eastAsia="宋体" w:hAnsi="Times New Roman" w:cs="Times New Roman" w:hint="eastAsia"/>
          <w:szCs w:val="21"/>
        </w:rPr>
        <w:t xml:space="preserve"> HF (40%)</w:t>
      </w:r>
      <w:r>
        <w:rPr>
          <w:rFonts w:ascii="Times New Roman" w:eastAsia="宋体" w:hAnsi="Times New Roman" w:cs="Times New Roman" w:hint="eastAsia"/>
          <w:szCs w:val="21"/>
        </w:rPr>
        <w:t>、</w:t>
      </w:r>
      <w:r>
        <w:rPr>
          <w:rFonts w:ascii="Times New Roman" w:eastAsia="宋体" w:hAnsi="Times New Roman" w:cs="Times New Roman" w:hint="eastAsia"/>
          <w:szCs w:val="21"/>
        </w:rPr>
        <w:t xml:space="preserve">150 </w:t>
      </w:r>
      <w:r>
        <w:rPr>
          <w:rFonts w:ascii="Times New Roman" w:eastAsia="宋体" w:hAnsi="Times New Roman" w:cs="Times New Roman" w:hint="eastAsia"/>
          <w:szCs w:val="21"/>
        </w:rPr>
        <w:t>毫升</w:t>
      </w:r>
      <w:r>
        <w:rPr>
          <w:rFonts w:ascii="Times New Roman" w:eastAsia="宋体" w:hAnsi="Times New Roman" w:cs="Times New Roman" w:hint="eastAsia"/>
          <w:szCs w:val="21"/>
        </w:rPr>
        <w:t xml:space="preserve"> CH3COOH (99.5%) </w:t>
      </w:r>
      <w:r>
        <w:rPr>
          <w:rFonts w:ascii="Times New Roman" w:eastAsia="宋体" w:hAnsi="Times New Roman" w:cs="Times New Roman" w:hint="eastAsia"/>
          <w:szCs w:val="21"/>
        </w:rPr>
        <w:t>和</w:t>
      </w:r>
      <w:r>
        <w:rPr>
          <w:rFonts w:ascii="Times New Roman" w:eastAsia="宋体" w:hAnsi="Times New Roman" w:cs="Times New Roman" w:hint="eastAsia"/>
          <w:szCs w:val="21"/>
        </w:rPr>
        <w:t xml:space="preserve"> 3 </w:t>
      </w:r>
      <w:r>
        <w:rPr>
          <w:rFonts w:ascii="Times New Roman" w:eastAsia="宋体" w:hAnsi="Times New Roman" w:cs="Times New Roman" w:hint="eastAsia"/>
          <w:szCs w:val="21"/>
        </w:rPr>
        <w:t>毫升</w:t>
      </w:r>
      <w:r>
        <w:rPr>
          <w:rFonts w:ascii="Times New Roman" w:eastAsia="宋体" w:hAnsi="Times New Roman" w:cs="Times New Roman" w:hint="eastAsia"/>
          <w:szCs w:val="21"/>
        </w:rPr>
        <w:t xml:space="preserve"> Br2 </w:t>
      </w:r>
      <w:r>
        <w:rPr>
          <w:rFonts w:ascii="Times New Roman" w:eastAsia="宋体" w:hAnsi="Times New Roman" w:cs="Times New Roman" w:hint="eastAsia"/>
          <w:szCs w:val="21"/>
        </w:rPr>
        <w:t>的混合物进行蚀刻。此步骤在</w:t>
      </w:r>
      <w:r>
        <w:rPr>
          <w:rFonts w:ascii="Times New Roman" w:eastAsia="宋体" w:hAnsi="Times New Roman" w:cs="Times New Roman" w:hint="eastAsia"/>
          <w:szCs w:val="21"/>
        </w:rPr>
        <w:t>40</w:t>
      </w:r>
      <w:r>
        <w:rPr>
          <w:rFonts w:ascii="Times New Roman" w:eastAsia="宋体" w:hAnsi="Times New Roman" w:cs="Times New Roman" w:hint="eastAsia"/>
          <w:szCs w:val="21"/>
        </w:rPr>
        <w:t>°</w:t>
      </w:r>
      <w:r>
        <w:rPr>
          <w:rFonts w:ascii="Times New Roman" w:eastAsia="宋体" w:hAnsi="Times New Roman" w:cs="Times New Roman" w:hint="eastAsia"/>
          <w:szCs w:val="21"/>
        </w:rPr>
        <w:t>C</w:t>
      </w:r>
      <w:r>
        <w:rPr>
          <w:rFonts w:ascii="Times New Roman" w:eastAsia="宋体" w:hAnsi="Times New Roman" w:cs="Times New Roman" w:hint="eastAsia"/>
          <w:szCs w:val="21"/>
        </w:rPr>
        <w:t>下进行</w:t>
      </w:r>
      <w:r>
        <w:rPr>
          <w:rFonts w:ascii="Times New Roman" w:eastAsia="宋体" w:hAnsi="Times New Roman" w:cs="Times New Roman" w:hint="eastAsia"/>
          <w:szCs w:val="21"/>
        </w:rPr>
        <w:t>9</w:t>
      </w:r>
      <w:r>
        <w:rPr>
          <w:rFonts w:ascii="Times New Roman" w:eastAsia="宋体" w:hAnsi="Times New Roman" w:cs="Times New Roman" w:hint="eastAsia"/>
          <w:szCs w:val="21"/>
        </w:rPr>
        <w:t>秒，可去除银涂层、抗反射涂层（</w:t>
      </w:r>
      <w:r>
        <w:rPr>
          <w:rFonts w:ascii="Times New Roman" w:eastAsia="宋体" w:hAnsi="Times New Roman" w:cs="Times New Roman" w:hint="eastAsia"/>
          <w:szCs w:val="21"/>
        </w:rPr>
        <w:t>ARC</w:t>
      </w:r>
      <w:r>
        <w:rPr>
          <w:rFonts w:ascii="Times New Roman" w:eastAsia="宋体" w:hAnsi="Times New Roman" w:cs="Times New Roman" w:hint="eastAsia"/>
          <w:szCs w:val="21"/>
        </w:rPr>
        <w:t>）和</w:t>
      </w:r>
      <w:r>
        <w:rPr>
          <w:rFonts w:ascii="Times New Roman" w:eastAsia="宋体" w:hAnsi="Times New Roman" w:cs="Times New Roman" w:hint="eastAsia"/>
          <w:szCs w:val="21"/>
        </w:rPr>
        <w:t>n-p</w:t>
      </w:r>
      <w:r>
        <w:rPr>
          <w:rFonts w:ascii="Times New Roman" w:eastAsia="宋体" w:hAnsi="Times New Roman" w:cs="Times New Roman" w:hint="eastAsia"/>
          <w:szCs w:val="21"/>
        </w:rPr>
        <w:t>结</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9</w:t>
      </w:r>
      <w:r>
        <w:rPr>
          <w:rFonts w:ascii="Times New Roman" w:hAnsi="Times New Roman" w:cs="Times New Roman" w:hint="eastAsia"/>
          <w:color w:val="EE0000"/>
          <w:kern w:val="0"/>
          <w:szCs w:val="21"/>
          <w:vertAlign w:val="superscript"/>
        </w:rPr>
        <w:t>]</w:t>
      </w:r>
      <w:r>
        <w:rPr>
          <w:rFonts w:ascii="Times New Roman" w:eastAsia="宋体" w:hAnsi="Times New Roman" w:cs="Times New Roman" w:hint="eastAsia"/>
          <w:szCs w:val="21"/>
        </w:rPr>
        <w:t>。</w:t>
      </w:r>
    </w:p>
    <w:p w14:paraId="4C729793" w14:textId="3F98F215"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光伏板回收旨在提取玻璃、纯硅和贵金属。化</w:t>
      </w:r>
      <w:r>
        <w:rPr>
          <w:rFonts w:ascii="Times New Roman" w:eastAsia="宋体" w:hAnsi="Times New Roman" w:cs="Times New Roman" w:hint="eastAsia"/>
          <w:szCs w:val="21"/>
        </w:rPr>
        <w:lastRenderedPageBreak/>
        <w:t>学蚀刻是回收纯硅的有效方法，但降低成本对于提升竞争力至关重要。成本分析显示，收集和加工阶段合计占总成本的</w:t>
      </w:r>
      <w:r>
        <w:rPr>
          <w:rFonts w:ascii="Times New Roman" w:eastAsia="宋体" w:hAnsi="Times New Roman" w:cs="Times New Roman" w:hint="eastAsia"/>
          <w:szCs w:val="21"/>
        </w:rPr>
        <w:t>90%</w:t>
      </w:r>
      <w:r>
        <w:rPr>
          <w:rFonts w:ascii="Times New Roman" w:eastAsia="宋体" w:hAnsi="Times New Roman" w:cs="Times New Roman" w:hint="eastAsia"/>
          <w:szCs w:val="21"/>
        </w:rPr>
        <w:t>以上。通过化学沉淀和静电回收等方法，可以提高银、铝、铜和铅等贵金属的回收率，从而可能将收益提高高达</w:t>
      </w:r>
      <w:r>
        <w:rPr>
          <w:rFonts w:ascii="Times New Roman" w:eastAsia="宋体" w:hAnsi="Times New Roman" w:cs="Times New Roman" w:hint="eastAsia"/>
          <w:szCs w:val="21"/>
        </w:rPr>
        <w:t>95%</w:t>
      </w:r>
      <w:r>
        <w:rPr>
          <w:rFonts w:ascii="Times New Roman" w:eastAsia="宋体" w:hAnsi="Times New Roman" w:cs="Times New Roman" w:hint="eastAsia"/>
          <w:szCs w:val="21"/>
        </w:rPr>
        <w:t>。需要进一步研究以提高金属富集率，尤其是银（</w:t>
      </w:r>
      <w:r>
        <w:rPr>
          <w:rFonts w:ascii="Times New Roman" w:eastAsia="宋体" w:hAnsi="Times New Roman" w:cs="Times New Roman" w:hint="eastAsia"/>
          <w:szCs w:val="21"/>
        </w:rPr>
        <w:t>Ag</w:t>
      </w:r>
      <w:r>
        <w:rPr>
          <w:rFonts w:ascii="Times New Roman" w:eastAsia="宋体" w:hAnsi="Times New Roman" w:cs="Times New Roman" w:hint="eastAsia"/>
          <w:szCs w:val="21"/>
        </w:rPr>
        <w:t>）的富集率，从而降低回收成本。包括美国、中国、欧盟成员国、印度和日本在内的多个国家已各自制定了不同的当地指令和政策，以应对光伏板产生的电子废弃物的管理和回收相关挑战</w:t>
      </w:r>
      <w:r>
        <w:rPr>
          <w:rFonts w:ascii="Times New Roman" w:hAnsi="Times New Roman" w:cs="Times New Roman" w:hint="eastAsia"/>
          <w:color w:val="EE0000"/>
          <w:kern w:val="0"/>
          <w:szCs w:val="21"/>
          <w:vertAlign w:val="superscript"/>
        </w:rPr>
        <w:t>[4</w:t>
      </w:r>
      <w:r w:rsidR="0018405C">
        <w:rPr>
          <w:rFonts w:ascii="Times New Roman" w:hAnsi="Times New Roman" w:cs="Times New Roman" w:hint="eastAsia"/>
          <w:color w:val="EE0000"/>
          <w:kern w:val="0"/>
          <w:szCs w:val="21"/>
          <w:vertAlign w:val="superscript"/>
        </w:rPr>
        <w:t>8</w:t>
      </w:r>
      <w:r>
        <w:rPr>
          <w:rFonts w:ascii="Times New Roman" w:hAnsi="Times New Roman" w:cs="Times New Roman" w:hint="eastAsia"/>
          <w:color w:val="EE0000"/>
          <w:kern w:val="0"/>
          <w:szCs w:val="21"/>
          <w:vertAlign w:val="superscript"/>
        </w:rPr>
        <w:t>]</w:t>
      </w:r>
      <w:r>
        <w:rPr>
          <w:rFonts w:ascii="Times New Roman" w:eastAsia="宋体" w:hAnsi="Times New Roman" w:cs="Times New Roman" w:hint="eastAsia"/>
          <w:szCs w:val="21"/>
        </w:rPr>
        <w:t>。</w:t>
      </w:r>
    </w:p>
    <w:p w14:paraId="759D53A1" w14:textId="77777777" w:rsidR="00691F6A"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展望未来，政策上应要求制造商负责回收太阳能光伏板报废材料，使回收成为商业必需。此外，对报废太阳能电池板和其他危险废物的管理是强制性的。回收技术创新必须与技术可行性、经济可行性和社会可取性相一致，以解决技术和非技术挑战。</w:t>
      </w:r>
    </w:p>
    <w:p w14:paraId="2F9E3EC7" w14:textId="77777777" w:rsidR="00691F6A" w:rsidRDefault="00691F6A">
      <w:pPr>
        <w:spacing w:line="240" w:lineRule="atLeast"/>
        <w:rPr>
          <w:rFonts w:ascii="Times New Roman" w:eastAsia="宋体" w:hAnsi="Times New Roman" w:cs="Times New Roman"/>
          <w:color w:val="FF0000"/>
          <w:szCs w:val="21"/>
        </w:rPr>
      </w:pPr>
    </w:p>
    <w:p w14:paraId="64DB125C" w14:textId="77777777" w:rsidR="00691F6A"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.3  </w:t>
      </w:r>
      <w:r>
        <w:rPr>
          <w:rFonts w:ascii="Times New Roman" w:eastAsia="宋体" w:hAnsi="Times New Roman" w:cs="Times New Roman" w:hint="eastAsia"/>
          <w:b/>
          <w:kern w:val="0"/>
          <w:szCs w:val="21"/>
        </w:rPr>
        <w:t>电力储能设备产业中城市矿产循环利用潜力</w:t>
      </w:r>
    </w:p>
    <w:p w14:paraId="77441D9E" w14:textId="791F3DB2" w:rsidR="00691F6A" w:rsidRDefault="00000000">
      <w:pPr>
        <w:widowControl/>
        <w:spacing w:line="240" w:lineRule="atLeast"/>
        <w:ind w:firstLine="420"/>
        <w:rPr>
          <w:rFonts w:ascii="Times New Roman" w:hAnsi="Times New Roman"/>
          <w:kern w:val="0"/>
        </w:rPr>
      </w:pPr>
      <w:r>
        <w:rPr>
          <w:rFonts w:ascii="宋体" w:hAnsi="宋体" w:hint="eastAsia"/>
          <w:kern w:val="0"/>
        </w:rPr>
        <w:t>锂、钴、镍、锰等关键金属作为储能电池的核心原材料，其循环利用对资源安全和产业链可持续性至关重要。然而在进行对储能电池（</w:t>
      </w:r>
      <w:r>
        <w:rPr>
          <w:rFonts w:ascii="Times New Roman" w:hAnsi="Times New Roman" w:hint="eastAsia"/>
          <w:kern w:val="0"/>
        </w:rPr>
        <w:t>ESS</w:t>
      </w:r>
      <w:r>
        <w:rPr>
          <w:rFonts w:ascii="Times New Roman" w:hAnsi="Times New Roman" w:hint="eastAsia"/>
          <w:kern w:val="0"/>
        </w:rPr>
        <w:t>）</w:t>
      </w:r>
      <w:r>
        <w:rPr>
          <w:rFonts w:ascii="宋体" w:hAnsi="宋体" w:hint="eastAsia"/>
          <w:kern w:val="0"/>
        </w:rPr>
        <w:t>的未来报废量与回收潜力预测分析时，不可仅简单地基于储能电池消费量及未来预测情况进行报废量的推算分析。储能电池报废量的未来预测数据将具有极大的不确定。主要原因为现实场景中，退役后的EV电池亦多可梯次利用于储能电池。因此研究者除了考虑储能电池生产企业新生产并投入市场使用的储能电池经过产品生命周期后退役的情况，还需要并行考虑</w:t>
      </w:r>
      <w:r w:rsidRPr="009D03E1">
        <w:rPr>
          <w:rFonts w:ascii="Times New Roman" w:hAnsi="Times New Roman" w:cs="Times New Roman"/>
          <w:kern w:val="0"/>
        </w:rPr>
        <w:t>EV</w:t>
      </w:r>
      <w:r w:rsidRPr="009D03E1">
        <w:rPr>
          <w:rFonts w:ascii="Times New Roman" w:hAnsi="Times New Roman" w:cs="Times New Roman"/>
          <w:kern w:val="0"/>
        </w:rPr>
        <w:t>电池退役后二次梯次利用作为储能电池使用的情况。预计到</w:t>
      </w:r>
      <w:r w:rsidRPr="009D03E1">
        <w:rPr>
          <w:rFonts w:ascii="Times New Roman" w:hAnsi="Times New Roman" w:cs="Times New Roman"/>
          <w:kern w:val="0"/>
        </w:rPr>
        <w:t>2050</w:t>
      </w:r>
      <w:r w:rsidRPr="009D03E1">
        <w:rPr>
          <w:rFonts w:ascii="Times New Roman" w:hAnsi="Times New Roman" w:cs="Times New Roman"/>
          <w:kern w:val="0"/>
        </w:rPr>
        <w:t>年，退役</w:t>
      </w:r>
      <w:r w:rsidRPr="009D03E1">
        <w:rPr>
          <w:rFonts w:ascii="Times New Roman" w:hAnsi="Times New Roman" w:cs="Times New Roman"/>
          <w:kern w:val="0"/>
        </w:rPr>
        <w:t>EV</w:t>
      </w:r>
      <w:r w:rsidRPr="009D03E1">
        <w:rPr>
          <w:rFonts w:ascii="Times New Roman" w:hAnsi="Times New Roman" w:cs="Times New Roman"/>
          <w:kern w:val="0"/>
        </w:rPr>
        <w:t>电池梯次利用于储能电池可满足全球储能需求的</w:t>
      </w:r>
      <w:r w:rsidRPr="009D03E1">
        <w:rPr>
          <w:rFonts w:ascii="Times New Roman" w:hAnsi="Times New Roman" w:cs="Times New Roman"/>
          <w:kern w:val="0"/>
        </w:rPr>
        <w:t>10%</w:t>
      </w:r>
      <w:r w:rsidRPr="009D03E1">
        <w:rPr>
          <w:rFonts w:ascii="Times New Roman" w:hAnsi="Times New Roman" w:cs="Times New Roman"/>
          <w:kern w:val="0"/>
        </w:rPr>
        <w:t>左右。储能电池与</w:t>
      </w:r>
      <w:r w:rsidRPr="009D03E1">
        <w:rPr>
          <w:rFonts w:ascii="Times New Roman" w:hAnsi="Times New Roman" w:cs="Times New Roman"/>
          <w:kern w:val="0"/>
        </w:rPr>
        <w:t>EV</w:t>
      </w:r>
      <w:r w:rsidRPr="009D03E1">
        <w:rPr>
          <w:rFonts w:ascii="Times New Roman" w:hAnsi="Times New Roman" w:cs="Times New Roman"/>
          <w:kern w:val="0"/>
        </w:rPr>
        <w:t>电池</w:t>
      </w:r>
      <w:r>
        <w:rPr>
          <w:rFonts w:ascii="宋体" w:hAnsi="宋体" w:hint="eastAsia"/>
          <w:kern w:val="0"/>
        </w:rPr>
        <w:t>完全退役最后将共同进入电池回收循环利用环节，其中的锂、钴、镍等关键金属将被资源化回收再利用</w:t>
      </w:r>
      <w:r w:rsidR="009D03E1">
        <w:rPr>
          <w:rFonts w:ascii="宋体" w:hAnsi="宋体" w:hint="eastAsia"/>
          <w:kern w:val="0"/>
        </w:rPr>
        <w:t>（如图9所示）</w:t>
      </w:r>
      <w:r>
        <w:rPr>
          <w:rFonts w:ascii="宋体" w:hAnsi="宋体" w:hint="eastAsia"/>
          <w:kern w:val="0"/>
        </w:rPr>
        <w:t>。</w:t>
      </w:r>
    </w:p>
    <w:p w14:paraId="0B312B5D" w14:textId="4F237031" w:rsidR="00691F6A" w:rsidRPr="00302171" w:rsidRDefault="00000000">
      <w:pPr>
        <w:widowControl/>
        <w:spacing w:line="240" w:lineRule="atLeast"/>
        <w:ind w:firstLine="420"/>
        <w:rPr>
          <w:rFonts w:ascii="Times New Roman" w:hAnsi="Times New Roman" w:cs="Times New Roman"/>
          <w:kern w:val="0"/>
        </w:rPr>
      </w:pPr>
      <w:r w:rsidRPr="00881A13">
        <w:rPr>
          <w:rFonts w:ascii="Times New Roman" w:hAnsi="Times New Roman" w:cs="Times New Roman"/>
          <w:kern w:val="0"/>
        </w:rPr>
        <w:t>当前，全球退役锂电池的实际回收率不足</w:t>
      </w:r>
      <w:r w:rsidRPr="00881A13">
        <w:rPr>
          <w:rFonts w:ascii="Times New Roman" w:hAnsi="Times New Roman" w:cs="Times New Roman"/>
          <w:kern w:val="0"/>
        </w:rPr>
        <w:t>25%</w:t>
      </w:r>
      <w:r w:rsidRPr="00881A13">
        <w:rPr>
          <w:rFonts w:ascii="Times New Roman" w:hAnsi="Times New Roman" w:cs="Times New Roman"/>
          <w:kern w:val="0"/>
        </w:rPr>
        <w:t>，而市场化年限短的储能电池实际回收率则预计更低。考虑到回收经济性的原因，当前在</w:t>
      </w:r>
      <w:r w:rsidRPr="00881A13">
        <w:rPr>
          <w:rFonts w:ascii="Times New Roman" w:hAnsi="Times New Roman" w:cs="Times New Roman"/>
          <w:kern w:val="0"/>
        </w:rPr>
        <w:t>ESS</w:t>
      </w:r>
      <w:r w:rsidRPr="00881A13">
        <w:rPr>
          <w:rFonts w:ascii="Times New Roman" w:hAnsi="Times New Roman" w:cs="Times New Roman"/>
          <w:kern w:val="0"/>
        </w:rPr>
        <w:t>中占主导地位的、价值更低的</w:t>
      </w:r>
      <w:r w:rsidRPr="00881A13">
        <w:rPr>
          <w:rFonts w:ascii="Times New Roman" w:hAnsi="Times New Roman" w:cs="Times New Roman"/>
          <w:kern w:val="0"/>
        </w:rPr>
        <w:t>LFP</w:t>
      </w:r>
      <w:r w:rsidRPr="00881A13">
        <w:rPr>
          <w:rFonts w:ascii="Times New Roman" w:hAnsi="Times New Roman" w:cs="Times New Roman"/>
          <w:kern w:val="0"/>
        </w:rPr>
        <w:t>电池也进一步增加了退役储能电池的低回收率的挑战。此情况将随着</w:t>
      </w:r>
      <w:r w:rsidRPr="00881A13">
        <w:rPr>
          <w:rFonts w:ascii="Times New Roman" w:hAnsi="Times New Roman" w:cs="Times New Roman"/>
          <w:kern w:val="0"/>
        </w:rPr>
        <w:t>ESS</w:t>
      </w:r>
      <w:r w:rsidRPr="00881A13">
        <w:rPr>
          <w:rFonts w:ascii="Times New Roman" w:hAnsi="Times New Roman" w:cs="Times New Roman"/>
          <w:kern w:val="0"/>
        </w:rPr>
        <w:t>电池类型的演变与回收技术的发展而变化。制造废料是当前回收的主要原料，到</w:t>
      </w:r>
      <w:r w:rsidRPr="00881A13">
        <w:rPr>
          <w:rFonts w:ascii="Times New Roman" w:hAnsi="Times New Roman" w:cs="Times New Roman"/>
          <w:kern w:val="0"/>
        </w:rPr>
        <w:t>2030</w:t>
      </w:r>
      <w:r w:rsidRPr="00881A13">
        <w:rPr>
          <w:rFonts w:ascii="Times New Roman" w:hAnsi="Times New Roman" w:cs="Times New Roman"/>
          <w:kern w:val="0"/>
        </w:rPr>
        <w:t>年，制造过程中产生的废料仍占可回收原料的三分之一，随着动力电池与储能电池的大规模退役潮的到来，锂电池回收率有望大幅提升。</w:t>
      </w:r>
      <w:r w:rsidRPr="00881A13">
        <w:rPr>
          <w:rFonts w:ascii="Times New Roman" w:hAnsi="Times New Roman" w:cs="Times New Roman"/>
          <w:kern w:val="0"/>
        </w:rPr>
        <w:t>2035</w:t>
      </w:r>
      <w:r w:rsidRPr="00881A13">
        <w:rPr>
          <w:rFonts w:ascii="Times New Roman" w:hAnsi="Times New Roman" w:cs="Times New Roman"/>
          <w:kern w:val="0"/>
        </w:rPr>
        <w:t>年开始，废旧</w:t>
      </w:r>
      <w:r w:rsidRPr="00881A13">
        <w:rPr>
          <w:rFonts w:ascii="Times New Roman" w:hAnsi="Times New Roman" w:cs="Times New Roman"/>
          <w:kern w:val="0"/>
        </w:rPr>
        <w:t>EV</w:t>
      </w:r>
      <w:r w:rsidRPr="00881A13">
        <w:rPr>
          <w:rFonts w:ascii="Times New Roman" w:hAnsi="Times New Roman" w:cs="Times New Roman"/>
          <w:kern w:val="0"/>
        </w:rPr>
        <w:t>电池与储</w:t>
      </w:r>
      <w:r w:rsidRPr="00881A13">
        <w:rPr>
          <w:rFonts w:ascii="Times New Roman" w:hAnsi="Times New Roman" w:cs="Times New Roman"/>
          <w:kern w:val="0"/>
        </w:rPr>
        <w:t>能电池将成为最大的回收来源，预计到</w:t>
      </w:r>
      <w:r w:rsidRPr="00881A13">
        <w:rPr>
          <w:rFonts w:ascii="Times New Roman" w:hAnsi="Times New Roman" w:cs="Times New Roman"/>
          <w:kern w:val="0"/>
        </w:rPr>
        <w:t>2050</w:t>
      </w:r>
      <w:r w:rsidRPr="00881A13">
        <w:rPr>
          <w:rFonts w:ascii="Times New Roman" w:hAnsi="Times New Roman" w:cs="Times New Roman"/>
          <w:kern w:val="0"/>
        </w:rPr>
        <w:t>年将占</w:t>
      </w:r>
      <w:r w:rsidRPr="00881A13">
        <w:rPr>
          <w:rFonts w:ascii="Times New Roman" w:hAnsi="Times New Roman" w:cs="Times New Roman"/>
          <w:kern w:val="0"/>
        </w:rPr>
        <w:t>90%</w:t>
      </w:r>
      <w:r w:rsidRPr="00881A13">
        <w:rPr>
          <w:rFonts w:ascii="Times New Roman" w:hAnsi="Times New Roman" w:cs="Times New Roman"/>
          <w:kern w:val="0"/>
        </w:rPr>
        <w:t>的可用回收原料。</w:t>
      </w:r>
    </w:p>
    <w:p w14:paraId="78595716" w14:textId="3CF4619D" w:rsidR="00691F6A" w:rsidRDefault="00000000">
      <w:pPr>
        <w:widowControl/>
        <w:spacing w:line="240" w:lineRule="atLeast"/>
        <w:ind w:firstLine="420"/>
        <w:rPr>
          <w:rFonts w:ascii="宋体" w:hAnsi="宋体" w:hint="eastAsia"/>
          <w:kern w:val="0"/>
        </w:rPr>
      </w:pPr>
      <w:r>
        <w:rPr>
          <w:rFonts w:ascii="宋体" w:hAnsi="宋体" w:hint="eastAsia"/>
          <w:kern w:val="0"/>
        </w:rPr>
        <w:t>从技术层面来看，湿法冶金占全球回收市场</w:t>
      </w:r>
      <w:r>
        <w:rPr>
          <w:rFonts w:ascii="Times New Roman" w:hAnsi="Times New Roman" w:hint="eastAsia"/>
          <w:kern w:val="0"/>
        </w:rPr>
        <w:t xml:space="preserve"> 65%</w:t>
      </w:r>
      <w:r>
        <w:rPr>
          <w:rFonts w:ascii="宋体" w:hAnsi="宋体" w:hint="eastAsia"/>
          <w:kern w:val="0"/>
        </w:rPr>
        <w:t xml:space="preserve">，镍、钴、锂综合回收率可达 </w:t>
      </w:r>
      <w:r>
        <w:rPr>
          <w:rFonts w:ascii="Times New Roman" w:hAnsi="Times New Roman" w:hint="eastAsia"/>
          <w:kern w:val="0"/>
        </w:rPr>
        <w:t>95%</w:t>
      </w:r>
      <w:r>
        <w:rPr>
          <w:rFonts w:ascii="宋体" w:hAnsi="宋体" w:hint="eastAsia"/>
          <w:kern w:val="0"/>
        </w:rPr>
        <w:t>，但其废水处理的成本非常高。火法回收能耗高但可处理混合废料。技术进步与政策支持是回收率提升与增加回收设施的主要驱动力。从关键金属回来情况来看，目前锂资源的实际回收率小于</w:t>
      </w:r>
      <w:r>
        <w:rPr>
          <w:rFonts w:ascii="Times New Roman" w:hAnsi="Times New Roman" w:hint="eastAsia"/>
          <w:kern w:val="0"/>
        </w:rPr>
        <w:t>20%</w:t>
      </w:r>
      <w:r>
        <w:rPr>
          <w:rFonts w:ascii="Times New Roman" w:hAnsi="Times New Roman" w:cs="Times New Roman" w:hint="eastAsia"/>
          <w:color w:val="EE0000"/>
          <w:kern w:val="0"/>
          <w:szCs w:val="21"/>
          <w:vertAlign w:val="superscript"/>
        </w:rPr>
        <w:t>[</w:t>
      </w:r>
      <w:r w:rsidR="0018405C">
        <w:rPr>
          <w:rFonts w:ascii="Times New Roman" w:hAnsi="Times New Roman" w:cs="Times New Roman" w:hint="eastAsia"/>
          <w:color w:val="EE0000"/>
          <w:kern w:val="0"/>
          <w:szCs w:val="21"/>
          <w:vertAlign w:val="superscript"/>
        </w:rPr>
        <w:t>50</w:t>
      </w:r>
      <w:r>
        <w:rPr>
          <w:rFonts w:ascii="Times New Roman" w:hAnsi="Times New Roman" w:cs="Times New Roman" w:hint="eastAsia"/>
          <w:color w:val="EE0000"/>
          <w:kern w:val="0"/>
          <w:szCs w:val="21"/>
          <w:vertAlign w:val="superscript"/>
        </w:rPr>
        <w:t>]</w:t>
      </w:r>
      <w:r>
        <w:rPr>
          <w:rFonts w:ascii="宋体" w:hAnsi="宋体" w:hint="eastAsia"/>
          <w:kern w:val="0"/>
        </w:rPr>
        <w:t>，主要来自制造废料，锂在2010年之前的历史中未被回收，锂金属性质活跃，回收技术开发相对较晚。目前传统火法无法回收锂资源，锂在火法回收中损失率可能高达</w:t>
      </w:r>
      <w:r>
        <w:rPr>
          <w:rFonts w:ascii="Times New Roman" w:hAnsi="Times New Roman" w:hint="eastAsia"/>
          <w:kern w:val="0"/>
        </w:rPr>
        <w:t>20%</w:t>
      </w:r>
      <w:r>
        <w:rPr>
          <w:rFonts w:ascii="Times New Roman" w:hAnsi="Times New Roman" w:cs="Times New Roman" w:hint="eastAsia"/>
          <w:color w:val="EE0000"/>
          <w:kern w:val="0"/>
          <w:szCs w:val="21"/>
          <w:vertAlign w:val="superscript"/>
        </w:rPr>
        <w:t>[</w:t>
      </w:r>
      <w:r w:rsidR="0018405C">
        <w:rPr>
          <w:rFonts w:ascii="Times New Roman" w:hAnsi="Times New Roman" w:cs="Times New Roman" w:hint="eastAsia"/>
          <w:color w:val="EE0000"/>
          <w:kern w:val="0"/>
          <w:szCs w:val="21"/>
          <w:vertAlign w:val="superscript"/>
        </w:rPr>
        <w:t>51</w:t>
      </w:r>
      <w:r>
        <w:rPr>
          <w:rFonts w:ascii="Times New Roman" w:hAnsi="Times New Roman" w:cs="Times New Roman" w:hint="eastAsia"/>
          <w:color w:val="EE0000"/>
          <w:kern w:val="0"/>
          <w:szCs w:val="21"/>
          <w:vertAlign w:val="superscript"/>
        </w:rPr>
        <w:t xml:space="preserve">] </w:t>
      </w:r>
      <w:r>
        <w:rPr>
          <w:rFonts w:ascii="宋体" w:hAnsi="宋体" w:hint="eastAsia"/>
          <w:kern w:val="0"/>
        </w:rPr>
        <w:t>。因此，锂资源的回收主要依赖湿法冶金技术的突破，以及湿法与火化回收技术的良好结合。钴循环潜力方面，钴为高价值金属，回收技术成熟，</w:t>
      </w:r>
      <w:r>
        <w:rPr>
          <w:rFonts w:ascii="Times New Roman" w:hAnsi="Times New Roman" w:hint="eastAsia"/>
          <w:kern w:val="0"/>
        </w:rPr>
        <w:t>2023</w:t>
      </w:r>
      <w:r>
        <w:rPr>
          <w:rFonts w:ascii="宋体" w:hAnsi="宋体" w:hint="eastAsia"/>
          <w:kern w:val="0"/>
        </w:rPr>
        <w:t>年全球钴回收率已超过</w:t>
      </w:r>
      <w:r>
        <w:rPr>
          <w:rFonts w:ascii="Times New Roman" w:hAnsi="Times New Roman" w:hint="eastAsia"/>
          <w:kern w:val="0"/>
        </w:rPr>
        <w:t>40%</w:t>
      </w:r>
      <w:r>
        <w:rPr>
          <w:rFonts w:ascii="Times New Roman" w:hAnsi="Times New Roman" w:cs="Times New Roman" w:hint="eastAsia"/>
          <w:color w:val="EE0000"/>
          <w:kern w:val="0"/>
          <w:szCs w:val="21"/>
          <w:vertAlign w:val="superscript"/>
        </w:rPr>
        <w:t>[5</w:t>
      </w:r>
      <w:r w:rsidR="0018405C">
        <w:rPr>
          <w:rFonts w:ascii="Times New Roman" w:hAnsi="Times New Roman" w:cs="Times New Roman" w:hint="eastAsia"/>
          <w:color w:val="EE0000"/>
          <w:kern w:val="0"/>
          <w:szCs w:val="21"/>
          <w:vertAlign w:val="superscript"/>
        </w:rPr>
        <w:t>2</w:t>
      </w:r>
      <w:r>
        <w:rPr>
          <w:rFonts w:ascii="Times New Roman" w:hAnsi="Times New Roman" w:cs="Times New Roman" w:hint="eastAsia"/>
          <w:color w:val="EE0000"/>
          <w:kern w:val="0"/>
          <w:szCs w:val="21"/>
          <w:vertAlign w:val="superscript"/>
        </w:rPr>
        <w:t>]</w:t>
      </w:r>
      <w:r>
        <w:rPr>
          <w:rFonts w:ascii="宋体" w:hAnsi="宋体" w:hint="eastAsia"/>
          <w:kern w:val="0"/>
        </w:rPr>
        <w:t>，主要来源为钴酸锂电池</w:t>
      </w:r>
      <w:r>
        <w:rPr>
          <w:rFonts w:ascii="Times New Roman" w:hAnsi="Times New Roman" w:hint="eastAsia"/>
          <w:kern w:val="0"/>
        </w:rPr>
        <w:t>LCO</w:t>
      </w:r>
      <w:r>
        <w:rPr>
          <w:rFonts w:ascii="宋体" w:hAnsi="宋体" w:hint="eastAsia"/>
          <w:kern w:val="0"/>
        </w:rPr>
        <w:t>的废旧电池与废旧原料，钴价推动着废钴的高价值回收，但在另外一方面，其回收率受钴产品价格波动较大。未来，随着政策驱动与技术进步，钴的回收潜力在稳定的经济情况下，预计将被进一步大幅提升。钴资源未来面临的挑战主要为如何解决用工人权等社会问题和尾矿污染等环境问题，以及市场中低钴以及无钴电池技术更新迭代引起的系列衍生问题。镍循环潜力方面，</w:t>
      </w:r>
      <w:r>
        <w:rPr>
          <w:rFonts w:ascii="Times New Roman" w:hAnsi="Times New Roman" w:hint="eastAsia"/>
          <w:kern w:val="0"/>
        </w:rPr>
        <w:t>2023</w:t>
      </w:r>
      <w:r>
        <w:rPr>
          <w:rFonts w:ascii="宋体" w:hAnsi="宋体" w:hint="eastAsia"/>
          <w:kern w:val="0"/>
        </w:rPr>
        <w:t>年，镍回收率已经大于5</w:t>
      </w:r>
      <w:r>
        <w:rPr>
          <w:rFonts w:ascii="Times New Roman" w:hAnsi="Times New Roman" w:hint="eastAsia"/>
          <w:kern w:val="0"/>
        </w:rPr>
        <w:t>0%</w:t>
      </w:r>
      <w:r>
        <w:rPr>
          <w:rFonts w:ascii="宋体" w:hAnsi="宋体" w:hint="eastAsia"/>
          <w:kern w:val="0"/>
        </w:rPr>
        <w:t>，但回收原料主要来自电池制造废料而非退役电池</w:t>
      </w:r>
      <w:r>
        <w:rPr>
          <w:rFonts w:ascii="Times New Roman" w:hAnsi="Times New Roman" w:cs="Times New Roman" w:hint="eastAsia"/>
          <w:color w:val="EE0000"/>
          <w:kern w:val="0"/>
          <w:szCs w:val="21"/>
          <w:vertAlign w:val="superscript"/>
        </w:rPr>
        <w:t>[20]</w:t>
      </w:r>
      <w:r>
        <w:rPr>
          <w:rFonts w:ascii="宋体" w:hAnsi="宋体" w:hint="eastAsia"/>
          <w:kern w:val="0"/>
        </w:rPr>
        <w:t>。</w:t>
      </w:r>
    </w:p>
    <w:p w14:paraId="22ED9354" w14:textId="77777777" w:rsidR="009D03E1" w:rsidRDefault="009D03E1" w:rsidP="009D03E1">
      <w:pPr>
        <w:widowControl/>
        <w:spacing w:line="240" w:lineRule="atLeast"/>
        <w:ind w:firstLine="420"/>
        <w:rPr>
          <w:rFonts w:ascii="Times New Roman" w:hAnsi="Times New Roman"/>
          <w:kern w:val="0"/>
        </w:rPr>
      </w:pPr>
      <w:r>
        <w:rPr>
          <w:rFonts w:ascii="宋体" w:hAnsi="宋体" w:hint="eastAsia"/>
          <w:kern w:val="0"/>
        </w:rPr>
        <w:t>未来，动力电池与储能电池的退役潮和储能需求增长将共同推动着退役电池及关键金属资源的回收。中国在回收产能方面占据主导地位，</w:t>
      </w:r>
      <w:r>
        <w:rPr>
          <w:rFonts w:ascii="Times New Roman" w:hAnsi="Times New Roman" w:hint="eastAsia"/>
          <w:kern w:val="0"/>
        </w:rPr>
        <w:t>2030</w:t>
      </w:r>
      <w:r>
        <w:rPr>
          <w:rFonts w:ascii="宋体" w:hAnsi="宋体" w:hint="eastAsia"/>
          <w:kern w:val="0"/>
        </w:rPr>
        <w:t>年预计全球</w:t>
      </w:r>
      <w:r>
        <w:rPr>
          <w:rFonts w:ascii="Times New Roman" w:hAnsi="Times New Roman" w:hint="eastAsia"/>
          <w:kern w:val="0"/>
        </w:rPr>
        <w:t>90%</w:t>
      </w:r>
      <w:r>
        <w:rPr>
          <w:rFonts w:ascii="宋体" w:hAnsi="宋体" w:hint="eastAsia"/>
          <w:kern w:val="0"/>
        </w:rPr>
        <w:t>的回收产能将采用湿法技术。同时，印度尼西亚等发展中国家未来可能成为重要的回收市场。随着动力电池与储能电池最终寿命的结束，它们的回收潜力巨大，锂、钴、镍等关键资源的二次资源供给占比有望达到</w:t>
      </w:r>
      <w:r>
        <w:rPr>
          <w:rFonts w:ascii="Times New Roman" w:hAnsi="Times New Roman" w:hint="eastAsia"/>
          <w:kern w:val="0"/>
        </w:rPr>
        <w:t>30%</w:t>
      </w:r>
      <w:r>
        <w:rPr>
          <w:rFonts w:ascii="宋体" w:hAnsi="宋体" w:hint="eastAsia"/>
          <w:kern w:val="0"/>
        </w:rPr>
        <w:t>。电池回收市场未来发展难点在于，退役电池回收供应链的闭环构建难题。当前，全球</w:t>
      </w:r>
      <w:r>
        <w:rPr>
          <w:rFonts w:ascii="Times New Roman" w:hAnsi="Times New Roman" w:hint="eastAsia"/>
          <w:kern w:val="0"/>
        </w:rPr>
        <w:t>90%</w:t>
      </w:r>
      <w:r>
        <w:rPr>
          <w:rFonts w:ascii="宋体" w:hAnsi="宋体" w:hint="eastAsia"/>
          <w:kern w:val="0"/>
        </w:rPr>
        <w:t>的正极材料产能集中于亚洲，而电池消费市场分布全球，各国回收商需要相互竞争退役电池或黑粉等原料采购，完全形成</w:t>
      </w:r>
      <w:r>
        <w:rPr>
          <w:rFonts w:ascii="Times New Roman" w:hAnsi="Times New Roman" w:hint="eastAsia"/>
          <w:kern w:val="0"/>
        </w:rPr>
        <w:t>"</w:t>
      </w:r>
      <w:r>
        <w:rPr>
          <w:rFonts w:ascii="宋体" w:hAnsi="宋体" w:hint="eastAsia"/>
          <w:kern w:val="0"/>
        </w:rPr>
        <w:t>回收</w:t>
      </w:r>
      <w:r>
        <w:rPr>
          <w:rFonts w:ascii="Times New Roman" w:hAnsi="Times New Roman" w:hint="eastAsia"/>
          <w:kern w:val="0"/>
        </w:rPr>
        <w:t>-</w:t>
      </w:r>
      <w:r>
        <w:rPr>
          <w:rFonts w:ascii="宋体" w:hAnsi="宋体" w:hint="eastAsia"/>
          <w:kern w:val="0"/>
        </w:rPr>
        <w:t>再制造</w:t>
      </w:r>
      <w:r>
        <w:rPr>
          <w:rFonts w:ascii="Times New Roman" w:hAnsi="Times New Roman" w:hint="eastAsia"/>
          <w:kern w:val="0"/>
        </w:rPr>
        <w:t>"</w:t>
      </w:r>
      <w:r>
        <w:rPr>
          <w:rFonts w:ascii="Times New Roman" w:hAnsi="Times New Roman" w:hint="eastAsia"/>
          <w:kern w:val="0"/>
        </w:rPr>
        <w:t>循环经济式</w:t>
      </w:r>
      <w:r>
        <w:rPr>
          <w:rFonts w:ascii="宋体" w:hAnsi="宋体" w:hint="eastAsia"/>
          <w:kern w:val="0"/>
        </w:rPr>
        <w:t>闭环的难度较高。跨国或跨境回收难度大、标准不统一，也是制约规模化回收的一个重要因素，规模化是达到</w:t>
      </w:r>
      <w:r>
        <w:rPr>
          <w:rFonts w:ascii="Times New Roman" w:hAnsi="Times New Roman" w:hint="eastAsia"/>
          <w:kern w:val="0"/>
        </w:rPr>
        <w:t>ESG</w:t>
      </w:r>
      <w:r>
        <w:rPr>
          <w:rFonts w:ascii="宋体" w:hAnsi="宋体" w:hint="eastAsia"/>
          <w:kern w:val="0"/>
        </w:rPr>
        <w:t>标准及良好的经济效益的重要驱动力。因此，地缘政治与市场结构、规模化、高质化回收是制约与平衡发展的关键。</w:t>
      </w:r>
    </w:p>
    <w:p w14:paraId="20D4E8A4" w14:textId="77777777" w:rsidR="009D03E1" w:rsidRPr="009D03E1" w:rsidRDefault="009D03E1">
      <w:pPr>
        <w:widowControl/>
        <w:spacing w:line="240" w:lineRule="atLeast"/>
        <w:ind w:firstLine="420"/>
        <w:rPr>
          <w:rFonts w:ascii="Times New Roman" w:hAnsi="Times New Roman"/>
          <w:kern w:val="0"/>
        </w:rPr>
      </w:pPr>
    </w:p>
    <w:p w14:paraId="4206CCB6" w14:textId="5B86FC80" w:rsidR="00691F6A" w:rsidRDefault="00FD1394" w:rsidP="00722482">
      <w:pPr>
        <w:widowControl/>
        <w:spacing w:line="240" w:lineRule="atLeast"/>
        <w:rPr>
          <w:rFonts w:ascii="宋体" w:hAnsi="宋体" w:hint="eastAsia"/>
          <w:kern w:val="0"/>
        </w:rPr>
      </w:pPr>
      <w:r>
        <w:rPr>
          <w:rFonts w:hint="eastAsia"/>
        </w:rPr>
        <w:object w:dxaOrig="6326" w:dyaOrig="17162" w14:anchorId="3E848DB8">
          <v:shape id="_x0000_i1031" type="#_x0000_t75" style="width:231.05pt;height:439.35pt" o:ole="">
            <v:imagedata r:id="rId31" o:title="" croptop="4645f" cropbottom="10662f"/>
          </v:shape>
          <o:OLEObject Type="Embed" ProgID="Origin95.Graph" ShapeID="_x0000_i1031" DrawAspect="Content" ObjectID="_1811340062" r:id="rId32"/>
        </w:object>
      </w:r>
    </w:p>
    <w:p w14:paraId="5137F0F6" w14:textId="677A139E" w:rsidR="00691F6A" w:rsidRDefault="00000000">
      <w:pPr>
        <w:widowControl/>
        <w:spacing w:line="240" w:lineRule="atLeast"/>
        <w:ind w:firstLine="420"/>
        <w:rPr>
          <w:rFonts w:ascii="宋体" w:hAnsi="宋体" w:hint="eastAsia"/>
          <w:kern w:val="0"/>
        </w:rPr>
      </w:pPr>
      <w:r>
        <w:rPr>
          <w:rFonts w:ascii="Times New Roman" w:hAnsi="Times New Roman" w:cs="Times New Roman" w:hint="eastAsia"/>
          <w:kern w:val="0"/>
          <w:sz w:val="18"/>
          <w:szCs w:val="18"/>
        </w:rPr>
        <w:t>图</w:t>
      </w:r>
      <w:r>
        <w:rPr>
          <w:rFonts w:ascii="Times New Roman" w:hAnsi="Times New Roman" w:cs="Times New Roman" w:hint="eastAsia"/>
          <w:kern w:val="0"/>
          <w:sz w:val="18"/>
          <w:szCs w:val="18"/>
        </w:rPr>
        <w:t xml:space="preserve">9 </w:t>
      </w:r>
      <w:r>
        <w:rPr>
          <w:rFonts w:ascii="Times New Roman" w:hAnsi="Times New Roman" w:cs="Times New Roman" w:hint="eastAsia"/>
          <w:kern w:val="0"/>
          <w:sz w:val="18"/>
          <w:szCs w:val="18"/>
        </w:rPr>
        <w:t>关键矿产未来回收潜力（数据来源：</w:t>
      </w:r>
      <w:r>
        <w:rPr>
          <w:rFonts w:ascii="Times New Roman" w:hAnsi="Times New Roman" w:cs="Times New Roman" w:hint="eastAsia"/>
          <w:kern w:val="0"/>
          <w:sz w:val="18"/>
          <w:szCs w:val="18"/>
        </w:rPr>
        <w:t>Y.MIAO</w:t>
      </w:r>
      <w:r w:rsidRPr="00881A13">
        <w:rPr>
          <w:rFonts w:ascii="Times New Roman" w:hAnsi="Times New Roman" w:cs="Times New Roman"/>
          <w:kern w:val="0"/>
          <w:sz w:val="18"/>
          <w:szCs w:val="18"/>
          <w:vertAlign w:val="superscript"/>
        </w:rPr>
        <w:t>[35]</w:t>
      </w:r>
      <w:r>
        <w:rPr>
          <w:rFonts w:ascii="Times New Roman" w:hAnsi="Times New Roman" w:cs="Times New Roman" w:hint="eastAsia"/>
          <w:kern w:val="0"/>
          <w:sz w:val="18"/>
          <w:szCs w:val="18"/>
        </w:rPr>
        <w:t>）</w:t>
      </w:r>
    </w:p>
    <w:p w14:paraId="409BEEDD" w14:textId="77777777" w:rsidR="00691F6A" w:rsidRDefault="00000000" w:rsidP="004459B1">
      <w:pPr>
        <w:widowControl/>
        <w:tabs>
          <w:tab w:val="left" w:pos="2826"/>
        </w:tabs>
        <w:spacing w:beforeLines="50" w:before="156" w:afterLines="50" w:after="156" w:line="240" w:lineRule="atLeast"/>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城市矿产循环利用状况及挑战</w:t>
      </w:r>
    </w:p>
    <w:p w14:paraId="571469D4" w14:textId="6B5BE624"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退役风电机组中约</w:t>
      </w:r>
      <w:r>
        <w:rPr>
          <w:rFonts w:ascii="Times New Roman" w:hAnsi="Times New Roman" w:cs="Times New Roman" w:hint="eastAsia"/>
          <w:kern w:val="0"/>
          <w:szCs w:val="21"/>
        </w:rPr>
        <w:t>85%-90%</w:t>
      </w:r>
      <w:r>
        <w:rPr>
          <w:rFonts w:ascii="Times New Roman" w:hAnsi="Times New Roman" w:cs="Times New Roman" w:hint="eastAsia"/>
          <w:kern w:val="0"/>
          <w:szCs w:val="21"/>
        </w:rPr>
        <w:t>的金属部件（如塔筒、齿轮箱、轴承）可通过机械拆解与熔炼再生实现高效回收，部分性能完好的部件经无损检测后可二次应用于维修领域。然而，以玻璃纤维</w:t>
      </w:r>
      <w:r>
        <w:rPr>
          <w:rFonts w:ascii="Times New Roman" w:hAnsi="Times New Roman" w:cs="Times New Roman" w:hint="eastAsia"/>
          <w:kern w:val="0"/>
          <w:szCs w:val="21"/>
        </w:rPr>
        <w:t>/</w:t>
      </w:r>
      <w:r>
        <w:rPr>
          <w:rFonts w:ascii="Times New Roman" w:hAnsi="Times New Roman" w:cs="Times New Roman" w:hint="eastAsia"/>
          <w:kern w:val="0"/>
          <w:szCs w:val="21"/>
        </w:rPr>
        <w:t>碳纤维增强环氧树脂复合材料为主体的风机叶片成为回收难点，传统机械粉碎仅能获得低附加值产物（如水泥添加剂），而热固性树脂的化学交联特性导致热解、溶剂分解等工艺存在能耗高、树脂与纤维分离效率低及产物性能劣化等问题</w:t>
      </w:r>
      <w:r>
        <w:rPr>
          <w:rFonts w:ascii="Times New Roman" w:hAnsi="Times New Roman" w:cs="Times New Roman" w:hint="eastAsia"/>
          <w:color w:val="EE0000"/>
          <w:kern w:val="0"/>
          <w:szCs w:val="21"/>
          <w:vertAlign w:val="superscript"/>
        </w:rPr>
        <w:t>[5</w:t>
      </w:r>
      <w:r w:rsidR="00F74BBF">
        <w:rPr>
          <w:rFonts w:ascii="Times New Roman" w:hAnsi="Times New Roman" w:cs="Times New Roman" w:hint="eastAsia"/>
          <w:color w:val="EE0000"/>
          <w:kern w:val="0"/>
          <w:szCs w:val="21"/>
          <w:vertAlign w:val="superscript"/>
        </w:rPr>
        <w:t>2</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。针对此瓶颈，丹麦维斯塔斯联盟开发了新型化学解聚技术，通过可扩展的溶剂体系将环氧树脂分解为单体原料，实现叶片材料的闭环循环，且无需改变现有叶片设计</w:t>
      </w:r>
      <w:r>
        <w:rPr>
          <w:rFonts w:ascii="Times New Roman" w:hAnsi="Times New Roman" w:cs="Times New Roman" w:hint="eastAsia"/>
          <w:kern w:val="0"/>
          <w:szCs w:val="21"/>
        </w:rPr>
        <w:t>与生产工艺，已在实验室阶段实现树脂回收率</w:t>
      </w:r>
      <w:r>
        <w:rPr>
          <w:rFonts w:ascii="Times New Roman" w:hAnsi="Times New Roman" w:cs="Times New Roman" w:hint="eastAsia"/>
          <w:kern w:val="0"/>
          <w:szCs w:val="21"/>
        </w:rPr>
        <w:t>&gt;95%</w:t>
      </w:r>
      <w:r>
        <w:rPr>
          <w:rFonts w:ascii="Times New Roman" w:hAnsi="Times New Roman" w:cs="Times New Roman" w:hint="eastAsia"/>
          <w:color w:val="EE0000"/>
          <w:kern w:val="0"/>
          <w:szCs w:val="21"/>
          <w:vertAlign w:val="superscript"/>
        </w:rPr>
        <w:t>[5</w:t>
      </w:r>
      <w:r w:rsidR="00F74BBF">
        <w:rPr>
          <w:rFonts w:ascii="Times New Roman" w:hAnsi="Times New Roman" w:cs="Times New Roman" w:hint="eastAsia"/>
          <w:color w:val="EE0000"/>
          <w:kern w:val="0"/>
          <w:szCs w:val="21"/>
          <w:vertAlign w:val="superscript"/>
        </w:rPr>
        <w:t>3</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；美国莱斯大学</w:t>
      </w:r>
      <w:r>
        <w:rPr>
          <w:rFonts w:ascii="Times New Roman" w:hAnsi="Times New Roman" w:cs="Times New Roman" w:hint="eastAsia"/>
          <w:kern w:val="0"/>
          <w:szCs w:val="21"/>
        </w:rPr>
        <w:t>Tour</w:t>
      </w:r>
      <w:r>
        <w:rPr>
          <w:rFonts w:ascii="Times New Roman" w:hAnsi="Times New Roman" w:cs="Times New Roman" w:hint="eastAsia"/>
          <w:kern w:val="0"/>
          <w:szCs w:val="21"/>
        </w:rPr>
        <w:t>院士团队开发的闪蒸焦耳热技术通过瞬时电脉冲技术（</w:t>
      </w:r>
      <w:r>
        <w:rPr>
          <w:rFonts w:ascii="Times New Roman" w:hAnsi="Times New Roman" w:cs="Times New Roman" w:hint="eastAsia"/>
          <w:kern w:val="0"/>
          <w:szCs w:val="21"/>
        </w:rPr>
        <w:t>1</w:t>
      </w:r>
      <w:r>
        <w:rPr>
          <w:rFonts w:ascii="Times New Roman" w:hAnsi="Times New Roman" w:cs="Times New Roman" w:hint="eastAsia"/>
          <w:kern w:val="0"/>
          <w:szCs w:val="21"/>
        </w:rPr>
        <w:t>秒内升温至</w:t>
      </w:r>
      <w:r>
        <w:rPr>
          <w:rFonts w:ascii="Times New Roman" w:hAnsi="Times New Roman" w:cs="Times New Roman" w:hint="eastAsia"/>
          <w:kern w:val="0"/>
          <w:szCs w:val="21"/>
        </w:rPr>
        <w:t>1600</w:t>
      </w:r>
      <w:r>
        <w:rPr>
          <w:rFonts w:ascii="Times New Roman" w:hAnsi="Times New Roman" w:cs="Times New Roman" w:hint="eastAsia"/>
          <w:kern w:val="0"/>
          <w:szCs w:val="21"/>
        </w:rPr>
        <w:t>–</w:t>
      </w:r>
      <w:r>
        <w:rPr>
          <w:rFonts w:ascii="Times New Roman" w:hAnsi="Times New Roman" w:cs="Times New Roman" w:hint="eastAsia"/>
          <w:kern w:val="0"/>
          <w:szCs w:val="21"/>
        </w:rPr>
        <w:t>2900</w:t>
      </w:r>
      <w:r>
        <w:rPr>
          <w:rFonts w:ascii="Times New Roman" w:hAnsi="Times New Roman" w:cs="Times New Roman"/>
          <w:kern w:val="0"/>
          <w:szCs w:val="21"/>
        </w:rPr>
        <w:t>℃</w:t>
      </w:r>
      <w:r>
        <w:rPr>
          <w:rFonts w:ascii="Times New Roman" w:hAnsi="Times New Roman" w:cs="Times New Roman" w:hint="eastAsia"/>
          <w:kern w:val="0"/>
          <w:szCs w:val="21"/>
        </w:rPr>
        <w:t>），可将玻璃纤维增强树脂材料直接转化为碳化硅材料</w:t>
      </w:r>
      <w:r w:rsidRPr="00684349">
        <w:rPr>
          <w:rFonts w:ascii="Times New Roman" w:hAnsi="Times New Roman" w:cs="Times New Roman" w:hint="eastAsia"/>
          <w:kern w:val="0"/>
          <w:szCs w:val="21"/>
        </w:rPr>
        <w:t>，如图</w:t>
      </w:r>
      <w:r w:rsidR="00684349" w:rsidRPr="00684349">
        <w:rPr>
          <w:rFonts w:ascii="Times New Roman" w:hAnsi="Times New Roman" w:cs="Times New Roman" w:hint="eastAsia"/>
          <w:kern w:val="0"/>
          <w:szCs w:val="21"/>
        </w:rPr>
        <w:t>10</w:t>
      </w:r>
      <w:r w:rsidRPr="00684349">
        <w:rPr>
          <w:rFonts w:ascii="Times New Roman" w:hAnsi="Times New Roman" w:cs="Times New Roman" w:hint="eastAsia"/>
          <w:kern w:val="0"/>
          <w:szCs w:val="21"/>
        </w:rPr>
        <w:t>a</w:t>
      </w:r>
      <w:r w:rsidRPr="00684349">
        <w:rPr>
          <w:rFonts w:ascii="Times New Roman" w:hAnsi="Times New Roman" w:cs="Times New Roman" w:hint="eastAsia"/>
          <w:kern w:val="0"/>
          <w:szCs w:val="21"/>
        </w:rPr>
        <w:t>所示，</w:t>
      </w:r>
      <w:r>
        <w:rPr>
          <w:rFonts w:ascii="Times New Roman" w:hAnsi="Times New Roman" w:cs="Times New Roman" w:hint="eastAsia"/>
          <w:kern w:val="0"/>
          <w:szCs w:val="21"/>
        </w:rPr>
        <w:t>反应速率比传统碳热还原快</w:t>
      </w:r>
      <w:r>
        <w:rPr>
          <w:rFonts w:ascii="Times New Roman" w:hAnsi="Times New Roman" w:cs="Times New Roman" w:hint="eastAsia"/>
          <w:kern w:val="0"/>
          <w:szCs w:val="21"/>
        </w:rPr>
        <w:t>3-4</w:t>
      </w:r>
      <w:r>
        <w:rPr>
          <w:rFonts w:ascii="Times New Roman" w:hAnsi="Times New Roman" w:cs="Times New Roman" w:hint="eastAsia"/>
          <w:kern w:val="0"/>
          <w:szCs w:val="21"/>
        </w:rPr>
        <w:t>个数量级，且无需溶剂或催化剂，但处理规模仍有待提升</w:t>
      </w:r>
      <w:r>
        <w:rPr>
          <w:rFonts w:ascii="Times New Roman" w:hAnsi="Times New Roman" w:cs="Times New Roman" w:hint="eastAsia"/>
          <w:color w:val="EE0000"/>
          <w:kern w:val="0"/>
          <w:szCs w:val="21"/>
          <w:vertAlign w:val="superscript"/>
        </w:rPr>
        <w:t>[5</w:t>
      </w:r>
      <w:r w:rsidR="00F74BBF">
        <w:rPr>
          <w:rFonts w:ascii="Times New Roman" w:hAnsi="Times New Roman" w:cs="Times New Roman" w:hint="eastAsia"/>
          <w:color w:val="EE0000"/>
          <w:kern w:val="0"/>
          <w:szCs w:val="21"/>
          <w:vertAlign w:val="superscript"/>
        </w:rPr>
        <w:t>4</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w:t>
      </w:r>
    </w:p>
    <w:p w14:paraId="27316848" w14:textId="77777777"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当前退役风电机组循环利用技术瓶颈集中于三方面：其一，复合材料高效分离技术尚未成熟，现有工艺如高压脉冲破碎虽可降低纤维损伤率，但设备成本高达传统粉碎的</w:t>
      </w:r>
      <w:r>
        <w:rPr>
          <w:rFonts w:ascii="Times New Roman" w:hAnsi="Times New Roman" w:cs="Times New Roman" w:hint="eastAsia"/>
          <w:kern w:val="0"/>
          <w:szCs w:val="21"/>
        </w:rPr>
        <w:t>3</w:t>
      </w:r>
      <w:r>
        <w:rPr>
          <w:rFonts w:ascii="Times New Roman" w:hAnsi="Times New Roman" w:cs="Times New Roman" w:hint="eastAsia"/>
          <w:kern w:val="0"/>
          <w:szCs w:val="21"/>
        </w:rPr>
        <w:t>倍；其二，全产业链协同不足，偏远风场运输成本占总回收费用的</w:t>
      </w:r>
      <w:r>
        <w:rPr>
          <w:rFonts w:ascii="Times New Roman" w:hAnsi="Times New Roman" w:cs="Times New Roman" w:hint="eastAsia"/>
          <w:kern w:val="0"/>
          <w:szCs w:val="21"/>
        </w:rPr>
        <w:t>40%</w:t>
      </w:r>
      <w:r>
        <w:rPr>
          <w:rFonts w:ascii="Times New Roman" w:hAnsi="Times New Roman" w:cs="Times New Roman" w:hint="eastAsia"/>
          <w:kern w:val="0"/>
          <w:szCs w:val="21"/>
        </w:rPr>
        <w:t>以上，且缺乏覆盖检测、分类、物流的标准化体系；其三，稀土永磁体回收面临磁路退磁控制精度不足、重熔过程稀土氧化损失率高等问题。未来发展方向需多维度突破：材料层面，推广热塑性树脂叶片及生物基可降解树脂，从源头消除热固性难题；工艺层面，发展微波辅助解聚、人工智能辅助的自动化拆解系统等；应用层面，探索废风机叶片衍生材料在建筑、</w:t>
      </w:r>
      <w:r>
        <w:rPr>
          <w:rFonts w:ascii="Times New Roman" w:hAnsi="Times New Roman" w:cs="Times New Roman" w:hint="eastAsia"/>
          <w:kern w:val="0"/>
          <w:szCs w:val="21"/>
        </w:rPr>
        <w:t>3D</w:t>
      </w:r>
      <w:r>
        <w:rPr>
          <w:rFonts w:ascii="Times New Roman" w:hAnsi="Times New Roman" w:cs="Times New Roman" w:hint="eastAsia"/>
          <w:kern w:val="0"/>
          <w:szCs w:val="21"/>
        </w:rPr>
        <w:t>打印等领域的高值化利用。</w:t>
      </w:r>
    </w:p>
    <w:p w14:paraId="75745E98" w14:textId="689C9EE4" w:rsidR="00691F6A"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光伏发电设备主要以晶硅电池为核心部件，其当前市场占比超过</w:t>
      </w:r>
      <w:r>
        <w:rPr>
          <w:rFonts w:ascii="Times New Roman" w:hAnsi="Times New Roman" w:cs="Times New Roman"/>
          <w:kern w:val="0"/>
          <w:szCs w:val="21"/>
        </w:rPr>
        <w:t>90%</w:t>
      </w:r>
      <w:r>
        <w:rPr>
          <w:rFonts w:ascii="Times New Roman" w:hAnsi="Times New Roman" w:cs="Times New Roman" w:hint="eastAsia"/>
          <w:kern w:val="0"/>
          <w:szCs w:val="21"/>
        </w:rPr>
        <w:t>。废晶硅光伏电池的资源化回收技术的核心目标在于高效提取银、铜、铝等高价值金属及硅基材料，同时解决环境污染问题。典型晶硅组件中，银电极（价值占比最高）、铝边框（</w:t>
      </w:r>
      <w:r>
        <w:rPr>
          <w:rFonts w:ascii="Times New Roman" w:hAnsi="Times New Roman" w:cs="Times New Roman" w:hint="eastAsia"/>
          <w:kern w:val="0"/>
          <w:szCs w:val="21"/>
        </w:rPr>
        <w:t>10%-15%</w:t>
      </w:r>
      <w:r>
        <w:rPr>
          <w:rFonts w:ascii="Times New Roman" w:hAnsi="Times New Roman" w:cs="Times New Roman" w:hint="eastAsia"/>
          <w:kern w:val="0"/>
          <w:szCs w:val="21"/>
        </w:rPr>
        <w:t>）、硅片（</w:t>
      </w:r>
      <w:r>
        <w:rPr>
          <w:rFonts w:ascii="Times New Roman" w:hAnsi="Times New Roman" w:cs="Times New Roman" w:hint="eastAsia"/>
          <w:kern w:val="0"/>
          <w:szCs w:val="21"/>
        </w:rPr>
        <w:t>3%-5%</w:t>
      </w:r>
      <w:r>
        <w:rPr>
          <w:rFonts w:ascii="Times New Roman" w:hAnsi="Times New Roman" w:cs="Times New Roman" w:hint="eastAsia"/>
          <w:kern w:val="0"/>
          <w:szCs w:val="21"/>
        </w:rPr>
        <w:t>）及涂锡焊带等组分通过</w:t>
      </w:r>
      <w:r>
        <w:rPr>
          <w:rFonts w:ascii="Times New Roman" w:hAnsi="Times New Roman" w:cs="Times New Roman" w:hint="eastAsia"/>
          <w:kern w:val="0"/>
          <w:szCs w:val="21"/>
        </w:rPr>
        <w:t>EVA</w:t>
      </w:r>
      <w:r>
        <w:rPr>
          <w:rFonts w:ascii="Times New Roman" w:hAnsi="Times New Roman" w:cs="Times New Roman" w:hint="eastAsia"/>
          <w:kern w:val="0"/>
          <w:szCs w:val="21"/>
        </w:rPr>
        <w:t>胶膜与玻璃层复合，需通过预处理实现解离。当前主流技术路径是通过焙烧（</w:t>
      </w:r>
      <w:r>
        <w:rPr>
          <w:rFonts w:ascii="Times New Roman" w:hAnsi="Times New Roman" w:cs="Times New Roman" w:hint="eastAsia"/>
          <w:kern w:val="0"/>
          <w:szCs w:val="21"/>
        </w:rPr>
        <w:t>600-800</w:t>
      </w:r>
      <w:r>
        <w:rPr>
          <w:rFonts w:ascii="Times New Roman" w:hAnsi="Times New Roman" w:cs="Times New Roman"/>
          <w:kern w:val="0"/>
          <w:szCs w:val="21"/>
        </w:rPr>
        <w:t>℃</w:t>
      </w:r>
      <w:r>
        <w:rPr>
          <w:rFonts w:ascii="Times New Roman" w:hAnsi="Times New Roman" w:cs="Times New Roman" w:hint="eastAsia"/>
          <w:kern w:val="0"/>
          <w:szCs w:val="21"/>
        </w:rPr>
        <w:t>）削弱</w:t>
      </w:r>
      <w:r>
        <w:rPr>
          <w:rFonts w:ascii="Times New Roman" w:hAnsi="Times New Roman" w:cs="Times New Roman" w:hint="eastAsia"/>
          <w:kern w:val="0"/>
          <w:szCs w:val="21"/>
        </w:rPr>
        <w:t>EVA</w:t>
      </w:r>
      <w:r>
        <w:rPr>
          <w:rFonts w:ascii="Times New Roman" w:hAnsi="Times New Roman" w:cs="Times New Roman" w:hint="eastAsia"/>
          <w:kern w:val="0"/>
          <w:szCs w:val="21"/>
        </w:rPr>
        <w:t>黏结性，结合选择性破碎与酸浸法实现金属梯级回收，银、铜浸出率可达</w:t>
      </w:r>
      <w:r>
        <w:rPr>
          <w:rFonts w:ascii="Times New Roman" w:hAnsi="Times New Roman" w:cs="Times New Roman" w:hint="eastAsia"/>
          <w:kern w:val="0"/>
          <w:szCs w:val="21"/>
        </w:rPr>
        <w:t>94%-98%</w:t>
      </w:r>
      <w:r>
        <w:rPr>
          <w:rFonts w:ascii="Times New Roman" w:hAnsi="Times New Roman" w:cs="Times New Roman" w:hint="eastAsia"/>
          <w:kern w:val="0"/>
          <w:szCs w:val="21"/>
        </w:rPr>
        <w:t>。研究表明，先通过流化床热解去除</w:t>
      </w:r>
      <w:r>
        <w:rPr>
          <w:rFonts w:ascii="Times New Roman" w:hAnsi="Times New Roman" w:cs="Times New Roman" w:hint="eastAsia"/>
          <w:kern w:val="0"/>
          <w:szCs w:val="21"/>
        </w:rPr>
        <w:t>EVA</w:t>
      </w:r>
      <w:r>
        <w:rPr>
          <w:rFonts w:ascii="Times New Roman" w:hAnsi="Times New Roman" w:cs="Times New Roman" w:hint="eastAsia"/>
          <w:kern w:val="0"/>
          <w:szCs w:val="21"/>
        </w:rPr>
        <w:t>，再采用硝酸选择性浸出金属，最终通过电沉积回收高纯银。该技术路线在实验室阶段已实现硅回收率</w:t>
      </w:r>
      <w:r>
        <w:rPr>
          <w:rFonts w:ascii="Times New Roman" w:hAnsi="Times New Roman" w:cs="Times New Roman" w:hint="eastAsia"/>
          <w:kern w:val="0"/>
          <w:szCs w:val="21"/>
        </w:rPr>
        <w:t>&gt;95%</w:t>
      </w:r>
      <w:r>
        <w:rPr>
          <w:rFonts w:ascii="Times New Roman" w:hAnsi="Times New Roman" w:cs="Times New Roman" w:hint="eastAsia"/>
          <w:kern w:val="0"/>
          <w:szCs w:val="21"/>
        </w:rPr>
        <w:t>、银回收率</w:t>
      </w:r>
      <w:r>
        <w:rPr>
          <w:rFonts w:ascii="Times New Roman" w:hAnsi="Times New Roman" w:cs="Times New Roman" w:hint="eastAsia"/>
          <w:kern w:val="0"/>
          <w:szCs w:val="21"/>
        </w:rPr>
        <w:t>&gt;90%</w:t>
      </w:r>
      <w:r>
        <w:rPr>
          <w:rFonts w:ascii="Times New Roman" w:hAnsi="Times New Roman" w:cs="Times New Roman" w:hint="eastAsia"/>
          <w:kern w:val="0"/>
          <w:szCs w:val="21"/>
        </w:rPr>
        <w:t>，但需解决含氟背板处理及废气废水净化问题</w:t>
      </w:r>
      <w:r>
        <w:rPr>
          <w:rFonts w:ascii="Times New Roman" w:hAnsi="Times New Roman" w:cs="Times New Roman" w:hint="eastAsia"/>
          <w:color w:val="EE0000"/>
          <w:kern w:val="0"/>
          <w:szCs w:val="21"/>
          <w:vertAlign w:val="superscript"/>
        </w:rPr>
        <w:t>[5</w:t>
      </w:r>
      <w:r w:rsidR="00F74BBF">
        <w:rPr>
          <w:rFonts w:ascii="Times New Roman" w:hAnsi="Times New Roman" w:cs="Times New Roman" w:hint="eastAsia"/>
          <w:color w:val="EE0000"/>
          <w:kern w:val="0"/>
          <w:szCs w:val="21"/>
          <w:vertAlign w:val="superscript"/>
        </w:rPr>
        <w:t>5</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。武汉大学尹华意团队研发的熔盐刻蚀技术采用</w:t>
      </w:r>
      <w:r>
        <w:rPr>
          <w:rFonts w:ascii="Times New Roman" w:hAnsi="Times New Roman" w:cs="Times New Roman" w:hint="eastAsia"/>
          <w:kern w:val="0"/>
          <w:szCs w:val="21"/>
        </w:rPr>
        <w:t>NaCl-KCl</w:t>
      </w:r>
      <w:r>
        <w:rPr>
          <w:rFonts w:ascii="Times New Roman" w:hAnsi="Times New Roman" w:cs="Times New Roman" w:hint="eastAsia"/>
          <w:kern w:val="0"/>
          <w:szCs w:val="21"/>
        </w:rPr>
        <w:t>熔体直接剥离银电极，纯度达</w:t>
      </w:r>
      <w:r>
        <w:rPr>
          <w:rFonts w:ascii="Times New Roman" w:hAnsi="Times New Roman" w:cs="Times New Roman" w:hint="eastAsia"/>
          <w:kern w:val="0"/>
          <w:szCs w:val="21"/>
        </w:rPr>
        <w:t>99.5%</w:t>
      </w:r>
      <w:r>
        <w:rPr>
          <w:rFonts w:ascii="Times New Roman" w:hAnsi="Times New Roman" w:cs="Times New Roman" w:hint="eastAsia"/>
          <w:kern w:val="0"/>
          <w:szCs w:val="21"/>
        </w:rPr>
        <w:t>，并通过碱浸</w:t>
      </w:r>
      <w:r>
        <w:rPr>
          <w:rFonts w:ascii="Times New Roman" w:hAnsi="Times New Roman" w:cs="Times New Roman" w:hint="eastAsia"/>
          <w:kern w:val="0"/>
          <w:szCs w:val="21"/>
        </w:rPr>
        <w:t>-</w:t>
      </w:r>
      <w:r>
        <w:rPr>
          <w:rFonts w:ascii="Times New Roman" w:hAnsi="Times New Roman" w:cs="Times New Roman" w:hint="eastAsia"/>
          <w:kern w:val="0"/>
          <w:szCs w:val="21"/>
        </w:rPr>
        <w:t>电沉积联用回收其他金属，避免强酸使用</w:t>
      </w:r>
      <w:r w:rsidRPr="00684349">
        <w:rPr>
          <w:rFonts w:ascii="Times New Roman" w:hAnsi="Times New Roman" w:cs="Times New Roman" w:hint="eastAsia"/>
          <w:kern w:val="0"/>
          <w:szCs w:val="21"/>
        </w:rPr>
        <w:t>，如图</w:t>
      </w:r>
      <w:r w:rsidR="00684349" w:rsidRPr="00684349">
        <w:rPr>
          <w:rFonts w:ascii="Times New Roman" w:hAnsi="Times New Roman" w:cs="Times New Roman" w:hint="eastAsia"/>
          <w:kern w:val="0"/>
          <w:szCs w:val="21"/>
        </w:rPr>
        <w:t>10</w:t>
      </w:r>
      <w:r w:rsidRPr="00684349">
        <w:rPr>
          <w:rFonts w:ascii="Times New Roman" w:hAnsi="Times New Roman" w:cs="Times New Roman" w:hint="eastAsia"/>
          <w:kern w:val="0"/>
          <w:szCs w:val="21"/>
        </w:rPr>
        <w:t>b</w:t>
      </w:r>
      <w:r w:rsidRPr="00684349">
        <w:rPr>
          <w:rFonts w:ascii="Times New Roman" w:hAnsi="Times New Roman" w:cs="Times New Roman" w:hint="eastAsia"/>
          <w:kern w:val="0"/>
          <w:szCs w:val="21"/>
        </w:rPr>
        <w:t>所示，</w:t>
      </w:r>
      <w:r>
        <w:rPr>
          <w:rFonts w:ascii="Times New Roman" w:hAnsi="Times New Roman" w:cs="Times New Roman" w:hint="eastAsia"/>
          <w:kern w:val="0"/>
          <w:szCs w:val="21"/>
        </w:rPr>
        <w:t>工艺绿色化特征显著</w:t>
      </w:r>
      <w:r>
        <w:rPr>
          <w:rFonts w:ascii="Times New Roman" w:hAnsi="Times New Roman" w:cs="Times New Roman" w:hint="eastAsia"/>
          <w:color w:val="EE0000"/>
          <w:kern w:val="0"/>
          <w:szCs w:val="21"/>
          <w:vertAlign w:val="superscript"/>
        </w:rPr>
        <w:t>[5</w:t>
      </w:r>
      <w:r w:rsidR="00F74BBF">
        <w:rPr>
          <w:rFonts w:ascii="Times New Roman" w:hAnsi="Times New Roman" w:cs="Times New Roman" w:hint="eastAsia"/>
          <w:color w:val="EE0000"/>
          <w:kern w:val="0"/>
          <w:szCs w:val="21"/>
          <w:vertAlign w:val="superscript"/>
        </w:rPr>
        <w:t>6</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。此外，机械分离法（如高压射流研磨</w:t>
      </w:r>
      <w:r>
        <w:rPr>
          <w:rFonts w:ascii="Times New Roman" w:hAnsi="Times New Roman" w:cs="Times New Roman" w:hint="eastAsia"/>
          <w:color w:val="EE0000"/>
          <w:kern w:val="0"/>
          <w:szCs w:val="21"/>
          <w:vertAlign w:val="superscript"/>
        </w:rPr>
        <w:t>[5</w:t>
      </w:r>
      <w:r w:rsidR="00F74BBF">
        <w:rPr>
          <w:rFonts w:ascii="Times New Roman" w:hAnsi="Times New Roman" w:cs="Times New Roman" w:hint="eastAsia"/>
          <w:color w:val="EE0000"/>
          <w:kern w:val="0"/>
          <w:szCs w:val="21"/>
          <w:vertAlign w:val="superscript"/>
        </w:rPr>
        <w:t>7</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）结合热解技术可提升硅回收率至</w:t>
      </w:r>
      <w:r>
        <w:rPr>
          <w:rFonts w:ascii="Times New Roman" w:hAnsi="Times New Roman" w:cs="Times New Roman" w:hint="eastAsia"/>
          <w:kern w:val="0"/>
          <w:szCs w:val="21"/>
        </w:rPr>
        <w:t>95%</w:t>
      </w:r>
      <w:r>
        <w:rPr>
          <w:rFonts w:ascii="Times New Roman" w:hAnsi="Times New Roman" w:cs="Times New Roman" w:hint="eastAsia"/>
          <w:kern w:val="0"/>
          <w:szCs w:val="21"/>
        </w:rPr>
        <w:t>以上，但需优化能耗与细粉分离问题。硅的再生利用也是技术突破重点。马德里理工大学</w:t>
      </w:r>
      <w:r>
        <w:rPr>
          <w:rFonts w:ascii="Times New Roman" w:hAnsi="Times New Roman" w:cs="Times New Roman" w:hint="eastAsia"/>
          <w:kern w:val="0"/>
          <w:szCs w:val="21"/>
        </w:rPr>
        <w:t>Ti</w:t>
      </w:r>
      <w:r>
        <w:rPr>
          <w:rFonts w:ascii="Times New Roman" w:hAnsi="Times New Roman" w:cs="Times New Roman"/>
          <w:kern w:val="0"/>
          <w:szCs w:val="21"/>
        </w:rPr>
        <w:t>erno</w:t>
      </w:r>
      <w:r>
        <w:rPr>
          <w:rFonts w:ascii="Times New Roman" w:hAnsi="Times New Roman" w:cs="Times New Roman" w:hint="eastAsia"/>
          <w:kern w:val="0"/>
          <w:szCs w:val="21"/>
        </w:rPr>
        <w:t>团队通过</w:t>
      </w:r>
      <w:r>
        <w:rPr>
          <w:rFonts w:ascii="Times New Roman" w:hAnsi="Times New Roman" w:cs="Times New Roman"/>
          <w:kern w:val="0"/>
          <w:szCs w:val="21"/>
        </w:rPr>
        <w:t>KOH-</w:t>
      </w:r>
      <w:r>
        <w:rPr>
          <w:rFonts w:ascii="Times New Roman" w:hAnsi="Times New Roman" w:cs="Times New Roman" w:hint="eastAsia"/>
          <w:kern w:val="0"/>
          <w:szCs w:val="21"/>
        </w:rPr>
        <w:t>乙醇</w:t>
      </w:r>
      <w:r>
        <w:rPr>
          <w:rFonts w:ascii="Times New Roman" w:hAnsi="Times New Roman" w:cs="Times New Roman"/>
          <w:kern w:val="0"/>
          <w:szCs w:val="21"/>
        </w:rPr>
        <w:t>-</w:t>
      </w:r>
      <w:r>
        <w:rPr>
          <w:rFonts w:ascii="Times New Roman" w:hAnsi="Times New Roman" w:cs="Times New Roman" w:hint="eastAsia"/>
          <w:kern w:val="0"/>
          <w:szCs w:val="21"/>
        </w:rPr>
        <w:t>水溶液处理（</w:t>
      </w:r>
      <w:r>
        <w:rPr>
          <w:rFonts w:ascii="Times New Roman" w:hAnsi="Times New Roman" w:cs="Times New Roman"/>
          <w:kern w:val="0"/>
          <w:szCs w:val="21"/>
        </w:rPr>
        <w:t>60-65℃</w:t>
      </w:r>
      <w:r>
        <w:rPr>
          <w:rFonts w:ascii="Times New Roman" w:hAnsi="Times New Roman" w:cs="Times New Roman" w:hint="eastAsia"/>
          <w:kern w:val="0"/>
          <w:szCs w:val="21"/>
        </w:rPr>
        <w:t>，</w:t>
      </w:r>
      <w:r>
        <w:rPr>
          <w:rFonts w:ascii="Times New Roman" w:hAnsi="Times New Roman" w:cs="Times New Roman"/>
          <w:kern w:val="0"/>
          <w:szCs w:val="21"/>
        </w:rPr>
        <w:t>60-105</w:t>
      </w:r>
      <w:r>
        <w:rPr>
          <w:rFonts w:ascii="Times New Roman" w:hAnsi="Times New Roman" w:cs="Times New Roman" w:hint="eastAsia"/>
          <w:kern w:val="0"/>
          <w:szCs w:val="21"/>
        </w:rPr>
        <w:t>分钟）可高效分离金属接触层（银、铝），硅基体载流子寿命保持</w:t>
      </w:r>
      <w:r>
        <w:rPr>
          <w:rFonts w:ascii="Times New Roman" w:hAnsi="Times New Roman" w:cs="Times New Roman"/>
          <w:kern w:val="0"/>
          <w:szCs w:val="21"/>
        </w:rPr>
        <w:lastRenderedPageBreak/>
        <w:t>100</w:t>
      </w:r>
      <w:r>
        <w:rPr>
          <w:rFonts w:ascii="Times New Roman" w:hAnsi="Times New Roman" w:cs="Times New Roman" w:hint="eastAsia"/>
          <w:kern w:val="0"/>
          <w:szCs w:val="21"/>
        </w:rPr>
        <w:t>微秒以上，满足新电池制造要求，效率超</w:t>
      </w:r>
      <w:r>
        <w:rPr>
          <w:rFonts w:ascii="Times New Roman" w:hAnsi="Times New Roman" w:cs="Times New Roman"/>
          <w:kern w:val="0"/>
          <w:szCs w:val="21"/>
        </w:rPr>
        <w:t>20%</w:t>
      </w:r>
      <w:r>
        <w:rPr>
          <w:rFonts w:ascii="Times New Roman" w:hAnsi="Times New Roman" w:cs="Times New Roman" w:hint="eastAsia"/>
          <w:kern w:val="0"/>
          <w:szCs w:val="21"/>
        </w:rPr>
        <w:t>。回收硅经</w:t>
      </w:r>
      <w:r>
        <w:rPr>
          <w:rFonts w:ascii="Times New Roman" w:hAnsi="Times New Roman" w:cs="Times New Roman"/>
          <w:kern w:val="0"/>
          <w:szCs w:val="21"/>
        </w:rPr>
        <w:t>Czochralski</w:t>
      </w:r>
      <w:r>
        <w:rPr>
          <w:rFonts w:ascii="Times New Roman" w:hAnsi="Times New Roman" w:cs="Times New Roman" w:hint="eastAsia"/>
          <w:kern w:val="0"/>
          <w:szCs w:val="21"/>
        </w:rPr>
        <w:t>再结晶后，电阻率（约</w:t>
      </w:r>
      <w:r>
        <w:rPr>
          <w:rFonts w:ascii="Times New Roman" w:hAnsi="Times New Roman" w:cs="Times New Roman"/>
          <w:kern w:val="0"/>
          <w:szCs w:val="21"/>
        </w:rPr>
        <w:t>1Ω·cm</w:t>
      </w:r>
      <w:r>
        <w:rPr>
          <w:rFonts w:ascii="Times New Roman" w:hAnsi="Times New Roman" w:cs="Times New Roman" w:hint="eastAsia"/>
          <w:kern w:val="0"/>
          <w:szCs w:val="21"/>
        </w:rPr>
        <w:t>）、氧含量（</w:t>
      </w:r>
      <w:r>
        <w:rPr>
          <w:rFonts w:ascii="Times New Roman" w:hAnsi="Times New Roman" w:cs="Times New Roman"/>
          <w:kern w:val="0"/>
          <w:szCs w:val="21"/>
        </w:rPr>
        <w:t>10</w:t>
      </w:r>
      <w:r>
        <w:rPr>
          <w:rFonts w:ascii="Times New Roman" w:hAnsi="Times New Roman" w:cs="Times New Roman"/>
          <w:kern w:val="0"/>
          <w:szCs w:val="21"/>
          <w:vertAlign w:val="superscript"/>
        </w:rPr>
        <w:t>18</w:t>
      </w:r>
      <w:r>
        <w:rPr>
          <w:rFonts w:ascii="Times New Roman" w:hAnsi="Times New Roman" w:cs="Times New Roman"/>
          <w:kern w:val="0"/>
          <w:szCs w:val="21"/>
        </w:rPr>
        <w:t xml:space="preserve"> cm</w:t>
      </w:r>
      <w:r>
        <w:rPr>
          <w:rFonts w:ascii="Times New Roman" w:hAnsi="Times New Roman" w:cs="Times New Roman"/>
          <w:kern w:val="0"/>
          <w:szCs w:val="21"/>
          <w:vertAlign w:val="superscript"/>
        </w:rPr>
        <w:t>-3</w:t>
      </w:r>
      <w:r>
        <w:rPr>
          <w:rFonts w:ascii="Times New Roman" w:hAnsi="Times New Roman" w:cs="Times New Roman" w:hint="eastAsia"/>
          <w:kern w:val="0"/>
          <w:szCs w:val="21"/>
        </w:rPr>
        <w:t>）及载流子寿命（</w:t>
      </w:r>
      <w:r>
        <w:rPr>
          <w:rFonts w:ascii="Times New Roman" w:hAnsi="Times New Roman" w:cs="Times New Roman"/>
          <w:kern w:val="0"/>
          <w:szCs w:val="21"/>
        </w:rPr>
        <w:t>&gt;100 μs</w:t>
      </w:r>
      <w:r>
        <w:rPr>
          <w:rFonts w:ascii="Times New Roman" w:hAnsi="Times New Roman" w:cs="Times New Roman" w:hint="eastAsia"/>
          <w:kern w:val="0"/>
          <w:szCs w:val="21"/>
        </w:rPr>
        <w:t>）均达到光伏级标准</w:t>
      </w:r>
      <w:r>
        <w:rPr>
          <w:rFonts w:ascii="Times New Roman" w:hAnsi="Times New Roman" w:cs="Times New Roman" w:hint="eastAsia"/>
          <w:color w:val="EE0000"/>
          <w:kern w:val="0"/>
          <w:szCs w:val="21"/>
          <w:vertAlign w:val="superscript"/>
        </w:rPr>
        <w:t>[5</w:t>
      </w:r>
      <w:r w:rsidR="00F74BBF">
        <w:rPr>
          <w:rFonts w:ascii="Times New Roman" w:hAnsi="Times New Roman" w:cs="Times New Roman" w:hint="eastAsia"/>
          <w:color w:val="EE0000"/>
          <w:kern w:val="0"/>
          <w:szCs w:val="21"/>
          <w:vertAlign w:val="superscript"/>
        </w:rPr>
        <w:t>8</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，验证了闭环循环可行性。废晶硅光伏电池回收技术的瓶颈集中于银</w:t>
      </w:r>
      <w:r>
        <w:rPr>
          <w:rFonts w:ascii="Times New Roman" w:hAnsi="Times New Roman" w:cs="Times New Roman" w:hint="eastAsia"/>
          <w:kern w:val="0"/>
          <w:szCs w:val="21"/>
        </w:rPr>
        <w:t>-</w:t>
      </w:r>
      <w:r>
        <w:rPr>
          <w:rFonts w:ascii="Times New Roman" w:hAnsi="Times New Roman" w:cs="Times New Roman" w:hint="eastAsia"/>
          <w:kern w:val="0"/>
          <w:szCs w:val="21"/>
        </w:rPr>
        <w:t>硅界面刻蚀选择性不足导致的银损失（传统酸浸法损失率</w:t>
      </w:r>
      <w:r>
        <w:rPr>
          <w:rFonts w:ascii="Times New Roman" w:hAnsi="Times New Roman" w:cs="Times New Roman" w:hint="eastAsia"/>
          <w:kern w:val="0"/>
          <w:szCs w:val="21"/>
        </w:rPr>
        <w:t>&gt;10%</w:t>
      </w:r>
      <w:r>
        <w:rPr>
          <w:rFonts w:ascii="Times New Roman" w:hAnsi="Times New Roman" w:cs="Times New Roman" w:hint="eastAsia"/>
          <w:kern w:val="0"/>
          <w:szCs w:val="21"/>
        </w:rPr>
        <w:t>），以及含氟背板处理产生的环境风险。未来方向包括开发低能耗解离技术和智能化分选系统，结合全生命周期碳足迹评估模型优化工艺经济性。通过政策引导建立区域性回收示范工程，可加速技术产业化进程，推动光伏产业向绿色闭环转型。</w:t>
      </w:r>
    </w:p>
    <w:p w14:paraId="44C17827" w14:textId="77777777" w:rsidR="00867723"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退役动力锂电池主要分为磷酸铁锂电池和三元镍钴锰酸锂电池</w:t>
      </w:r>
      <w:r>
        <w:rPr>
          <w:rFonts w:ascii="Times New Roman" w:hAnsi="Times New Roman" w:cs="Times New Roman"/>
          <w:kern w:val="0"/>
          <w:szCs w:val="21"/>
        </w:rPr>
        <w:t>。针对磷酸铁锂电池（</w:t>
      </w:r>
      <w:r>
        <w:rPr>
          <w:rFonts w:ascii="Times New Roman" w:hAnsi="Times New Roman" w:cs="Times New Roman"/>
          <w:kern w:val="0"/>
          <w:szCs w:val="21"/>
        </w:rPr>
        <w:t>LFP</w:t>
      </w:r>
      <w:r>
        <w:rPr>
          <w:rFonts w:ascii="Times New Roman" w:hAnsi="Times New Roman" w:cs="Times New Roman"/>
          <w:kern w:val="0"/>
          <w:szCs w:val="21"/>
        </w:rPr>
        <w:t>），其氧化回收机理主要通过引入氧化剂（如</w:t>
      </w:r>
      <w:r>
        <w:rPr>
          <w:rFonts w:ascii="Times New Roman" w:hAnsi="Times New Roman" w:cs="Times New Roman"/>
          <w:kern w:val="0"/>
          <w:szCs w:val="21"/>
        </w:rPr>
        <w:t>K</w:t>
      </w:r>
      <w:r>
        <w:rPr>
          <w:rFonts w:ascii="Times New Roman" w:hAnsi="Times New Roman" w:cs="Times New Roman"/>
          <w:kern w:val="0"/>
          <w:szCs w:val="21"/>
          <w:vertAlign w:val="subscript"/>
        </w:rPr>
        <w:t>2</w:t>
      </w:r>
      <w:r>
        <w:rPr>
          <w:rFonts w:ascii="Times New Roman" w:hAnsi="Times New Roman" w:cs="Times New Roman"/>
          <w:kern w:val="0"/>
          <w:szCs w:val="21"/>
        </w:rPr>
        <w:t>S</w:t>
      </w:r>
      <w:r>
        <w:rPr>
          <w:rFonts w:ascii="Times New Roman" w:hAnsi="Times New Roman" w:cs="Times New Roman"/>
          <w:kern w:val="0"/>
          <w:szCs w:val="21"/>
          <w:vertAlign w:val="subscript"/>
        </w:rPr>
        <w:t>2</w:t>
      </w:r>
      <w:r>
        <w:rPr>
          <w:rFonts w:ascii="Times New Roman" w:hAnsi="Times New Roman" w:cs="Times New Roman"/>
          <w:kern w:val="0"/>
          <w:szCs w:val="21"/>
        </w:rPr>
        <w:t>O</w:t>
      </w:r>
      <w:r>
        <w:rPr>
          <w:rFonts w:ascii="Times New Roman" w:hAnsi="Times New Roman" w:cs="Times New Roman"/>
          <w:kern w:val="0"/>
          <w:szCs w:val="21"/>
          <w:vertAlign w:val="subscript"/>
        </w:rPr>
        <w:t>8</w:t>
      </w:r>
      <w:r>
        <w:rPr>
          <w:rFonts w:ascii="Times New Roman" w:hAnsi="Times New Roman" w:cs="Times New Roman"/>
          <w:kern w:val="0"/>
          <w:szCs w:val="21"/>
        </w:rPr>
        <w:t>）诱导</w:t>
      </w:r>
      <w:r>
        <w:rPr>
          <w:rFonts w:ascii="Times New Roman" w:hAnsi="Times New Roman" w:cs="Times New Roman"/>
          <w:kern w:val="0"/>
          <w:szCs w:val="21"/>
        </w:rPr>
        <w:t>LiFePO</w:t>
      </w:r>
      <w:r>
        <w:rPr>
          <w:rFonts w:ascii="Times New Roman" w:hAnsi="Times New Roman" w:cs="Times New Roman"/>
          <w:kern w:val="0"/>
          <w:szCs w:val="21"/>
          <w:vertAlign w:val="subscript"/>
        </w:rPr>
        <w:t>3</w:t>
      </w:r>
      <w:r>
        <w:rPr>
          <w:rFonts w:ascii="Times New Roman" w:hAnsi="Times New Roman" w:cs="Times New Roman"/>
          <w:kern w:val="0"/>
          <w:szCs w:val="21"/>
        </w:rPr>
        <w:t>晶格</w:t>
      </w:r>
      <w:r>
        <w:rPr>
          <w:rFonts w:ascii="Times New Roman" w:hAnsi="Times New Roman" w:cs="Times New Roman" w:hint="eastAsia"/>
          <w:kern w:val="0"/>
          <w:szCs w:val="21"/>
        </w:rPr>
        <w:t>中的</w:t>
      </w:r>
      <w:r>
        <w:rPr>
          <w:rFonts w:ascii="Times New Roman" w:hAnsi="Times New Roman" w:cs="Times New Roman"/>
          <w:kern w:val="0"/>
          <w:szCs w:val="21"/>
        </w:rPr>
        <w:t>Fe(Ⅱ)</w:t>
      </w:r>
      <w:r>
        <w:rPr>
          <w:rFonts w:ascii="Times New Roman" w:hAnsi="Times New Roman" w:cs="Times New Roman"/>
          <w:kern w:val="0"/>
          <w:szCs w:val="21"/>
        </w:rPr>
        <w:t>被氧化为</w:t>
      </w:r>
      <w:r>
        <w:rPr>
          <w:rFonts w:ascii="Times New Roman" w:hAnsi="Times New Roman" w:cs="Times New Roman"/>
          <w:kern w:val="0"/>
          <w:szCs w:val="21"/>
        </w:rPr>
        <w:t>Fe(Ⅲ)</w:t>
      </w:r>
      <w:r>
        <w:rPr>
          <w:rFonts w:ascii="Times New Roman" w:hAnsi="Times New Roman" w:cs="Times New Roman" w:hint="eastAsia"/>
          <w:kern w:val="0"/>
          <w:szCs w:val="21"/>
        </w:rPr>
        <w:t>，形成</w:t>
      </w:r>
      <w:r>
        <w:rPr>
          <w:rFonts w:ascii="Times New Roman" w:hAnsi="Times New Roman" w:cs="Times New Roman" w:hint="eastAsia"/>
          <w:kern w:val="0"/>
          <w:szCs w:val="21"/>
        </w:rPr>
        <w:t>Fe</w:t>
      </w:r>
      <w:r>
        <w:rPr>
          <w:rFonts w:ascii="Times New Roman" w:hAnsi="Times New Roman" w:cs="Times New Roman"/>
          <w:kern w:val="0"/>
          <w:szCs w:val="21"/>
        </w:rPr>
        <w:t>PO</w:t>
      </w:r>
      <w:r>
        <w:rPr>
          <w:rFonts w:ascii="Times New Roman" w:hAnsi="Times New Roman" w:cs="Times New Roman"/>
          <w:kern w:val="0"/>
          <w:szCs w:val="21"/>
          <w:vertAlign w:val="subscript"/>
        </w:rPr>
        <w:t>4</w:t>
      </w:r>
      <w:r>
        <w:rPr>
          <w:rFonts w:ascii="Times New Roman" w:hAnsi="Times New Roman" w:cs="Times New Roman" w:hint="eastAsia"/>
          <w:kern w:val="0"/>
          <w:szCs w:val="21"/>
        </w:rPr>
        <w:t>沉淀和含锂溶液，从而</w:t>
      </w:r>
      <w:r>
        <w:rPr>
          <w:rFonts w:ascii="Times New Roman" w:hAnsi="Times New Roman" w:cs="Times New Roman"/>
          <w:kern w:val="0"/>
          <w:szCs w:val="21"/>
        </w:rPr>
        <w:t>实现锂与铁的选择性分离。中科院</w:t>
      </w:r>
      <w:r>
        <w:rPr>
          <w:rFonts w:ascii="Times New Roman" w:hAnsi="Times New Roman" w:cs="Times New Roman" w:hint="eastAsia"/>
          <w:kern w:val="0"/>
          <w:szCs w:val="21"/>
        </w:rPr>
        <w:t>王中林院士</w:t>
      </w:r>
      <w:r>
        <w:rPr>
          <w:rFonts w:ascii="Times New Roman" w:hAnsi="Times New Roman" w:cs="Times New Roman"/>
          <w:kern w:val="0"/>
          <w:szCs w:val="21"/>
        </w:rPr>
        <w:t>团队开发的电化学氧化法利用</w:t>
      </w:r>
      <w:r>
        <w:rPr>
          <w:rFonts w:ascii="Times New Roman" w:hAnsi="Times New Roman" w:cs="Times New Roman"/>
          <w:kern w:val="0"/>
          <w:szCs w:val="21"/>
        </w:rPr>
        <w:t>Cl⁻/ClO⁻</w:t>
      </w:r>
      <w:r>
        <w:rPr>
          <w:rFonts w:ascii="Times New Roman" w:hAnsi="Times New Roman" w:cs="Times New Roman"/>
          <w:kern w:val="0"/>
          <w:szCs w:val="21"/>
        </w:rPr>
        <w:t>氧化还原对简化湿法流程，结合摩擦纳米发电机实现自驱动回收系统，所得碳酸锂和磷酸铁纯度均超</w:t>
      </w:r>
      <w:r>
        <w:rPr>
          <w:rFonts w:ascii="Times New Roman" w:hAnsi="Times New Roman" w:cs="Times New Roman"/>
          <w:kern w:val="0"/>
          <w:szCs w:val="21"/>
        </w:rPr>
        <w:t>99.7%</w:t>
      </w:r>
      <w:r>
        <w:rPr>
          <w:rFonts w:ascii="Times New Roman" w:hAnsi="Times New Roman" w:cs="Times New Roman"/>
          <w:kern w:val="0"/>
          <w:szCs w:val="21"/>
        </w:rPr>
        <w:t>，可直接作为前驱体重构正极材料，兼具高效与环保优势</w:t>
      </w:r>
      <w:r>
        <w:rPr>
          <w:rFonts w:ascii="Times New Roman" w:hAnsi="Times New Roman" w:cs="Times New Roman" w:hint="eastAsia"/>
          <w:color w:val="EE0000"/>
          <w:kern w:val="0"/>
          <w:szCs w:val="21"/>
          <w:vertAlign w:val="superscript"/>
        </w:rPr>
        <w:t>[5</w:t>
      </w:r>
      <w:r w:rsidR="004459B1">
        <w:rPr>
          <w:rFonts w:ascii="Times New Roman" w:hAnsi="Times New Roman" w:cs="Times New Roman" w:hint="eastAsia"/>
          <w:color w:val="EE0000"/>
          <w:kern w:val="0"/>
          <w:szCs w:val="21"/>
          <w:vertAlign w:val="superscript"/>
        </w:rPr>
        <w:t>9</w:t>
      </w:r>
      <w:r>
        <w:rPr>
          <w:rFonts w:ascii="Times New Roman" w:hAnsi="Times New Roman" w:cs="Times New Roman" w:hint="eastAsia"/>
          <w:color w:val="EE0000"/>
          <w:kern w:val="0"/>
          <w:szCs w:val="21"/>
          <w:vertAlign w:val="superscript"/>
        </w:rPr>
        <w:t>]</w:t>
      </w:r>
      <w:r>
        <w:rPr>
          <w:rFonts w:ascii="Times New Roman" w:hAnsi="Times New Roman" w:cs="Times New Roman"/>
          <w:kern w:val="0"/>
          <w:szCs w:val="21"/>
        </w:rPr>
        <w:t>。</w:t>
      </w:r>
      <w:r>
        <w:rPr>
          <w:rFonts w:ascii="Times New Roman" w:hAnsi="Times New Roman" w:cs="Times New Roman" w:hint="eastAsia"/>
          <w:kern w:val="0"/>
          <w:szCs w:val="21"/>
        </w:rPr>
        <w:t>针对</w:t>
      </w:r>
      <w:r>
        <w:rPr>
          <w:rFonts w:ascii="Times New Roman" w:hAnsi="Times New Roman" w:cs="Times New Roman"/>
          <w:kern w:val="0"/>
          <w:szCs w:val="21"/>
        </w:rPr>
        <w:t>三元镍钴锰酸锂电池（</w:t>
      </w:r>
      <w:r>
        <w:rPr>
          <w:rFonts w:ascii="Times New Roman" w:hAnsi="Times New Roman" w:cs="Times New Roman"/>
          <w:kern w:val="0"/>
          <w:szCs w:val="21"/>
        </w:rPr>
        <w:t>NCM</w:t>
      </w:r>
      <w:r>
        <w:rPr>
          <w:rFonts w:ascii="Times New Roman" w:hAnsi="Times New Roman" w:cs="Times New Roman"/>
          <w:kern w:val="0"/>
          <w:szCs w:val="21"/>
        </w:rPr>
        <w:t>），其还原回收</w:t>
      </w:r>
      <w:r>
        <w:rPr>
          <w:rFonts w:ascii="Times New Roman" w:hAnsi="Times New Roman" w:cs="Times New Roman" w:hint="eastAsia"/>
          <w:kern w:val="0"/>
          <w:szCs w:val="21"/>
        </w:rPr>
        <w:t>机理主要通过引入还原剂（如</w:t>
      </w:r>
      <w:r>
        <w:rPr>
          <w:rFonts w:ascii="Times New Roman" w:hAnsi="Times New Roman" w:cs="Times New Roman" w:hint="eastAsia"/>
          <w:kern w:val="0"/>
          <w:szCs w:val="21"/>
        </w:rPr>
        <w:t>H</w:t>
      </w:r>
      <w:r>
        <w:rPr>
          <w:rFonts w:ascii="Times New Roman" w:hAnsi="Times New Roman" w:cs="Times New Roman"/>
          <w:kern w:val="0"/>
          <w:szCs w:val="21"/>
          <w:vertAlign w:val="subscript"/>
        </w:rPr>
        <w:t>2</w:t>
      </w:r>
      <w:r>
        <w:rPr>
          <w:rFonts w:ascii="Times New Roman" w:hAnsi="Times New Roman" w:cs="Times New Roman"/>
          <w:kern w:val="0"/>
          <w:szCs w:val="21"/>
        </w:rPr>
        <w:t>O</w:t>
      </w:r>
      <w:r>
        <w:rPr>
          <w:rFonts w:ascii="Times New Roman" w:hAnsi="Times New Roman" w:cs="Times New Roman"/>
          <w:kern w:val="0"/>
          <w:szCs w:val="21"/>
          <w:vertAlign w:val="subscript"/>
        </w:rPr>
        <w:t>2</w:t>
      </w:r>
      <w:r>
        <w:rPr>
          <w:rFonts w:ascii="Times New Roman" w:hAnsi="Times New Roman" w:cs="Times New Roman" w:hint="eastAsia"/>
          <w:kern w:val="0"/>
          <w:szCs w:val="21"/>
        </w:rPr>
        <w:t>）高价态过渡金属还原为低价态可溶性离子，从而实现关键金属的回收利用。目前，</w:t>
      </w:r>
      <w:r>
        <w:rPr>
          <w:rFonts w:ascii="Times New Roman" w:hAnsi="Times New Roman" w:cs="Times New Roman"/>
          <w:kern w:val="0"/>
          <w:szCs w:val="21"/>
        </w:rPr>
        <w:t>技术聚焦于免外加还原剂的绿色浸出策略。渥太华大学提出硫酸与柠檬酸协同浸出体系，在优化条件（</w:t>
      </w:r>
      <w:r>
        <w:rPr>
          <w:rFonts w:ascii="Times New Roman" w:hAnsi="Times New Roman" w:cs="Times New Roman"/>
          <w:kern w:val="0"/>
          <w:szCs w:val="21"/>
        </w:rPr>
        <w:t>1.25 M SA+0.55 M</w:t>
      </w:r>
      <w:r>
        <w:rPr>
          <w:rFonts w:ascii="Times New Roman" w:hAnsi="Times New Roman" w:cs="Times New Roman"/>
          <w:kern w:val="0"/>
          <w:szCs w:val="21"/>
        </w:rPr>
        <w:t>柠檬酸，</w:t>
      </w:r>
      <w:r>
        <w:rPr>
          <w:rFonts w:ascii="Times New Roman" w:hAnsi="Times New Roman" w:cs="Times New Roman"/>
          <w:kern w:val="0"/>
          <w:szCs w:val="21"/>
        </w:rPr>
        <w:t>95℃</w:t>
      </w:r>
      <w:r>
        <w:rPr>
          <w:rFonts w:ascii="Times New Roman" w:hAnsi="Times New Roman" w:cs="Times New Roman"/>
          <w:kern w:val="0"/>
          <w:szCs w:val="21"/>
        </w:rPr>
        <w:t>）下无需</w:t>
      </w:r>
      <w:r>
        <w:rPr>
          <w:rFonts w:ascii="Times New Roman" w:hAnsi="Times New Roman" w:cs="Times New Roman" w:hint="eastAsia"/>
          <w:kern w:val="0"/>
          <w:szCs w:val="21"/>
        </w:rPr>
        <w:t>H</w:t>
      </w:r>
      <w:r>
        <w:rPr>
          <w:rFonts w:ascii="Times New Roman" w:hAnsi="Times New Roman" w:cs="Times New Roman"/>
          <w:kern w:val="0"/>
          <w:szCs w:val="21"/>
          <w:vertAlign w:val="subscript"/>
        </w:rPr>
        <w:t>2</w:t>
      </w:r>
      <w:r>
        <w:rPr>
          <w:rFonts w:ascii="Times New Roman" w:hAnsi="Times New Roman" w:cs="Times New Roman"/>
          <w:kern w:val="0"/>
          <w:szCs w:val="21"/>
        </w:rPr>
        <w:t>O</w:t>
      </w:r>
      <w:r>
        <w:rPr>
          <w:rFonts w:ascii="Times New Roman" w:hAnsi="Times New Roman" w:cs="Times New Roman"/>
          <w:kern w:val="0"/>
          <w:szCs w:val="21"/>
          <w:vertAlign w:val="subscript"/>
        </w:rPr>
        <w:t>2</w:t>
      </w:r>
      <w:r>
        <w:rPr>
          <w:rFonts w:ascii="Times New Roman" w:hAnsi="Times New Roman" w:cs="Times New Roman"/>
          <w:kern w:val="0"/>
          <w:szCs w:val="21"/>
        </w:rPr>
        <w:t>即可实现</w:t>
      </w:r>
      <w:r>
        <w:rPr>
          <w:rFonts w:ascii="Times New Roman" w:hAnsi="Times New Roman" w:cs="Times New Roman"/>
          <w:kern w:val="0"/>
          <w:szCs w:val="21"/>
        </w:rPr>
        <w:t>Li</w:t>
      </w:r>
      <w:r>
        <w:rPr>
          <w:rFonts w:ascii="Times New Roman" w:hAnsi="Times New Roman" w:cs="Times New Roman"/>
          <w:kern w:val="0"/>
          <w:szCs w:val="21"/>
        </w:rPr>
        <w:t>、</w:t>
      </w:r>
      <w:r>
        <w:rPr>
          <w:rFonts w:ascii="Times New Roman" w:hAnsi="Times New Roman" w:cs="Times New Roman"/>
          <w:kern w:val="0"/>
          <w:szCs w:val="21"/>
        </w:rPr>
        <w:t>Co</w:t>
      </w:r>
      <w:r>
        <w:rPr>
          <w:rFonts w:ascii="Times New Roman" w:hAnsi="Times New Roman" w:cs="Times New Roman"/>
          <w:kern w:val="0"/>
          <w:szCs w:val="21"/>
        </w:rPr>
        <w:t>、</w:t>
      </w:r>
      <w:r>
        <w:rPr>
          <w:rFonts w:ascii="Times New Roman" w:hAnsi="Times New Roman" w:cs="Times New Roman"/>
          <w:kern w:val="0"/>
          <w:szCs w:val="21"/>
        </w:rPr>
        <w:t>Ni</w:t>
      </w:r>
      <w:r>
        <w:rPr>
          <w:rFonts w:ascii="Times New Roman" w:hAnsi="Times New Roman" w:cs="Times New Roman"/>
          <w:kern w:val="0"/>
          <w:szCs w:val="21"/>
        </w:rPr>
        <w:t>、</w:t>
      </w:r>
      <w:r>
        <w:rPr>
          <w:rFonts w:ascii="Times New Roman" w:hAnsi="Times New Roman" w:cs="Times New Roman"/>
          <w:kern w:val="0"/>
          <w:szCs w:val="21"/>
        </w:rPr>
        <w:t>Mn</w:t>
      </w:r>
      <w:r>
        <w:rPr>
          <w:rFonts w:ascii="Times New Roman" w:hAnsi="Times New Roman" w:cs="Times New Roman"/>
          <w:kern w:val="0"/>
          <w:szCs w:val="21"/>
        </w:rPr>
        <w:t>的浸出率分别达</w:t>
      </w:r>
      <w:r>
        <w:rPr>
          <w:rFonts w:ascii="Times New Roman" w:hAnsi="Times New Roman" w:cs="Times New Roman"/>
          <w:kern w:val="0"/>
          <w:szCs w:val="21"/>
        </w:rPr>
        <w:t>99%</w:t>
      </w:r>
      <w:r>
        <w:rPr>
          <w:rFonts w:ascii="Times New Roman" w:hAnsi="Times New Roman" w:cs="Times New Roman"/>
          <w:kern w:val="0"/>
          <w:szCs w:val="21"/>
        </w:rPr>
        <w:t>、</w:t>
      </w:r>
      <w:r>
        <w:rPr>
          <w:rFonts w:ascii="Times New Roman" w:hAnsi="Times New Roman" w:cs="Times New Roman"/>
          <w:kern w:val="0"/>
          <w:szCs w:val="21"/>
        </w:rPr>
        <w:t>98%</w:t>
      </w:r>
      <w:r>
        <w:rPr>
          <w:rFonts w:ascii="Times New Roman" w:hAnsi="Times New Roman" w:cs="Times New Roman"/>
          <w:kern w:val="0"/>
          <w:szCs w:val="21"/>
        </w:rPr>
        <w:t>、</w:t>
      </w:r>
      <w:r>
        <w:rPr>
          <w:rFonts w:ascii="Times New Roman" w:hAnsi="Times New Roman" w:cs="Times New Roman"/>
          <w:kern w:val="0"/>
          <w:szCs w:val="21"/>
        </w:rPr>
        <w:t>90%</w:t>
      </w:r>
      <w:r>
        <w:rPr>
          <w:rFonts w:ascii="Times New Roman" w:hAnsi="Times New Roman" w:cs="Times New Roman"/>
          <w:kern w:val="0"/>
          <w:szCs w:val="21"/>
        </w:rPr>
        <w:t>、</w:t>
      </w:r>
      <w:r>
        <w:rPr>
          <w:rFonts w:ascii="Times New Roman" w:hAnsi="Times New Roman" w:cs="Times New Roman"/>
          <w:kern w:val="0"/>
          <w:szCs w:val="21"/>
        </w:rPr>
        <w:t>92%</w:t>
      </w:r>
      <w:r>
        <w:rPr>
          <w:rFonts w:ascii="Times New Roman" w:hAnsi="Times New Roman" w:cs="Times New Roman" w:hint="eastAsia"/>
          <w:color w:val="EE0000"/>
          <w:kern w:val="0"/>
          <w:szCs w:val="21"/>
          <w:vertAlign w:val="superscript"/>
        </w:rPr>
        <w:t>[</w:t>
      </w:r>
      <w:r w:rsidR="004459B1">
        <w:rPr>
          <w:rFonts w:ascii="Times New Roman" w:hAnsi="Times New Roman" w:cs="Times New Roman" w:hint="eastAsia"/>
          <w:color w:val="EE0000"/>
          <w:kern w:val="0"/>
          <w:szCs w:val="21"/>
          <w:vertAlign w:val="superscript"/>
        </w:rPr>
        <w:t>60</w:t>
      </w:r>
      <w:r>
        <w:rPr>
          <w:rFonts w:ascii="Times New Roman" w:hAnsi="Times New Roman" w:cs="Times New Roman" w:hint="eastAsia"/>
          <w:color w:val="EE0000"/>
          <w:kern w:val="0"/>
          <w:szCs w:val="21"/>
          <w:vertAlign w:val="superscript"/>
        </w:rPr>
        <w:t>]</w:t>
      </w:r>
      <w:r>
        <w:rPr>
          <w:rFonts w:ascii="Times New Roman" w:hAnsi="Times New Roman" w:cs="Times New Roman"/>
          <w:kern w:val="0"/>
          <w:szCs w:val="21"/>
        </w:rPr>
        <w:t>；清华大学李金惠团队则利用正极材料与铝箔载流体构建原电池系统（电势差</w:t>
      </w:r>
      <w:r>
        <w:rPr>
          <w:rFonts w:ascii="Times New Roman" w:hAnsi="Times New Roman" w:cs="Times New Roman"/>
          <w:kern w:val="0"/>
          <w:szCs w:val="21"/>
        </w:rPr>
        <w:t>3.84 V</w:t>
      </w:r>
      <w:r>
        <w:rPr>
          <w:rFonts w:ascii="Times New Roman" w:hAnsi="Times New Roman" w:cs="Times New Roman"/>
          <w:kern w:val="0"/>
          <w:szCs w:val="21"/>
        </w:rPr>
        <w:t>），通过电子定向迁移实现高价金属的原位还原，锂回收率超</w:t>
      </w:r>
      <w:r>
        <w:rPr>
          <w:rFonts w:ascii="Times New Roman" w:hAnsi="Times New Roman" w:cs="Times New Roman"/>
          <w:kern w:val="0"/>
          <w:szCs w:val="21"/>
        </w:rPr>
        <w:t>99%</w:t>
      </w:r>
      <w:r>
        <w:rPr>
          <w:rFonts w:ascii="Times New Roman" w:hAnsi="Times New Roman" w:cs="Times New Roman"/>
          <w:kern w:val="0"/>
          <w:szCs w:val="21"/>
        </w:rPr>
        <w:t>，且能耗显著降低</w:t>
      </w:r>
      <w:r>
        <w:rPr>
          <w:rFonts w:ascii="Times New Roman" w:hAnsi="Times New Roman" w:cs="Times New Roman" w:hint="eastAsia"/>
          <w:color w:val="EE0000"/>
          <w:kern w:val="0"/>
          <w:szCs w:val="21"/>
          <w:vertAlign w:val="superscript"/>
        </w:rPr>
        <w:t>[6</w:t>
      </w:r>
      <w:r w:rsidR="004459B1">
        <w:rPr>
          <w:rFonts w:ascii="Times New Roman" w:hAnsi="Times New Roman" w:cs="Times New Roman" w:hint="eastAsia"/>
          <w:color w:val="EE0000"/>
          <w:kern w:val="0"/>
          <w:szCs w:val="21"/>
          <w:vertAlign w:val="superscript"/>
        </w:rPr>
        <w:t>1</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w:t>
      </w:r>
      <w:r w:rsidRPr="00684349">
        <w:rPr>
          <w:rFonts w:ascii="Times New Roman" w:hAnsi="Times New Roman" w:cs="Times New Roman" w:hint="eastAsia"/>
          <w:kern w:val="0"/>
          <w:szCs w:val="21"/>
        </w:rPr>
        <w:t>如图</w:t>
      </w:r>
      <w:r w:rsidR="00684349" w:rsidRPr="00684349">
        <w:rPr>
          <w:rFonts w:ascii="Times New Roman" w:hAnsi="Times New Roman" w:cs="Times New Roman" w:hint="eastAsia"/>
          <w:kern w:val="0"/>
          <w:szCs w:val="21"/>
        </w:rPr>
        <w:t>10</w:t>
      </w:r>
      <w:r w:rsidRPr="00684349">
        <w:rPr>
          <w:rFonts w:ascii="Times New Roman" w:hAnsi="Times New Roman" w:cs="Times New Roman" w:hint="eastAsia"/>
          <w:kern w:val="0"/>
          <w:szCs w:val="21"/>
        </w:rPr>
        <w:t>c</w:t>
      </w:r>
      <w:r w:rsidRPr="00684349">
        <w:rPr>
          <w:rFonts w:ascii="Times New Roman" w:hAnsi="Times New Roman" w:cs="Times New Roman" w:hint="eastAsia"/>
          <w:kern w:val="0"/>
          <w:szCs w:val="21"/>
        </w:rPr>
        <w:t>所示。</w:t>
      </w:r>
      <w:r>
        <w:rPr>
          <w:rFonts w:ascii="Times New Roman" w:hAnsi="Times New Roman" w:cs="Times New Roman" w:hint="eastAsia"/>
          <w:kern w:val="0"/>
          <w:szCs w:val="21"/>
        </w:rPr>
        <w:t>废锂电池升级再生利用是一个新兴的热点研究方向，清华大学深圳研究院的周光敏研究团队提出将废钴酸锂材料与</w:t>
      </w:r>
      <w:r>
        <w:rPr>
          <w:rFonts w:ascii="Times New Roman" w:hAnsi="Times New Roman" w:cs="Times New Roman"/>
          <w:kern w:val="0"/>
          <w:szCs w:val="21"/>
        </w:rPr>
        <w:t>Al</w:t>
      </w:r>
      <w:r>
        <w:rPr>
          <w:rFonts w:ascii="Times New Roman" w:hAnsi="Times New Roman" w:cs="Times New Roman"/>
          <w:kern w:val="0"/>
          <w:szCs w:val="21"/>
          <w:vertAlign w:val="subscript"/>
        </w:rPr>
        <w:t>2</w:t>
      </w:r>
      <w:r>
        <w:rPr>
          <w:rFonts w:ascii="Times New Roman" w:hAnsi="Times New Roman" w:cs="Times New Roman"/>
          <w:kern w:val="0"/>
          <w:szCs w:val="21"/>
        </w:rPr>
        <w:t>O</w:t>
      </w:r>
      <w:r>
        <w:rPr>
          <w:rFonts w:ascii="Times New Roman" w:hAnsi="Times New Roman" w:cs="Times New Roman"/>
          <w:kern w:val="0"/>
          <w:szCs w:val="21"/>
          <w:vertAlign w:val="subscript"/>
        </w:rPr>
        <w:t>3</w:t>
      </w:r>
      <w:r>
        <w:rPr>
          <w:rFonts w:ascii="Times New Roman" w:hAnsi="Times New Roman" w:cs="Times New Roman" w:hint="eastAsia"/>
          <w:kern w:val="0"/>
          <w:szCs w:val="21"/>
        </w:rPr>
        <w:t>、</w:t>
      </w:r>
      <w:r>
        <w:rPr>
          <w:rFonts w:ascii="Times New Roman" w:hAnsi="Times New Roman" w:cs="Times New Roman"/>
          <w:kern w:val="0"/>
          <w:szCs w:val="21"/>
        </w:rPr>
        <w:t>MgO</w:t>
      </w:r>
      <w:r>
        <w:rPr>
          <w:rFonts w:ascii="Times New Roman" w:hAnsi="Times New Roman" w:cs="Times New Roman" w:hint="eastAsia"/>
          <w:kern w:val="0"/>
          <w:szCs w:val="21"/>
        </w:rPr>
        <w:t>和</w:t>
      </w:r>
      <w:r>
        <w:rPr>
          <w:rFonts w:ascii="Times New Roman" w:hAnsi="Times New Roman" w:cs="Times New Roman"/>
          <w:kern w:val="0"/>
          <w:szCs w:val="21"/>
        </w:rPr>
        <w:t>Li</w:t>
      </w:r>
      <w:r>
        <w:rPr>
          <w:rFonts w:ascii="Times New Roman" w:hAnsi="Times New Roman" w:cs="Times New Roman"/>
          <w:kern w:val="0"/>
          <w:szCs w:val="21"/>
          <w:vertAlign w:val="subscript"/>
        </w:rPr>
        <w:t>2</w:t>
      </w:r>
      <w:r>
        <w:rPr>
          <w:rFonts w:ascii="Times New Roman" w:hAnsi="Times New Roman" w:cs="Times New Roman"/>
          <w:kern w:val="0"/>
          <w:szCs w:val="21"/>
        </w:rPr>
        <w:t>CO</w:t>
      </w:r>
      <w:r>
        <w:rPr>
          <w:rFonts w:ascii="Times New Roman" w:hAnsi="Times New Roman" w:cs="Times New Roman"/>
          <w:kern w:val="0"/>
          <w:szCs w:val="21"/>
          <w:vertAlign w:val="subscript"/>
        </w:rPr>
        <w:t>3</w:t>
      </w:r>
      <w:r>
        <w:rPr>
          <w:rFonts w:ascii="Times New Roman" w:hAnsi="Times New Roman" w:cs="Times New Roman" w:hint="eastAsia"/>
          <w:kern w:val="0"/>
          <w:szCs w:val="21"/>
        </w:rPr>
        <w:t>混合烧结转化为新一代</w:t>
      </w:r>
      <w:r>
        <w:rPr>
          <w:rFonts w:ascii="Times New Roman" w:hAnsi="Times New Roman" w:cs="Times New Roman" w:hint="eastAsia"/>
          <w:kern w:val="0"/>
          <w:szCs w:val="21"/>
        </w:rPr>
        <w:t>4</w:t>
      </w:r>
      <w:r>
        <w:rPr>
          <w:rFonts w:ascii="Times New Roman" w:hAnsi="Times New Roman" w:cs="Times New Roman"/>
          <w:kern w:val="0"/>
          <w:szCs w:val="21"/>
        </w:rPr>
        <w:t>.6V</w:t>
      </w:r>
      <w:r>
        <w:rPr>
          <w:rFonts w:ascii="Times New Roman" w:hAnsi="Times New Roman" w:cs="Times New Roman" w:hint="eastAsia"/>
          <w:kern w:val="0"/>
          <w:szCs w:val="21"/>
        </w:rPr>
        <w:t>高电压电池材料，无需传统火法或湿法工艺的复杂步骤，避免了</w:t>
      </w:r>
      <w:r>
        <w:rPr>
          <w:rFonts w:ascii="Times New Roman" w:hAnsi="Times New Roman" w:cs="Times New Roman" w:hint="eastAsia"/>
          <w:kern w:val="0"/>
          <w:szCs w:val="21"/>
        </w:rPr>
        <w:t>高能耗和有害化学试剂的使用，显著简化了回收流程并降低环境负担</w:t>
      </w:r>
      <w:r>
        <w:rPr>
          <w:rFonts w:ascii="Times New Roman" w:hAnsi="Times New Roman" w:cs="Times New Roman" w:hint="eastAsia"/>
          <w:color w:val="EE0000"/>
          <w:kern w:val="0"/>
          <w:szCs w:val="21"/>
          <w:vertAlign w:val="superscript"/>
        </w:rPr>
        <w:t>[6</w:t>
      </w:r>
      <w:r w:rsidR="004459B1">
        <w:rPr>
          <w:rFonts w:ascii="Times New Roman" w:hAnsi="Times New Roman" w:cs="Times New Roman" w:hint="eastAsia"/>
          <w:color w:val="EE0000"/>
          <w:kern w:val="0"/>
          <w:szCs w:val="21"/>
          <w:vertAlign w:val="superscript"/>
        </w:rPr>
        <w:t>2</w:t>
      </w:r>
      <w:r>
        <w:rPr>
          <w:rFonts w:ascii="Times New Roman" w:hAnsi="Times New Roman" w:cs="Times New Roman" w:hint="eastAsia"/>
          <w:color w:val="EE0000"/>
          <w:kern w:val="0"/>
          <w:szCs w:val="21"/>
          <w:vertAlign w:val="superscript"/>
        </w:rPr>
        <w:t>]</w:t>
      </w:r>
      <w:r>
        <w:rPr>
          <w:rFonts w:ascii="Times New Roman" w:hAnsi="Times New Roman" w:cs="Times New Roman" w:hint="eastAsia"/>
          <w:kern w:val="0"/>
          <w:szCs w:val="21"/>
        </w:rPr>
        <w:t>。</w:t>
      </w:r>
    </w:p>
    <w:p w14:paraId="3C62116A" w14:textId="77777777" w:rsidR="00691F6A" w:rsidRDefault="00F41280">
      <w:pPr>
        <w:widowControl/>
        <w:spacing w:line="240" w:lineRule="atLeast"/>
        <w:ind w:firstLine="420"/>
        <w:rPr>
          <w:rFonts w:ascii="Times New Roman" w:hAnsi="Times New Roman" w:cs="Times New Roman"/>
          <w:kern w:val="0"/>
          <w:szCs w:val="21"/>
        </w:rPr>
      </w:pPr>
      <w:r w:rsidRPr="00F41280">
        <w:rPr>
          <w:rFonts w:ascii="Times New Roman" w:hAnsi="Times New Roman" w:cs="Times New Roman" w:hint="eastAsia"/>
          <w:kern w:val="0"/>
          <w:szCs w:val="21"/>
        </w:rPr>
        <w:t>废锂电池回收技术虽取得显著进展，但仍面临多重技术瓶颈。传统拆解依赖人工或半自动化设备，耗时且存在安全隐患，尤其面对无模组化设计的电池（如灌胶封装）时，拆解难度陡增。此外，带电破碎分选技术尚未完全成熟，导致金属分离效率受限。湿法工艺虽对镍、钴、锰的回收率超</w:t>
      </w:r>
      <w:r w:rsidRPr="00F41280">
        <w:rPr>
          <w:rFonts w:ascii="Times New Roman" w:hAnsi="Times New Roman" w:cs="Times New Roman" w:hint="eastAsia"/>
          <w:kern w:val="0"/>
          <w:szCs w:val="21"/>
        </w:rPr>
        <w:t>98%</w:t>
      </w:r>
      <w:r w:rsidRPr="00F41280">
        <w:rPr>
          <w:rFonts w:ascii="Times New Roman" w:hAnsi="Times New Roman" w:cs="Times New Roman" w:hint="eastAsia"/>
          <w:kern w:val="0"/>
          <w:szCs w:val="21"/>
        </w:rPr>
        <w:t>，但需使用强酸或强碱，产生高盐废水，污染控制成本占回收总成本的</w:t>
      </w:r>
      <w:r w:rsidRPr="00F41280">
        <w:rPr>
          <w:rFonts w:ascii="Times New Roman" w:hAnsi="Times New Roman" w:cs="Times New Roman" w:hint="eastAsia"/>
          <w:kern w:val="0"/>
          <w:szCs w:val="21"/>
        </w:rPr>
        <w:t>25%</w:t>
      </w:r>
      <w:r w:rsidRPr="00F41280">
        <w:rPr>
          <w:rFonts w:ascii="Times New Roman" w:hAnsi="Times New Roman" w:cs="Times New Roman" w:hint="eastAsia"/>
          <w:kern w:val="0"/>
          <w:szCs w:val="21"/>
        </w:rPr>
        <w:t>以上；火法冶金能耗高且锂回收率仅</w:t>
      </w:r>
      <w:r w:rsidRPr="00F41280">
        <w:rPr>
          <w:rFonts w:ascii="Times New Roman" w:hAnsi="Times New Roman" w:cs="Times New Roman" w:hint="eastAsia"/>
          <w:kern w:val="0"/>
          <w:szCs w:val="21"/>
        </w:rPr>
        <w:t>70%-80%</w:t>
      </w:r>
      <w:r w:rsidRPr="00F41280">
        <w:rPr>
          <w:rFonts w:ascii="Times New Roman" w:hAnsi="Times New Roman" w:cs="Times New Roman" w:hint="eastAsia"/>
          <w:kern w:val="0"/>
          <w:szCs w:val="21"/>
        </w:rPr>
        <w:t>，部分企业难以平衡环保与经济性。正规企业因需满足环保与安全标准，成本显著高于“黑作坊”，导致</w:t>
      </w:r>
      <w:r w:rsidRPr="00F41280">
        <w:rPr>
          <w:rFonts w:ascii="Times New Roman" w:hAnsi="Times New Roman" w:cs="Times New Roman" w:hint="eastAsia"/>
          <w:kern w:val="0"/>
          <w:szCs w:val="21"/>
        </w:rPr>
        <w:t>70%</w:t>
      </w:r>
      <w:r w:rsidRPr="00F41280">
        <w:rPr>
          <w:rFonts w:ascii="Times New Roman" w:hAnsi="Times New Roman" w:cs="Times New Roman" w:hint="eastAsia"/>
          <w:kern w:val="0"/>
          <w:szCs w:val="21"/>
        </w:rPr>
        <w:t>以上退役电池流入非正规渠道。非法拆解不仅资源浪费，更造成重金属泄漏等环境风险。未来需融合智能化装备、绿色化学工艺与政策激励，构建规模化、低碳化的退役动力电池循环经济体系，助力全球锂资源战略与碳中和目标实现。</w:t>
      </w:r>
    </w:p>
    <w:p w14:paraId="18C119A6" w14:textId="77777777" w:rsidR="009D03E1" w:rsidRDefault="009D03E1" w:rsidP="009D03E1">
      <w:pPr>
        <w:widowControl/>
        <w:tabs>
          <w:tab w:val="left" w:pos="420"/>
        </w:tabs>
        <w:spacing w:beforeLines="50" w:before="156" w:afterLines="50" w:after="156" w:line="240" w:lineRule="atLeast"/>
        <w:ind w:left="480" w:hangingChars="200" w:hanging="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4 </w:t>
      </w:r>
      <w:r>
        <w:rPr>
          <w:rFonts w:ascii="Times New Roman" w:eastAsia="宋体" w:hAnsi="Times New Roman" w:cs="Times New Roman"/>
          <w:kern w:val="0"/>
          <w:sz w:val="24"/>
          <w:szCs w:val="24"/>
        </w:rPr>
        <w:t>结论</w:t>
      </w:r>
    </w:p>
    <w:p w14:paraId="4301BC90" w14:textId="77777777" w:rsidR="009D03E1" w:rsidRDefault="009D03E1" w:rsidP="009D03E1">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本文首先针对新兴能源转型背景下关键金属需求的激增，剖析了风力发电、光伏发电及电力储能等核心产业对这些金属的具体消耗情况，为阐明城市矿产循环利用的战略重要性奠定了基础</w:t>
      </w:r>
      <w:r>
        <w:rPr>
          <w:rFonts w:ascii="Times New Roman" w:hAnsi="Times New Roman" w:cs="Times New Roman" w:hint="eastAsia"/>
          <w:szCs w:val="21"/>
        </w:rPr>
        <w:t xml:space="preserve"> </w:t>
      </w:r>
      <w:r>
        <w:rPr>
          <w:rFonts w:ascii="Times New Roman" w:hAnsi="Times New Roman" w:cs="Times New Roman" w:hint="eastAsia"/>
          <w:szCs w:val="21"/>
        </w:rPr>
        <w:t>；其次，综述了从退役风力发电设备、光伏组件及储能电池中回收钢铁、铜、铝、镍、稀土、锂、钴等有价金属的巨大潜力；最后，系统分析了当前城市矿产循环利用在技术、经济、政策及环境层面面临的挑战与瓶颈</w:t>
      </w:r>
      <w:r>
        <w:rPr>
          <w:rFonts w:ascii="Times New Roman" w:hAnsi="Times New Roman" w:cs="Times New Roman" w:hint="eastAsia"/>
          <w:szCs w:val="21"/>
        </w:rPr>
        <w:t xml:space="preserve"> </w:t>
      </w:r>
      <w:r>
        <w:rPr>
          <w:rFonts w:ascii="Times New Roman" w:hAnsi="Times New Roman" w:cs="Times New Roman" w:hint="eastAsia"/>
          <w:szCs w:val="21"/>
        </w:rPr>
        <w:t>。本文通过上述研究得出如下结论：</w:t>
      </w:r>
    </w:p>
    <w:p w14:paraId="34ABC731" w14:textId="77777777" w:rsidR="009D03E1" w:rsidRDefault="009D03E1" w:rsidP="009D03E1">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1</w:t>
      </w:r>
      <w:r>
        <w:rPr>
          <w:rFonts w:ascii="Times New Roman" w:hAnsi="Times New Roman" w:cs="Times New Roman" w:hint="eastAsia"/>
          <w:szCs w:val="21"/>
        </w:rPr>
        <w:t>）新兴能源产业的快速扩张正驱动关键金属需求量持续攀升，凸显了城市矿产作为二次战略资源的极端重要性，对于保障供应链安全与促进可持续发展具有不可替代的价值。尽管理论上，从报废的风力发电设备、光伏组件和储能系统中可回收的关键金属体量巨大，但目前全球范围内实际的回收规模、技术成熟度和产业链完整度仍与这一潜力存在显著差距，制约了其对原生资源供给的有效补充。</w:t>
      </w:r>
    </w:p>
    <w:p w14:paraId="02BFF25A" w14:textId="77777777" w:rsidR="009D03E1" w:rsidRPr="009D03E1" w:rsidRDefault="009D03E1" w:rsidP="009D03E1">
      <w:pPr>
        <w:widowControl/>
        <w:spacing w:line="240" w:lineRule="atLeast"/>
        <w:rPr>
          <w:rFonts w:ascii="Times New Roman" w:hAnsi="Times New Roman" w:cs="Times New Roman"/>
          <w:kern w:val="0"/>
          <w:szCs w:val="21"/>
        </w:rPr>
      </w:pPr>
    </w:p>
    <w:p w14:paraId="33A64A8C" w14:textId="77777777" w:rsidR="009D03E1" w:rsidRDefault="009D03E1" w:rsidP="009D03E1">
      <w:pPr>
        <w:widowControl/>
        <w:spacing w:line="240" w:lineRule="atLeast"/>
        <w:rPr>
          <w:rFonts w:ascii="Times New Roman" w:hAnsi="Times New Roman" w:cs="Times New Roman"/>
          <w:kern w:val="0"/>
          <w:szCs w:val="21"/>
        </w:rPr>
      </w:pPr>
    </w:p>
    <w:p w14:paraId="6D7440C3" w14:textId="540E5436" w:rsidR="009D03E1" w:rsidRPr="009D03E1" w:rsidRDefault="009D03E1" w:rsidP="009D03E1">
      <w:pPr>
        <w:widowControl/>
        <w:spacing w:line="240" w:lineRule="atLeast"/>
        <w:rPr>
          <w:rFonts w:ascii="Times New Roman" w:hAnsi="Times New Roman" w:cs="Times New Roman"/>
          <w:kern w:val="0"/>
          <w:szCs w:val="21"/>
        </w:rPr>
        <w:sectPr w:rsidR="009D03E1" w:rsidRPr="009D03E1">
          <w:type w:val="continuous"/>
          <w:pgSz w:w="11906" w:h="16838"/>
          <w:pgMar w:top="1440" w:right="1106" w:bottom="1440" w:left="1106" w:header="851" w:footer="992" w:gutter="0"/>
          <w:cols w:num="2" w:space="425"/>
          <w:titlePg/>
          <w:docGrid w:type="linesAndChars" w:linePitch="312"/>
        </w:sectPr>
      </w:pPr>
    </w:p>
    <w:p w14:paraId="64F37380" w14:textId="4D384D76" w:rsidR="00691F6A" w:rsidRDefault="00A9020F">
      <w:pPr>
        <w:widowControl/>
        <w:spacing w:line="240" w:lineRule="atLeast"/>
        <w:rPr>
          <w:rFonts w:ascii="Times New Roman" w:hAnsi="Times New Roman" w:cs="Times New Roman"/>
          <w:kern w:val="0"/>
          <w:szCs w:val="21"/>
        </w:rPr>
      </w:pPr>
      <w:r w:rsidRPr="00A9020F">
        <w:rPr>
          <w:rFonts w:ascii="Times New Roman" w:hAnsi="Times New Roman" w:cs="Times New Roman"/>
          <w:noProof/>
          <w:kern w:val="0"/>
          <w:szCs w:val="21"/>
        </w:rPr>
        <w:lastRenderedPageBreak/>
        <w:drawing>
          <wp:inline distT="0" distB="0" distL="0" distR="0" wp14:anchorId="57F3C6E0" wp14:editId="236068AD">
            <wp:extent cx="6155690" cy="3135630"/>
            <wp:effectExtent l="0" t="0" r="0" b="7620"/>
            <wp:docPr id="7687714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55690" cy="3135630"/>
                    </a:xfrm>
                    <a:prstGeom prst="rect">
                      <a:avLst/>
                    </a:prstGeom>
                    <a:noFill/>
                    <a:ln>
                      <a:noFill/>
                    </a:ln>
                  </pic:spPr>
                </pic:pic>
              </a:graphicData>
            </a:graphic>
          </wp:inline>
        </w:drawing>
      </w:r>
    </w:p>
    <w:p w14:paraId="6AA2DC00" w14:textId="00BCE870" w:rsidR="00691F6A" w:rsidRDefault="00000000">
      <w:pPr>
        <w:widowControl/>
        <w:spacing w:line="240" w:lineRule="atLeast"/>
        <w:jc w:val="center"/>
        <w:rPr>
          <w:rFonts w:ascii="Times New Roman" w:hAnsi="Times New Roman" w:cs="Times New Roman"/>
          <w:kern w:val="0"/>
          <w:sz w:val="18"/>
          <w:szCs w:val="18"/>
        </w:rPr>
        <w:sectPr w:rsidR="00691F6A">
          <w:type w:val="continuous"/>
          <w:pgSz w:w="11906" w:h="16838"/>
          <w:pgMar w:top="1440" w:right="1106" w:bottom="1440" w:left="1106" w:header="851" w:footer="992" w:gutter="0"/>
          <w:cols w:space="425"/>
          <w:titlePg/>
          <w:docGrid w:type="linesAndChars" w:linePitch="312"/>
        </w:sectPr>
      </w:pPr>
      <w:r>
        <w:rPr>
          <w:rFonts w:ascii="Times New Roman" w:hAnsi="Times New Roman" w:cs="Times New Roman" w:hint="eastAsia"/>
          <w:kern w:val="0"/>
          <w:sz w:val="18"/>
          <w:szCs w:val="18"/>
        </w:rPr>
        <w:t>图</w:t>
      </w:r>
      <w:r w:rsidR="00684349">
        <w:rPr>
          <w:rFonts w:ascii="Times New Roman" w:hAnsi="Times New Roman" w:cs="Times New Roman" w:hint="eastAsia"/>
          <w:kern w:val="0"/>
          <w:sz w:val="18"/>
          <w:szCs w:val="18"/>
        </w:rPr>
        <w:t>10</w:t>
      </w:r>
      <w:r>
        <w:rPr>
          <w:rFonts w:ascii="Times New Roman" w:hAnsi="Times New Roman" w:cs="Times New Roman" w:hint="eastAsia"/>
          <w:kern w:val="0"/>
          <w:sz w:val="18"/>
          <w:szCs w:val="18"/>
        </w:rPr>
        <w:t xml:space="preserve"> </w:t>
      </w:r>
      <w:r>
        <w:rPr>
          <w:rFonts w:ascii="Times New Roman" w:hAnsi="Times New Roman" w:cs="Times New Roman" w:hint="eastAsia"/>
          <w:kern w:val="0"/>
          <w:sz w:val="18"/>
          <w:szCs w:val="18"/>
        </w:rPr>
        <w:t>典型新能源行业新兴固体废物处置先进技术；</w:t>
      </w:r>
      <w:r>
        <w:rPr>
          <w:rFonts w:ascii="Times New Roman" w:hAnsi="Times New Roman" w:cs="Times New Roman" w:hint="eastAsia"/>
          <w:kern w:val="0"/>
          <w:sz w:val="18"/>
          <w:szCs w:val="18"/>
        </w:rPr>
        <w:t xml:space="preserve">a. </w:t>
      </w:r>
      <w:r>
        <w:rPr>
          <w:rFonts w:ascii="Times New Roman" w:hAnsi="Times New Roman" w:cs="Times New Roman" w:hint="eastAsia"/>
          <w:kern w:val="0"/>
          <w:sz w:val="18"/>
          <w:szCs w:val="18"/>
        </w:rPr>
        <w:t>退役风机叶片闪蒸焦耳热制备碳化硅材料</w:t>
      </w:r>
      <w:r w:rsidR="00861DC5">
        <w:rPr>
          <w:rFonts w:ascii="Times New Roman" w:hAnsi="Times New Roman" w:cs="Times New Roman" w:hint="eastAsia"/>
          <w:kern w:val="0"/>
          <w:sz w:val="18"/>
          <w:szCs w:val="18"/>
        </w:rPr>
        <w:t xml:space="preserve"> </w:t>
      </w:r>
      <w:r w:rsidR="00861DC5">
        <w:rPr>
          <w:rFonts w:ascii="Times New Roman" w:hAnsi="Times New Roman" w:cs="Times New Roman" w:hint="eastAsia"/>
          <w:color w:val="EE0000"/>
          <w:kern w:val="0"/>
          <w:szCs w:val="21"/>
          <w:vertAlign w:val="superscript"/>
        </w:rPr>
        <w:t>[54]</w:t>
      </w: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 xml:space="preserve">b. </w:t>
      </w:r>
      <w:r>
        <w:rPr>
          <w:rFonts w:ascii="Times New Roman" w:hAnsi="Times New Roman" w:cs="Times New Roman" w:hint="eastAsia"/>
          <w:kern w:val="0"/>
          <w:sz w:val="18"/>
          <w:szCs w:val="18"/>
        </w:rPr>
        <w:t>熔盐蚀刻技术回收晶硅太阳能电池</w:t>
      </w:r>
      <w:r w:rsidR="00861DC5">
        <w:rPr>
          <w:rFonts w:ascii="Times New Roman" w:hAnsi="Times New Roman" w:cs="Times New Roman" w:hint="eastAsia"/>
          <w:kern w:val="0"/>
          <w:sz w:val="18"/>
          <w:szCs w:val="18"/>
        </w:rPr>
        <w:t xml:space="preserve"> </w:t>
      </w:r>
      <w:r w:rsidR="00861DC5">
        <w:rPr>
          <w:rFonts w:ascii="Times New Roman" w:hAnsi="Times New Roman" w:cs="Times New Roman" w:hint="eastAsia"/>
          <w:color w:val="EE0000"/>
          <w:kern w:val="0"/>
          <w:szCs w:val="21"/>
          <w:vertAlign w:val="superscript"/>
        </w:rPr>
        <w:t>[56]</w:t>
      </w: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 xml:space="preserve">c. </w:t>
      </w:r>
      <w:r>
        <w:rPr>
          <w:rFonts w:ascii="Times New Roman" w:hAnsi="Times New Roman" w:cs="Times New Roman" w:hint="eastAsia"/>
          <w:kern w:val="0"/>
          <w:sz w:val="18"/>
          <w:szCs w:val="18"/>
        </w:rPr>
        <w:t>废锂电池低熵增电流浸出升级回收技术</w:t>
      </w:r>
      <w:r w:rsidR="00861DC5">
        <w:rPr>
          <w:rFonts w:ascii="Times New Roman" w:hAnsi="Times New Roman" w:cs="Times New Roman" w:hint="eastAsia"/>
          <w:kern w:val="0"/>
          <w:sz w:val="18"/>
          <w:szCs w:val="18"/>
        </w:rPr>
        <w:t xml:space="preserve"> </w:t>
      </w:r>
      <w:r w:rsidR="00861DC5">
        <w:rPr>
          <w:rFonts w:ascii="Times New Roman" w:hAnsi="Times New Roman" w:cs="Times New Roman" w:hint="eastAsia"/>
          <w:color w:val="EE0000"/>
          <w:kern w:val="0"/>
          <w:szCs w:val="21"/>
          <w:vertAlign w:val="superscript"/>
        </w:rPr>
        <w:t>[61]</w:t>
      </w:r>
      <w:r>
        <w:rPr>
          <w:rFonts w:ascii="Times New Roman" w:hAnsi="Times New Roman" w:cs="Times New Roman" w:hint="eastAsia"/>
          <w:kern w:val="0"/>
          <w:sz w:val="18"/>
          <w:szCs w:val="18"/>
        </w:rPr>
        <w:t>。</w:t>
      </w:r>
    </w:p>
    <w:p w14:paraId="06704665"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）风机叶片等复合材料回收缺乏低成本、高效率、环境友好的分离再利用技术，规模化应用仍具挑战。光伏组件回收面临</w:t>
      </w:r>
      <w:r>
        <w:rPr>
          <w:rFonts w:ascii="Times New Roman" w:hAnsi="Times New Roman" w:cs="Times New Roman" w:hint="eastAsia"/>
          <w:szCs w:val="21"/>
        </w:rPr>
        <w:t>EVA</w:t>
      </w:r>
      <w:r>
        <w:rPr>
          <w:rFonts w:ascii="Times New Roman" w:hAnsi="Times New Roman" w:cs="Times New Roman" w:hint="eastAsia"/>
          <w:szCs w:val="21"/>
        </w:rPr>
        <w:t>胶膜与各组分高效解离及贵金属回收经济性难题，先进技术产业化和环保问题待解。废旧锂电池回收因种类结构复杂、拆解风险高、湿法冶金成本高等问题，整体效益不佳，高值化回收新工艺仍需突破。</w:t>
      </w:r>
    </w:p>
    <w:p w14:paraId="6251812B"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3</w:t>
      </w:r>
      <w:r>
        <w:rPr>
          <w:rFonts w:ascii="Times New Roman" w:hAnsi="Times New Roman" w:cs="Times New Roman" w:hint="eastAsia"/>
          <w:szCs w:val="21"/>
        </w:rPr>
        <w:t>）城市矿产循环利用的经济性受多重因素制约。高昂的回收处理成本（如运输、废水处理）、初级原料价格波动以及回收体系与激励政策的缺失是主要挑战。正规企业处理成本高，导致大量资源流入高污染的“黑作坊”，造成资源浪费和环境加剧。此外，生产者责任延伸制度缺失、回收标准不一及跨境障碍等政策法规不完善，也严重影响产业的规模化、规范化发展。</w:t>
      </w:r>
    </w:p>
    <w:p w14:paraId="18308972"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4</w:t>
      </w:r>
      <w:r>
        <w:rPr>
          <w:rFonts w:ascii="Times New Roman" w:hAnsi="Times New Roman" w:cs="Times New Roman" w:hint="eastAsia"/>
          <w:szCs w:val="21"/>
        </w:rPr>
        <w:t>）新兴能源设备多样化与快速迭代，对城市矿产循环利用提出更高要求。风力发电机组、光伏电池及锂电池等技术路线各异，关键金属使用和材料构成持续变化。这要求回收技术和策略具备高度适应性与灵活性，传统“一刀切”模式已不适用。亟需发展精细化、智能化拆解分选技术和柔性回收工艺，以实现退役设备中关键材料的最大化回收与价值再造。</w:t>
      </w:r>
    </w:p>
    <w:p w14:paraId="6E1D627B"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综上所述，为提升新兴能源转型中城市矿产的循环利用水平，推动相关产业的可持续发展，未来可从以下几方面加强研究与实践：</w:t>
      </w:r>
    </w:p>
    <w:p w14:paraId="6DD6D422" w14:textId="4412B2DC" w:rsidR="00691F6A" w:rsidRDefault="00000000" w:rsidP="00684349">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1</w:t>
      </w:r>
      <w:r>
        <w:rPr>
          <w:rFonts w:ascii="Times New Roman" w:hAnsi="Times New Roman" w:cs="Times New Roman" w:hint="eastAsia"/>
          <w:szCs w:val="21"/>
        </w:rPr>
        <w:t>）持续投入研发，突破风机叶片复合材料、光伏组件复杂组分以及多类型动力与储能电池的高效、低碳、智能化拆解与材料分离回收技术瓶颈。重点攻克稀土永磁体、贵金属、高纯度硅等高价值材料的回收与提纯工艺，并探索废弃物高值化再利用途径。</w:t>
      </w:r>
    </w:p>
    <w:p w14:paraId="1906129E"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建立健全覆盖产品设计、生产、消费、回收到再利用全生命周期的法规政策体系，强化生产者责任延伸制度，明确各方责任。制定统一的回收、拆解、检测、分类和再利用标准，规范市场秩序，打击非法回收行为，为产业的健康发展提供制度保障</w:t>
      </w:r>
      <w:r>
        <w:rPr>
          <w:rFonts w:ascii="Times New Roman" w:hAnsi="Times New Roman" w:cs="Times New Roman" w:hint="eastAsia"/>
          <w:szCs w:val="21"/>
        </w:rPr>
        <w:t xml:space="preserve"> </w:t>
      </w:r>
      <w:r>
        <w:rPr>
          <w:rFonts w:ascii="Times New Roman" w:hAnsi="Times New Roman" w:cs="Times New Roman" w:hint="eastAsia"/>
          <w:szCs w:val="21"/>
        </w:rPr>
        <w:t>。</w:t>
      </w:r>
    </w:p>
    <w:p w14:paraId="0B468AFA"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3</w:t>
      </w:r>
      <w:r>
        <w:rPr>
          <w:rFonts w:ascii="Times New Roman" w:hAnsi="Times New Roman" w:cs="Times New Roman" w:hint="eastAsia"/>
          <w:szCs w:val="21"/>
        </w:rPr>
        <w:t>）推动构建跨区域、跨行业的回收网络和产业链协同平台，优化回收物流体系，降低收集与运输成本。鼓励龙头企业发挥示范引领作用，整合上下游资源，形成规模化、集约化的回收处理基地，提升整体运营效率和经济效益。</w:t>
      </w:r>
    </w:p>
    <w:p w14:paraId="55164782"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4</w:t>
      </w:r>
      <w:r>
        <w:rPr>
          <w:rFonts w:ascii="Times New Roman" w:hAnsi="Times New Roman" w:cs="Times New Roman" w:hint="eastAsia"/>
          <w:szCs w:val="21"/>
        </w:rPr>
        <w:t>）研究出台针对城市矿产回收利用的财政补贴、税收优惠、绿色信贷等经济激励政策，提高回收产品的市场竞争力。同时，积极培育和拓展再生原料的应用市场，鼓励下游产业使用再生材料，形成良性循环。</w:t>
      </w:r>
    </w:p>
    <w:p w14:paraId="4800681F" w14:textId="77777777"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5</w:t>
      </w:r>
      <w:r>
        <w:rPr>
          <w:rFonts w:ascii="Times New Roman" w:hAnsi="Times New Roman" w:cs="Times New Roman" w:hint="eastAsia"/>
          <w:szCs w:val="21"/>
        </w:rPr>
        <w:t>）从产品设计源头入手，推广易拆解、易回收、环保材料的应用，发展模块化设计，为后续的循环利用奠定基础。提升新兴能源设备的使用寿命和可靠性，从源头上减少废弃物的产生。</w:t>
      </w:r>
    </w:p>
    <w:p w14:paraId="0AE3EABA" w14:textId="3F11897F" w:rsidR="00691F6A"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lastRenderedPageBreak/>
        <w:t>6</w:t>
      </w:r>
      <w:r>
        <w:rPr>
          <w:rFonts w:ascii="Times New Roman" w:hAnsi="Times New Roman" w:cs="Times New Roman" w:hint="eastAsia"/>
          <w:szCs w:val="21"/>
        </w:rPr>
        <w:t>）鉴于关键金属供应链和废物管理的全球性特征，应加强国际间在城市矿产回收技术、政策标准、市场信息等方面的交流与合作。共同应对跨境转移、环境影响等挑战，推动全球能源转型领域的资源循环利用。</w:t>
      </w:r>
    </w:p>
    <w:p w14:paraId="4C91F40A" w14:textId="77777777" w:rsidR="00691F6A" w:rsidRDefault="00000000">
      <w:pPr>
        <w:widowControl/>
        <w:tabs>
          <w:tab w:val="left" w:pos="420"/>
        </w:tabs>
        <w:spacing w:line="240" w:lineRule="atLeast"/>
        <w:ind w:left="420" w:hangingChars="200" w:hanging="420"/>
        <w:rPr>
          <w:rFonts w:ascii="Times New Roman" w:eastAsia="宋体" w:hAnsi="Times New Roman" w:cs="Times New Roman"/>
          <w:kern w:val="0"/>
          <w:szCs w:val="21"/>
        </w:rPr>
      </w:pPr>
      <w:r>
        <w:rPr>
          <w:rFonts w:ascii="Times New Roman" w:eastAsia="宋体" w:hAnsi="Times New Roman" w:cs="Times New Roman"/>
          <w:kern w:val="0"/>
          <w:szCs w:val="21"/>
        </w:rPr>
        <w:t>参考文献（</w:t>
      </w:r>
      <w:r>
        <w:rPr>
          <w:rFonts w:ascii="Times New Roman" w:eastAsia="宋体" w:hAnsi="Times New Roman" w:cs="Times New Roman"/>
          <w:kern w:val="0"/>
          <w:szCs w:val="21"/>
        </w:rPr>
        <w:t>References</w:t>
      </w:r>
      <w:r>
        <w:rPr>
          <w:rFonts w:ascii="Times New Roman" w:eastAsia="宋体" w:hAnsi="Times New Roman" w:cs="Times New Roman"/>
          <w:kern w:val="0"/>
          <w:szCs w:val="21"/>
        </w:rPr>
        <w:t>）</w:t>
      </w:r>
    </w:p>
    <w:p w14:paraId="49BF6377"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曾现来</w:t>
      </w:r>
      <w:r>
        <w:rPr>
          <w:rFonts w:ascii="Times New Roman" w:hAnsi="Times New Roman" w:cs="Times New Roman" w:hint="eastAsia"/>
          <w:sz w:val="18"/>
          <w:szCs w:val="18"/>
        </w:rPr>
        <w:t xml:space="preserve">, </w:t>
      </w:r>
      <w:r>
        <w:rPr>
          <w:rFonts w:ascii="Times New Roman" w:hAnsi="Times New Roman" w:cs="Times New Roman" w:hint="eastAsia"/>
          <w:sz w:val="18"/>
          <w:szCs w:val="18"/>
        </w:rPr>
        <w:t>李金惠</w:t>
      </w:r>
      <w:r>
        <w:rPr>
          <w:rFonts w:ascii="Times New Roman" w:hAnsi="Times New Roman" w:cs="Times New Roman" w:hint="eastAsia"/>
          <w:sz w:val="18"/>
          <w:szCs w:val="18"/>
        </w:rPr>
        <w:t xml:space="preserve">, </w:t>
      </w:r>
      <w:r>
        <w:rPr>
          <w:rFonts w:ascii="Times New Roman" w:hAnsi="Times New Roman" w:cs="Times New Roman" w:hint="eastAsia"/>
          <w:sz w:val="18"/>
          <w:szCs w:val="18"/>
        </w:rPr>
        <w:t>贺克斌</w:t>
      </w:r>
      <w:r>
        <w:rPr>
          <w:rFonts w:ascii="Times New Roman" w:hAnsi="Times New Roman" w:cs="Times New Roman" w:hint="eastAsia"/>
          <w:sz w:val="18"/>
          <w:szCs w:val="18"/>
        </w:rPr>
        <w:t xml:space="preserve">. </w:t>
      </w:r>
      <w:r>
        <w:rPr>
          <w:rFonts w:ascii="Times New Roman" w:hAnsi="Times New Roman" w:cs="Times New Roman" w:hint="eastAsia"/>
          <w:sz w:val="18"/>
          <w:szCs w:val="18"/>
        </w:rPr>
        <w:t>低碳转型背景下全球绿色供应链的创新与机遇</w:t>
      </w:r>
      <w:r>
        <w:rPr>
          <w:rFonts w:ascii="Times New Roman" w:hAnsi="Times New Roman" w:cs="Times New Roman" w:hint="eastAsia"/>
          <w:sz w:val="18"/>
          <w:szCs w:val="18"/>
        </w:rPr>
        <w:t xml:space="preserve">. </w:t>
      </w:r>
      <w:r>
        <w:rPr>
          <w:rFonts w:ascii="Times New Roman" w:hAnsi="Times New Roman" w:cs="Times New Roman" w:hint="eastAsia"/>
          <w:sz w:val="18"/>
          <w:szCs w:val="18"/>
        </w:rPr>
        <w:t>科学通报</w:t>
      </w:r>
      <w:r>
        <w:rPr>
          <w:rFonts w:ascii="Times New Roman" w:hAnsi="Times New Roman" w:cs="Times New Roman" w:hint="eastAsia"/>
          <w:sz w:val="18"/>
          <w:szCs w:val="18"/>
        </w:rPr>
        <w:t>, 2025, 70: 549</w:t>
      </w:r>
      <w:r>
        <w:rPr>
          <w:rFonts w:ascii="Times New Roman" w:hAnsi="Times New Roman" w:cs="Times New Roman" w:hint="eastAsia"/>
          <w:sz w:val="18"/>
          <w:szCs w:val="18"/>
        </w:rPr>
        <w:t>–</w:t>
      </w:r>
      <w:r>
        <w:rPr>
          <w:rFonts w:ascii="Times New Roman" w:hAnsi="Times New Roman" w:cs="Times New Roman" w:hint="eastAsia"/>
          <w:sz w:val="18"/>
          <w:szCs w:val="18"/>
        </w:rPr>
        <w:t>555.</w:t>
      </w:r>
    </w:p>
    <w:p w14:paraId="4E57B61B" w14:textId="77777777"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sz w:val="18"/>
          <w:szCs w:val="18"/>
        </w:rPr>
        <w:t>Zeng X L, Li J H, He K B. Innovation and challenges of the global green supply chain in the context of a low-carbon transition. Chinese Science Bulletin, 2025, 70: 549–555. (in Chinese)</w:t>
      </w:r>
    </w:p>
    <w:p w14:paraId="3B66B16C"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朱学红</w:t>
      </w:r>
      <w:r>
        <w:rPr>
          <w:rFonts w:ascii="Times New Roman" w:hAnsi="Times New Roman" w:cs="Times New Roman" w:hint="eastAsia"/>
          <w:sz w:val="18"/>
          <w:szCs w:val="18"/>
        </w:rPr>
        <w:t xml:space="preserve">, </w:t>
      </w:r>
      <w:r>
        <w:rPr>
          <w:rFonts w:ascii="Times New Roman" w:hAnsi="Times New Roman" w:cs="Times New Roman" w:hint="eastAsia"/>
          <w:sz w:val="18"/>
          <w:szCs w:val="18"/>
        </w:rPr>
        <w:t>李双美</w:t>
      </w:r>
      <w:r>
        <w:rPr>
          <w:rFonts w:ascii="Times New Roman" w:hAnsi="Times New Roman" w:cs="Times New Roman" w:hint="eastAsia"/>
          <w:sz w:val="18"/>
          <w:szCs w:val="18"/>
        </w:rPr>
        <w:t xml:space="preserve">, </w:t>
      </w:r>
      <w:r>
        <w:rPr>
          <w:rFonts w:ascii="Times New Roman" w:hAnsi="Times New Roman" w:cs="Times New Roman" w:hint="eastAsia"/>
          <w:sz w:val="18"/>
          <w:szCs w:val="18"/>
        </w:rPr>
        <w:t>曾安琪</w:t>
      </w:r>
      <w:r>
        <w:rPr>
          <w:rFonts w:ascii="Times New Roman" w:hAnsi="Times New Roman" w:cs="Times New Roman" w:hint="eastAsia"/>
          <w:sz w:val="18"/>
          <w:szCs w:val="18"/>
        </w:rPr>
        <w:t xml:space="preserve">. </w:t>
      </w:r>
      <w:r>
        <w:rPr>
          <w:rFonts w:ascii="Times New Roman" w:hAnsi="Times New Roman" w:cs="Times New Roman" w:hint="eastAsia"/>
          <w:sz w:val="18"/>
          <w:szCs w:val="18"/>
        </w:rPr>
        <w:t>清洁能源转型下关键金属产业链碳排放研究综述与展望</w:t>
      </w:r>
      <w:r>
        <w:rPr>
          <w:rFonts w:ascii="Times New Roman" w:hAnsi="Times New Roman" w:cs="Times New Roman" w:hint="eastAsia"/>
          <w:sz w:val="18"/>
          <w:szCs w:val="18"/>
        </w:rPr>
        <w:t xml:space="preserve">[J]. </w:t>
      </w:r>
      <w:r>
        <w:rPr>
          <w:rFonts w:ascii="Times New Roman" w:hAnsi="Times New Roman" w:cs="Times New Roman" w:hint="eastAsia"/>
          <w:sz w:val="18"/>
          <w:szCs w:val="18"/>
        </w:rPr>
        <w:t>资源科学</w:t>
      </w:r>
      <w:r>
        <w:rPr>
          <w:rFonts w:ascii="Times New Roman" w:hAnsi="Times New Roman" w:cs="Times New Roman" w:hint="eastAsia"/>
          <w:sz w:val="18"/>
          <w:szCs w:val="18"/>
        </w:rPr>
        <w:t>, 2023, 45(1): 1-17.</w:t>
      </w:r>
    </w:p>
    <w:p w14:paraId="0537D3A7" w14:textId="77777777"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sz w:val="18"/>
          <w:szCs w:val="18"/>
        </w:rPr>
        <w:t>Zhu X H, L</w:t>
      </w:r>
      <w:r>
        <w:rPr>
          <w:rFonts w:ascii="Times New Roman" w:hAnsi="Times New Roman" w:cs="Times New Roman" w:hint="eastAsia"/>
          <w:sz w:val="18"/>
          <w:szCs w:val="18"/>
        </w:rPr>
        <w:t>I</w:t>
      </w:r>
      <w:r>
        <w:rPr>
          <w:rFonts w:ascii="Times New Roman" w:hAnsi="Times New Roman" w:cs="Times New Roman"/>
          <w:sz w:val="18"/>
          <w:szCs w:val="18"/>
        </w:rPr>
        <w:t xml:space="preserve"> S M, Zeng A Q. A review and prospect of research on carbon emissions from the critical metal industry chain under clean energy transition[J]. Resources Science, 2023, 45(1): 1-17. (in Chinese)</w:t>
      </w:r>
    </w:p>
    <w:p w14:paraId="00E0BE1C"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汪鹏</w:t>
      </w:r>
      <w:r>
        <w:rPr>
          <w:rFonts w:ascii="Times New Roman" w:hAnsi="Times New Roman" w:cs="Times New Roman" w:hint="eastAsia"/>
          <w:sz w:val="18"/>
          <w:szCs w:val="18"/>
        </w:rPr>
        <w:t>,</w:t>
      </w:r>
      <w:r>
        <w:rPr>
          <w:rFonts w:ascii="Times New Roman" w:hAnsi="Times New Roman" w:cs="Times New Roman" w:hint="eastAsia"/>
          <w:sz w:val="18"/>
          <w:szCs w:val="18"/>
        </w:rPr>
        <w:t>王翘楚</w:t>
      </w:r>
      <w:r>
        <w:rPr>
          <w:rFonts w:ascii="Times New Roman" w:hAnsi="Times New Roman" w:cs="Times New Roman" w:hint="eastAsia"/>
          <w:sz w:val="18"/>
          <w:szCs w:val="18"/>
        </w:rPr>
        <w:t>,</w:t>
      </w:r>
      <w:r>
        <w:rPr>
          <w:rFonts w:ascii="Times New Roman" w:hAnsi="Times New Roman" w:cs="Times New Roman" w:hint="eastAsia"/>
          <w:sz w:val="18"/>
          <w:szCs w:val="18"/>
        </w:rPr>
        <w:t>韩茹茹</w:t>
      </w:r>
      <w:r>
        <w:rPr>
          <w:rFonts w:ascii="Times New Roman" w:hAnsi="Times New Roman" w:cs="Times New Roman" w:hint="eastAsia"/>
          <w:sz w:val="18"/>
          <w:szCs w:val="18"/>
        </w:rPr>
        <w:t>,</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全球关键金属</w:t>
      </w:r>
      <w:r>
        <w:rPr>
          <w:rFonts w:ascii="Times New Roman" w:hAnsi="Times New Roman" w:cs="Times New Roman" w:hint="eastAsia"/>
          <w:sz w:val="18"/>
          <w:szCs w:val="18"/>
        </w:rPr>
        <w:t>-</w:t>
      </w:r>
      <w:r>
        <w:rPr>
          <w:rFonts w:ascii="Times New Roman" w:hAnsi="Times New Roman" w:cs="Times New Roman" w:hint="eastAsia"/>
          <w:sz w:val="18"/>
          <w:szCs w:val="18"/>
        </w:rPr>
        <w:t>低碳能源关联研究综述及其启示</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资源科学</w:t>
      </w:r>
      <w:r>
        <w:rPr>
          <w:rFonts w:ascii="Times New Roman" w:hAnsi="Times New Roman" w:cs="Times New Roman" w:hint="eastAsia"/>
          <w:sz w:val="18"/>
          <w:szCs w:val="18"/>
        </w:rPr>
        <w:t>, 2021, 43 (04): 669-681.</w:t>
      </w:r>
    </w:p>
    <w:p w14:paraId="7F32EE4F" w14:textId="77777777"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sz w:val="18"/>
          <w:szCs w:val="18"/>
        </w:rPr>
        <w:t>W</w:t>
      </w:r>
      <w:r>
        <w:rPr>
          <w:rFonts w:ascii="Times New Roman" w:hAnsi="Times New Roman" w:cs="Times New Roman" w:hint="eastAsia"/>
          <w:sz w:val="18"/>
          <w:szCs w:val="18"/>
        </w:rPr>
        <w:t>ANG</w:t>
      </w:r>
      <w:r>
        <w:rPr>
          <w:rFonts w:ascii="Times New Roman" w:hAnsi="Times New Roman" w:cs="Times New Roman"/>
          <w:sz w:val="18"/>
          <w:szCs w:val="18"/>
        </w:rPr>
        <w:t xml:space="preserve"> P, W</w:t>
      </w:r>
      <w:r>
        <w:rPr>
          <w:rFonts w:ascii="Times New Roman" w:hAnsi="Times New Roman" w:cs="Times New Roman" w:hint="eastAsia"/>
          <w:sz w:val="18"/>
          <w:szCs w:val="18"/>
        </w:rPr>
        <w:t>ANG</w:t>
      </w:r>
      <w:r>
        <w:rPr>
          <w:rFonts w:ascii="Times New Roman" w:hAnsi="Times New Roman" w:cs="Times New Roman"/>
          <w:sz w:val="18"/>
          <w:szCs w:val="18"/>
        </w:rPr>
        <w:t xml:space="preserve"> Q C, Han R R, et al. Nexus between low carbon energy and critical metals: Literature review and implication [J]. Resources Science, 2021, 43(4): 669-681. (in Chinese)</w:t>
      </w:r>
    </w:p>
    <w:p w14:paraId="6CCCB760" w14:textId="77777777" w:rsidR="00691F6A" w:rsidRDefault="00000000">
      <w:pPr>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 xml:space="preserve">International Energy Agency. The role of critical minerals in </w:t>
      </w:r>
    </w:p>
    <w:p w14:paraId="78FF9C30" w14:textId="77777777" w:rsidR="00691F6A" w:rsidRDefault="00000000">
      <w:pPr>
        <w:autoSpaceDE w:val="0"/>
        <w:autoSpaceDN w:val="0"/>
        <w:adjustRightInd w:val="0"/>
        <w:spacing w:line="240" w:lineRule="atLeast"/>
        <w:ind w:leftChars="200" w:left="420"/>
        <w:rPr>
          <w:rFonts w:ascii="Times New Roman" w:eastAsia="宋体" w:hAnsi="Times New Roman" w:cs="Times New Roman"/>
          <w:sz w:val="18"/>
          <w:szCs w:val="18"/>
        </w:rPr>
      </w:pPr>
      <w:r>
        <w:rPr>
          <w:rFonts w:ascii="Times New Roman" w:eastAsia="宋体" w:hAnsi="Times New Roman" w:cs="Times New Roman"/>
          <w:sz w:val="18"/>
          <w:szCs w:val="18"/>
        </w:rPr>
        <w:t>clean energy transitions. (2021-05-01)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https://www.iea.org/reports/the-role-of-critical-minerals-in-clean</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energy-transitions. </w:t>
      </w:r>
    </w:p>
    <w:p w14:paraId="558FC6E9"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w:t>
      </w:r>
      <w:r>
        <w:rPr>
          <w:rFonts w:ascii="Times New Roman" w:hAnsi="Times New Roman" w:cs="Times New Roman"/>
          <w:sz w:val="18"/>
          <w:szCs w:val="18"/>
        </w:rPr>
        <w:t>Liu W, Chen L, Luo F J, et al. Novel assessment of China's cobalt supply chain resilience based on DPSIR model and machine learning[J]. Resources, Conservation and Recycling, 2025, 215: 108107.</w:t>
      </w:r>
    </w:p>
    <w:p w14:paraId="73D6C913"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吴巧生</w:t>
      </w:r>
      <w:r>
        <w:rPr>
          <w:rFonts w:ascii="Times New Roman" w:hAnsi="Times New Roman" w:cs="Times New Roman" w:hint="eastAsia"/>
          <w:sz w:val="18"/>
          <w:szCs w:val="18"/>
        </w:rPr>
        <w:t>,</w:t>
      </w:r>
      <w:r>
        <w:rPr>
          <w:rFonts w:ascii="Times New Roman" w:hAnsi="Times New Roman" w:cs="Times New Roman" w:hint="eastAsia"/>
          <w:sz w:val="18"/>
          <w:szCs w:val="18"/>
        </w:rPr>
        <w:t>周娜</w:t>
      </w:r>
      <w:r>
        <w:rPr>
          <w:rFonts w:ascii="Times New Roman" w:hAnsi="Times New Roman" w:cs="Times New Roman" w:hint="eastAsia"/>
          <w:sz w:val="18"/>
          <w:szCs w:val="18"/>
        </w:rPr>
        <w:t>,</w:t>
      </w:r>
      <w:r>
        <w:rPr>
          <w:rFonts w:ascii="Times New Roman" w:hAnsi="Times New Roman" w:cs="Times New Roman" w:hint="eastAsia"/>
          <w:sz w:val="18"/>
          <w:szCs w:val="18"/>
        </w:rPr>
        <w:t>成金华</w:t>
      </w:r>
      <w:r>
        <w:rPr>
          <w:rFonts w:ascii="Times New Roman" w:hAnsi="Times New Roman" w:cs="Times New Roman" w:hint="eastAsia"/>
          <w:sz w:val="18"/>
          <w:szCs w:val="18"/>
        </w:rPr>
        <w:t xml:space="preserve">. </w:t>
      </w:r>
      <w:r>
        <w:rPr>
          <w:rFonts w:ascii="Times New Roman" w:hAnsi="Times New Roman" w:cs="Times New Roman" w:hint="eastAsia"/>
          <w:sz w:val="18"/>
          <w:szCs w:val="18"/>
        </w:rPr>
        <w:t>总体国家安全观下关键矿产资源安全治理的国家逻辑</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华中师范大学学报</w:t>
      </w:r>
      <w:r>
        <w:rPr>
          <w:rFonts w:ascii="Times New Roman" w:hAnsi="Times New Roman" w:cs="Times New Roman" w:hint="eastAsia"/>
          <w:sz w:val="18"/>
          <w:szCs w:val="18"/>
        </w:rPr>
        <w:t>(</w:t>
      </w:r>
      <w:r>
        <w:rPr>
          <w:rFonts w:ascii="Times New Roman" w:hAnsi="Times New Roman" w:cs="Times New Roman" w:hint="eastAsia"/>
          <w:sz w:val="18"/>
          <w:szCs w:val="18"/>
        </w:rPr>
        <w:t>自然科学版</w:t>
      </w:r>
      <w:r>
        <w:rPr>
          <w:rFonts w:ascii="Times New Roman" w:hAnsi="Times New Roman" w:cs="Times New Roman" w:hint="eastAsia"/>
          <w:sz w:val="18"/>
          <w:szCs w:val="18"/>
        </w:rPr>
        <w:t>), 2023, 57 (01): 24-35.</w:t>
      </w:r>
    </w:p>
    <w:p w14:paraId="11ECCC46" w14:textId="1ED492D3"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WU Q S, ZHOU N, CHENG J H. A national logic for the security of critical minerals under a holistic approach to national security</w:t>
      </w:r>
      <w:r>
        <w:rPr>
          <w:rFonts w:ascii="Times New Roman" w:hAnsi="Times New Roman" w:cs="Times New Roman"/>
          <w:sz w:val="18"/>
          <w:szCs w:val="18"/>
        </w:rPr>
        <w:t>[J]</w:t>
      </w:r>
      <w:r>
        <w:rPr>
          <w:rFonts w:ascii="Times New Roman" w:hAnsi="Times New Roman" w:cs="Times New Roman" w:hint="eastAsia"/>
          <w:sz w:val="18"/>
          <w:szCs w:val="18"/>
        </w:rPr>
        <w:t>. Journal of central China normal university, 2023, 57 (01): 24-35.</w:t>
      </w:r>
      <w:r>
        <w:rPr>
          <w:rFonts w:ascii="Times New Roman" w:hAnsi="Times New Roman" w:cs="Times New Roman"/>
          <w:sz w:val="18"/>
          <w:szCs w:val="18"/>
        </w:rPr>
        <w:t xml:space="preserve"> (in Chinese)</w:t>
      </w:r>
    </w:p>
    <w:p w14:paraId="03CE89AC"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7</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曾现来</w:t>
      </w:r>
      <w:r>
        <w:rPr>
          <w:rFonts w:ascii="Times New Roman" w:hAnsi="Times New Roman" w:cs="Times New Roman" w:hint="eastAsia"/>
          <w:sz w:val="18"/>
          <w:szCs w:val="18"/>
        </w:rPr>
        <w:t xml:space="preserve">, </w:t>
      </w:r>
      <w:r>
        <w:rPr>
          <w:rFonts w:ascii="Times New Roman" w:hAnsi="Times New Roman" w:cs="Times New Roman" w:hint="eastAsia"/>
          <w:sz w:val="18"/>
          <w:szCs w:val="18"/>
        </w:rPr>
        <w:t>李金惠</w:t>
      </w:r>
      <w:r>
        <w:rPr>
          <w:rFonts w:ascii="Times New Roman" w:hAnsi="Times New Roman" w:cs="Times New Roman" w:hint="eastAsia"/>
          <w:sz w:val="18"/>
          <w:szCs w:val="18"/>
        </w:rPr>
        <w:t xml:space="preserve">. </w:t>
      </w:r>
      <w:r>
        <w:rPr>
          <w:rFonts w:ascii="Times New Roman" w:hAnsi="Times New Roman" w:cs="Times New Roman" w:hint="eastAsia"/>
          <w:sz w:val="18"/>
          <w:szCs w:val="18"/>
        </w:rPr>
        <w:t>城市矿山开发及其资源调控：特征、可持续性和开发机理</w:t>
      </w:r>
      <w:r>
        <w:rPr>
          <w:rFonts w:ascii="Times New Roman" w:hAnsi="Times New Roman" w:cs="Times New Roman" w:hint="eastAsia"/>
          <w:sz w:val="18"/>
          <w:szCs w:val="18"/>
        </w:rPr>
        <w:t xml:space="preserve"> . </w:t>
      </w:r>
      <w:r>
        <w:rPr>
          <w:rFonts w:ascii="Times New Roman" w:hAnsi="Times New Roman" w:cs="Times New Roman" w:hint="eastAsia"/>
          <w:sz w:val="18"/>
          <w:szCs w:val="18"/>
        </w:rPr>
        <w:t>中国科学：地球科学</w:t>
      </w:r>
      <w:r>
        <w:rPr>
          <w:rFonts w:ascii="Times New Roman" w:hAnsi="Times New Roman" w:cs="Times New Roman" w:hint="eastAsia"/>
          <w:sz w:val="18"/>
          <w:szCs w:val="18"/>
        </w:rPr>
        <w:t>, 2018, 48(3):288-298.</w:t>
      </w:r>
    </w:p>
    <w:p w14:paraId="25844CF9" w14:textId="77777777"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sz w:val="18"/>
          <w:szCs w:val="18"/>
        </w:rPr>
        <w:t xml:space="preserve">Zeng X L, Li J H. Urban mining and its resources adjustment: characteristics, sustainability, and extraction. SCIENTIA </w:t>
      </w:r>
      <w:r>
        <w:rPr>
          <w:rFonts w:ascii="Times New Roman" w:hAnsi="Times New Roman" w:cs="Times New Roman"/>
          <w:sz w:val="18"/>
          <w:szCs w:val="18"/>
        </w:rPr>
        <w:t>SINICA Terrae, 2018, 48(3): 288-298. (in Chinese)</w:t>
      </w:r>
    </w:p>
    <w:p w14:paraId="6D1C9F6B"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8</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曾现来</w:t>
      </w:r>
      <w:r>
        <w:rPr>
          <w:rFonts w:ascii="Times New Roman" w:hAnsi="Times New Roman" w:cs="Times New Roman" w:hint="eastAsia"/>
          <w:sz w:val="18"/>
          <w:szCs w:val="18"/>
        </w:rPr>
        <w:t>,</w:t>
      </w:r>
      <w:r>
        <w:rPr>
          <w:rFonts w:ascii="Times New Roman" w:hAnsi="Times New Roman" w:cs="Times New Roman" w:hint="eastAsia"/>
          <w:sz w:val="18"/>
          <w:szCs w:val="18"/>
        </w:rPr>
        <w:t>李金惠</w:t>
      </w:r>
      <w:r>
        <w:rPr>
          <w:rFonts w:ascii="Times New Roman" w:hAnsi="Times New Roman" w:cs="Times New Roman" w:hint="eastAsia"/>
          <w:sz w:val="18"/>
          <w:szCs w:val="18"/>
        </w:rPr>
        <w:t>,</w:t>
      </w:r>
      <w:r>
        <w:rPr>
          <w:rFonts w:ascii="Times New Roman" w:hAnsi="Times New Roman" w:cs="Times New Roman" w:hint="eastAsia"/>
          <w:sz w:val="18"/>
          <w:szCs w:val="18"/>
        </w:rPr>
        <w:t>耿涌</w:t>
      </w:r>
      <w:r>
        <w:rPr>
          <w:rFonts w:ascii="Times New Roman" w:hAnsi="Times New Roman" w:cs="Times New Roman" w:hint="eastAsia"/>
          <w:sz w:val="18"/>
          <w:szCs w:val="18"/>
        </w:rPr>
        <w:t>,</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碳中和背景下我国典型战略性金属中长期可持续供给路径</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中国科学院院刊</w:t>
      </w:r>
      <w:r>
        <w:rPr>
          <w:rFonts w:ascii="Times New Roman" w:hAnsi="Times New Roman" w:cs="Times New Roman" w:hint="eastAsia"/>
          <w:sz w:val="18"/>
          <w:szCs w:val="18"/>
        </w:rPr>
        <w:t>, 2023, 38 (08): 1099-1109.</w:t>
      </w:r>
    </w:p>
    <w:p w14:paraId="683BB4B1" w14:textId="64918E6B"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sz w:val="18"/>
          <w:szCs w:val="18"/>
        </w:rPr>
        <w:t>Zen</w:t>
      </w:r>
      <w:r w:rsidR="00FD1394">
        <w:rPr>
          <w:rFonts w:ascii="Times New Roman" w:hAnsi="Times New Roman" w:cs="Times New Roman" w:hint="eastAsia"/>
          <w:sz w:val="18"/>
          <w:szCs w:val="18"/>
        </w:rPr>
        <w:t>g</w:t>
      </w:r>
      <w:r>
        <w:rPr>
          <w:rFonts w:ascii="Times New Roman" w:hAnsi="Times New Roman" w:cs="Times New Roman"/>
          <w:sz w:val="18"/>
          <w:szCs w:val="18"/>
        </w:rPr>
        <w:t xml:space="preserve"> X L, Li J H, Geng Y, et al. Pathways for medium- and long-term sustainable supply of typical strategic metals in China in context of carbon neutrality. Bulletin of Chinese Academy of Sciences, 2023, 38(8): 1099-1109. (in Chinese)</w:t>
      </w:r>
    </w:p>
    <w:p w14:paraId="138AADB4"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9</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梁扬扬</w:t>
      </w:r>
      <w:r>
        <w:rPr>
          <w:rFonts w:ascii="Times New Roman" w:hAnsi="Times New Roman" w:cs="Times New Roman" w:hint="eastAsia"/>
          <w:sz w:val="18"/>
          <w:szCs w:val="18"/>
        </w:rPr>
        <w:t xml:space="preserve">, </w:t>
      </w:r>
      <w:r>
        <w:rPr>
          <w:rFonts w:ascii="Times New Roman" w:hAnsi="Times New Roman" w:cs="Times New Roman" w:hint="eastAsia"/>
          <w:sz w:val="18"/>
          <w:szCs w:val="18"/>
        </w:rPr>
        <w:t>刘丽丽</w:t>
      </w:r>
      <w:r>
        <w:rPr>
          <w:rFonts w:ascii="Times New Roman" w:hAnsi="Times New Roman" w:cs="Times New Roman" w:hint="eastAsia"/>
          <w:sz w:val="18"/>
          <w:szCs w:val="18"/>
        </w:rPr>
        <w:t xml:space="preserve">, </w:t>
      </w:r>
      <w:r>
        <w:rPr>
          <w:rFonts w:ascii="Times New Roman" w:hAnsi="Times New Roman" w:cs="Times New Roman" w:hint="eastAsia"/>
          <w:sz w:val="18"/>
          <w:szCs w:val="18"/>
        </w:rPr>
        <w:t>贺克斌</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“双碳”目标下我国新能源行业关键金属供应分析</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中国工程科学</w:t>
      </w:r>
      <w:r>
        <w:rPr>
          <w:rFonts w:ascii="Times New Roman" w:hAnsi="Times New Roman" w:cs="Times New Roman" w:hint="eastAsia"/>
          <w:sz w:val="18"/>
          <w:szCs w:val="18"/>
        </w:rPr>
        <w:t>, 2024, 26 (03): 131-141.</w:t>
      </w:r>
    </w:p>
    <w:p w14:paraId="1211F955" w14:textId="77777777"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sz w:val="18"/>
          <w:szCs w:val="18"/>
        </w:rPr>
        <w:t>LIANG Y Y, LIU L L, HE K B, et al. Supply of key metals for China’s new energy industries under the carbon peaking and carbon neutrality goals [J]. Engineering Science. 2024, 26 (03): 131-141. (in Chinese)</w:t>
      </w:r>
    </w:p>
    <w:p w14:paraId="6C6048AE"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10</w:t>
      </w:r>
      <w:r>
        <w:rPr>
          <w:rFonts w:ascii="Times New Roman" w:eastAsia="宋体" w:hAnsi="Times New Roman" w:cs="Times New Roman"/>
          <w:sz w:val="18"/>
          <w:szCs w:val="18"/>
        </w:rPr>
        <w:t xml:space="preserve">] </w:t>
      </w:r>
      <w:r>
        <w:rPr>
          <w:rFonts w:ascii="Times New Roman" w:hAnsi="Times New Roman" w:cs="Times New Roman"/>
          <w:sz w:val="18"/>
          <w:szCs w:val="18"/>
        </w:rPr>
        <w:t>Zeng X, Ali S H, Tian J, et al. Mapping anthropogenic mineral generation in China and its implications for a circular economy[J]. Nature communications, 2020, 11(1): 1544.</w:t>
      </w:r>
    </w:p>
    <w:p w14:paraId="6E77DA16"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International Energy Agency. World Energy Outlook 2024. (202</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eastAsia="宋体" w:hAnsi="Times New Roman" w:cs="Times New Roman" w:hint="eastAsia"/>
          <w:sz w:val="18"/>
          <w:szCs w:val="18"/>
        </w:rPr>
        <w:t>10</w:t>
      </w:r>
      <w:r>
        <w:rPr>
          <w:rFonts w:ascii="Times New Roman" w:eastAsia="宋体" w:hAnsi="Times New Roman" w:cs="Times New Roman"/>
          <w:sz w:val="18"/>
          <w:szCs w:val="18"/>
        </w:rPr>
        <w:t>-01)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https://www.iea.org/reports/world-energy-outlook-2024. </w:t>
      </w:r>
    </w:p>
    <w:p w14:paraId="1CBD4035"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12</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 xml:space="preserve">International </w:t>
      </w:r>
      <w:r>
        <w:rPr>
          <w:rFonts w:ascii="Times New Roman" w:eastAsia="宋体" w:hAnsi="Times New Roman" w:cs="Times New Roman" w:hint="eastAsia"/>
          <w:sz w:val="18"/>
          <w:szCs w:val="18"/>
        </w:rPr>
        <w:t>Renewable Energy</w:t>
      </w:r>
      <w:r>
        <w:rPr>
          <w:rFonts w:ascii="Times New Roman" w:eastAsia="宋体" w:hAnsi="Times New Roman" w:cs="Times New Roman"/>
          <w:sz w:val="18"/>
          <w:szCs w:val="18"/>
        </w:rPr>
        <w:t xml:space="preserve"> Agency. Global Renewables Outlook: Energy transformation 2050. (202</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-0</w:t>
      </w:r>
      <w:r>
        <w:rPr>
          <w:rFonts w:ascii="Times New Roman" w:eastAsia="宋体" w:hAnsi="Times New Roman" w:cs="Times New Roman" w:hint="eastAsia"/>
          <w:sz w:val="18"/>
          <w:szCs w:val="18"/>
        </w:rPr>
        <w:t>7</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https://www.irena.org/publications/2020/Apr/Global-Renewables-Outlook-2020. </w:t>
      </w:r>
    </w:p>
    <w:p w14:paraId="71FAD3C4"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13</w:t>
      </w:r>
      <w:r>
        <w:rPr>
          <w:rFonts w:ascii="Times New Roman" w:eastAsia="宋体" w:hAnsi="Times New Roman" w:cs="Times New Roman"/>
          <w:sz w:val="18"/>
          <w:szCs w:val="18"/>
        </w:rPr>
        <w:t xml:space="preserve">] </w:t>
      </w:r>
      <w:r>
        <w:rPr>
          <w:rFonts w:ascii="Times New Roman" w:hAnsi="Times New Roman" w:cs="Times New Roman"/>
          <w:sz w:val="18"/>
          <w:szCs w:val="18"/>
        </w:rPr>
        <w:t>Månberger A, Stenqvist B. Global metal flows in the renewable energy transition: Exploring the effects of substitutes, technological mix and development[J]. Energy Policy, 2018, 119: 226-241.</w:t>
      </w:r>
    </w:p>
    <w:p w14:paraId="51AA9DA0"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14</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The World Bank. The Growing Role of Minerals and Metals for a</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Low Carbon Future[R]. Washington D C: The World Bank, 2017.</w:t>
      </w:r>
    </w:p>
    <w:p w14:paraId="71DED907"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15</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World Steel Association. Steel’s Contribution to a Low Carbon</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Future and Climate Resilient Societies[EB/OL].https://www.worldsteel.org/en/dam/jcr:7ec64bc1-c51c-439b-84b8</w:t>
      </w:r>
      <w:r>
        <w:rPr>
          <w:rFonts w:ascii="Times New Roman" w:eastAsia="宋体" w:hAnsi="Times New Roman" w:cs="Times New Roman" w:hint="eastAsia"/>
          <w:sz w:val="18"/>
          <w:szCs w:val="18"/>
        </w:rPr>
        <w:t>94496686b8c6/Position_paper_climate_2019_vfinal.pdf</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2019.</w:t>
      </w:r>
    </w:p>
    <w:p w14:paraId="3B9D67D0"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16</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刘刚</w:t>
      </w:r>
      <w:r>
        <w:rPr>
          <w:rFonts w:ascii="Times New Roman" w:hAnsi="Times New Roman" w:cs="Times New Roman" w:hint="eastAsia"/>
          <w:sz w:val="18"/>
          <w:szCs w:val="18"/>
        </w:rPr>
        <w:t xml:space="preserve">, </w:t>
      </w:r>
      <w:r>
        <w:rPr>
          <w:rFonts w:ascii="Times New Roman" w:hAnsi="Times New Roman" w:cs="Times New Roman" w:hint="eastAsia"/>
          <w:sz w:val="18"/>
          <w:szCs w:val="18"/>
        </w:rPr>
        <w:t>刘立涛</w:t>
      </w:r>
      <w:r>
        <w:rPr>
          <w:rFonts w:ascii="Times New Roman" w:hAnsi="Times New Roman" w:cs="Times New Roman" w:hint="eastAsia"/>
          <w:sz w:val="18"/>
          <w:szCs w:val="18"/>
        </w:rPr>
        <w:t xml:space="preserve">, </w:t>
      </w:r>
      <w:r>
        <w:rPr>
          <w:rFonts w:ascii="Times New Roman" w:hAnsi="Times New Roman" w:cs="Times New Roman" w:hint="eastAsia"/>
          <w:sz w:val="18"/>
          <w:szCs w:val="18"/>
        </w:rPr>
        <w:t>欧阳锌</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绿色低碳转型背景下关键金属循环利用战略与对策</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中国科学院院刊</w:t>
      </w:r>
      <w:r>
        <w:rPr>
          <w:rFonts w:ascii="Times New Roman" w:hAnsi="Times New Roman" w:cs="Times New Roman" w:hint="eastAsia"/>
          <w:sz w:val="18"/>
          <w:szCs w:val="18"/>
        </w:rPr>
        <w:t>, 2022, 37 (11): 1566-1576.</w:t>
      </w:r>
    </w:p>
    <w:p w14:paraId="5528C197"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hAnsi="Times New Roman" w:cs="Times New Roman" w:hint="eastAsia"/>
          <w:sz w:val="18"/>
          <w:szCs w:val="18"/>
        </w:rPr>
        <w:t xml:space="preserve">      LIU G</w:t>
      </w:r>
      <w:r>
        <w:rPr>
          <w:rFonts w:ascii="Times New Roman" w:hAnsi="Times New Roman" w:cs="Times New Roman" w:hint="eastAsia"/>
          <w:sz w:val="18"/>
          <w:szCs w:val="18"/>
        </w:rPr>
        <w:t>，</w:t>
      </w:r>
      <w:r>
        <w:rPr>
          <w:rFonts w:ascii="Times New Roman" w:hAnsi="Times New Roman" w:cs="Times New Roman" w:hint="eastAsia"/>
          <w:sz w:val="18"/>
          <w:szCs w:val="18"/>
        </w:rPr>
        <w:t xml:space="preserve">LIU L T, Ouyang X, et al. Recycling of Critical metals in green and low-carbon transition: Strategies and countermeasures. Bulletin of Chinese Academy of Sciences, </w:t>
      </w:r>
      <w:r>
        <w:rPr>
          <w:rFonts w:ascii="Times New Roman" w:hAnsi="Times New Roman" w:cs="Times New Roman" w:hint="eastAsia"/>
          <w:sz w:val="18"/>
          <w:szCs w:val="18"/>
        </w:rPr>
        <w:lastRenderedPageBreak/>
        <w:t>2022, 37(11): 1566-1576. (in Chinese)</w:t>
      </w:r>
    </w:p>
    <w:p w14:paraId="403467C0" w14:textId="020628B5" w:rsidR="004D65F8" w:rsidRDefault="004D65F8" w:rsidP="004D65F8">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17</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Coombs T A, Wang Q, Shah A, et al. High-temperature superconductors and their large-scale applications[J]. Nature Reviews Electrical Engineering, 2024: 1-14.</w:t>
      </w:r>
    </w:p>
    <w:p w14:paraId="32A35D05" w14:textId="16CE42C7" w:rsidR="004D65F8" w:rsidRDefault="004D65F8" w:rsidP="004D65F8">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18</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Grandell L, Lehtilä A, Kivinen M, et al. Role of critical metals in the future markets of clean energy technologies[J]. Renewable energy, 2016, 95: 53-62.</w:t>
      </w:r>
    </w:p>
    <w:p w14:paraId="57039246" w14:textId="74CA7C40" w:rsidR="004D65F8" w:rsidRDefault="004D65F8" w:rsidP="004D65F8">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19</w:t>
      </w:r>
      <w:r>
        <w:rPr>
          <w:rFonts w:ascii="Times New Roman" w:eastAsia="宋体" w:hAnsi="Times New Roman" w:cs="Times New Roman"/>
          <w:sz w:val="18"/>
          <w:szCs w:val="18"/>
        </w:rPr>
        <w:t xml:space="preserve">] </w:t>
      </w:r>
      <w:r>
        <w:rPr>
          <w:rFonts w:ascii="Times New Roman" w:hAnsi="Times New Roman" w:cs="Times New Roman"/>
          <w:sz w:val="18"/>
          <w:szCs w:val="18"/>
        </w:rPr>
        <w:t>Calderon J L, Bazilian M, Sovacool B, et al. Reviewing the material and metal security of low-carbon energy transitions[J]. Renewable and Sustainable Energy Reviews, 2020, 124: 109789.</w:t>
      </w:r>
    </w:p>
    <w:p w14:paraId="37F2DD91" w14:textId="4EBB067A" w:rsidR="004D65F8" w:rsidRPr="004D65F8" w:rsidRDefault="004D65F8" w:rsidP="004D65F8">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20</w:t>
      </w:r>
      <w:r>
        <w:rPr>
          <w:rFonts w:ascii="Times New Roman" w:eastAsia="宋体" w:hAnsi="Times New Roman" w:cs="Times New Roman"/>
          <w:sz w:val="18"/>
          <w:szCs w:val="18"/>
        </w:rPr>
        <w:t xml:space="preserve">] </w:t>
      </w:r>
      <w:r>
        <w:rPr>
          <w:rFonts w:ascii="Times New Roman" w:hAnsi="Times New Roman" w:cs="Times New Roman"/>
          <w:sz w:val="18"/>
          <w:szCs w:val="18"/>
        </w:rPr>
        <w:t>Wang P, Chen L Y, Ge J P, et al. Incorporating critical material cycles into metal-energy nexus of China’s 2050 renewable transition[J]. Applied Energy, 2019, 253: 113612.</w:t>
      </w:r>
    </w:p>
    <w:p w14:paraId="6487E951" w14:textId="724A6F8F"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sidR="004D65F8">
        <w:rPr>
          <w:rFonts w:ascii="Times New Roman" w:eastAsia="宋体" w:hAnsi="Times New Roman" w:cs="Times New Roman" w:hint="eastAsia"/>
          <w:sz w:val="18"/>
          <w:szCs w:val="18"/>
        </w:rPr>
        <w:t>21</w:t>
      </w:r>
      <w:r>
        <w:rPr>
          <w:rFonts w:ascii="Times New Roman" w:eastAsia="宋体" w:hAnsi="Times New Roman" w:cs="Times New Roman"/>
          <w:sz w:val="18"/>
          <w:szCs w:val="18"/>
        </w:rPr>
        <w:t xml:space="preserve">] </w:t>
      </w:r>
      <w:r>
        <w:rPr>
          <w:rFonts w:ascii="Times New Roman" w:hAnsi="Times New Roman" w:cs="Times New Roman"/>
          <w:sz w:val="18"/>
          <w:szCs w:val="18"/>
        </w:rPr>
        <w:t>Ren K, Tang X, Wang P, et al. Bridging energy and metal sustainability: insights from China’s wind power development up to 2050[J]. Energy, 2021, 227: 120524.</w:t>
      </w:r>
    </w:p>
    <w:p w14:paraId="1A0439AB" w14:textId="538B4C0C"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sidR="004D65F8">
        <w:rPr>
          <w:rFonts w:ascii="Times New Roman" w:eastAsia="宋体" w:hAnsi="Times New Roman" w:cs="Times New Roman" w:hint="eastAsia"/>
          <w:sz w:val="18"/>
          <w:szCs w:val="18"/>
        </w:rPr>
        <w:t>2</w:t>
      </w:r>
      <w:r>
        <w:t xml:space="preserve"> </w:t>
      </w:r>
      <w:r>
        <w:rPr>
          <w:rFonts w:ascii="Times New Roman" w:eastAsia="宋体" w:hAnsi="Times New Roman" w:cs="Times New Roman"/>
          <w:sz w:val="18"/>
          <w:szCs w:val="18"/>
        </w:rPr>
        <w:t xml:space="preserve">International </w:t>
      </w:r>
      <w:r>
        <w:rPr>
          <w:rFonts w:ascii="Times New Roman" w:eastAsia="宋体" w:hAnsi="Times New Roman" w:cs="Times New Roman" w:hint="eastAsia"/>
          <w:sz w:val="18"/>
          <w:szCs w:val="18"/>
        </w:rPr>
        <w:t>Nickel Study</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Group</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Environmental and Economic</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w:t>
      </w:r>
      <w:r>
        <w:rPr>
          <w:rFonts w:ascii="Times New Roman" w:eastAsia="宋体" w:hAnsi="Times New Roman" w:cs="Times New Roman" w:hint="eastAsia"/>
          <w:sz w:val="18"/>
          <w:szCs w:val="18"/>
        </w:rPr>
        <w:t>14</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https://insg.org/index.php/environmental-and-economic. </w:t>
      </w:r>
    </w:p>
    <w:p w14:paraId="7793E07F" w14:textId="3F43532D"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sidR="004D65F8">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Henckens M, Worrell E. Reviewing the availability of copper and nickel for future generations. The balance between production growth, sustainability and recycling rates[J]. Journal of Cleaner Production, 2020, 264: 121460.</w:t>
      </w:r>
    </w:p>
    <w:p w14:paraId="184A3E90" w14:textId="23C929EF"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sidR="004D65F8">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Guohua Y, Elshkaki A, Xiao X. Dynamic analysis of future nickel demand, supply, and associated materials, energy, water, and carbon emissions in China[J]. Resources Policy, 2021, 74: 102432.</w:t>
      </w:r>
    </w:p>
    <w:p w14:paraId="25C16EFC" w14:textId="0CACF7B3" w:rsidR="00691F6A" w:rsidRDefault="00000000">
      <w:pPr>
        <w:wordWrap w:val="0"/>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hint="eastAsia"/>
          <w:sz w:val="18"/>
          <w:szCs w:val="18"/>
        </w:rPr>
        <w:t>25</w:t>
      </w:r>
      <w:r>
        <w:rPr>
          <w:rFonts w:ascii="Times New Roman" w:hAnsi="Times New Roman" w:cs="Times New Roman"/>
          <w:sz w:val="18"/>
          <w:szCs w:val="18"/>
        </w:rPr>
        <w:t xml:space="preserve">] </w:t>
      </w:r>
      <w:r w:rsidR="00F41280" w:rsidRPr="00F41280">
        <w:rPr>
          <w:rFonts w:ascii="Times New Roman" w:hAnsi="Times New Roman" w:cs="Times New Roman"/>
          <w:sz w:val="18"/>
          <w:szCs w:val="18"/>
        </w:rPr>
        <w:t>Ziv K, Bazilian M. Solar surge puts pressure on silver supply (but look for the silver lining)</w:t>
      </w:r>
      <w:r w:rsidR="00F41280" w:rsidRPr="00F41280">
        <w:rPr>
          <w:rFonts w:ascii="Times New Roman" w:hAnsi="Times New Roman" w:cs="Times New Roman" w:hint="eastAsia"/>
          <w:sz w:val="18"/>
          <w:szCs w:val="18"/>
        </w:rPr>
        <w:t xml:space="preserve"> </w:t>
      </w:r>
      <w:r w:rsidR="00F41280" w:rsidRPr="00F41280">
        <w:rPr>
          <w:rFonts w:ascii="Times New Roman" w:hAnsi="Times New Roman" w:cs="Times New Roman"/>
          <w:sz w:val="18"/>
          <w:szCs w:val="18"/>
        </w:rPr>
        <w:t>[J]. 2024.</w:t>
      </w:r>
    </w:p>
    <w:p w14:paraId="6204205B"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26</w:t>
      </w:r>
      <w:r>
        <w:rPr>
          <w:rFonts w:ascii="Times New Roman" w:eastAsia="宋体" w:hAnsi="Times New Roman" w:cs="Times New Roman"/>
          <w:sz w:val="18"/>
          <w:szCs w:val="18"/>
        </w:rPr>
        <w:t xml:space="preserve">] </w:t>
      </w:r>
      <w:r>
        <w:rPr>
          <w:rFonts w:ascii="Times New Roman" w:hAnsi="Times New Roman" w:cs="Times New Roman"/>
          <w:sz w:val="18"/>
          <w:szCs w:val="18"/>
        </w:rPr>
        <w:t>Rout S, Jana P, Borra C R, et al. Unlocking silver from end-of-life photovoltaic panels: A concise review[J]. Renewable and Sustainable Energy Reviews, 2025, 210: 115205.</w:t>
      </w:r>
    </w:p>
    <w:p w14:paraId="4D098A76"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27</w:t>
      </w:r>
      <w:r>
        <w:rPr>
          <w:rFonts w:ascii="Times New Roman" w:eastAsia="宋体" w:hAnsi="Times New Roman" w:cs="Times New Roman"/>
          <w:sz w:val="18"/>
          <w:szCs w:val="18"/>
        </w:rPr>
        <w:t xml:space="preserve">] </w:t>
      </w:r>
      <w:r>
        <w:rPr>
          <w:rFonts w:ascii="Times New Roman" w:hAnsi="Times New Roman" w:cs="Times New Roman"/>
          <w:sz w:val="18"/>
          <w:szCs w:val="18"/>
        </w:rPr>
        <w:t>Preet S, Smith S T. A comprehensive review on the recycling technology of silicon based photovoltaic solar panels: Challenges and future outlook[J]. Journal of Cleaner Production, 2024: 141661.</w:t>
      </w:r>
    </w:p>
    <w:p w14:paraId="0416819B"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28</w:t>
      </w:r>
      <w:r>
        <w:rPr>
          <w:rFonts w:ascii="Times New Roman" w:eastAsia="宋体" w:hAnsi="Times New Roman" w:cs="Times New Roman"/>
          <w:sz w:val="18"/>
          <w:szCs w:val="18"/>
        </w:rPr>
        <w:t xml:space="preserve">] </w:t>
      </w:r>
      <w:r>
        <w:rPr>
          <w:rFonts w:ascii="Times New Roman" w:hAnsi="Times New Roman" w:cs="Times New Roman"/>
          <w:sz w:val="18"/>
          <w:szCs w:val="18"/>
        </w:rPr>
        <w:t>Gómez M, Xu G C, Li J H, et al. Securing indium utilization for high-tech and renewable energy industries. Environmental Science &amp; Technology, 2023, 57(6): 2611-2624.</w:t>
      </w:r>
    </w:p>
    <w:p w14:paraId="5D75859E"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29</w:t>
      </w:r>
      <w:r>
        <w:rPr>
          <w:rFonts w:ascii="Times New Roman" w:eastAsia="宋体" w:hAnsi="Times New Roman" w:cs="Times New Roman"/>
          <w:sz w:val="18"/>
          <w:szCs w:val="18"/>
        </w:rPr>
        <w:t xml:space="preserve">] </w:t>
      </w:r>
      <w:r>
        <w:rPr>
          <w:rFonts w:ascii="Times New Roman" w:hAnsi="Times New Roman" w:cs="Times New Roman"/>
          <w:sz w:val="18"/>
          <w:szCs w:val="18"/>
        </w:rPr>
        <w:t>Gómez M, Xu G C, Li Y, et al. Navigating the future: China's photovoltaic roadmap challenges[J]. Science bulletin, 2023, 68(21): 2491-2494.</w:t>
      </w:r>
    </w:p>
    <w:p w14:paraId="1423DF0D"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30</w:t>
      </w:r>
      <w:r>
        <w:rPr>
          <w:rFonts w:ascii="Times New Roman" w:eastAsia="宋体" w:hAnsi="Times New Roman" w:cs="Times New Roman"/>
          <w:sz w:val="18"/>
          <w:szCs w:val="18"/>
        </w:rPr>
        <w:t xml:space="preserve">] </w:t>
      </w:r>
      <w:r>
        <w:rPr>
          <w:rFonts w:ascii="Times New Roman" w:hAnsi="Times New Roman" w:cs="Times New Roman"/>
          <w:sz w:val="18"/>
          <w:szCs w:val="18"/>
        </w:rPr>
        <w:t>Chen Y, Li N, Wang L, et al. Impacts of alkaline on the defects property and crystallization kinetics in perovskite solar cells[J]. Nature communications, 2019, 10(1): 1112.</w:t>
      </w:r>
    </w:p>
    <w:p w14:paraId="410FA84E"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31</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International Energy Agency. Electricity Grids and Secure Energy Transitions. (202</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Pr>
          <w:rFonts w:ascii="Times New Roman" w:eastAsia="宋体" w:hAnsi="Times New Roman" w:cs="Times New Roman" w:hint="eastAsia"/>
          <w:sz w:val="18"/>
          <w:szCs w:val="18"/>
        </w:rPr>
        <w:t>10</w:t>
      </w:r>
      <w:r>
        <w:rPr>
          <w:rFonts w:ascii="Times New Roman" w:eastAsia="宋体" w:hAnsi="Times New Roman" w:cs="Times New Roman"/>
          <w:sz w:val="18"/>
          <w:szCs w:val="18"/>
        </w:rPr>
        <w:t>-01)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https://www.iea.org/reports/electricity-grids-and-secure-energy-transitions. </w:t>
      </w:r>
    </w:p>
    <w:p w14:paraId="4F604283"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32</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International Energy Agency. World Energy Investment 2024. (202</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eastAsia="宋体" w:hAnsi="Times New Roman" w:cs="Times New Roman" w:hint="eastAsia"/>
          <w:sz w:val="18"/>
          <w:szCs w:val="18"/>
        </w:rPr>
        <w:t>06</w:t>
      </w:r>
      <w:r>
        <w:rPr>
          <w:rFonts w:ascii="Times New Roman" w:eastAsia="宋体" w:hAnsi="Times New Roman" w:cs="Times New Roman"/>
          <w:sz w:val="18"/>
          <w:szCs w:val="18"/>
        </w:rPr>
        <w:t>-01)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https://www.iea.org/reports/world-energy-investment-2024. </w:t>
      </w:r>
    </w:p>
    <w:p w14:paraId="4E56976C"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33</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 xml:space="preserve">International Energy Agency. </w:t>
      </w:r>
      <w:r>
        <w:rPr>
          <w:rFonts w:ascii="Times New Roman" w:eastAsia="宋体" w:hAnsi="Times New Roman" w:cs="Times New Roman" w:hint="eastAsia"/>
          <w:sz w:val="18"/>
          <w:szCs w:val="18"/>
        </w:rPr>
        <w:t>E</w:t>
      </w:r>
      <w:r>
        <w:rPr>
          <w:rFonts w:ascii="Times New Roman" w:eastAsia="宋体" w:hAnsi="Times New Roman" w:cs="Times New Roman"/>
          <w:sz w:val="18"/>
          <w:szCs w:val="18"/>
        </w:rPr>
        <w:t>nergy Efficiency Progress Tracker. (202</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-0</w:t>
      </w:r>
      <w:r>
        <w:rPr>
          <w:rFonts w:ascii="Times New Roman" w:eastAsia="宋体" w:hAnsi="Times New Roman" w:cs="Times New Roman" w:hint="eastAsia"/>
          <w:sz w:val="18"/>
          <w:szCs w:val="18"/>
        </w:rPr>
        <w:t>7</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https://www.iea.org/data-and-statistics/data-tools/energy-efficiency-progress-tracker#overview. </w:t>
      </w:r>
    </w:p>
    <w:p w14:paraId="5A5176FE" w14:textId="6E205230"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34</w:t>
      </w:r>
      <w:r>
        <w:rPr>
          <w:rFonts w:ascii="Times New Roman" w:eastAsia="宋体" w:hAnsi="Times New Roman" w:cs="Times New Roman"/>
          <w:sz w:val="18"/>
          <w:szCs w:val="18"/>
        </w:rPr>
        <w:t xml:space="preserve">] Choi J W, Aurbach D. Promise and reality of post-lithium-ion batteries with high energy densities[J]. Nature </w:t>
      </w:r>
      <w:r w:rsidR="0062203D">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eviews </w:t>
      </w:r>
      <w:r w:rsidR="0062203D">
        <w:rPr>
          <w:rFonts w:ascii="Times New Roman" w:eastAsia="宋体" w:hAnsi="Times New Roman" w:cs="Times New Roman" w:hint="eastAsia"/>
          <w:sz w:val="18"/>
          <w:szCs w:val="18"/>
        </w:rPr>
        <w:t>M</w:t>
      </w:r>
      <w:r>
        <w:rPr>
          <w:rFonts w:ascii="Times New Roman" w:eastAsia="宋体" w:hAnsi="Times New Roman" w:cs="Times New Roman"/>
          <w:sz w:val="18"/>
          <w:szCs w:val="18"/>
        </w:rPr>
        <w:t>aterials, 2016, 1(4): 1-16.</w:t>
      </w:r>
    </w:p>
    <w:p w14:paraId="53A2BA82" w14:textId="77777777"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35</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缪友萍</w:t>
      </w:r>
      <w:r>
        <w:rPr>
          <w:rFonts w:ascii="Times New Roman" w:hAnsi="Times New Roman" w:cs="Times New Roman" w:hint="eastAsia"/>
          <w:sz w:val="18"/>
          <w:szCs w:val="18"/>
        </w:rPr>
        <w:t>.</w:t>
      </w:r>
      <w:r>
        <w:rPr>
          <w:rFonts w:ascii="Times New Roman" w:hAnsi="Times New Roman" w:cs="Times New Roman" w:hint="eastAsia"/>
          <w:sz w:val="18"/>
          <w:szCs w:val="18"/>
        </w:rPr>
        <w:t>动力电池关键金属需求潜量评估与供给风险研究</w:t>
      </w:r>
      <w:r>
        <w:rPr>
          <w:rFonts w:ascii="Times New Roman" w:hAnsi="Times New Roman" w:cs="Times New Roman" w:hint="eastAsia"/>
          <w:sz w:val="18"/>
          <w:szCs w:val="18"/>
        </w:rPr>
        <w:t>[D].</w:t>
      </w:r>
      <w:r>
        <w:rPr>
          <w:rFonts w:ascii="Times New Roman" w:hAnsi="Times New Roman" w:cs="Times New Roman" w:hint="eastAsia"/>
          <w:sz w:val="18"/>
          <w:szCs w:val="18"/>
        </w:rPr>
        <w:t>北京：清华大学，</w:t>
      </w:r>
      <w:r>
        <w:rPr>
          <w:rFonts w:ascii="Times New Roman" w:hAnsi="Times New Roman" w:cs="Times New Roman" w:hint="eastAsia"/>
          <w:sz w:val="18"/>
          <w:szCs w:val="18"/>
        </w:rPr>
        <w:t>2024.</w:t>
      </w:r>
    </w:p>
    <w:p w14:paraId="5001D227" w14:textId="0EC4AB30"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MIAO</w:t>
      </w:r>
      <w:r>
        <w:rPr>
          <w:rFonts w:ascii="Times New Roman" w:hAnsi="Times New Roman" w:cs="Times New Roman"/>
          <w:sz w:val="18"/>
          <w:szCs w:val="18"/>
        </w:rPr>
        <w:t xml:space="preserve"> </w:t>
      </w:r>
      <w:r>
        <w:rPr>
          <w:rFonts w:ascii="Times New Roman" w:hAnsi="Times New Roman" w:cs="Times New Roman" w:hint="eastAsia"/>
          <w:sz w:val="18"/>
          <w:szCs w:val="18"/>
        </w:rPr>
        <w:t>Y</w:t>
      </w:r>
      <w:r>
        <w:rPr>
          <w:rFonts w:ascii="Times New Roman" w:hAnsi="Times New Roman" w:cs="Times New Roman"/>
          <w:sz w:val="18"/>
          <w:szCs w:val="18"/>
        </w:rPr>
        <w:t xml:space="preserve"> </w:t>
      </w:r>
      <w:r>
        <w:rPr>
          <w:rFonts w:ascii="Times New Roman" w:hAnsi="Times New Roman" w:cs="Times New Roman" w:hint="eastAsia"/>
          <w:sz w:val="18"/>
          <w:szCs w:val="18"/>
        </w:rPr>
        <w:t>P</w:t>
      </w:r>
      <w:r>
        <w:rPr>
          <w:rFonts w:ascii="Times New Roman" w:hAnsi="Times New Roman" w:cs="Times New Roman"/>
          <w:sz w:val="18"/>
          <w:szCs w:val="18"/>
        </w:rPr>
        <w:t xml:space="preserve">. </w:t>
      </w:r>
      <w:r w:rsidR="00302171" w:rsidRPr="00302171">
        <w:rPr>
          <w:rFonts w:ascii="Times New Roman" w:hAnsi="Times New Roman" w:cs="Times New Roman"/>
          <w:sz w:val="18"/>
          <w:szCs w:val="18"/>
        </w:rPr>
        <w:t xml:space="preserve">Measuring </w:t>
      </w:r>
      <w:r w:rsidR="00302171">
        <w:rPr>
          <w:rFonts w:ascii="Times New Roman" w:hAnsi="Times New Roman" w:cs="Times New Roman" w:hint="eastAsia"/>
          <w:sz w:val="18"/>
          <w:szCs w:val="18"/>
        </w:rPr>
        <w:t>d</w:t>
      </w:r>
      <w:r w:rsidR="00302171" w:rsidRPr="00302171">
        <w:rPr>
          <w:rFonts w:ascii="Times New Roman" w:hAnsi="Times New Roman" w:cs="Times New Roman"/>
          <w:sz w:val="18"/>
          <w:szCs w:val="18"/>
        </w:rPr>
        <w:t xml:space="preserve">emand </w:t>
      </w:r>
      <w:r w:rsidR="00302171">
        <w:rPr>
          <w:rFonts w:ascii="Times New Roman" w:hAnsi="Times New Roman" w:cs="Times New Roman" w:hint="eastAsia"/>
          <w:sz w:val="18"/>
          <w:szCs w:val="18"/>
        </w:rPr>
        <w:t>p</w:t>
      </w:r>
      <w:r w:rsidR="00302171" w:rsidRPr="00302171">
        <w:rPr>
          <w:rFonts w:ascii="Times New Roman" w:hAnsi="Times New Roman" w:cs="Times New Roman"/>
          <w:sz w:val="18"/>
          <w:szCs w:val="18"/>
        </w:rPr>
        <w:t xml:space="preserve">otential and </w:t>
      </w:r>
      <w:r w:rsidR="00302171">
        <w:rPr>
          <w:rFonts w:ascii="Times New Roman" w:hAnsi="Times New Roman" w:cs="Times New Roman" w:hint="eastAsia"/>
          <w:sz w:val="18"/>
          <w:szCs w:val="18"/>
        </w:rPr>
        <w:t>s</w:t>
      </w:r>
      <w:r w:rsidR="00302171" w:rsidRPr="00302171">
        <w:rPr>
          <w:rFonts w:ascii="Times New Roman" w:hAnsi="Times New Roman" w:cs="Times New Roman"/>
          <w:sz w:val="18"/>
          <w:szCs w:val="18"/>
        </w:rPr>
        <w:t xml:space="preserve">upply </w:t>
      </w:r>
      <w:r w:rsidR="00302171">
        <w:rPr>
          <w:rFonts w:ascii="Times New Roman" w:hAnsi="Times New Roman" w:cs="Times New Roman" w:hint="eastAsia"/>
          <w:sz w:val="18"/>
          <w:szCs w:val="18"/>
        </w:rPr>
        <w:t>r</w:t>
      </w:r>
      <w:r w:rsidR="00302171" w:rsidRPr="00302171">
        <w:rPr>
          <w:rFonts w:ascii="Times New Roman" w:hAnsi="Times New Roman" w:cs="Times New Roman"/>
          <w:sz w:val="18"/>
          <w:szCs w:val="18"/>
        </w:rPr>
        <w:t xml:space="preserve">isk of </w:t>
      </w:r>
      <w:r w:rsidR="00302171">
        <w:rPr>
          <w:rFonts w:ascii="Times New Roman" w:hAnsi="Times New Roman" w:cs="Times New Roman" w:hint="eastAsia"/>
          <w:sz w:val="18"/>
          <w:szCs w:val="18"/>
        </w:rPr>
        <w:t>c</w:t>
      </w:r>
      <w:r w:rsidR="00302171" w:rsidRPr="00302171">
        <w:rPr>
          <w:rFonts w:ascii="Times New Roman" w:hAnsi="Times New Roman" w:cs="Times New Roman"/>
          <w:sz w:val="18"/>
          <w:szCs w:val="18"/>
        </w:rPr>
        <w:t xml:space="preserve">ritical </w:t>
      </w:r>
      <w:r w:rsidR="00302171">
        <w:rPr>
          <w:rFonts w:ascii="Times New Roman" w:hAnsi="Times New Roman" w:cs="Times New Roman" w:hint="eastAsia"/>
          <w:sz w:val="18"/>
          <w:szCs w:val="18"/>
        </w:rPr>
        <w:t>r</w:t>
      </w:r>
      <w:r w:rsidR="00302171" w:rsidRPr="00302171">
        <w:rPr>
          <w:rFonts w:ascii="Times New Roman" w:hAnsi="Times New Roman" w:cs="Times New Roman"/>
          <w:sz w:val="18"/>
          <w:szCs w:val="18"/>
        </w:rPr>
        <w:t xml:space="preserve">esources for </w:t>
      </w:r>
      <w:r w:rsidR="00302171">
        <w:rPr>
          <w:rFonts w:ascii="Times New Roman" w:hAnsi="Times New Roman" w:cs="Times New Roman" w:hint="eastAsia"/>
          <w:sz w:val="18"/>
          <w:szCs w:val="18"/>
        </w:rPr>
        <w:t>p</w:t>
      </w:r>
      <w:r w:rsidR="00302171" w:rsidRPr="00302171">
        <w:rPr>
          <w:rFonts w:ascii="Times New Roman" w:hAnsi="Times New Roman" w:cs="Times New Roman"/>
          <w:sz w:val="18"/>
          <w:szCs w:val="18"/>
        </w:rPr>
        <w:t xml:space="preserve">ower </w:t>
      </w:r>
      <w:r w:rsidR="00302171">
        <w:rPr>
          <w:rFonts w:ascii="Times New Roman" w:hAnsi="Times New Roman" w:cs="Times New Roman" w:hint="eastAsia"/>
          <w:sz w:val="18"/>
          <w:szCs w:val="18"/>
        </w:rPr>
        <w:t>l</w:t>
      </w:r>
      <w:r w:rsidR="00302171" w:rsidRPr="00302171">
        <w:rPr>
          <w:rFonts w:ascii="Times New Roman" w:hAnsi="Times New Roman" w:cs="Times New Roman"/>
          <w:sz w:val="18"/>
          <w:szCs w:val="18"/>
        </w:rPr>
        <w:t xml:space="preserve">ithium-ion </w:t>
      </w:r>
      <w:r w:rsidR="00302171">
        <w:rPr>
          <w:rFonts w:ascii="Times New Roman" w:hAnsi="Times New Roman" w:cs="Times New Roman" w:hint="eastAsia"/>
          <w:sz w:val="18"/>
          <w:szCs w:val="18"/>
        </w:rPr>
        <w:t>b</w:t>
      </w:r>
      <w:r w:rsidR="00302171" w:rsidRPr="00302171">
        <w:rPr>
          <w:rFonts w:ascii="Times New Roman" w:hAnsi="Times New Roman" w:cs="Times New Roman"/>
          <w:sz w:val="18"/>
          <w:szCs w:val="18"/>
        </w:rPr>
        <w:t>atteries</w:t>
      </w:r>
      <w:r>
        <w:rPr>
          <w:rFonts w:ascii="Times New Roman" w:hAnsi="Times New Roman" w:cs="Times New Roman"/>
          <w:color w:val="EE0000"/>
          <w:sz w:val="18"/>
          <w:szCs w:val="18"/>
        </w:rPr>
        <w:t xml:space="preserve"> </w:t>
      </w:r>
      <w:r>
        <w:rPr>
          <w:rFonts w:ascii="Times New Roman" w:hAnsi="Times New Roman" w:cs="Times New Roman"/>
          <w:sz w:val="18"/>
          <w:szCs w:val="18"/>
        </w:rPr>
        <w:t xml:space="preserve">[D]. Beijing: Tsinghua University, </w:t>
      </w:r>
      <w:r>
        <w:rPr>
          <w:rFonts w:ascii="Times New Roman" w:hAnsi="Times New Roman" w:cs="Times New Roman" w:hint="eastAsia"/>
          <w:sz w:val="18"/>
          <w:szCs w:val="18"/>
        </w:rPr>
        <w:t>2024</w:t>
      </w:r>
      <w:r>
        <w:rPr>
          <w:rFonts w:ascii="Times New Roman" w:hAnsi="Times New Roman" w:cs="Times New Roman"/>
          <w:sz w:val="18"/>
          <w:szCs w:val="18"/>
        </w:rPr>
        <w:t>. (in Chinese)</w:t>
      </w:r>
      <w:r>
        <w:rPr>
          <w:rFonts w:ascii="Times New Roman" w:eastAsia="宋体" w:hAnsi="Times New Roman" w:cs="Times New Roman" w:hint="eastAsia"/>
          <w:sz w:val="18"/>
          <w:szCs w:val="18"/>
        </w:rPr>
        <w:t xml:space="preserve">        </w:t>
      </w:r>
    </w:p>
    <w:p w14:paraId="5D3D003D"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36</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 xml:space="preserve">United States Geological Survey. Mineral commodity </w:t>
      </w:r>
    </w:p>
    <w:p w14:paraId="24E50BF9" w14:textId="77777777" w:rsidR="00691F6A" w:rsidRDefault="00000000">
      <w:pPr>
        <w:wordWrap w:val="0"/>
        <w:autoSpaceDE w:val="0"/>
        <w:autoSpaceDN w:val="0"/>
        <w:adjustRightInd w:val="0"/>
        <w:spacing w:line="240" w:lineRule="atLeast"/>
        <w:ind w:firstLineChars="200" w:firstLine="360"/>
        <w:rPr>
          <w:rFonts w:ascii="Times New Roman" w:eastAsia="宋体" w:hAnsi="Times New Roman" w:cs="Times New Roman"/>
          <w:sz w:val="18"/>
          <w:szCs w:val="18"/>
        </w:rPr>
      </w:pPr>
      <w:r>
        <w:rPr>
          <w:rFonts w:ascii="Times New Roman" w:eastAsia="宋体" w:hAnsi="Times New Roman" w:cs="Times New Roman"/>
          <w:sz w:val="18"/>
          <w:szCs w:val="18"/>
        </w:rPr>
        <w:t>summaries. Reston: USGS, 2022.</w:t>
      </w:r>
    </w:p>
    <w:p w14:paraId="7B9CE6B6"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37</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International Energy Agency. Critical Minerals Market Review 2023. (202</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Pr>
          <w:rFonts w:ascii="Times New Roman" w:eastAsia="宋体" w:hAnsi="Times New Roman" w:cs="Times New Roman" w:hint="eastAsia"/>
          <w:sz w:val="18"/>
          <w:szCs w:val="18"/>
        </w:rPr>
        <w:t>12</w:t>
      </w:r>
      <w:r>
        <w:rPr>
          <w:rFonts w:ascii="Times New Roman" w:eastAsia="宋体" w:hAnsi="Times New Roman" w:cs="Times New Roman"/>
          <w:sz w:val="18"/>
          <w:szCs w:val="18"/>
        </w:rPr>
        <w:t>-</w:t>
      </w:r>
      <w:r>
        <w:rPr>
          <w:rFonts w:ascii="Times New Roman" w:eastAsia="宋体" w:hAnsi="Times New Roman" w:cs="Times New Roman" w:hint="eastAsia"/>
          <w:sz w:val="18"/>
          <w:szCs w:val="18"/>
        </w:rPr>
        <w:t>13</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https://www.iea.org/reports/critical-minerals-market-review-2023. </w:t>
      </w:r>
    </w:p>
    <w:p w14:paraId="519EC662" w14:textId="77777777"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38</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International Energy Agency. Global Critical Minerals Outlook 2024. (202</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eastAsia="宋体" w:hAnsi="Times New Roman" w:cs="Times New Roman" w:hint="eastAsia"/>
          <w:sz w:val="18"/>
          <w:szCs w:val="18"/>
        </w:rPr>
        <w:t>05</w:t>
      </w:r>
      <w:r>
        <w:rPr>
          <w:rFonts w:ascii="Times New Roman" w:eastAsia="宋体" w:hAnsi="Times New Roman" w:cs="Times New Roman"/>
          <w:sz w:val="18"/>
          <w:szCs w:val="18"/>
        </w:rPr>
        <w:t>-</w:t>
      </w:r>
      <w:r>
        <w:rPr>
          <w:rFonts w:ascii="Times New Roman" w:eastAsia="宋体" w:hAnsi="Times New Roman" w:cs="Times New Roman" w:hint="eastAsia"/>
          <w:sz w:val="18"/>
          <w:szCs w:val="18"/>
        </w:rPr>
        <w:t>17</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 xml:space="preserve">https://www.iea.org/events/global-critical-minerals-outlook-2024. </w:t>
      </w:r>
    </w:p>
    <w:p w14:paraId="5AB1E8B1" w14:textId="7777777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39</w:t>
      </w:r>
      <w:r>
        <w:rPr>
          <w:rFonts w:ascii="Times New Roman" w:eastAsia="宋体" w:hAnsi="Times New Roman" w:cs="Times New Roman"/>
          <w:sz w:val="18"/>
          <w:szCs w:val="18"/>
        </w:rPr>
        <w:t xml:space="preserve">] </w:t>
      </w:r>
      <w:r>
        <w:rPr>
          <w:rFonts w:ascii="Times New Roman" w:hAnsi="Times New Roman" w:cs="Times New Roman"/>
          <w:sz w:val="18"/>
          <w:szCs w:val="18"/>
        </w:rPr>
        <w:t>Calderon J L, Bazilian M, Sovacool B, et al. Reviewing the material and metal security of low-carbon energy transitions[J]. Renewable and Sustainable Energy Reviews, 2020, 124: 109789.</w:t>
      </w:r>
    </w:p>
    <w:p w14:paraId="04E219C9" w14:textId="0049ED50" w:rsidR="0018405C" w:rsidRDefault="0018405C" w:rsidP="0018405C">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40</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International Energy Agency. Global Critical Minerals Outlook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w:t>
      </w:r>
      <w:r>
        <w:rPr>
          <w:rFonts w:ascii="Times New Roman" w:eastAsia="宋体" w:hAnsi="Times New Roman" w:cs="Times New Roman" w:hint="eastAsia"/>
          <w:sz w:val="18"/>
          <w:szCs w:val="18"/>
        </w:rPr>
        <w:t>05</w:t>
      </w:r>
      <w:r>
        <w:rPr>
          <w:rFonts w:ascii="Times New Roman" w:eastAsia="宋体" w:hAnsi="Times New Roman" w:cs="Times New Roman"/>
          <w:sz w:val="18"/>
          <w:szCs w:val="18"/>
        </w:rPr>
        <w:t>-</w:t>
      </w:r>
      <w:r>
        <w:rPr>
          <w:rFonts w:ascii="Times New Roman" w:eastAsia="宋体" w:hAnsi="Times New Roman" w:cs="Times New Roman" w:hint="eastAsia"/>
          <w:sz w:val="18"/>
          <w:szCs w:val="18"/>
        </w:rPr>
        <w:t>01</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rPr>
          <w:rFonts w:ascii="Times New Roman" w:eastAsia="宋体" w:hAnsi="Times New Roman" w:cs="Times New Roman" w:hint="eastAsia"/>
          <w:sz w:val="18"/>
          <w:szCs w:val="18"/>
        </w:rPr>
        <w:t>01</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 xml:space="preserve">https://www.iea.org/events/global-critical-minerals-outlook-2024. </w:t>
      </w:r>
    </w:p>
    <w:p w14:paraId="40A1C943" w14:textId="1BA4A121" w:rsidR="0018405C" w:rsidRPr="0018405C" w:rsidRDefault="0018405C" w:rsidP="0018405C">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41</w:t>
      </w:r>
      <w:r>
        <w:rPr>
          <w:rFonts w:ascii="Times New Roman" w:eastAsia="宋体" w:hAnsi="Times New Roman" w:cs="Times New Roman"/>
          <w:sz w:val="18"/>
          <w:szCs w:val="18"/>
        </w:rPr>
        <w:t>]</w:t>
      </w:r>
      <w:r>
        <w:rPr>
          <w:rFonts w:ascii="Times New Roman" w:eastAsia="宋体" w:hAnsi="Times New Roman" w:cs="Times New Roman" w:hint="eastAsia"/>
          <w:sz w:val="18"/>
          <w:szCs w:val="18"/>
        </w:rPr>
        <w:t xml:space="preserve"> </w:t>
      </w:r>
      <w:r>
        <w:rPr>
          <w:rFonts w:ascii="Times New Roman" w:hAnsi="Times New Roman" w:cs="Times New Roman"/>
          <w:sz w:val="18"/>
          <w:szCs w:val="18"/>
        </w:rPr>
        <w:t>Xiong X, Zeng X L, Zhang Z, et al. China’s recycling potential of large-scale public transport vehicles and its implications[J]. Communications Engineering, 2023, 2(1): 56.</w:t>
      </w:r>
    </w:p>
    <w:p w14:paraId="1915F932" w14:textId="7B44DB79"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18405C">
        <w:rPr>
          <w:rFonts w:ascii="Times New Roman" w:eastAsia="宋体" w:hAnsi="Times New Roman" w:cs="Times New Roman" w:hint="eastAsia"/>
          <w:sz w:val="18"/>
          <w:szCs w:val="18"/>
        </w:rPr>
        <w:t>2</w:t>
      </w:r>
      <w:r>
        <w:rPr>
          <w:rFonts w:ascii="Times New Roman" w:eastAsia="宋体" w:hAnsi="Times New Roman" w:cs="Times New Roman"/>
          <w:sz w:val="18"/>
          <w:szCs w:val="18"/>
        </w:rPr>
        <w:t xml:space="preserve">] </w:t>
      </w:r>
      <w:r>
        <w:rPr>
          <w:rFonts w:ascii="Times New Roman" w:hAnsi="Times New Roman" w:cs="Times New Roman"/>
          <w:sz w:val="18"/>
          <w:szCs w:val="18"/>
        </w:rPr>
        <w:t xml:space="preserve">Harvey L D D. Iron and steel recycling: Review, conceptual model, irreducible mining requirements, and energy implications[J]. Renewable and Sustainable Energy </w:t>
      </w:r>
      <w:r>
        <w:rPr>
          <w:rFonts w:ascii="Times New Roman" w:hAnsi="Times New Roman" w:cs="Times New Roman"/>
          <w:sz w:val="18"/>
          <w:szCs w:val="18"/>
        </w:rPr>
        <w:lastRenderedPageBreak/>
        <w:t>Reviews, 2021, 138: 110553.</w:t>
      </w:r>
    </w:p>
    <w:p w14:paraId="72040C5B" w14:textId="127DD9EF"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4459B1">
        <w:rPr>
          <w:rFonts w:ascii="Times New Roman" w:eastAsia="宋体" w:hAnsi="Times New Roman" w:cs="Times New Roman" w:hint="eastAsia"/>
          <w:sz w:val="18"/>
          <w:szCs w:val="18"/>
        </w:rPr>
        <w:t>3</w:t>
      </w:r>
      <w:r>
        <w:rPr>
          <w:rFonts w:ascii="Times New Roman" w:eastAsia="宋体" w:hAnsi="Times New Roman" w:cs="Times New Roman"/>
          <w:sz w:val="18"/>
          <w:szCs w:val="18"/>
        </w:rPr>
        <w:t xml:space="preserve">] </w:t>
      </w:r>
      <w:r>
        <w:rPr>
          <w:rFonts w:ascii="Times New Roman" w:hAnsi="Times New Roman" w:cs="Times New Roman"/>
          <w:sz w:val="18"/>
          <w:szCs w:val="18"/>
        </w:rPr>
        <w:t>Kamran M, Raugei M, Hutchinson A. Critical elements for a successful energy transition: A systematic review[J]. Renewable and Sustainable Energy Transition, 2023, 4: 100068.</w:t>
      </w:r>
    </w:p>
    <w:p w14:paraId="5DDA6CCB" w14:textId="07D2A86E" w:rsidR="00691F6A" w:rsidRDefault="00000000">
      <w:pPr>
        <w:tabs>
          <w:tab w:val="left" w:pos="0"/>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4459B1">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代涛</w:t>
      </w:r>
      <w:r>
        <w:rPr>
          <w:rFonts w:ascii="Times New Roman" w:hAnsi="Times New Roman" w:cs="Times New Roman" w:hint="eastAsia"/>
          <w:sz w:val="18"/>
          <w:szCs w:val="18"/>
        </w:rPr>
        <w:t xml:space="preserve">, </w:t>
      </w:r>
      <w:r>
        <w:rPr>
          <w:rFonts w:ascii="Times New Roman" w:hAnsi="Times New Roman" w:cs="Times New Roman" w:hint="eastAsia"/>
          <w:sz w:val="18"/>
          <w:szCs w:val="18"/>
        </w:rPr>
        <w:t>高天明</w:t>
      </w:r>
      <w:r>
        <w:rPr>
          <w:rFonts w:ascii="Times New Roman" w:hAnsi="Times New Roman" w:cs="Times New Roman" w:hint="eastAsia"/>
          <w:sz w:val="18"/>
          <w:szCs w:val="18"/>
        </w:rPr>
        <w:t xml:space="preserve">, </w:t>
      </w:r>
      <w:r>
        <w:rPr>
          <w:rFonts w:ascii="Times New Roman" w:hAnsi="Times New Roman" w:cs="Times New Roman" w:hint="eastAsia"/>
          <w:sz w:val="18"/>
          <w:szCs w:val="18"/>
        </w:rPr>
        <w:t>文博杰</w:t>
      </w:r>
      <w:r>
        <w:rPr>
          <w:rFonts w:ascii="Times New Roman" w:hAnsi="Times New Roman" w:cs="Times New Roman" w:hint="eastAsia"/>
          <w:sz w:val="18"/>
          <w:szCs w:val="18"/>
        </w:rPr>
        <w:t xml:space="preserve">. </w:t>
      </w:r>
      <w:r>
        <w:rPr>
          <w:rFonts w:ascii="Times New Roman" w:hAnsi="Times New Roman" w:cs="Times New Roman" w:hint="eastAsia"/>
          <w:sz w:val="18"/>
          <w:szCs w:val="18"/>
        </w:rPr>
        <w:t>元素视角下的中国稀土供需格局及平衡利用策略</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中国科学院院刊</w:t>
      </w:r>
      <w:r>
        <w:rPr>
          <w:rFonts w:ascii="Times New Roman" w:hAnsi="Times New Roman" w:cs="Times New Roman" w:hint="eastAsia"/>
          <w:sz w:val="18"/>
          <w:szCs w:val="18"/>
        </w:rPr>
        <w:t>, 2022, 37 (11): 1586-1594.</w:t>
      </w:r>
    </w:p>
    <w:p w14:paraId="0BE76FF6" w14:textId="77777777"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sz w:val="18"/>
          <w:szCs w:val="18"/>
        </w:rPr>
        <w:t>D</w:t>
      </w:r>
      <w:r>
        <w:rPr>
          <w:rFonts w:ascii="Times New Roman" w:hAnsi="Times New Roman" w:cs="Times New Roman" w:hint="eastAsia"/>
          <w:sz w:val="18"/>
          <w:szCs w:val="18"/>
        </w:rPr>
        <w:t>AI</w:t>
      </w:r>
      <w:r>
        <w:rPr>
          <w:rFonts w:ascii="Times New Roman" w:hAnsi="Times New Roman" w:cs="Times New Roman"/>
          <w:sz w:val="18"/>
          <w:szCs w:val="18"/>
        </w:rPr>
        <w:t xml:space="preserve"> T, G</w:t>
      </w:r>
      <w:r>
        <w:rPr>
          <w:rFonts w:ascii="Times New Roman" w:hAnsi="Times New Roman" w:cs="Times New Roman" w:hint="eastAsia"/>
          <w:sz w:val="18"/>
          <w:szCs w:val="18"/>
        </w:rPr>
        <w:t>AO</w:t>
      </w:r>
      <w:r>
        <w:rPr>
          <w:rFonts w:ascii="Times New Roman" w:hAnsi="Times New Roman" w:cs="Times New Roman"/>
          <w:sz w:val="18"/>
          <w:szCs w:val="18"/>
        </w:rPr>
        <w:t xml:space="preserve"> T M, W</w:t>
      </w:r>
      <w:r>
        <w:rPr>
          <w:rFonts w:ascii="Times New Roman" w:hAnsi="Times New Roman" w:cs="Times New Roman" w:hint="eastAsia"/>
          <w:sz w:val="18"/>
          <w:szCs w:val="18"/>
        </w:rPr>
        <w:t>EN</w:t>
      </w:r>
      <w:r>
        <w:rPr>
          <w:rFonts w:ascii="Times New Roman" w:hAnsi="Times New Roman" w:cs="Times New Roman"/>
          <w:sz w:val="18"/>
          <w:szCs w:val="18"/>
        </w:rPr>
        <w:t xml:space="preserve"> B J. China’s rare earth supply and demand pattern and balanced utilization strategy from perspective of elements. Bulletin of Chinese Academy of Sciences, 2022, 37(11): 1586-1594. (in Chinese)</w:t>
      </w:r>
    </w:p>
    <w:p w14:paraId="13F396D8" w14:textId="49B59CAA"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4459B1">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w:t>
      </w:r>
      <w:r>
        <w:rPr>
          <w:rFonts w:ascii="Times New Roman" w:hAnsi="Times New Roman" w:cs="Times New Roman"/>
          <w:sz w:val="18"/>
          <w:szCs w:val="18"/>
        </w:rPr>
        <w:t>Chowdhury M S, Rahman K S, Chowdhury T, et al. An overview of solar photovoltaic panels’ end-of-life material recycling[J]. Energy Strategy Reviews, 2020, 27: 100431.</w:t>
      </w:r>
    </w:p>
    <w:p w14:paraId="2ED8667D" w14:textId="73A587F0"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4459B1">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t xml:space="preserve"> </w:t>
      </w:r>
      <w:r>
        <w:rPr>
          <w:rFonts w:ascii="Times New Roman" w:hAnsi="Times New Roman" w:cs="Times New Roman"/>
          <w:sz w:val="18"/>
          <w:szCs w:val="18"/>
        </w:rPr>
        <w:t xml:space="preserve">D’Adamo I, Miliacca M, Rosa P. Economic feasibility for recycling of waste crystalline silicon photovoltaic </w:t>
      </w:r>
      <w:r w:rsidR="00FD1394">
        <w:rPr>
          <w:rFonts w:ascii="Times New Roman" w:hAnsi="Times New Roman" w:cs="Times New Roman"/>
          <w:sz w:val="18"/>
          <w:szCs w:val="18"/>
        </w:rPr>
        <w:t>modules [</w:t>
      </w:r>
      <w:r>
        <w:rPr>
          <w:rFonts w:ascii="Times New Roman" w:hAnsi="Times New Roman" w:cs="Times New Roman"/>
          <w:sz w:val="18"/>
          <w:szCs w:val="18"/>
        </w:rPr>
        <w:t>J]. International Journal of Photoenergy, 2017, 2017(1): 4184676.</w:t>
      </w:r>
    </w:p>
    <w:p w14:paraId="0ECA4E2F" w14:textId="359EA20E"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4459B1">
        <w:rPr>
          <w:rFonts w:ascii="Times New Roman" w:eastAsia="宋体" w:hAnsi="Times New Roman" w:cs="Times New Roman" w:hint="eastAsia"/>
          <w:sz w:val="18"/>
          <w:szCs w:val="18"/>
        </w:rPr>
        <w:t>7</w:t>
      </w:r>
      <w:r>
        <w:rPr>
          <w:rFonts w:ascii="Times New Roman" w:eastAsia="宋体" w:hAnsi="Times New Roman" w:cs="Times New Roman"/>
          <w:sz w:val="18"/>
          <w:szCs w:val="18"/>
        </w:rPr>
        <w:t>]</w:t>
      </w:r>
      <w:r>
        <w:t xml:space="preserve"> </w:t>
      </w:r>
      <w:r>
        <w:rPr>
          <w:rFonts w:ascii="Times New Roman" w:hAnsi="Times New Roman" w:cs="Times New Roman"/>
          <w:sz w:val="18"/>
          <w:szCs w:val="18"/>
        </w:rPr>
        <w:t>Curtis T L, Buchanan H, Heath G, et al. Solar photovoltaic module recycling: a survey of US policies and initiatives[R]. National Renewable Energy Lab.</w:t>
      </w:r>
      <w:r>
        <w:rPr>
          <w:rFonts w:ascii="Times New Roman" w:hAnsi="Times New Roman" w:cs="Times New Roman" w:hint="eastAsia"/>
          <w:sz w:val="18"/>
          <w:szCs w:val="18"/>
        </w:rPr>
        <w:t xml:space="preserve"> </w:t>
      </w:r>
      <w:r>
        <w:rPr>
          <w:rFonts w:ascii="Times New Roman" w:hAnsi="Times New Roman" w:cs="Times New Roman"/>
          <w:sz w:val="18"/>
          <w:szCs w:val="18"/>
        </w:rPr>
        <w:t>(NREL), Golden, CO (United States), 2021.</w:t>
      </w:r>
    </w:p>
    <w:p w14:paraId="24BC500D" w14:textId="38A0E096"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4459B1">
        <w:rPr>
          <w:rFonts w:ascii="Times New Roman" w:eastAsia="宋体" w:hAnsi="Times New Roman" w:cs="Times New Roman" w:hint="eastAsia"/>
          <w:sz w:val="18"/>
          <w:szCs w:val="18"/>
        </w:rPr>
        <w:t>8</w:t>
      </w:r>
      <w:r>
        <w:rPr>
          <w:rFonts w:ascii="Times New Roman" w:eastAsia="宋体" w:hAnsi="Times New Roman" w:cs="Times New Roman"/>
          <w:sz w:val="18"/>
          <w:szCs w:val="18"/>
        </w:rPr>
        <w:t>]</w:t>
      </w:r>
      <w:r>
        <w:t xml:space="preserve"> </w:t>
      </w:r>
      <w:r>
        <w:rPr>
          <w:rFonts w:ascii="Times New Roman" w:hAnsi="Times New Roman" w:cs="Times New Roman"/>
          <w:sz w:val="18"/>
          <w:szCs w:val="18"/>
        </w:rPr>
        <w:t>Preet S, Smith S T. A comprehensive review on the recycling technology of silicon based photovoltaic solar panels: Challenges and future</w:t>
      </w:r>
      <w:r>
        <w:rPr>
          <w:rFonts w:ascii="Times New Roman" w:hAnsi="Times New Roman" w:cs="Times New Roman" w:hint="eastAsia"/>
          <w:sz w:val="18"/>
          <w:szCs w:val="18"/>
        </w:rPr>
        <w:t xml:space="preserve"> </w:t>
      </w:r>
      <w:r>
        <w:rPr>
          <w:rFonts w:ascii="Times New Roman" w:hAnsi="Times New Roman" w:cs="Times New Roman"/>
          <w:sz w:val="18"/>
          <w:szCs w:val="18"/>
        </w:rPr>
        <w:t>outlook[J]. Journal of Cleaner Production, 2024: 141661.</w:t>
      </w:r>
    </w:p>
    <w:p w14:paraId="6F84E1AB" w14:textId="105EFAD5"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sidR="004459B1">
        <w:rPr>
          <w:rFonts w:ascii="Times New Roman" w:eastAsia="宋体" w:hAnsi="Times New Roman" w:cs="Times New Roman" w:hint="eastAsia"/>
          <w:sz w:val="18"/>
          <w:szCs w:val="18"/>
        </w:rPr>
        <w:t>9</w:t>
      </w:r>
      <w:r>
        <w:rPr>
          <w:rFonts w:ascii="Times New Roman" w:eastAsia="宋体" w:hAnsi="Times New Roman" w:cs="Times New Roman"/>
          <w:sz w:val="18"/>
          <w:szCs w:val="18"/>
        </w:rPr>
        <w:t>]</w:t>
      </w:r>
      <w:r>
        <w:t xml:space="preserve"> </w:t>
      </w:r>
      <w:r>
        <w:rPr>
          <w:rFonts w:ascii="Times New Roman" w:hAnsi="Times New Roman" w:cs="Times New Roman"/>
          <w:sz w:val="18"/>
          <w:szCs w:val="18"/>
        </w:rPr>
        <w:t>Wang J, Feng Y, He Y. The research progress on recycling and resource utilization of waste crystalline silicon photovoltaic modules[J]. Solar Energy Materials and Solar Cells, 2024, 270: 112804.</w:t>
      </w:r>
    </w:p>
    <w:p w14:paraId="712E83CF" w14:textId="5573E37A" w:rsidR="00691F6A" w:rsidRDefault="00000000">
      <w:pPr>
        <w:wordWrap w:val="0"/>
        <w:autoSpaceDE w:val="0"/>
        <w:autoSpaceDN w:val="0"/>
        <w:adjustRightInd w:val="0"/>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sidR="004459B1">
        <w:rPr>
          <w:rFonts w:ascii="Times New Roman" w:eastAsia="宋体" w:hAnsi="Times New Roman" w:cs="Times New Roman" w:hint="eastAsia"/>
          <w:sz w:val="18"/>
          <w:szCs w:val="18"/>
        </w:rPr>
        <w:t>50</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International Energy Agency. Recycling of Critical Minerals. (202</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w:t>
      </w:r>
      <w:r>
        <w:rPr>
          <w:rFonts w:ascii="Times New Roman" w:eastAsia="宋体" w:hAnsi="Times New Roman" w:cs="Times New Roman" w:hint="eastAsia"/>
          <w:sz w:val="18"/>
          <w:szCs w:val="18"/>
        </w:rPr>
        <w:t>01</w:t>
      </w:r>
      <w:r>
        <w:rPr>
          <w:rFonts w:ascii="Times New Roman" w:eastAsia="宋体" w:hAnsi="Times New Roman" w:cs="Times New Roman"/>
          <w:sz w:val="18"/>
          <w:szCs w:val="18"/>
        </w:rPr>
        <w:t>) [202</w:t>
      </w:r>
      <w:r>
        <w:rPr>
          <w:rFonts w:ascii="Times New Roman" w:eastAsia="宋体" w:hAnsi="Times New Roman" w:cs="Times New Roman" w:hint="eastAsia"/>
          <w:sz w:val="18"/>
          <w:szCs w:val="18"/>
        </w:rPr>
        <w:t>5</w:t>
      </w:r>
      <w:r>
        <w:rPr>
          <w:rFonts w:ascii="Times New Roman" w:eastAsia="宋体" w:hAnsi="Times New Roman" w:cs="Times New Roman"/>
          <w:sz w:val="18"/>
          <w:szCs w:val="18"/>
        </w:rPr>
        <w:t>-0</w:t>
      </w:r>
      <w:r>
        <w:rPr>
          <w:rFonts w:ascii="Times New Roman" w:eastAsia="宋体" w:hAnsi="Times New Roman" w:cs="Times New Roman" w:hint="eastAsia"/>
          <w:sz w:val="18"/>
          <w:szCs w:val="18"/>
        </w:rPr>
        <w:t>5</w:t>
      </w:r>
      <w:r>
        <w:rPr>
          <w:rFonts w:ascii="Times New Roman" w:eastAsia="宋体" w:hAnsi="Times New Roman" w:cs="Times New Roman"/>
          <w:sz w:val="18"/>
          <w:szCs w:val="18"/>
        </w:rPr>
        <w:t>-1</w:t>
      </w:r>
      <w:r>
        <w:rPr>
          <w:rFonts w:ascii="Times New Roman" w:eastAsia="宋体" w:hAnsi="Times New Roman" w:cs="Times New Roman" w:hint="eastAsia"/>
          <w:sz w:val="18"/>
          <w:szCs w:val="18"/>
        </w:rPr>
        <w:t>5</w:t>
      </w:r>
      <w:r>
        <w:rPr>
          <w:rFonts w:ascii="Times New Roman" w:eastAsia="宋体" w:hAnsi="Times New Roman" w:cs="Times New Roman"/>
          <w:sz w:val="18"/>
          <w:szCs w:val="18"/>
        </w:rPr>
        <w:t>].</w:t>
      </w:r>
      <w:r>
        <w:t xml:space="preserve"> </w:t>
      </w:r>
      <w:r>
        <w:rPr>
          <w:rFonts w:ascii="Times New Roman" w:eastAsia="宋体" w:hAnsi="Times New Roman" w:cs="Times New Roman"/>
          <w:sz w:val="18"/>
          <w:szCs w:val="18"/>
        </w:rPr>
        <w:t xml:space="preserve">https://www.iea.org/reports/recycling-of-critical-minerals. </w:t>
      </w:r>
    </w:p>
    <w:p w14:paraId="230F68DF" w14:textId="389DF84D"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sidR="004459B1">
        <w:rPr>
          <w:rFonts w:ascii="Times New Roman" w:eastAsia="宋体" w:hAnsi="Times New Roman" w:cs="Times New Roman" w:hint="eastAsia"/>
          <w:sz w:val="18"/>
          <w:szCs w:val="18"/>
        </w:rPr>
        <w:t>51</w:t>
      </w:r>
      <w:r>
        <w:rPr>
          <w:rFonts w:ascii="Times New Roman" w:eastAsia="宋体" w:hAnsi="Times New Roman" w:cs="Times New Roman"/>
          <w:sz w:val="18"/>
          <w:szCs w:val="18"/>
        </w:rPr>
        <w:t xml:space="preserve">] </w:t>
      </w:r>
      <w:r>
        <w:rPr>
          <w:rFonts w:ascii="Times New Roman" w:hAnsi="Times New Roman" w:cs="Times New Roman"/>
          <w:sz w:val="18"/>
          <w:szCs w:val="18"/>
        </w:rPr>
        <w:t>Liu L T, Ouyang X, Gao T M, et al. Spatiotemporal and Multilayer Trade Network Patterns of the Global Cobalt Cycle[J]. Environmental Science &amp; Technology, 2024, 58(34): 15066-15077.</w:t>
      </w:r>
    </w:p>
    <w:p w14:paraId="5122BCED" w14:textId="2C80BBC1"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w:t>
      </w:r>
      <w:r w:rsidR="004459B1">
        <w:rPr>
          <w:rFonts w:ascii="Times New Roman" w:hAnsi="Times New Roman" w:cs="Times New Roman" w:hint="eastAsia"/>
          <w:sz w:val="18"/>
          <w:szCs w:val="18"/>
        </w:rPr>
        <w:t>2</w:t>
      </w:r>
      <w:r>
        <w:rPr>
          <w:rFonts w:ascii="Times New Roman" w:hAnsi="Times New Roman" w:cs="Times New Roman" w:hint="eastAsia"/>
          <w:sz w:val="18"/>
          <w:szCs w:val="18"/>
        </w:rPr>
        <w:t>]</w:t>
      </w:r>
      <w:r>
        <w:rPr>
          <w:rFonts w:ascii="Times New Roman" w:hAnsi="Times New Roman" w:cs="Times New Roman" w:hint="eastAsia"/>
          <w:sz w:val="18"/>
          <w:szCs w:val="18"/>
        </w:rPr>
        <w:t>陈云燕</w:t>
      </w:r>
      <w:r>
        <w:rPr>
          <w:rFonts w:ascii="Times New Roman" w:hAnsi="Times New Roman" w:cs="Times New Roman" w:hint="eastAsia"/>
          <w:sz w:val="18"/>
          <w:szCs w:val="18"/>
        </w:rPr>
        <w:t>,</w:t>
      </w:r>
      <w:r>
        <w:rPr>
          <w:rFonts w:ascii="Times New Roman" w:hAnsi="Times New Roman" w:cs="Times New Roman" w:hint="eastAsia"/>
          <w:sz w:val="18"/>
          <w:szCs w:val="18"/>
        </w:rPr>
        <w:t>张翔</w:t>
      </w:r>
      <w:r>
        <w:rPr>
          <w:rFonts w:ascii="Times New Roman" w:hAnsi="Times New Roman" w:cs="Times New Roman" w:hint="eastAsia"/>
          <w:sz w:val="18"/>
          <w:szCs w:val="18"/>
        </w:rPr>
        <w:t>,</w:t>
      </w:r>
      <w:r>
        <w:rPr>
          <w:rFonts w:ascii="Times New Roman" w:hAnsi="Times New Roman" w:cs="Times New Roman" w:hint="eastAsia"/>
          <w:sz w:val="18"/>
          <w:szCs w:val="18"/>
        </w:rPr>
        <w:t>陈阳</w:t>
      </w:r>
      <w:r>
        <w:rPr>
          <w:rFonts w:ascii="Times New Roman" w:hAnsi="Times New Roman" w:cs="Times New Roman" w:hint="eastAsia"/>
          <w:sz w:val="18"/>
          <w:szCs w:val="18"/>
        </w:rPr>
        <w:t>,</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废弃风机叶片非金属粉末热解产物增强环氧树脂复合材料的制备与性能探究</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环境工程学报</w:t>
      </w:r>
      <w:r>
        <w:rPr>
          <w:rFonts w:ascii="Times New Roman" w:hAnsi="Times New Roman" w:cs="Times New Roman" w:hint="eastAsia"/>
          <w:sz w:val="18"/>
          <w:szCs w:val="18"/>
        </w:rPr>
        <w:t>, 2024, 18 (05): 1415-1424.</w:t>
      </w:r>
    </w:p>
    <w:p w14:paraId="7125B735" w14:textId="77777777" w:rsidR="00691F6A" w:rsidRDefault="00000000">
      <w:pPr>
        <w:autoSpaceDE w:val="0"/>
        <w:autoSpaceDN w:val="0"/>
        <w:adjustRightInd w:val="0"/>
        <w:spacing w:line="240" w:lineRule="atLeast"/>
        <w:ind w:leftChars="200" w:left="420"/>
        <w:rPr>
          <w:rFonts w:ascii="Times New Roman" w:hAnsi="Times New Roman" w:cs="Times New Roman"/>
          <w:sz w:val="18"/>
          <w:szCs w:val="18"/>
        </w:rPr>
      </w:pPr>
      <w:r>
        <w:rPr>
          <w:rFonts w:ascii="Times New Roman" w:hAnsi="Times New Roman" w:cs="Times New Roman"/>
          <w:sz w:val="18"/>
          <w:szCs w:val="18"/>
        </w:rPr>
        <w:t xml:space="preserve">CHEN Y Y, ZHANG X, CHEN Y. Preparation and </w:t>
      </w:r>
      <w:r>
        <w:rPr>
          <w:rFonts w:ascii="Times New Roman" w:hAnsi="Times New Roman" w:cs="Times New Roman"/>
          <w:sz w:val="18"/>
          <w:szCs w:val="18"/>
        </w:rPr>
        <w:t>investigation properties of epoxy resin composites reinforced with non-metallic powder pyrolysis products from waste wind turbine blades. Chinese Journal of Environmental Engineering, 2024, 18 (05): 1415-1424. (in Chinese)</w:t>
      </w:r>
    </w:p>
    <w:p w14:paraId="5AB72DDE" w14:textId="2C0B8E55"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sidR="004459B1">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t xml:space="preserve"> </w:t>
      </w:r>
      <w:r>
        <w:rPr>
          <w:rFonts w:ascii="Times New Roman" w:hAnsi="Times New Roman" w:cs="Times New Roman"/>
          <w:sz w:val="18"/>
          <w:szCs w:val="18"/>
        </w:rPr>
        <w:t>Sakellariou N. Current and potential decommissioning scenarios for end-of-life composite wind blades[J]. Energy Systems, 2018, 9: 981-1023.</w:t>
      </w:r>
    </w:p>
    <w:p w14:paraId="3723AF78" w14:textId="4C9AF7CB"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hint="eastAsia"/>
          <w:sz w:val="18"/>
          <w:szCs w:val="18"/>
        </w:rPr>
        <w:t>5</w:t>
      </w:r>
      <w:r w:rsidR="004459B1">
        <w:rPr>
          <w:rFonts w:ascii="Times New Roman" w:hAnsi="Times New Roman" w:cs="Times New Roman" w:hint="eastAsia"/>
          <w:sz w:val="18"/>
          <w:szCs w:val="18"/>
        </w:rPr>
        <w:t>4</w:t>
      </w:r>
      <w:r>
        <w:rPr>
          <w:rFonts w:ascii="Times New Roman" w:hAnsi="Times New Roman" w:cs="Times New Roman"/>
          <w:sz w:val="18"/>
          <w:szCs w:val="18"/>
        </w:rPr>
        <w:t>] Cheng Y, Chen J, Deng B, et al. Flash upcycling of waste glass fibre-reinforced plastics to silicon carbide[J]. Nature Sustainability, 2024, 7(4): 452-462.</w:t>
      </w:r>
    </w:p>
    <w:p w14:paraId="5E82AF47" w14:textId="3EFD76B2" w:rsidR="00691F6A"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sidR="004459B1">
        <w:rPr>
          <w:rFonts w:ascii="Times New Roman" w:eastAsia="宋体" w:hAnsi="Times New Roman" w:cs="Times New Roman" w:hint="eastAsia"/>
          <w:sz w:val="18"/>
          <w:szCs w:val="18"/>
        </w:rPr>
        <w:t>5</w:t>
      </w:r>
      <w:r>
        <w:rPr>
          <w:rFonts w:ascii="Times New Roman" w:eastAsia="宋体"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孙泽洋</w:t>
      </w:r>
      <w:r>
        <w:rPr>
          <w:rFonts w:ascii="Times New Roman" w:hAnsi="Times New Roman" w:cs="Times New Roman" w:hint="eastAsia"/>
          <w:sz w:val="18"/>
          <w:szCs w:val="18"/>
        </w:rPr>
        <w:t xml:space="preserve">. </w:t>
      </w:r>
      <w:r>
        <w:rPr>
          <w:rFonts w:ascii="Times New Roman" w:hAnsi="Times New Roman" w:cs="Times New Roman" w:hint="eastAsia"/>
          <w:sz w:val="18"/>
          <w:szCs w:val="18"/>
        </w:rPr>
        <w:t>废旧晶体硅光伏组件回收方式浅析</w:t>
      </w:r>
      <w:r>
        <w:rPr>
          <w:rFonts w:ascii="Times New Roman" w:hAnsi="Times New Roman" w:cs="Times New Roman" w:hint="eastAsia"/>
          <w:sz w:val="18"/>
          <w:szCs w:val="18"/>
        </w:rPr>
        <w:t xml:space="preserve"> [J]. </w:t>
      </w:r>
      <w:r>
        <w:rPr>
          <w:rFonts w:ascii="Times New Roman" w:hAnsi="Times New Roman" w:cs="Times New Roman" w:hint="eastAsia"/>
          <w:sz w:val="18"/>
          <w:szCs w:val="18"/>
        </w:rPr>
        <w:t>太阳能</w:t>
      </w:r>
      <w:r>
        <w:rPr>
          <w:rFonts w:ascii="Times New Roman" w:hAnsi="Times New Roman" w:cs="Times New Roman" w:hint="eastAsia"/>
          <w:sz w:val="18"/>
          <w:szCs w:val="18"/>
        </w:rPr>
        <w:t>, 2021, (09): 9-12.</w:t>
      </w:r>
    </w:p>
    <w:p w14:paraId="568B15F3" w14:textId="77777777" w:rsidR="00691F6A"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SUN Z Y. Analysis of recycling methods of waste crystalline silicon pv modules. S</w:t>
      </w:r>
      <w:r>
        <w:rPr>
          <w:rFonts w:ascii="Times New Roman" w:hAnsi="Times New Roman" w:cs="Times New Roman"/>
          <w:sz w:val="18"/>
          <w:szCs w:val="18"/>
        </w:rPr>
        <w:t xml:space="preserve">olar </w:t>
      </w:r>
      <w:r>
        <w:rPr>
          <w:rFonts w:ascii="Times New Roman" w:hAnsi="Times New Roman" w:cs="Times New Roman" w:hint="eastAsia"/>
          <w:sz w:val="18"/>
          <w:szCs w:val="18"/>
        </w:rPr>
        <w:t>E</w:t>
      </w:r>
      <w:r>
        <w:rPr>
          <w:rFonts w:ascii="Times New Roman" w:hAnsi="Times New Roman" w:cs="Times New Roman"/>
          <w:sz w:val="18"/>
          <w:szCs w:val="18"/>
        </w:rPr>
        <w:t>nergy</w:t>
      </w:r>
      <w:r>
        <w:rPr>
          <w:rFonts w:ascii="Times New Roman" w:hAnsi="Times New Roman" w:cs="Times New Roman" w:hint="eastAsia"/>
          <w:sz w:val="18"/>
          <w:szCs w:val="18"/>
        </w:rPr>
        <w:t>, 2021, (09): 9-12.</w:t>
      </w:r>
      <w:r>
        <w:rPr>
          <w:rFonts w:ascii="Times New Roman" w:hAnsi="Times New Roman" w:cs="Times New Roman"/>
          <w:sz w:val="18"/>
          <w:szCs w:val="18"/>
        </w:rPr>
        <w:t xml:space="preserve"> (in Chinese)</w:t>
      </w:r>
    </w:p>
    <w:p w14:paraId="59A793E9" w14:textId="76657030" w:rsidR="00691F6A" w:rsidRDefault="00000000">
      <w:pPr>
        <w:autoSpaceDE w:val="0"/>
        <w:autoSpaceDN w:val="0"/>
        <w:adjustRightInd w:val="0"/>
        <w:spacing w:line="240" w:lineRule="atLeast"/>
        <w:ind w:left="360" w:hangingChars="200" w:hanging="360"/>
        <w:rPr>
          <w:rFonts w:ascii="Times New Roman" w:hAnsi="Times New Roman" w:cs="Times New Roman"/>
          <w:color w:val="4BACC6" w:themeColor="accent5"/>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sidR="004459B1">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rPr>
          <w:rFonts w:ascii="Times New Roman" w:hAnsi="Times New Roman" w:cs="Times New Roman"/>
          <w:sz w:val="18"/>
          <w:szCs w:val="18"/>
        </w:rPr>
        <w:t xml:space="preserve"> Gao S, Chen X, Qu J, et al. Recycling of silicon solar panels through a salt-etching approach[J]. Nature Sustainability, 2024, 7(7): 920-930.</w:t>
      </w:r>
    </w:p>
    <w:p w14:paraId="138D08A2" w14:textId="569B0A6A"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sidR="004459B1">
        <w:rPr>
          <w:rFonts w:ascii="Times New Roman" w:eastAsia="宋体" w:hAnsi="Times New Roman" w:cs="Times New Roman" w:hint="eastAsia"/>
          <w:sz w:val="18"/>
          <w:szCs w:val="18"/>
        </w:rPr>
        <w:t>7</w:t>
      </w:r>
      <w:r>
        <w:rPr>
          <w:rFonts w:ascii="Times New Roman" w:eastAsia="宋体" w:hAnsi="Times New Roman" w:cs="Times New Roman"/>
          <w:sz w:val="18"/>
          <w:szCs w:val="18"/>
        </w:rPr>
        <w:t>]</w:t>
      </w:r>
      <w:r>
        <w:rPr>
          <w:rFonts w:ascii="Times New Roman" w:hAnsi="Times New Roman" w:cs="Times New Roman"/>
          <w:sz w:val="18"/>
          <w:szCs w:val="18"/>
        </w:rPr>
        <w:t>Padhamnath P, Nalluri S, Kuśmierczyk F, et al. Development of PV panel recycling process enabling complete recyclability of end-of-life silicon photovoltaic panels[J]. Solar Energy Materials and Solar Cells, 2025, 286: 113571.</w:t>
      </w:r>
    </w:p>
    <w:p w14:paraId="0639299D" w14:textId="27440ED7"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sidR="004459B1">
        <w:rPr>
          <w:rFonts w:ascii="Times New Roman" w:eastAsia="宋体" w:hAnsi="Times New Roman" w:cs="Times New Roman" w:hint="eastAsia"/>
          <w:sz w:val="18"/>
          <w:szCs w:val="18"/>
        </w:rPr>
        <w:t>8</w:t>
      </w:r>
      <w:r>
        <w:rPr>
          <w:rFonts w:ascii="Times New Roman" w:eastAsia="宋体" w:hAnsi="Times New Roman" w:cs="Times New Roman"/>
          <w:sz w:val="18"/>
          <w:szCs w:val="18"/>
        </w:rPr>
        <w:t>]</w:t>
      </w:r>
      <w:r>
        <w:t xml:space="preserve"> </w:t>
      </w:r>
      <w:r>
        <w:rPr>
          <w:rFonts w:ascii="Times New Roman" w:hAnsi="Times New Roman" w:cs="Times New Roman"/>
          <w:sz w:val="18"/>
          <w:szCs w:val="18"/>
        </w:rPr>
        <w:t>Tierno M, Ruiz J H, Taboada S, et al. Validation of recycling processes for demetallisation and recrystallisation of silicon solar cells[J]. Solar Energy, 2024, 274: 112533.</w:t>
      </w:r>
    </w:p>
    <w:p w14:paraId="17BC4658" w14:textId="2AAE1C35"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sidR="004459B1">
        <w:rPr>
          <w:rFonts w:ascii="Times New Roman" w:eastAsia="宋体" w:hAnsi="Times New Roman" w:cs="Times New Roman" w:hint="eastAsia"/>
          <w:sz w:val="18"/>
          <w:szCs w:val="18"/>
        </w:rPr>
        <w:t>9</w:t>
      </w:r>
      <w:r>
        <w:rPr>
          <w:rFonts w:ascii="Times New Roman" w:eastAsia="宋体" w:hAnsi="Times New Roman" w:cs="Times New Roman"/>
          <w:sz w:val="18"/>
          <w:szCs w:val="18"/>
        </w:rPr>
        <w:t>]</w:t>
      </w:r>
      <w:r>
        <w:t xml:space="preserve"> </w:t>
      </w:r>
      <w:r>
        <w:rPr>
          <w:rFonts w:ascii="Times New Roman" w:hAnsi="Times New Roman" w:cs="Times New Roman"/>
          <w:sz w:val="18"/>
          <w:szCs w:val="18"/>
        </w:rPr>
        <w:t>Zhang B, He L, Wang J, et al. Self-powered recycling of spent lithium iron phosphate batteries via triboelectric nanogenerator[J]. Energy &amp; Environmental Science, 2023, 16(9): 3873-3884.</w:t>
      </w:r>
    </w:p>
    <w:p w14:paraId="1C33CF93" w14:textId="3083DE0E"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sidR="004459B1">
        <w:rPr>
          <w:rFonts w:ascii="Times New Roman" w:eastAsia="宋体" w:hAnsi="Times New Roman" w:cs="Times New Roman" w:hint="eastAsia"/>
          <w:sz w:val="18"/>
          <w:szCs w:val="18"/>
        </w:rPr>
        <w:t>60</w:t>
      </w:r>
      <w:r>
        <w:rPr>
          <w:rFonts w:ascii="Times New Roman" w:eastAsia="宋体" w:hAnsi="Times New Roman" w:cs="Times New Roman"/>
          <w:sz w:val="18"/>
          <w:szCs w:val="18"/>
        </w:rPr>
        <w:t>]</w:t>
      </w:r>
      <w:r>
        <w:t xml:space="preserve"> </w:t>
      </w:r>
      <w:r>
        <w:rPr>
          <w:rFonts w:ascii="Times New Roman" w:hAnsi="Times New Roman" w:cs="Times New Roman"/>
          <w:sz w:val="18"/>
          <w:szCs w:val="18"/>
        </w:rPr>
        <w:t>Roshanfar M, Sartaj M, Kazemeini S. A greener method to recover critical metals from spent lithium-ion batteries (LIBs): Synergistic leaching without reducing agents[J]. Journal of Environmental Management, 2024, 366: 121862.</w:t>
      </w:r>
    </w:p>
    <w:p w14:paraId="59380894" w14:textId="37B53EEA"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6</w:t>
      </w:r>
      <w:r w:rsidR="004459B1">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t xml:space="preserve"> </w:t>
      </w:r>
      <w:r>
        <w:rPr>
          <w:rFonts w:ascii="Times New Roman" w:hAnsi="Times New Roman" w:cs="Times New Roman"/>
          <w:sz w:val="18"/>
          <w:szCs w:val="18"/>
        </w:rPr>
        <w:t>Yu J, Liu Y, Li J. Galvanic leaching recycling of spent lithium-ion batteries via low entropy-increasing strategy[J]. Nature Communications, 2025, 16(1): 2440.</w:t>
      </w:r>
    </w:p>
    <w:p w14:paraId="767AF307" w14:textId="654B532D" w:rsidR="00691F6A"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6</w:t>
      </w:r>
      <w:r w:rsidR="004459B1">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t xml:space="preserve"> </w:t>
      </w:r>
      <w:r>
        <w:rPr>
          <w:rFonts w:ascii="Times New Roman" w:hAnsi="Times New Roman" w:cs="Times New Roman"/>
          <w:sz w:val="18"/>
          <w:szCs w:val="18"/>
        </w:rPr>
        <w:t>Wang J, Jia K, Ma J, et al. Sustainable upcycling of spent LiCoO2 to an ultra-stable battery cathode at high voltage[J]. Nature Sustainability, 2023, 6(7): 797-805.</w:t>
      </w:r>
    </w:p>
    <w:p w14:paraId="3CBFB99C" w14:textId="77777777" w:rsidR="00691F6A" w:rsidRDefault="00691F6A">
      <w:pPr>
        <w:autoSpaceDE w:val="0"/>
        <w:autoSpaceDN w:val="0"/>
        <w:adjustRightInd w:val="0"/>
        <w:spacing w:line="240" w:lineRule="atLeast"/>
        <w:ind w:left="360" w:hangingChars="200" w:hanging="360"/>
        <w:rPr>
          <w:rFonts w:ascii="Times New Roman" w:hAnsi="Times New Roman" w:cs="Times New Roman"/>
          <w:sz w:val="18"/>
          <w:szCs w:val="18"/>
        </w:rPr>
      </w:pPr>
    </w:p>
    <w:p w14:paraId="1A3C0D0D" w14:textId="77777777" w:rsidR="00691F6A" w:rsidRDefault="00691F6A">
      <w:pPr>
        <w:autoSpaceDE w:val="0"/>
        <w:autoSpaceDN w:val="0"/>
        <w:adjustRightInd w:val="0"/>
        <w:spacing w:line="240" w:lineRule="atLeast"/>
        <w:ind w:left="420" w:hanging="420"/>
        <w:rPr>
          <w:rFonts w:ascii="Times New Roman" w:hAnsi="Times New Roman" w:cs="Times New Roman"/>
          <w:szCs w:val="21"/>
        </w:rPr>
        <w:sectPr w:rsidR="00691F6A">
          <w:type w:val="continuous"/>
          <w:pgSz w:w="11906" w:h="16838"/>
          <w:pgMar w:top="1440" w:right="1106" w:bottom="1440" w:left="1106" w:header="851" w:footer="992" w:gutter="0"/>
          <w:cols w:num="2" w:space="425"/>
          <w:titlePg/>
          <w:docGrid w:type="linesAndChars" w:linePitch="312"/>
        </w:sectPr>
      </w:pPr>
    </w:p>
    <w:p w14:paraId="6F61F734" w14:textId="77777777" w:rsidR="00691F6A"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lastRenderedPageBreak/>
        <w:t>The potentials and challenges of urban mining for circular resource utilization in the emerging energy transition</w:t>
      </w:r>
    </w:p>
    <w:p w14:paraId="6CFA9231" w14:textId="77777777" w:rsidR="00F41280" w:rsidRDefault="00000000">
      <w:pPr>
        <w:widowControl/>
        <w:spacing w:line="240" w:lineRule="atLeast"/>
        <w:rPr>
          <w:rFonts w:ascii="Times New Roman" w:eastAsia="宋体" w:hAnsi="Times New Roman" w:cs="Times New Roman"/>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sidR="00F41280" w:rsidRPr="00F41280">
        <w:rPr>
          <w:rFonts w:ascii="Times New Roman" w:eastAsia="宋体" w:hAnsi="Times New Roman" w:cs="Times New Roman"/>
          <w:kern w:val="0"/>
          <w:szCs w:val="21"/>
        </w:rPr>
        <w:t>Emerging energy transformation has led to a surge in demand for key metals, and urban mineral recycling is essential to ensure resource supply and green development. This paper aims to analyze the potential and challenges of urban mineral recycling in emerging energy transformation, from three aspects of key metal consumption demand, recycling potential, recycling status and challenges in wind power, photovoltaic and energy storage industries; and for typical urban minerals such as wind turbine blade composite materials, photovoltaic modules and waste lithium ion batteries, it analyzes the mainstream recycling technology path and its bottlenecks in terms of technical maturity, economic feasibility, policies and regulations, industrial chain synergy and environmental impact. The research shows that the potential of urban mineral resources in the emerging energy field is considerable, but its efficient recycling generally faces multiple constraints such as high technical complexity, high recovery cost and environmental cost, imperfect industrial chain and insufficient policy support. In view of the current difficulties, the future should focus on breaking through the core recycling technology, improving the policy standard system, optimizing the industrial chain layout, strengthening the economic incentive mechanism and promoting the ecological design of products. This study can provide reference for upgrading the mineral resources level of emerging energy industry cities, ensuring strategic resources security and promoting green and low-carbon development.</w:t>
      </w:r>
    </w:p>
    <w:p w14:paraId="51BE46F3" w14:textId="541865E6" w:rsidR="00691F6A"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w:t>
      </w:r>
      <w:r w:rsidR="00F41280" w:rsidRPr="00F41280">
        <w:rPr>
          <w:rFonts w:ascii="Times New Roman" w:eastAsia="宋体" w:hAnsi="Times New Roman" w:cs="Times New Roman"/>
          <w:kern w:val="0"/>
          <w:szCs w:val="21"/>
        </w:rPr>
        <w:t xml:space="preserve">urban mineral; circular economy; </w:t>
      </w:r>
      <w:r w:rsidR="00F41280">
        <w:rPr>
          <w:rFonts w:ascii="Times New Roman" w:eastAsia="宋体" w:hAnsi="Times New Roman" w:cs="Times New Roman" w:hint="eastAsia"/>
          <w:kern w:val="0"/>
          <w:szCs w:val="21"/>
        </w:rPr>
        <w:t>critical</w:t>
      </w:r>
      <w:r w:rsidR="00F41280" w:rsidRPr="00F41280">
        <w:rPr>
          <w:rFonts w:ascii="Times New Roman" w:eastAsia="宋体" w:hAnsi="Times New Roman" w:cs="Times New Roman"/>
          <w:kern w:val="0"/>
          <w:szCs w:val="21"/>
        </w:rPr>
        <w:t xml:space="preserve"> metal; resource utilization; solid waste </w:t>
      </w:r>
    </w:p>
    <w:sectPr w:rsidR="00691F6A">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7B2DE1" w14:textId="77777777" w:rsidR="00D6155B" w:rsidRDefault="00D6155B">
      <w:r>
        <w:separator/>
      </w:r>
    </w:p>
  </w:endnote>
  <w:endnote w:type="continuationSeparator" w:id="0">
    <w:p w14:paraId="196E8B53" w14:textId="77777777" w:rsidR="00D6155B" w:rsidRDefault="00D6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691F6A" w:rsidRDefault="00691F6A">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5E7360" w14:textId="77777777" w:rsidR="00D6155B" w:rsidRDefault="00D6155B">
      <w:r>
        <w:separator/>
      </w:r>
    </w:p>
  </w:footnote>
  <w:footnote w:type="continuationSeparator" w:id="0">
    <w:p w14:paraId="70E5391A" w14:textId="77777777" w:rsidR="00D6155B" w:rsidRDefault="00D6155B">
      <w:r>
        <w:continuationSeparator/>
      </w:r>
    </w:p>
  </w:footnote>
  <w:footnote w:id="1">
    <w:p w14:paraId="51CE0ED2" w14:textId="239F12F7" w:rsidR="00691F6A" w:rsidRPr="004D65F8" w:rsidRDefault="00691F6A" w:rsidP="004D65F8">
      <w:pPr>
        <w:pStyle w:val="ac"/>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16cid:durableId="2110734866">
    <w:abstractNumId w:val="1"/>
  </w:num>
  <w:num w:numId="2" w16cid:durableId="12342410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4"/>
  <w:bordersDoNotSurroundHeader/>
  <w:bordersDoNotSurroundFooter/>
  <w:defaultTabStop w:val="420"/>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Q3NzUxMDW1MDIxtzRQ0lEKTi0uzszPAykwNKoFAG+xn4ItAAAA"/>
  </w:docVars>
  <w:rsids>
    <w:rsidRoot w:val="00652A1C"/>
    <w:rsid w:val="00003FE5"/>
    <w:rsid w:val="00004BA1"/>
    <w:rsid w:val="00005175"/>
    <w:rsid w:val="0000547A"/>
    <w:rsid w:val="00011004"/>
    <w:rsid w:val="0001643B"/>
    <w:rsid w:val="00021F5F"/>
    <w:rsid w:val="000244C0"/>
    <w:rsid w:val="000262B9"/>
    <w:rsid w:val="000314FB"/>
    <w:rsid w:val="000333BF"/>
    <w:rsid w:val="00033EC0"/>
    <w:rsid w:val="000345F0"/>
    <w:rsid w:val="00041268"/>
    <w:rsid w:val="00044052"/>
    <w:rsid w:val="0004423E"/>
    <w:rsid w:val="00052876"/>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D79C8"/>
    <w:rsid w:val="000E1082"/>
    <w:rsid w:val="000E6861"/>
    <w:rsid w:val="000E6C61"/>
    <w:rsid w:val="000E6DDB"/>
    <w:rsid w:val="000F1770"/>
    <w:rsid w:val="000F1BE5"/>
    <w:rsid w:val="000F6825"/>
    <w:rsid w:val="000F76F4"/>
    <w:rsid w:val="001003C5"/>
    <w:rsid w:val="00100511"/>
    <w:rsid w:val="00101090"/>
    <w:rsid w:val="00104A1A"/>
    <w:rsid w:val="00104E7A"/>
    <w:rsid w:val="0010627B"/>
    <w:rsid w:val="00106CA5"/>
    <w:rsid w:val="00111C04"/>
    <w:rsid w:val="00115354"/>
    <w:rsid w:val="0012152F"/>
    <w:rsid w:val="00122D47"/>
    <w:rsid w:val="001234E0"/>
    <w:rsid w:val="00123BD4"/>
    <w:rsid w:val="00124DB0"/>
    <w:rsid w:val="001256A6"/>
    <w:rsid w:val="00133673"/>
    <w:rsid w:val="001370D7"/>
    <w:rsid w:val="00146EF4"/>
    <w:rsid w:val="00150EE3"/>
    <w:rsid w:val="0015261F"/>
    <w:rsid w:val="00157B71"/>
    <w:rsid w:val="001644A8"/>
    <w:rsid w:val="00164D0C"/>
    <w:rsid w:val="001668DB"/>
    <w:rsid w:val="001674B7"/>
    <w:rsid w:val="001724F6"/>
    <w:rsid w:val="001749A8"/>
    <w:rsid w:val="00174FBA"/>
    <w:rsid w:val="00177368"/>
    <w:rsid w:val="001800A4"/>
    <w:rsid w:val="001808DA"/>
    <w:rsid w:val="00181A00"/>
    <w:rsid w:val="00183B7D"/>
    <w:rsid w:val="0018405C"/>
    <w:rsid w:val="0018668C"/>
    <w:rsid w:val="00190575"/>
    <w:rsid w:val="001914B3"/>
    <w:rsid w:val="001949AF"/>
    <w:rsid w:val="001A0FAA"/>
    <w:rsid w:val="001A1944"/>
    <w:rsid w:val="001A2515"/>
    <w:rsid w:val="001A50AA"/>
    <w:rsid w:val="001B428E"/>
    <w:rsid w:val="001B7C45"/>
    <w:rsid w:val="001C06EF"/>
    <w:rsid w:val="001C32FE"/>
    <w:rsid w:val="001C391E"/>
    <w:rsid w:val="001C774A"/>
    <w:rsid w:val="001D02B0"/>
    <w:rsid w:val="001D07C8"/>
    <w:rsid w:val="001D26C2"/>
    <w:rsid w:val="001D339E"/>
    <w:rsid w:val="001D7284"/>
    <w:rsid w:val="001E0007"/>
    <w:rsid w:val="001E2BDD"/>
    <w:rsid w:val="001E763C"/>
    <w:rsid w:val="001E7D5E"/>
    <w:rsid w:val="001F12CD"/>
    <w:rsid w:val="001F7800"/>
    <w:rsid w:val="001F7A8E"/>
    <w:rsid w:val="002004D5"/>
    <w:rsid w:val="0020126D"/>
    <w:rsid w:val="00202B66"/>
    <w:rsid w:val="00211992"/>
    <w:rsid w:val="00212099"/>
    <w:rsid w:val="00213A45"/>
    <w:rsid w:val="0021757D"/>
    <w:rsid w:val="00224EF1"/>
    <w:rsid w:val="002312F2"/>
    <w:rsid w:val="00231EA4"/>
    <w:rsid w:val="00234B98"/>
    <w:rsid w:val="00241101"/>
    <w:rsid w:val="002411E0"/>
    <w:rsid w:val="00244CE7"/>
    <w:rsid w:val="00247F7C"/>
    <w:rsid w:val="0026720B"/>
    <w:rsid w:val="002740BF"/>
    <w:rsid w:val="00275235"/>
    <w:rsid w:val="00287208"/>
    <w:rsid w:val="002872BB"/>
    <w:rsid w:val="002928AF"/>
    <w:rsid w:val="0029530E"/>
    <w:rsid w:val="002A0DF1"/>
    <w:rsid w:val="002A402F"/>
    <w:rsid w:val="002A6FCF"/>
    <w:rsid w:val="002B4535"/>
    <w:rsid w:val="002B6D33"/>
    <w:rsid w:val="002C1573"/>
    <w:rsid w:val="002C5A48"/>
    <w:rsid w:val="002C62F1"/>
    <w:rsid w:val="002D29E6"/>
    <w:rsid w:val="002D312C"/>
    <w:rsid w:val="002D41C8"/>
    <w:rsid w:val="002E1B29"/>
    <w:rsid w:val="002E2A26"/>
    <w:rsid w:val="002E3682"/>
    <w:rsid w:val="002E4D70"/>
    <w:rsid w:val="002F08D1"/>
    <w:rsid w:val="002F1D37"/>
    <w:rsid w:val="002F302F"/>
    <w:rsid w:val="002F35EE"/>
    <w:rsid w:val="0030005E"/>
    <w:rsid w:val="0030080A"/>
    <w:rsid w:val="003017E0"/>
    <w:rsid w:val="00301819"/>
    <w:rsid w:val="00302171"/>
    <w:rsid w:val="0030398B"/>
    <w:rsid w:val="00310545"/>
    <w:rsid w:val="00311A98"/>
    <w:rsid w:val="00313B7F"/>
    <w:rsid w:val="00313E99"/>
    <w:rsid w:val="00314763"/>
    <w:rsid w:val="00320965"/>
    <w:rsid w:val="00320EA1"/>
    <w:rsid w:val="003232B7"/>
    <w:rsid w:val="00323DC9"/>
    <w:rsid w:val="003248D4"/>
    <w:rsid w:val="00331828"/>
    <w:rsid w:val="003333BE"/>
    <w:rsid w:val="00333A1C"/>
    <w:rsid w:val="003341A5"/>
    <w:rsid w:val="00335002"/>
    <w:rsid w:val="00335FD7"/>
    <w:rsid w:val="0033612A"/>
    <w:rsid w:val="003411C3"/>
    <w:rsid w:val="003444A0"/>
    <w:rsid w:val="00346A15"/>
    <w:rsid w:val="00346B66"/>
    <w:rsid w:val="0035144B"/>
    <w:rsid w:val="00356083"/>
    <w:rsid w:val="00356E2D"/>
    <w:rsid w:val="00361D3F"/>
    <w:rsid w:val="00364281"/>
    <w:rsid w:val="0036679E"/>
    <w:rsid w:val="00366986"/>
    <w:rsid w:val="00371739"/>
    <w:rsid w:val="00371EBA"/>
    <w:rsid w:val="003720EF"/>
    <w:rsid w:val="00376B39"/>
    <w:rsid w:val="003819C4"/>
    <w:rsid w:val="00390250"/>
    <w:rsid w:val="0039058E"/>
    <w:rsid w:val="00392221"/>
    <w:rsid w:val="00392AC1"/>
    <w:rsid w:val="003A5785"/>
    <w:rsid w:val="003B03C1"/>
    <w:rsid w:val="003B13DA"/>
    <w:rsid w:val="003C1DDB"/>
    <w:rsid w:val="003C3515"/>
    <w:rsid w:val="003C3DAD"/>
    <w:rsid w:val="003C775F"/>
    <w:rsid w:val="003D304A"/>
    <w:rsid w:val="003D3507"/>
    <w:rsid w:val="003D403C"/>
    <w:rsid w:val="003D73B8"/>
    <w:rsid w:val="003E494B"/>
    <w:rsid w:val="003F1DC9"/>
    <w:rsid w:val="003F2A08"/>
    <w:rsid w:val="003F3AE6"/>
    <w:rsid w:val="003F3DED"/>
    <w:rsid w:val="003F613E"/>
    <w:rsid w:val="004000EA"/>
    <w:rsid w:val="004009BF"/>
    <w:rsid w:val="00400A43"/>
    <w:rsid w:val="004045D3"/>
    <w:rsid w:val="00404A80"/>
    <w:rsid w:val="00407E6C"/>
    <w:rsid w:val="004107D8"/>
    <w:rsid w:val="004113F0"/>
    <w:rsid w:val="0041336F"/>
    <w:rsid w:val="00423A02"/>
    <w:rsid w:val="00424E6E"/>
    <w:rsid w:val="00431782"/>
    <w:rsid w:val="0043200C"/>
    <w:rsid w:val="004354FF"/>
    <w:rsid w:val="00435FAB"/>
    <w:rsid w:val="00436BA2"/>
    <w:rsid w:val="00436F62"/>
    <w:rsid w:val="00444CED"/>
    <w:rsid w:val="004459B1"/>
    <w:rsid w:val="00450015"/>
    <w:rsid w:val="0045100C"/>
    <w:rsid w:val="004526BD"/>
    <w:rsid w:val="00454C0A"/>
    <w:rsid w:val="004550BE"/>
    <w:rsid w:val="004620F9"/>
    <w:rsid w:val="00464151"/>
    <w:rsid w:val="00470309"/>
    <w:rsid w:val="0047128A"/>
    <w:rsid w:val="0047568F"/>
    <w:rsid w:val="00477D38"/>
    <w:rsid w:val="00477D55"/>
    <w:rsid w:val="00481376"/>
    <w:rsid w:val="004834B4"/>
    <w:rsid w:val="004839CA"/>
    <w:rsid w:val="00485FDC"/>
    <w:rsid w:val="00490F1A"/>
    <w:rsid w:val="00493838"/>
    <w:rsid w:val="0049426A"/>
    <w:rsid w:val="00494DC5"/>
    <w:rsid w:val="004A1048"/>
    <w:rsid w:val="004A4F0B"/>
    <w:rsid w:val="004B36C7"/>
    <w:rsid w:val="004B7D96"/>
    <w:rsid w:val="004C0AB5"/>
    <w:rsid w:val="004C643C"/>
    <w:rsid w:val="004C71DF"/>
    <w:rsid w:val="004D4B03"/>
    <w:rsid w:val="004D65F8"/>
    <w:rsid w:val="004E1F4C"/>
    <w:rsid w:val="004F3AC7"/>
    <w:rsid w:val="004F5163"/>
    <w:rsid w:val="004F7C16"/>
    <w:rsid w:val="005004A8"/>
    <w:rsid w:val="00501499"/>
    <w:rsid w:val="0050377C"/>
    <w:rsid w:val="00504362"/>
    <w:rsid w:val="00506AF7"/>
    <w:rsid w:val="00511CD6"/>
    <w:rsid w:val="00514800"/>
    <w:rsid w:val="0051527D"/>
    <w:rsid w:val="00517860"/>
    <w:rsid w:val="00535BEB"/>
    <w:rsid w:val="00535DAA"/>
    <w:rsid w:val="00541BF0"/>
    <w:rsid w:val="0054281C"/>
    <w:rsid w:val="0054314E"/>
    <w:rsid w:val="00551709"/>
    <w:rsid w:val="00552E58"/>
    <w:rsid w:val="005535B3"/>
    <w:rsid w:val="005536CC"/>
    <w:rsid w:val="00555468"/>
    <w:rsid w:val="005614EF"/>
    <w:rsid w:val="00563937"/>
    <w:rsid w:val="00564264"/>
    <w:rsid w:val="00565FCA"/>
    <w:rsid w:val="0057441E"/>
    <w:rsid w:val="00575A82"/>
    <w:rsid w:val="0057645D"/>
    <w:rsid w:val="0057677C"/>
    <w:rsid w:val="00582D04"/>
    <w:rsid w:val="00587DBD"/>
    <w:rsid w:val="005914CF"/>
    <w:rsid w:val="0059176D"/>
    <w:rsid w:val="00594529"/>
    <w:rsid w:val="00594BB3"/>
    <w:rsid w:val="00595F9B"/>
    <w:rsid w:val="005A3E13"/>
    <w:rsid w:val="005A3E75"/>
    <w:rsid w:val="005A4F6B"/>
    <w:rsid w:val="005A5DDB"/>
    <w:rsid w:val="005A6FD0"/>
    <w:rsid w:val="005A711A"/>
    <w:rsid w:val="005B3B3F"/>
    <w:rsid w:val="005B4E8F"/>
    <w:rsid w:val="005B5CA8"/>
    <w:rsid w:val="005C0C15"/>
    <w:rsid w:val="005C2323"/>
    <w:rsid w:val="005C3352"/>
    <w:rsid w:val="005C47A9"/>
    <w:rsid w:val="005D34C9"/>
    <w:rsid w:val="005D3636"/>
    <w:rsid w:val="005D6551"/>
    <w:rsid w:val="005E7E66"/>
    <w:rsid w:val="005F059F"/>
    <w:rsid w:val="005F0997"/>
    <w:rsid w:val="005F40C4"/>
    <w:rsid w:val="005F4CDD"/>
    <w:rsid w:val="005F513E"/>
    <w:rsid w:val="005F5F15"/>
    <w:rsid w:val="00600B1E"/>
    <w:rsid w:val="00601D2F"/>
    <w:rsid w:val="00603F9F"/>
    <w:rsid w:val="00605ADF"/>
    <w:rsid w:val="00605BCB"/>
    <w:rsid w:val="00606258"/>
    <w:rsid w:val="006075C0"/>
    <w:rsid w:val="006075FF"/>
    <w:rsid w:val="00613CEF"/>
    <w:rsid w:val="00614FB7"/>
    <w:rsid w:val="00620C85"/>
    <w:rsid w:val="0062203D"/>
    <w:rsid w:val="006322A2"/>
    <w:rsid w:val="00633992"/>
    <w:rsid w:val="00641A57"/>
    <w:rsid w:val="00646196"/>
    <w:rsid w:val="00651DF2"/>
    <w:rsid w:val="00651DF4"/>
    <w:rsid w:val="0065285E"/>
    <w:rsid w:val="00652A1C"/>
    <w:rsid w:val="00653A36"/>
    <w:rsid w:val="00653EA0"/>
    <w:rsid w:val="00656D8D"/>
    <w:rsid w:val="0066112B"/>
    <w:rsid w:val="00664B0C"/>
    <w:rsid w:val="006650A9"/>
    <w:rsid w:val="00671F0F"/>
    <w:rsid w:val="0067212C"/>
    <w:rsid w:val="006729ED"/>
    <w:rsid w:val="006761CD"/>
    <w:rsid w:val="00684349"/>
    <w:rsid w:val="00686608"/>
    <w:rsid w:val="0069199C"/>
    <w:rsid w:val="00691CE5"/>
    <w:rsid w:val="00691F0B"/>
    <w:rsid w:val="00691F6A"/>
    <w:rsid w:val="00692FAA"/>
    <w:rsid w:val="00693528"/>
    <w:rsid w:val="006949E3"/>
    <w:rsid w:val="006969E6"/>
    <w:rsid w:val="006A25F9"/>
    <w:rsid w:val="006B1C2D"/>
    <w:rsid w:val="006B2738"/>
    <w:rsid w:val="006B6352"/>
    <w:rsid w:val="006C324B"/>
    <w:rsid w:val="006C33BC"/>
    <w:rsid w:val="006C697A"/>
    <w:rsid w:val="006C7180"/>
    <w:rsid w:val="006C74A7"/>
    <w:rsid w:val="006D42A3"/>
    <w:rsid w:val="006D5A96"/>
    <w:rsid w:val="006E209D"/>
    <w:rsid w:val="006F27E8"/>
    <w:rsid w:val="006F498E"/>
    <w:rsid w:val="006F62E1"/>
    <w:rsid w:val="00706997"/>
    <w:rsid w:val="00707D7F"/>
    <w:rsid w:val="00710340"/>
    <w:rsid w:val="007120C2"/>
    <w:rsid w:val="00713787"/>
    <w:rsid w:val="00713BCC"/>
    <w:rsid w:val="00722482"/>
    <w:rsid w:val="007233F2"/>
    <w:rsid w:val="00726F39"/>
    <w:rsid w:val="00730C08"/>
    <w:rsid w:val="00736685"/>
    <w:rsid w:val="0074272A"/>
    <w:rsid w:val="00755F06"/>
    <w:rsid w:val="0075790C"/>
    <w:rsid w:val="00764726"/>
    <w:rsid w:val="007651DF"/>
    <w:rsid w:val="0076759E"/>
    <w:rsid w:val="00771DC8"/>
    <w:rsid w:val="00772DFD"/>
    <w:rsid w:val="00774046"/>
    <w:rsid w:val="007746AF"/>
    <w:rsid w:val="00781C7D"/>
    <w:rsid w:val="00783BB4"/>
    <w:rsid w:val="00791495"/>
    <w:rsid w:val="00791DCD"/>
    <w:rsid w:val="00794825"/>
    <w:rsid w:val="007975B1"/>
    <w:rsid w:val="007A0396"/>
    <w:rsid w:val="007A12FA"/>
    <w:rsid w:val="007A2E58"/>
    <w:rsid w:val="007A5D53"/>
    <w:rsid w:val="007A704A"/>
    <w:rsid w:val="007B0542"/>
    <w:rsid w:val="007B44F6"/>
    <w:rsid w:val="007B6DFC"/>
    <w:rsid w:val="007C0758"/>
    <w:rsid w:val="007C1E5A"/>
    <w:rsid w:val="007C3930"/>
    <w:rsid w:val="007E05FA"/>
    <w:rsid w:val="007E0B85"/>
    <w:rsid w:val="007E1944"/>
    <w:rsid w:val="007E458E"/>
    <w:rsid w:val="007E4692"/>
    <w:rsid w:val="007F05A4"/>
    <w:rsid w:val="007F24EB"/>
    <w:rsid w:val="007F4A80"/>
    <w:rsid w:val="007F683D"/>
    <w:rsid w:val="00801485"/>
    <w:rsid w:val="00804F09"/>
    <w:rsid w:val="008102C6"/>
    <w:rsid w:val="008140EF"/>
    <w:rsid w:val="008160BD"/>
    <w:rsid w:val="008161E9"/>
    <w:rsid w:val="008171BF"/>
    <w:rsid w:val="008177BE"/>
    <w:rsid w:val="00824500"/>
    <w:rsid w:val="00825ABE"/>
    <w:rsid w:val="00826403"/>
    <w:rsid w:val="00841062"/>
    <w:rsid w:val="00844E93"/>
    <w:rsid w:val="00850DE8"/>
    <w:rsid w:val="00851924"/>
    <w:rsid w:val="0085599A"/>
    <w:rsid w:val="008563C8"/>
    <w:rsid w:val="00856B72"/>
    <w:rsid w:val="00861DC5"/>
    <w:rsid w:val="00864A5D"/>
    <w:rsid w:val="008654AD"/>
    <w:rsid w:val="00867723"/>
    <w:rsid w:val="008700E7"/>
    <w:rsid w:val="0087260A"/>
    <w:rsid w:val="008751EE"/>
    <w:rsid w:val="00877B0D"/>
    <w:rsid w:val="008803DE"/>
    <w:rsid w:val="00881A13"/>
    <w:rsid w:val="00882044"/>
    <w:rsid w:val="0088209B"/>
    <w:rsid w:val="0088512E"/>
    <w:rsid w:val="008918F9"/>
    <w:rsid w:val="008925BD"/>
    <w:rsid w:val="00895560"/>
    <w:rsid w:val="00897DDC"/>
    <w:rsid w:val="008A0159"/>
    <w:rsid w:val="008A0DEC"/>
    <w:rsid w:val="008A4913"/>
    <w:rsid w:val="008B0FB1"/>
    <w:rsid w:val="008B3930"/>
    <w:rsid w:val="008B7F9D"/>
    <w:rsid w:val="008C099D"/>
    <w:rsid w:val="008C1AE6"/>
    <w:rsid w:val="008C26F5"/>
    <w:rsid w:val="008C2DAB"/>
    <w:rsid w:val="008C3B42"/>
    <w:rsid w:val="008C5277"/>
    <w:rsid w:val="008D02DF"/>
    <w:rsid w:val="008D178C"/>
    <w:rsid w:val="008D4573"/>
    <w:rsid w:val="008D7003"/>
    <w:rsid w:val="008E1A25"/>
    <w:rsid w:val="008E1CE6"/>
    <w:rsid w:val="008E4FE0"/>
    <w:rsid w:val="008E7372"/>
    <w:rsid w:val="008F11EB"/>
    <w:rsid w:val="008F485A"/>
    <w:rsid w:val="008F4BA2"/>
    <w:rsid w:val="008F5839"/>
    <w:rsid w:val="008F6CED"/>
    <w:rsid w:val="0090086B"/>
    <w:rsid w:val="00904381"/>
    <w:rsid w:val="00904D53"/>
    <w:rsid w:val="00905D14"/>
    <w:rsid w:val="009143AB"/>
    <w:rsid w:val="00914507"/>
    <w:rsid w:val="00914B11"/>
    <w:rsid w:val="0091700B"/>
    <w:rsid w:val="00922546"/>
    <w:rsid w:val="009254B4"/>
    <w:rsid w:val="00926109"/>
    <w:rsid w:val="00926AEB"/>
    <w:rsid w:val="0093048E"/>
    <w:rsid w:val="009334DA"/>
    <w:rsid w:val="009345F2"/>
    <w:rsid w:val="009357F5"/>
    <w:rsid w:val="00937E92"/>
    <w:rsid w:val="00954888"/>
    <w:rsid w:val="0095736F"/>
    <w:rsid w:val="00957C5A"/>
    <w:rsid w:val="00960DEC"/>
    <w:rsid w:val="00962B0A"/>
    <w:rsid w:val="00962F93"/>
    <w:rsid w:val="009637DF"/>
    <w:rsid w:val="00966015"/>
    <w:rsid w:val="009675AA"/>
    <w:rsid w:val="009719DD"/>
    <w:rsid w:val="0097412B"/>
    <w:rsid w:val="0097427C"/>
    <w:rsid w:val="009746FA"/>
    <w:rsid w:val="009764AD"/>
    <w:rsid w:val="00976B2D"/>
    <w:rsid w:val="00981535"/>
    <w:rsid w:val="00981F64"/>
    <w:rsid w:val="00983D2B"/>
    <w:rsid w:val="0098545D"/>
    <w:rsid w:val="0099497E"/>
    <w:rsid w:val="00994FE7"/>
    <w:rsid w:val="009A2306"/>
    <w:rsid w:val="009B0D3C"/>
    <w:rsid w:val="009C16EC"/>
    <w:rsid w:val="009C6D7F"/>
    <w:rsid w:val="009D03E1"/>
    <w:rsid w:val="009D6413"/>
    <w:rsid w:val="009D701D"/>
    <w:rsid w:val="009D7621"/>
    <w:rsid w:val="009E3ACA"/>
    <w:rsid w:val="009E3F73"/>
    <w:rsid w:val="009E5AF6"/>
    <w:rsid w:val="009F41EF"/>
    <w:rsid w:val="00A0195D"/>
    <w:rsid w:val="00A05D51"/>
    <w:rsid w:val="00A07AB8"/>
    <w:rsid w:val="00A07BB8"/>
    <w:rsid w:val="00A10799"/>
    <w:rsid w:val="00A16498"/>
    <w:rsid w:val="00A21324"/>
    <w:rsid w:val="00A24FE3"/>
    <w:rsid w:val="00A318B2"/>
    <w:rsid w:val="00A31CA3"/>
    <w:rsid w:val="00A34E2E"/>
    <w:rsid w:val="00A36AB6"/>
    <w:rsid w:val="00A422DA"/>
    <w:rsid w:val="00A43460"/>
    <w:rsid w:val="00A438D8"/>
    <w:rsid w:val="00A470F1"/>
    <w:rsid w:val="00A524BB"/>
    <w:rsid w:val="00A525A9"/>
    <w:rsid w:val="00A56483"/>
    <w:rsid w:val="00A6110B"/>
    <w:rsid w:val="00A623D7"/>
    <w:rsid w:val="00A62905"/>
    <w:rsid w:val="00A6487C"/>
    <w:rsid w:val="00A66BFD"/>
    <w:rsid w:val="00A775A4"/>
    <w:rsid w:val="00A80186"/>
    <w:rsid w:val="00A834E9"/>
    <w:rsid w:val="00A83DAE"/>
    <w:rsid w:val="00A9020F"/>
    <w:rsid w:val="00A91C20"/>
    <w:rsid w:val="00A959AF"/>
    <w:rsid w:val="00AA26EF"/>
    <w:rsid w:val="00AA4329"/>
    <w:rsid w:val="00AC4926"/>
    <w:rsid w:val="00AC5AA6"/>
    <w:rsid w:val="00AD2188"/>
    <w:rsid w:val="00AD2DF5"/>
    <w:rsid w:val="00AD509B"/>
    <w:rsid w:val="00AD6337"/>
    <w:rsid w:val="00AD6D1E"/>
    <w:rsid w:val="00AE6C7E"/>
    <w:rsid w:val="00AF5175"/>
    <w:rsid w:val="00AF61D1"/>
    <w:rsid w:val="00AF70C8"/>
    <w:rsid w:val="00B03EE9"/>
    <w:rsid w:val="00B048E4"/>
    <w:rsid w:val="00B0605A"/>
    <w:rsid w:val="00B11AA0"/>
    <w:rsid w:val="00B128E0"/>
    <w:rsid w:val="00B130EB"/>
    <w:rsid w:val="00B154B4"/>
    <w:rsid w:val="00B2035F"/>
    <w:rsid w:val="00B2434D"/>
    <w:rsid w:val="00B279BF"/>
    <w:rsid w:val="00B36F86"/>
    <w:rsid w:val="00B42B87"/>
    <w:rsid w:val="00B43FAA"/>
    <w:rsid w:val="00B447E7"/>
    <w:rsid w:val="00B45EB3"/>
    <w:rsid w:val="00B51311"/>
    <w:rsid w:val="00B519FB"/>
    <w:rsid w:val="00B5580A"/>
    <w:rsid w:val="00B56AC3"/>
    <w:rsid w:val="00B56D77"/>
    <w:rsid w:val="00B57B05"/>
    <w:rsid w:val="00B60DDE"/>
    <w:rsid w:val="00B62694"/>
    <w:rsid w:val="00B6394D"/>
    <w:rsid w:val="00B639DB"/>
    <w:rsid w:val="00B70234"/>
    <w:rsid w:val="00B742DD"/>
    <w:rsid w:val="00B75B21"/>
    <w:rsid w:val="00B84FD5"/>
    <w:rsid w:val="00B86FA3"/>
    <w:rsid w:val="00B90454"/>
    <w:rsid w:val="00B93DDB"/>
    <w:rsid w:val="00B97D53"/>
    <w:rsid w:val="00BA028B"/>
    <w:rsid w:val="00BB5FE5"/>
    <w:rsid w:val="00BB6655"/>
    <w:rsid w:val="00BB7A7F"/>
    <w:rsid w:val="00BC0F72"/>
    <w:rsid w:val="00BC63D8"/>
    <w:rsid w:val="00BD3436"/>
    <w:rsid w:val="00BD40C8"/>
    <w:rsid w:val="00BD5412"/>
    <w:rsid w:val="00BE6B8D"/>
    <w:rsid w:val="00BF010C"/>
    <w:rsid w:val="00BF4D4E"/>
    <w:rsid w:val="00BF63F1"/>
    <w:rsid w:val="00BF64FD"/>
    <w:rsid w:val="00C11E87"/>
    <w:rsid w:val="00C14AF9"/>
    <w:rsid w:val="00C15196"/>
    <w:rsid w:val="00C1746D"/>
    <w:rsid w:val="00C224FA"/>
    <w:rsid w:val="00C23FEA"/>
    <w:rsid w:val="00C2458A"/>
    <w:rsid w:val="00C3137D"/>
    <w:rsid w:val="00C32DCE"/>
    <w:rsid w:val="00C3601C"/>
    <w:rsid w:val="00C3764F"/>
    <w:rsid w:val="00C430E8"/>
    <w:rsid w:val="00C474AD"/>
    <w:rsid w:val="00C56EA5"/>
    <w:rsid w:val="00C57EBD"/>
    <w:rsid w:val="00C621F9"/>
    <w:rsid w:val="00C635EF"/>
    <w:rsid w:val="00C648F9"/>
    <w:rsid w:val="00C76E39"/>
    <w:rsid w:val="00C77840"/>
    <w:rsid w:val="00C82F0B"/>
    <w:rsid w:val="00C87D61"/>
    <w:rsid w:val="00C93567"/>
    <w:rsid w:val="00C94E62"/>
    <w:rsid w:val="00C97253"/>
    <w:rsid w:val="00C9726C"/>
    <w:rsid w:val="00CA0541"/>
    <w:rsid w:val="00CA3B4C"/>
    <w:rsid w:val="00CA3ED9"/>
    <w:rsid w:val="00CA4458"/>
    <w:rsid w:val="00CB1767"/>
    <w:rsid w:val="00CC34A4"/>
    <w:rsid w:val="00CC3A1A"/>
    <w:rsid w:val="00CC74B0"/>
    <w:rsid w:val="00CD1C49"/>
    <w:rsid w:val="00CD3D29"/>
    <w:rsid w:val="00CD6EE5"/>
    <w:rsid w:val="00CD728E"/>
    <w:rsid w:val="00CE0476"/>
    <w:rsid w:val="00CE15FD"/>
    <w:rsid w:val="00CE38F4"/>
    <w:rsid w:val="00CE3928"/>
    <w:rsid w:val="00CE5E44"/>
    <w:rsid w:val="00CF1A82"/>
    <w:rsid w:val="00CF458F"/>
    <w:rsid w:val="00CF7366"/>
    <w:rsid w:val="00D03926"/>
    <w:rsid w:val="00D03B85"/>
    <w:rsid w:val="00D05E26"/>
    <w:rsid w:val="00D12DD4"/>
    <w:rsid w:val="00D133FF"/>
    <w:rsid w:val="00D13AD3"/>
    <w:rsid w:val="00D1510E"/>
    <w:rsid w:val="00D20F57"/>
    <w:rsid w:val="00D22E95"/>
    <w:rsid w:val="00D23C86"/>
    <w:rsid w:val="00D242D3"/>
    <w:rsid w:val="00D25409"/>
    <w:rsid w:val="00D31B94"/>
    <w:rsid w:val="00D3220E"/>
    <w:rsid w:val="00D36CCD"/>
    <w:rsid w:val="00D44B69"/>
    <w:rsid w:val="00D47F75"/>
    <w:rsid w:val="00D50F5F"/>
    <w:rsid w:val="00D521FB"/>
    <w:rsid w:val="00D52837"/>
    <w:rsid w:val="00D5686E"/>
    <w:rsid w:val="00D6155B"/>
    <w:rsid w:val="00D63EC0"/>
    <w:rsid w:val="00D64C16"/>
    <w:rsid w:val="00D676F4"/>
    <w:rsid w:val="00D704EE"/>
    <w:rsid w:val="00D70DFB"/>
    <w:rsid w:val="00D72E30"/>
    <w:rsid w:val="00D7346A"/>
    <w:rsid w:val="00D75E94"/>
    <w:rsid w:val="00D804A5"/>
    <w:rsid w:val="00D807BC"/>
    <w:rsid w:val="00D9171A"/>
    <w:rsid w:val="00D93A08"/>
    <w:rsid w:val="00D94804"/>
    <w:rsid w:val="00D94EC6"/>
    <w:rsid w:val="00DA11A2"/>
    <w:rsid w:val="00DA1498"/>
    <w:rsid w:val="00DA1A86"/>
    <w:rsid w:val="00DA4B7E"/>
    <w:rsid w:val="00DA5F5A"/>
    <w:rsid w:val="00DB4C17"/>
    <w:rsid w:val="00DB4D51"/>
    <w:rsid w:val="00DB6215"/>
    <w:rsid w:val="00DC0E17"/>
    <w:rsid w:val="00DC4A8C"/>
    <w:rsid w:val="00DC6087"/>
    <w:rsid w:val="00DD5944"/>
    <w:rsid w:val="00DF3411"/>
    <w:rsid w:val="00DF5B96"/>
    <w:rsid w:val="00E000DC"/>
    <w:rsid w:val="00E013ED"/>
    <w:rsid w:val="00E0396D"/>
    <w:rsid w:val="00E03FA9"/>
    <w:rsid w:val="00E0484C"/>
    <w:rsid w:val="00E04C61"/>
    <w:rsid w:val="00E06AE2"/>
    <w:rsid w:val="00E071F9"/>
    <w:rsid w:val="00E10ABD"/>
    <w:rsid w:val="00E1252E"/>
    <w:rsid w:val="00E12955"/>
    <w:rsid w:val="00E21CD2"/>
    <w:rsid w:val="00E22A83"/>
    <w:rsid w:val="00E2701E"/>
    <w:rsid w:val="00E373F2"/>
    <w:rsid w:val="00E43E72"/>
    <w:rsid w:val="00E45AFB"/>
    <w:rsid w:val="00E50DE4"/>
    <w:rsid w:val="00E513B4"/>
    <w:rsid w:val="00E6182F"/>
    <w:rsid w:val="00E62B1F"/>
    <w:rsid w:val="00E65192"/>
    <w:rsid w:val="00E65ED4"/>
    <w:rsid w:val="00E67138"/>
    <w:rsid w:val="00E7373C"/>
    <w:rsid w:val="00E821E1"/>
    <w:rsid w:val="00E82621"/>
    <w:rsid w:val="00E829CD"/>
    <w:rsid w:val="00E848A1"/>
    <w:rsid w:val="00E875B8"/>
    <w:rsid w:val="00E901FC"/>
    <w:rsid w:val="00E94FE8"/>
    <w:rsid w:val="00E979B5"/>
    <w:rsid w:val="00EA0B80"/>
    <w:rsid w:val="00EA175B"/>
    <w:rsid w:val="00EA3CEB"/>
    <w:rsid w:val="00EB0D0D"/>
    <w:rsid w:val="00EB53D3"/>
    <w:rsid w:val="00EC1595"/>
    <w:rsid w:val="00EC509B"/>
    <w:rsid w:val="00EC5B42"/>
    <w:rsid w:val="00ED0481"/>
    <w:rsid w:val="00ED3BB9"/>
    <w:rsid w:val="00ED6658"/>
    <w:rsid w:val="00EE3053"/>
    <w:rsid w:val="00EE633B"/>
    <w:rsid w:val="00EF21A9"/>
    <w:rsid w:val="00EF47C6"/>
    <w:rsid w:val="00EF4934"/>
    <w:rsid w:val="00EF75EA"/>
    <w:rsid w:val="00F0193E"/>
    <w:rsid w:val="00F02389"/>
    <w:rsid w:val="00F03542"/>
    <w:rsid w:val="00F04369"/>
    <w:rsid w:val="00F07D1E"/>
    <w:rsid w:val="00F07D9F"/>
    <w:rsid w:val="00F07FF5"/>
    <w:rsid w:val="00F11D8E"/>
    <w:rsid w:val="00F12D79"/>
    <w:rsid w:val="00F160CC"/>
    <w:rsid w:val="00F17573"/>
    <w:rsid w:val="00F20FE0"/>
    <w:rsid w:val="00F21751"/>
    <w:rsid w:val="00F30018"/>
    <w:rsid w:val="00F314AA"/>
    <w:rsid w:val="00F32F31"/>
    <w:rsid w:val="00F34E9F"/>
    <w:rsid w:val="00F35A73"/>
    <w:rsid w:val="00F41280"/>
    <w:rsid w:val="00F42377"/>
    <w:rsid w:val="00F4267A"/>
    <w:rsid w:val="00F476B3"/>
    <w:rsid w:val="00F47956"/>
    <w:rsid w:val="00F53B5F"/>
    <w:rsid w:val="00F567D1"/>
    <w:rsid w:val="00F6030D"/>
    <w:rsid w:val="00F61191"/>
    <w:rsid w:val="00F611CA"/>
    <w:rsid w:val="00F65018"/>
    <w:rsid w:val="00F67FB5"/>
    <w:rsid w:val="00F73F67"/>
    <w:rsid w:val="00F74AAE"/>
    <w:rsid w:val="00F74BBF"/>
    <w:rsid w:val="00F77DE4"/>
    <w:rsid w:val="00F9321A"/>
    <w:rsid w:val="00FA0927"/>
    <w:rsid w:val="00FA1719"/>
    <w:rsid w:val="00FA4A0F"/>
    <w:rsid w:val="00FA5BD4"/>
    <w:rsid w:val="00FB14EA"/>
    <w:rsid w:val="00FB1877"/>
    <w:rsid w:val="00FC0588"/>
    <w:rsid w:val="00FC1900"/>
    <w:rsid w:val="00FC3E90"/>
    <w:rsid w:val="00FC3FF6"/>
    <w:rsid w:val="00FC7223"/>
    <w:rsid w:val="00FC72AE"/>
    <w:rsid w:val="00FD1394"/>
    <w:rsid w:val="00FD71F5"/>
    <w:rsid w:val="00FE19E3"/>
    <w:rsid w:val="00FF0D73"/>
    <w:rsid w:val="00FF1173"/>
    <w:rsid w:val="00FF20D1"/>
    <w:rsid w:val="00FF30B4"/>
    <w:rsid w:val="00FF4E3F"/>
    <w:rsid w:val="00FF76D3"/>
    <w:rsid w:val="00FF78D0"/>
    <w:rsid w:val="00FF7A7C"/>
    <w:rsid w:val="03C05AFB"/>
    <w:rsid w:val="12E258B9"/>
    <w:rsid w:val="13340FB8"/>
    <w:rsid w:val="206F6DB8"/>
    <w:rsid w:val="2526024B"/>
    <w:rsid w:val="27D063FA"/>
    <w:rsid w:val="28E868B0"/>
    <w:rsid w:val="29226266"/>
    <w:rsid w:val="294C599B"/>
    <w:rsid w:val="2F9B60E5"/>
    <w:rsid w:val="305F402D"/>
    <w:rsid w:val="35C06F40"/>
    <w:rsid w:val="3C6E7DBB"/>
    <w:rsid w:val="435412BA"/>
    <w:rsid w:val="43932516"/>
    <w:rsid w:val="48861F15"/>
    <w:rsid w:val="5151508A"/>
    <w:rsid w:val="51863F86"/>
    <w:rsid w:val="56C82048"/>
    <w:rsid w:val="581666E6"/>
    <w:rsid w:val="5B73143A"/>
    <w:rsid w:val="5DC7362B"/>
    <w:rsid w:val="5E312ED5"/>
    <w:rsid w:val="5ED247E6"/>
    <w:rsid w:val="60114D3D"/>
    <w:rsid w:val="65E10333"/>
    <w:rsid w:val="698D28D9"/>
    <w:rsid w:val="698E2580"/>
    <w:rsid w:val="6F103A37"/>
    <w:rsid w:val="76257DC8"/>
    <w:rsid w:val="777B4F84"/>
    <w:rsid w:val="79B0654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35865F"/>
  <w15:docId w15:val="{11216677-AD15-4FE2-A629-887C78016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405C"/>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pPr>
      <w:jc w:val="left"/>
    </w:pPr>
  </w:style>
  <w:style w:type="paragraph" w:styleId="a6">
    <w:name w:val="Balloon Text"/>
    <w:basedOn w:val="a"/>
    <w:link w:val="a7"/>
    <w:uiPriority w:val="99"/>
    <w:semiHidden/>
    <w:unhideWhenUsed/>
    <w:rPr>
      <w:sz w:val="18"/>
      <w:szCs w:val="18"/>
    </w:rPr>
  </w:style>
  <w:style w:type="paragraph" w:styleId="a8">
    <w:name w:val="footer"/>
    <w:basedOn w:val="a"/>
    <w:link w:val="a9"/>
    <w:uiPriority w:val="99"/>
    <w:unhideWhenUsed/>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pPr>
      <w:snapToGrid w:val="0"/>
      <w:jc w:val="left"/>
    </w:pPr>
    <w:rPr>
      <w:sz w:val="18"/>
      <w:szCs w:val="18"/>
    </w:rPr>
  </w:style>
  <w:style w:type="paragraph" w:styleId="ae">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paragraph" w:styleId="af">
    <w:name w:val="annotation subject"/>
    <w:basedOn w:val="a4"/>
    <w:next w:val="a4"/>
    <w:link w:val="af0"/>
    <w:uiPriority w:val="99"/>
    <w:semiHidden/>
    <w:unhideWhenUsed/>
    <w:rPr>
      <w:b/>
      <w:bCs/>
    </w:rPr>
  </w:style>
  <w:style w:type="table" w:styleId="af1">
    <w:name w:val="Table Grid"/>
    <w:basedOn w:val="a1"/>
    <w:uiPriority w:val="9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bCs/>
    </w:rPr>
  </w:style>
  <w:style w:type="character" w:styleId="af3">
    <w:name w:val="FollowedHyperlink"/>
    <w:basedOn w:val="a0"/>
    <w:uiPriority w:val="99"/>
    <w:semiHidden/>
    <w:unhideWhenUsed/>
    <w:rPr>
      <w:color w:val="800080" w:themeColor="followedHyperlink"/>
      <w:u w:val="single"/>
    </w:rPr>
  </w:style>
  <w:style w:type="character" w:styleId="af4">
    <w:name w:val="Emphasis"/>
    <w:basedOn w:val="a0"/>
    <w:uiPriority w:val="20"/>
    <w:qFormat/>
    <w:rPr>
      <w:i/>
      <w:iCs/>
    </w:rPr>
  </w:style>
  <w:style w:type="character" w:styleId="af5">
    <w:name w:val="Hyperlink"/>
    <w:basedOn w:val="a0"/>
    <w:uiPriority w:val="99"/>
    <w:unhideWhenUsed/>
    <w:rPr>
      <w:color w:val="0000FF"/>
      <w:u w:val="single"/>
    </w:rPr>
  </w:style>
  <w:style w:type="character" w:styleId="af6">
    <w:name w:val="annotation reference"/>
    <w:basedOn w:val="a0"/>
    <w:uiPriority w:val="99"/>
    <w:semiHidden/>
    <w:unhideWhenUsed/>
    <w:rPr>
      <w:sz w:val="21"/>
      <w:szCs w:val="21"/>
    </w:rPr>
  </w:style>
  <w:style w:type="character" w:styleId="af7">
    <w:name w:val="footnote reference"/>
    <w:basedOn w:val="a0"/>
    <w:uiPriority w:val="99"/>
    <w:semiHidden/>
    <w:unhideWhenUsed/>
    <w:rPr>
      <w:vertAlign w:val="superscript"/>
    </w:rPr>
  </w:style>
  <w:style w:type="character" w:customStyle="1" w:styleId="style6">
    <w:name w:val="style6"/>
    <w:basedOn w:val="a0"/>
  </w:style>
  <w:style w:type="character" w:customStyle="1" w:styleId="a9">
    <w:name w:val="页脚 字符"/>
    <w:basedOn w:val="a0"/>
    <w:link w:val="a8"/>
    <w:uiPriority w:val="99"/>
    <w:rPr>
      <w:rFonts w:ascii="宋体" w:eastAsia="宋体" w:hAnsi="宋体" w:cs="宋体"/>
      <w:kern w:val="0"/>
      <w:sz w:val="24"/>
      <w:szCs w:val="24"/>
    </w:rPr>
  </w:style>
  <w:style w:type="character" w:customStyle="1" w:styleId="ab">
    <w:name w:val="页眉 字符"/>
    <w:basedOn w:val="a0"/>
    <w:link w:val="aa"/>
    <w:uiPriority w:val="99"/>
    <w:rPr>
      <w:sz w:val="18"/>
      <w:szCs w:val="18"/>
    </w:rPr>
  </w:style>
  <w:style w:type="character" w:customStyle="1" w:styleId="ad">
    <w:name w:val="脚注文本 字符"/>
    <w:basedOn w:val="a0"/>
    <w:link w:val="ac"/>
    <w:uiPriority w:val="99"/>
    <w:semiHidden/>
    <w:rPr>
      <w:sz w:val="18"/>
      <w:szCs w:val="18"/>
    </w:rPr>
  </w:style>
  <w:style w:type="character" w:customStyle="1" w:styleId="a7">
    <w:name w:val="批注框文本 字符"/>
    <w:basedOn w:val="a0"/>
    <w:link w:val="a6"/>
    <w:uiPriority w:val="99"/>
    <w:semiHidden/>
    <w:rPr>
      <w:sz w:val="18"/>
      <w:szCs w:val="18"/>
    </w:rPr>
  </w:style>
  <w:style w:type="paragraph" w:styleId="af8">
    <w:name w:val="List Paragraph"/>
    <w:basedOn w:val="a"/>
    <w:uiPriority w:val="34"/>
    <w:qFormat/>
    <w:pPr>
      <w:ind w:firstLineChars="200" w:firstLine="420"/>
    </w:pPr>
  </w:style>
  <w:style w:type="paragraph" w:styleId="af9">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rPr>
      <w:b/>
      <w:bCs/>
      <w:kern w:val="44"/>
      <w:sz w:val="44"/>
      <w:szCs w:val="44"/>
    </w:rPr>
  </w:style>
  <w:style w:type="character" w:customStyle="1" w:styleId="20">
    <w:name w:val="标题 2 字符"/>
    <w:basedOn w:val="a0"/>
    <w:link w:val="2"/>
    <w:uiPriority w:val="9"/>
    <w:rPr>
      <w:rFonts w:asciiTheme="majorHAnsi" w:eastAsiaTheme="majorEastAsia" w:hAnsiTheme="majorHAnsi" w:cstheme="majorBidi"/>
      <w:b/>
      <w:bCs/>
      <w:sz w:val="32"/>
      <w:szCs w:val="32"/>
    </w:rPr>
  </w:style>
  <w:style w:type="paragraph" w:customStyle="1" w:styleId="11">
    <w:name w:val="列出段落1"/>
    <w:basedOn w:val="a"/>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Pr>
      <w:color w:val="808080"/>
      <w:shd w:val="clear" w:color="auto" w:fill="E6E6E6"/>
    </w:rPr>
  </w:style>
  <w:style w:type="character" w:customStyle="1" w:styleId="apple-converted-space">
    <w:name w:val="apple-converted-space"/>
    <w:basedOn w:val="a0"/>
  </w:style>
  <w:style w:type="character" w:styleId="afa">
    <w:name w:val="Placeholder Text"/>
    <w:basedOn w:val="a0"/>
    <w:uiPriority w:val="99"/>
    <w:semiHidden/>
    <w:rPr>
      <w:color w:val="808080"/>
    </w:rPr>
  </w:style>
  <w:style w:type="character" w:customStyle="1" w:styleId="a5">
    <w:name w:val="批注文字 字符"/>
    <w:basedOn w:val="a0"/>
    <w:link w:val="a4"/>
    <w:uiPriority w:val="99"/>
    <w:semiHidden/>
  </w:style>
  <w:style w:type="character" w:customStyle="1" w:styleId="af0">
    <w:name w:val="批注主题 字符"/>
    <w:basedOn w:val="a5"/>
    <w:link w:val="af"/>
    <w:uiPriority w:val="99"/>
    <w:semiHidden/>
    <w:rPr>
      <w:b/>
      <w:bCs/>
    </w:rPr>
  </w:style>
  <w:style w:type="character" w:customStyle="1" w:styleId="40">
    <w:name w:val="标题 4 字符"/>
    <w:basedOn w:val="a0"/>
    <w:link w:val="4"/>
    <w:uiPriority w:val="9"/>
    <w:semiHidden/>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Pr>
      <w:color w:val="605E5C"/>
      <w:shd w:val="clear" w:color="auto" w:fill="E1DFDD"/>
    </w:rPr>
  </w:style>
  <w:style w:type="paragraph" w:customStyle="1" w:styleId="Default">
    <w:name w:val="Default"/>
    <w:pPr>
      <w:widowControl w:val="0"/>
      <w:autoSpaceDE w:val="0"/>
      <w:autoSpaceDN w:val="0"/>
      <w:adjustRightInd w:val="0"/>
    </w:pPr>
    <w:rPr>
      <w:rFonts w:ascii="宋体" w:cs="宋体"/>
      <w:color w:val="000000"/>
      <w:sz w:val="24"/>
      <w:szCs w:val="24"/>
    </w:rPr>
  </w:style>
  <w:style w:type="paragraph" w:customStyle="1" w:styleId="afb">
    <w:name w:val="表"/>
    <w:basedOn w:val="a3"/>
    <w:qFormat/>
    <w:pPr>
      <w:spacing w:before="240" w:after="120"/>
      <w:jc w:val="center"/>
    </w:pPr>
    <w:rPr>
      <w:rFonts w:ascii="Times New Roman" w:eastAsia="宋体" w:hAnsi="Times New Roman" w:cs="Times New Roman"/>
      <w:sz w:val="22"/>
      <w:lang w:val="zh-CN"/>
    </w:rPr>
  </w:style>
  <w:style w:type="paragraph" w:customStyle="1" w:styleId="afc">
    <w:name w:val="表格样式"/>
    <w:qFormat/>
    <w:pPr>
      <w:jc w:val="both"/>
    </w:pPr>
    <w:rPr>
      <w:rFonts w:ascii="宋体" w:hAnsi="宋体"/>
      <w:kern w:val="2"/>
      <w:sz w:val="18"/>
      <w:szCs w:val="21"/>
    </w:rPr>
  </w:style>
  <w:style w:type="paragraph" w:customStyle="1" w:styleId="afd">
    <w:name w:val="中文表序样式"/>
    <w:basedOn w:val="a"/>
    <w:link w:val="Char"/>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d"/>
    <w:rPr>
      <w:rFonts w:ascii="Times New Roman" w:eastAsia="宋体" w:hAnsi="Times New Roman" w:cs="Times New Roman"/>
      <w:b/>
      <w:sz w:val="18"/>
      <w:szCs w:val="18"/>
    </w:rPr>
  </w:style>
  <w:style w:type="character" w:customStyle="1" w:styleId="3">
    <w:name w:val="未处理的提及3"/>
    <w:basedOn w:val="a0"/>
    <w:uiPriority w:val="99"/>
    <w:semiHidden/>
    <w:unhideWhenUsed/>
    <w:rPr>
      <w:color w:val="605E5C"/>
      <w:shd w:val="clear" w:color="auto" w:fill="E1DFDD"/>
    </w:rPr>
  </w:style>
  <w:style w:type="paragraph" w:styleId="afe">
    <w:name w:val="Revision"/>
    <w:hidden/>
    <w:uiPriority w:val="99"/>
    <w:unhideWhenUsed/>
    <w:rsid w:val="00302171"/>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4440644">
      <w:bodyDiv w:val="1"/>
      <w:marLeft w:val="0"/>
      <w:marRight w:val="0"/>
      <w:marTop w:val="0"/>
      <w:marBottom w:val="0"/>
      <w:divBdr>
        <w:top w:val="none" w:sz="0" w:space="0" w:color="auto"/>
        <w:left w:val="none" w:sz="0" w:space="0" w:color="auto"/>
        <w:bottom w:val="none" w:sz="0" w:space="0" w:color="auto"/>
        <w:right w:val="none" w:sz="0" w:space="0" w:color="auto"/>
      </w:divBdr>
    </w:div>
    <w:div w:id="19374034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2.emf"/><Relationship Id="rId26" Type="http://schemas.openxmlformats.org/officeDocument/2006/relationships/oleObject" Target="embeddings/oleObject4.bin"/><Relationship Id="rId3" Type="http://schemas.openxmlformats.org/officeDocument/2006/relationships/customXml" Target="../customXml/item3.xml"/><Relationship Id="rId21" Type="http://schemas.openxmlformats.org/officeDocument/2006/relationships/oleObject" Target="embeddings/oleObject2.bin"/><Relationship Id="rId34"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tiff"/><Relationship Id="rId25" Type="http://schemas.openxmlformats.org/officeDocument/2006/relationships/image" Target="media/image6.emf"/><Relationship Id="rId33" Type="http://schemas.openxmlformats.org/officeDocument/2006/relationships/image" Target="media/image10.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3.emf"/><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5.png"/><Relationship Id="rId32" Type="http://schemas.openxmlformats.org/officeDocument/2006/relationships/oleObject" Target="embeddings/oleObject7.bin"/><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oleObject" Target="embeddings/oleObject3.bin"/><Relationship Id="rId28" Type="http://schemas.openxmlformats.org/officeDocument/2006/relationships/oleObject" Target="embeddings/oleObject5.bin"/><Relationship Id="rId10" Type="http://schemas.openxmlformats.org/officeDocument/2006/relationships/numbering" Target="numbering.xml"/><Relationship Id="rId19" Type="http://schemas.openxmlformats.org/officeDocument/2006/relationships/oleObject" Target="embeddings/oleObject1.bin"/><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4.emf"/><Relationship Id="rId27" Type="http://schemas.openxmlformats.org/officeDocument/2006/relationships/image" Target="media/image7.emf"/><Relationship Id="rId30" Type="http://schemas.openxmlformats.org/officeDocument/2006/relationships/oleObject" Target="embeddings/oleObject6.bin"/><Relationship Id="rId35" Type="http://schemas.openxmlformats.org/officeDocument/2006/relationships/theme" Target="theme/theme1.xml"/><Relationship Id="rId8" Type="http://schemas.openxmlformats.org/officeDocument/2006/relationships/customXml" Target="../customXml/item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92508B80-DB3B-412D-8990-6D42959CC3CB}">
  <ds:schemaRefs>
    <ds:schemaRef ds:uri="http://www.w3.org/2003/InkML"/>
  </ds:schemaRefs>
</ds:datastoreItem>
</file>

<file path=customXml/itemProps2.xml><?xml version="1.0" encoding="utf-8"?>
<ds:datastoreItem xmlns:ds="http://schemas.openxmlformats.org/officeDocument/2006/customXml" ds:itemID="{2CF8A7BC-A6C9-488E-AE21-F47F958DEE91}">
  <ds:schemaRefs>
    <ds:schemaRef ds:uri="http://www.w3.org/2003/InkML"/>
  </ds:schemaRefs>
</ds:datastoreItem>
</file>

<file path=customXml/itemProps3.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4.xml><?xml version="1.0" encoding="utf-8"?>
<ds:datastoreItem xmlns:ds="http://schemas.openxmlformats.org/officeDocument/2006/customXml" ds:itemID="{290044E2-0BA4-467E-9E53-FFCB639A368E}">
  <ds:schemaRefs>
    <ds:schemaRef ds:uri="http://www.w3.org/2003/InkML"/>
  </ds:schemaRefs>
</ds:datastoreItem>
</file>

<file path=customXml/itemProps5.xml><?xml version="1.0" encoding="utf-8"?>
<ds:datastoreItem xmlns:ds="http://schemas.openxmlformats.org/officeDocument/2006/customXml" ds:itemID="{DF7E2C67-A2F6-4770-A022-CC6D6CEBEFC9}">
  <ds:schemaRefs>
    <ds:schemaRef ds:uri="http://www.w3.org/2003/InkML"/>
  </ds:schemaRefs>
</ds:datastoreItem>
</file>

<file path=customXml/itemProps6.xml><?xml version="1.0" encoding="utf-8"?>
<ds:datastoreItem xmlns:ds="http://schemas.openxmlformats.org/officeDocument/2006/customXml" ds:itemID="{C4632F00-5510-4446-BFC6-AFD51E328A87}">
  <ds:schemaRefs>
    <ds:schemaRef ds:uri="http://www.w3.org/2003/InkML"/>
  </ds:schemaRefs>
</ds:datastoreItem>
</file>

<file path=customXml/itemProps7.xml><?xml version="1.0" encoding="utf-8"?>
<ds:datastoreItem xmlns:ds="http://schemas.openxmlformats.org/officeDocument/2006/customXml" ds:itemID="{A24CD530-54B2-4D4C-A1F1-FF10573DFF46}">
  <ds:schemaRefs>
    <ds:schemaRef ds:uri="http://www.w3.org/2003/InkML"/>
  </ds:schemaRefs>
</ds:datastoreItem>
</file>

<file path=customXml/itemProps8.xml><?xml version="1.0" encoding="utf-8"?>
<ds:datastoreItem xmlns:ds="http://schemas.openxmlformats.org/officeDocument/2006/customXml" ds:itemID="{4EAB2A64-D528-4499-9246-6390C4E52F7A}">
  <ds:schemaRefs>
    <ds:schemaRef ds:uri="http://www.w3.org/2003/InkML"/>
  </ds:schemaRefs>
</ds:datastoreItem>
</file>

<file path=customXml/itemProps9.xml><?xml version="1.0" encoding="utf-8"?>
<ds:datastoreItem xmlns:ds="http://schemas.openxmlformats.org/officeDocument/2006/customXml" ds:itemID="{C3CB785B-7851-45EB-A695-18D06BBAF8F4}">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15</Pages>
  <Words>11780</Words>
  <Characters>19438</Characters>
  <Application>Microsoft Office Word</Application>
  <DocSecurity>0</DocSecurity>
  <Lines>747</Lines>
  <Paragraphs>208</Paragraphs>
  <ScaleCrop>false</ScaleCrop>
  <HeadingPairs>
    <vt:vector size="2" baseType="variant">
      <vt:variant>
        <vt:lpstr>Title</vt:lpstr>
      </vt:variant>
      <vt:variant>
        <vt:i4>1</vt:i4>
      </vt:variant>
    </vt:vector>
  </HeadingPairs>
  <TitlesOfParts>
    <vt:vector size="1" baseType="lpstr">
      <vt:lpstr/>
    </vt:vector>
  </TitlesOfParts>
  <Company>siom</Company>
  <LinksUpToDate>false</LinksUpToDate>
  <CharactersWithSpaces>31010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刘森</dc:creator>
  <cp:lastModifiedBy>l</cp:lastModifiedBy>
  <cp:revision>7</cp:revision>
  <dcterms:created xsi:type="dcterms:W3CDTF">2025-06-05T09:02:00Z</dcterms:created>
  <dcterms:modified xsi:type="dcterms:W3CDTF">2025-06-13T09:14:00Z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eyJoZGlkIjoiMzEwNTM5NzYwMDRjMzkwZTVkZjY2ODkwMGIxNGU0OTUiLCJ1c2VySWQiOiIzMzM4NjA3ODQifQ==</vt:lpwstr>
  </property>
  <property fmtid="{D5CDD505-2E9C-101B-9397-08002B2CF9AE}" pid="3" name="KSOProductBuildVer">
    <vt:lpwstr>2052-12.1.0.21171</vt:lpwstr>
  </property>
  <property fmtid="{D5CDD505-2E9C-101B-9397-08002B2CF9AE}" pid="4" name="ICV">
    <vt:lpwstr>D5FB7014FC64477C8DA234CECB3EC160_13</vt:lpwstr>
  </property>
</Properties>
</file>