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6321B5" w14:textId="77777777" w:rsidR="00D15E46"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基于</w:t>
      </w:r>
      <w:r>
        <w:rPr>
          <w:rFonts w:ascii="Times New Roman" w:eastAsiaTheme="majorEastAsia" w:hAnsi="Times New Roman" w:cs="Times New Roman" w:hint="eastAsia"/>
          <w:b/>
          <w:bCs/>
          <w:kern w:val="0"/>
          <w:sz w:val="44"/>
          <w:szCs w:val="44"/>
        </w:rPr>
        <w:t>MCMC</w:t>
      </w:r>
      <w:r>
        <w:rPr>
          <w:rFonts w:ascii="Times New Roman" w:eastAsiaTheme="majorEastAsia" w:hAnsi="Times New Roman" w:cs="Times New Roman" w:hint="eastAsia"/>
          <w:b/>
          <w:bCs/>
          <w:kern w:val="0"/>
          <w:sz w:val="44"/>
          <w:szCs w:val="44"/>
        </w:rPr>
        <w:t>模拟的贝叶斯时空交互防洪韧性</w:t>
      </w:r>
    </w:p>
    <w:p w14:paraId="3F10F4B8" w14:textId="77777777" w:rsidR="00D15E46" w:rsidRDefault="00000000">
      <w:pPr>
        <w:widowControl/>
        <w:spacing w:line="240" w:lineRule="atLeast"/>
        <w:jc w:val="center"/>
        <w:rPr>
          <w:rFonts w:ascii="Times New Roman" w:eastAsiaTheme="majorEastAsia" w:hAnsi="Times New Roman" w:cs="Times New Roman"/>
          <w:b/>
          <w:bCs/>
          <w:kern w:val="0"/>
          <w:szCs w:val="21"/>
        </w:rPr>
      </w:pPr>
      <w:r>
        <w:rPr>
          <w:rFonts w:ascii="Times New Roman" w:eastAsiaTheme="majorEastAsia" w:hAnsi="Times New Roman" w:cs="Times New Roman" w:hint="eastAsia"/>
          <w:b/>
          <w:bCs/>
          <w:kern w:val="0"/>
          <w:sz w:val="44"/>
          <w:szCs w:val="44"/>
        </w:rPr>
        <w:t>评估研究</w:t>
      </w:r>
    </w:p>
    <w:p w14:paraId="5EFCF780" w14:textId="77777777" w:rsidR="00D15E46" w:rsidRDefault="00D15E46">
      <w:pPr>
        <w:widowControl/>
        <w:spacing w:line="240" w:lineRule="atLeast"/>
        <w:jc w:val="center"/>
        <w:rPr>
          <w:rFonts w:ascii="Times New Roman" w:hAnsi="Times New Roman" w:cs="Times New Roman"/>
          <w:color w:val="FF0000"/>
          <w:kern w:val="0"/>
          <w:szCs w:val="21"/>
        </w:rPr>
      </w:pPr>
    </w:p>
    <w:p w14:paraId="29AFC092" w14:textId="77777777" w:rsidR="00D15E46"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在城市化进程加速与气候变化的背景下，实现防洪韧性的精准评估对城市的可持续发展具有重要意义。以往的防洪韧性评估研究多采用经典统计方法，对小样本数据较为敏感，且未考虑空间相关性对城市防洪韧性的影响。本文采用基于马尔科夫链蒙特卡罗（</w:t>
      </w:r>
      <w:r>
        <w:rPr>
          <w:rFonts w:ascii="Times New Roman" w:eastAsia="宋体" w:hAnsi="Times New Roman" w:cs="Times New Roman" w:hint="eastAsia"/>
          <w:kern w:val="0"/>
          <w:szCs w:val="21"/>
        </w:rPr>
        <w:t>Markov chain Monte Carlo, MCMC</w:t>
      </w:r>
      <w:r>
        <w:rPr>
          <w:rFonts w:ascii="Times New Roman" w:eastAsia="宋体" w:hAnsi="Times New Roman" w:cs="Times New Roman" w:hint="eastAsia"/>
          <w:kern w:val="0"/>
          <w:szCs w:val="21"/>
        </w:rPr>
        <w:t>）方法的贝叶斯时空交互模型（</w:t>
      </w:r>
      <w:r>
        <w:rPr>
          <w:rFonts w:ascii="Times New Roman" w:eastAsia="宋体" w:hAnsi="Times New Roman" w:cs="Times New Roman" w:hint="eastAsia"/>
          <w:kern w:val="0"/>
          <w:szCs w:val="21"/>
        </w:rPr>
        <w:t>Bayesian space-time interaction model, BSTIM</w:t>
      </w:r>
      <w:r>
        <w:rPr>
          <w:rFonts w:ascii="Times New Roman" w:eastAsia="宋体" w:hAnsi="Times New Roman" w:cs="Times New Roman" w:hint="eastAsia"/>
          <w:kern w:val="0"/>
          <w:szCs w:val="21"/>
        </w:rPr>
        <w:t>），将邻接城市的空间信息纳入时空演化过程，深入揭示防洪韧性在时间与空间上的耦合过程，最后将其应用于长三角地区的防洪韧性评估研究。结果表明：</w:t>
      </w:r>
      <w:r>
        <w:rPr>
          <w:rFonts w:ascii="Times New Roman" w:eastAsia="宋体" w:hAnsi="Times New Roman" w:cs="Times New Roman" w:hint="eastAsia"/>
          <w:kern w:val="0"/>
          <w:szCs w:val="21"/>
        </w:rPr>
        <w:t>BSTIM</w:t>
      </w:r>
      <w:r>
        <w:rPr>
          <w:rFonts w:ascii="Times New Roman" w:eastAsia="宋体" w:hAnsi="Times New Roman" w:cs="Times New Roman" w:hint="eastAsia"/>
          <w:kern w:val="0"/>
          <w:szCs w:val="21"/>
        </w:rPr>
        <w:t>对城市防洪韧性的时空解译度达到</w:t>
      </w:r>
      <w:r>
        <w:rPr>
          <w:rFonts w:ascii="Times New Roman" w:eastAsia="宋体" w:hAnsi="Times New Roman" w:cs="Times New Roman" w:hint="eastAsia"/>
          <w:kern w:val="0"/>
          <w:szCs w:val="21"/>
        </w:rPr>
        <w:t>93%</w:t>
      </w:r>
      <w:r>
        <w:rPr>
          <w:rFonts w:ascii="Times New Roman" w:eastAsia="宋体" w:hAnsi="Times New Roman" w:cs="Times New Roman" w:hint="eastAsia"/>
          <w:kern w:val="0"/>
          <w:szCs w:val="21"/>
        </w:rPr>
        <w:t>以上，对时空数据的拟合较好，实现了对防洪韧性时空特征的精准评估。长三角地区的防洪韧性在研究期间呈现上升趋势，空间布局整体上形成“低</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高</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中”的空间格局，局部变化趋势呈现“东高西低，北部居中”的特点。城市防洪韧性空间格局的冷热聚集差异性显著，局部变化冷热聚集形成“西冷东热”的格局；半数地区呈现“热</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热”与“冷</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热”的聚集特点，表明长三角地区城市抗洪的未来趋势向好。</w:t>
      </w:r>
    </w:p>
    <w:p w14:paraId="567B5710" w14:textId="77777777" w:rsidR="00D15E46"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贝叶斯理论；马尔科夫链蒙特卡罗方法；贝叶斯时空交互模型；城市防洪韧性</w:t>
      </w:r>
    </w:p>
    <w:p w14:paraId="54C7D93A" w14:textId="77777777" w:rsidR="00D15E46"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hint="eastAsia"/>
          <w:kern w:val="0"/>
          <w:szCs w:val="21"/>
        </w:rPr>
        <w:t>TU998.4, TU992</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11E56CCD" w14:textId="77777777" w:rsidR="00D15E46" w:rsidRDefault="00D15E46">
      <w:pPr>
        <w:widowControl/>
        <w:spacing w:line="240" w:lineRule="atLeast"/>
        <w:rPr>
          <w:rFonts w:ascii="Times New Roman" w:eastAsia="宋体" w:hAnsi="Times New Roman" w:cs="Times New Roman"/>
          <w:color w:val="FF0000"/>
          <w:kern w:val="0"/>
          <w:szCs w:val="21"/>
        </w:rPr>
      </w:pPr>
    </w:p>
    <w:p w14:paraId="298BA913" w14:textId="77777777" w:rsidR="00D15E46" w:rsidRDefault="00D15E46">
      <w:pPr>
        <w:widowControl/>
        <w:spacing w:line="240" w:lineRule="atLeast"/>
        <w:rPr>
          <w:rFonts w:ascii="Times New Roman" w:eastAsiaTheme="majorEastAsia" w:hAnsi="Times New Roman" w:cs="Times New Roman"/>
          <w:color w:val="FF0000"/>
          <w:kern w:val="0"/>
          <w:szCs w:val="21"/>
        </w:rPr>
        <w:sectPr w:rsidR="00D15E46">
          <w:footerReference w:type="first" r:id="rId16"/>
          <w:type w:val="continuous"/>
          <w:pgSz w:w="11906" w:h="16838"/>
          <w:pgMar w:top="1440" w:right="1106" w:bottom="1440" w:left="1106" w:header="851" w:footer="992" w:gutter="0"/>
          <w:cols w:space="425"/>
          <w:titlePg/>
          <w:docGrid w:type="linesAndChars" w:linePitch="312"/>
        </w:sectPr>
      </w:pPr>
    </w:p>
    <w:p w14:paraId="6DE20502"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全球气候变化导致暴雨、洪涝等自然灾害频发，世界各大城市的社会经济损失严重，给城市安全与居民生活造成巨大威胁</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_Ref23963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[1]</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。由于洪水带来的巨大危害与不确定性，传统的防灾减灾措施已无法满足防洪抗灾的需求，而城市韧性基于传统的安全理念，强调城市适应变化以及自我恢复的能力</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_Ref25615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[2]</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，可更好地抵抗洪涝灾害。城市防洪韧性的提出为优化城市洪涝治理体系、推动城市可持续发展开辟了新路径</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_Ref24058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[3]</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防洪韧性的评估作为韧性研究的重要部分，对于增强城市应对洪涝灾害的能力具有重要意义。然而，防洪韧性内在的空间结构在评估研究中常被忽视。在防洪韧性评估中纳入空间邻域信息，可进一步提高评估精度，亟待探索韧性评估的新思路。</w:t>
      </w:r>
    </w:p>
    <w:p w14:paraId="12E70608"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贝叶斯时空交互模型</w:t>
      </w:r>
      <w:r>
        <w:rPr>
          <w:rFonts w:ascii="Times New Roman" w:hAnsi="Times New Roman" w:cs="Times New Roman" w:hint="eastAsia"/>
          <w:szCs w:val="21"/>
        </w:rPr>
        <w:t>(Bayesian space-time interaction model, BSTIM)</w:t>
      </w:r>
      <w:r>
        <w:rPr>
          <w:rFonts w:ascii="Times New Roman" w:hAnsi="Times New Roman" w:cs="Times New Roman" w:hint="eastAsia"/>
          <w:szCs w:val="21"/>
        </w:rPr>
        <w:t>是一种基于贝叶斯框架的时空统计模型。该基础为层次贝叶斯推断，故可以处理小样本数据，通过借用邻近单元的信息实现平滑，能够实现更稳定的估计</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_Ref9296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[4]</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w:t>
      </w:r>
      <w:r>
        <w:rPr>
          <w:rFonts w:ascii="Times New Roman" w:hAnsi="Times New Roman" w:cs="Times New Roman" w:hint="eastAsia"/>
          <w:szCs w:val="21"/>
        </w:rPr>
        <w:t>BSTIM</w:t>
      </w:r>
      <w:r>
        <w:rPr>
          <w:rFonts w:ascii="Times New Roman" w:hAnsi="Times New Roman" w:cs="Times New Roman" w:hint="eastAsia"/>
          <w:szCs w:val="21"/>
        </w:rPr>
        <w:t>在贝叶斯层次算法的基础上结合了时空交互模型，故在评估研</w:t>
      </w:r>
      <w:r>
        <w:rPr>
          <w:rFonts w:ascii="Times New Roman" w:hAnsi="Times New Roman" w:cs="Times New Roman" w:hint="eastAsia"/>
          <w:szCs w:val="21"/>
        </w:rPr>
        <w:t>究中可识别时间、空间与时空交互效应。其参数推断通常采用马尔科夫链蒙特卡罗</w:t>
      </w:r>
      <w:r>
        <w:rPr>
          <w:rFonts w:ascii="Times New Roman" w:hAnsi="Times New Roman" w:cs="Times New Roman" w:hint="eastAsia"/>
          <w:szCs w:val="21"/>
        </w:rPr>
        <w:t>(Markov chain Monte Carlo, MCMC)</w:t>
      </w:r>
      <w:r>
        <w:rPr>
          <w:rFonts w:ascii="Times New Roman" w:hAnsi="Times New Roman" w:cs="Times New Roman" w:hint="eastAsia"/>
          <w:szCs w:val="21"/>
        </w:rPr>
        <w:t>方法，该方法在诸多领域应用广泛。李俊明等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_Ref6698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[5]</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基于贝叶斯时空模型分析了黄河流域生态文明与共同富裕的时空协同关系；于明雪等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_Ref10538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[6]</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运用贝叶斯层次时空模型研究了甘肃省土地利用程度的时空演进特征；段琳琼等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_Ref12040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[7]</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采用贝叶斯时空模型分析了长三角与中原城市群建设用地扩张格局的差异性；张新成等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_Ref13105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[8]</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基于</w:t>
      </w:r>
      <w:r>
        <w:rPr>
          <w:rFonts w:ascii="Times New Roman" w:hAnsi="Times New Roman" w:cs="Times New Roman" w:hint="eastAsia"/>
          <w:szCs w:val="21"/>
        </w:rPr>
        <w:t>Bayesian-MCMC</w:t>
      </w:r>
      <w:r>
        <w:rPr>
          <w:rFonts w:ascii="Times New Roman" w:hAnsi="Times New Roman" w:cs="Times New Roman" w:hint="eastAsia"/>
          <w:szCs w:val="21"/>
        </w:rPr>
        <w:t>方法实现了中国乡村旅游公共服务水平的时空演化特征分析；黄俊宝等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_Ref14444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[9]</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应用贝叶斯层次时空模型研究了区域的科技创新能力大小与发展情况；周丽莉等</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_Ref31061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[10]</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基于</w:t>
      </w:r>
      <w:r>
        <w:rPr>
          <w:rFonts w:ascii="Times New Roman" w:hAnsi="Times New Roman" w:cs="Times New Roman" w:hint="eastAsia"/>
          <w:szCs w:val="21"/>
        </w:rPr>
        <w:t>MCMC</w:t>
      </w:r>
      <w:r>
        <w:rPr>
          <w:rFonts w:ascii="Times New Roman" w:hAnsi="Times New Roman" w:cs="Times New Roman" w:hint="eastAsia"/>
          <w:szCs w:val="21"/>
        </w:rPr>
        <w:t>模拟实现信用风险评估研究，有效缓解了测量误差问题。</w:t>
      </w:r>
    </w:p>
    <w:p w14:paraId="43DF0E63" w14:textId="77777777" w:rsidR="00D15E46" w:rsidRDefault="00000000">
      <w:pPr>
        <w:spacing w:line="240" w:lineRule="atLeast"/>
        <w:ind w:firstLine="420"/>
        <w:rPr>
          <w:rFonts w:ascii="Times New Roman" w:eastAsia="宋体" w:hAnsi="Times New Roman" w:cs="Times New Roman"/>
          <w:kern w:val="0"/>
          <w:szCs w:val="21"/>
        </w:rPr>
        <w:sectPr w:rsidR="00D15E46">
          <w:type w:val="continuous"/>
          <w:pgSz w:w="11906" w:h="16838"/>
          <w:pgMar w:top="1440" w:right="1106" w:bottom="1440" w:left="1106" w:header="851" w:footer="992" w:gutter="0"/>
          <w:cols w:num="2" w:space="425"/>
          <w:titlePg/>
          <w:docGrid w:type="linesAndChars" w:linePitch="312"/>
        </w:sectPr>
      </w:pPr>
      <w:r>
        <w:rPr>
          <w:rFonts w:ascii="Times New Roman" w:eastAsia="宋体" w:hAnsi="Times New Roman" w:cs="Times New Roman" w:hint="eastAsia"/>
          <w:kern w:val="0"/>
          <w:szCs w:val="21"/>
        </w:rPr>
        <w:t>BSTIM</w:t>
      </w:r>
      <w:r>
        <w:rPr>
          <w:rFonts w:ascii="Times New Roman" w:eastAsia="宋体" w:hAnsi="Times New Roman" w:cs="Times New Roman" w:hint="eastAsia"/>
          <w:kern w:val="0"/>
          <w:szCs w:val="21"/>
        </w:rPr>
        <w:t>在多个研究领域都实现了对参数后验概率的准确推断与预测。然而，在暴雨洪涝与防洪韧性的研究领域，现有成果多采用经典估计方法。例如，陈长坤等</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_Ref9524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[11]</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利用熵权</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灰色关联度评估暴雨洪涝灾情，魏盛宇等</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_Ref9560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[12]</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采用改进熵权法评价西安</w:t>
      </w:r>
    </w:p>
    <w:p w14:paraId="45999976" w14:textId="77777777" w:rsidR="00D15E46" w:rsidRDefault="00D15E46">
      <w:pPr>
        <w:tabs>
          <w:tab w:val="left" w:pos="735"/>
        </w:tabs>
        <w:spacing w:line="360" w:lineRule="exact"/>
        <w:rPr>
          <w:rFonts w:ascii="Times New Roman" w:hAnsi="Times New Roman" w:cs="Times New Roman"/>
          <w:sz w:val="18"/>
          <w:szCs w:val="18"/>
        </w:rPr>
        <w:sectPr w:rsidR="00D15E46">
          <w:type w:val="continuous"/>
          <w:pgSz w:w="11906" w:h="16838"/>
          <w:pgMar w:top="1440" w:right="1106" w:bottom="1440" w:left="1106" w:header="851" w:footer="992" w:gutter="0"/>
          <w:cols w:space="425"/>
          <w:titlePg/>
          <w:docGrid w:type="linesAndChars" w:linePitch="312"/>
        </w:sectPr>
      </w:pPr>
    </w:p>
    <w:p w14:paraId="30A10D99" w14:textId="77777777" w:rsidR="00D15E46"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市的暴雨洪涝脆弱性。</w:t>
      </w:r>
      <w:r>
        <w:rPr>
          <w:rFonts w:ascii="Times New Roman" w:eastAsia="宋体" w:hAnsi="Times New Roman" w:cs="Times New Roman" w:hint="eastAsia"/>
          <w:kern w:val="0"/>
          <w:szCs w:val="21"/>
        </w:rPr>
        <w:t>2014</w:t>
      </w:r>
      <w:r>
        <w:rPr>
          <w:rFonts w:ascii="Times New Roman" w:eastAsia="宋体" w:hAnsi="Times New Roman" w:cs="Times New Roman" w:hint="eastAsia"/>
          <w:kern w:val="0"/>
          <w:szCs w:val="21"/>
        </w:rPr>
        <w:t>年，洛克菲勒基金会提出了“城市韧性指数”，用于构建指标体系实现对韧性的评价</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_Ref9612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[13]</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。学者们从影响洪涝的因素</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_Ref27787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[14]</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_Ref27813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[15]</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与韧性的特征</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_Ref27353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[16]</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_Ref31852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[17]</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进行分类来实现对抗洪能力评估同样采用了指数系统方法。韧性研究的范围主要包括区域</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_Ref31914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[18]</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_Ref24695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[19]</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、流域</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_Ref31940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[20]</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等尺度。国内外学者还分</w:t>
      </w:r>
      <w:r>
        <w:rPr>
          <w:rFonts w:ascii="Times New Roman" w:eastAsia="宋体" w:hAnsi="Times New Roman" w:cs="Times New Roman" w:hint="eastAsia"/>
          <w:kern w:val="0"/>
          <w:szCs w:val="21"/>
        </w:rPr>
        <w:t>析了城市防洪韧性在时间</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_Ref32113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[21]</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与空间</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_Ref32126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[22]</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上的演化特征，并采用灰色关联度</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_Ref32142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[23]</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、地理加权回归</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_Ref32159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[24]</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等多种方法进行影响因素的识别。此外，基于情景模拟的洪涝风险评估研究</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_Ref10778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[25]</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也逐步开展。</w:t>
      </w:r>
    </w:p>
    <w:p w14:paraId="2D93763B" w14:textId="77777777" w:rsidR="00D15E46"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综上所述，防洪韧性的已有研究以经典统计方法为主，尚未有文献将贝叶斯模型应用于防洪韧性</w:t>
      </w:r>
      <w:r>
        <w:rPr>
          <w:rFonts w:ascii="Times New Roman" w:eastAsia="宋体" w:hAnsi="Times New Roman" w:cs="Times New Roman" w:hint="eastAsia"/>
          <w:kern w:val="0"/>
          <w:szCs w:val="21"/>
        </w:rPr>
        <w:lastRenderedPageBreak/>
        <w:t>的评估研究中，且关于如何进行参数的贝叶斯推断的相关研究也较少。区别于经典统计方法将参数视为固定常数利用极大似然估计得到参数结果，贝叶斯统计方法将参数视为服从某种先验分布随机变量。此外，贝叶斯统计在小样本的情况下也能够得到可靠的参数信息</w:t>
      </w:r>
      <w:r>
        <w:rPr>
          <w:rFonts w:ascii="Times New Roman" w:eastAsia="宋体" w:hAnsi="Times New Roman" w:cs="Times New Roman" w:hint="eastAsia"/>
          <w:kern w:val="0"/>
          <w:szCs w:val="21"/>
          <w:vertAlign w:val="superscript"/>
        </w:rPr>
        <w:fldChar w:fldCharType="begin"/>
      </w:r>
      <w:r>
        <w:rPr>
          <w:rFonts w:ascii="Times New Roman" w:eastAsia="宋体" w:hAnsi="Times New Roman" w:cs="Times New Roman" w:hint="eastAsia"/>
          <w:kern w:val="0"/>
          <w:szCs w:val="21"/>
          <w:vertAlign w:val="superscript"/>
        </w:rPr>
        <w:instrText xml:space="preserve"> REF _Ref10932 \r \h </w:instrText>
      </w:r>
      <w:r>
        <w:rPr>
          <w:rFonts w:ascii="Times New Roman" w:eastAsia="宋体" w:hAnsi="Times New Roman" w:cs="Times New Roman" w:hint="eastAsia"/>
          <w:kern w:val="0"/>
          <w:szCs w:val="21"/>
          <w:vertAlign w:val="superscript"/>
        </w:rPr>
      </w:r>
      <w:r>
        <w:rPr>
          <w:rFonts w:ascii="Times New Roman" w:eastAsia="宋体" w:hAnsi="Times New Roman" w:cs="Times New Roman" w:hint="eastAsia"/>
          <w:kern w:val="0"/>
          <w:szCs w:val="21"/>
          <w:vertAlign w:val="superscript"/>
        </w:rPr>
        <w:fldChar w:fldCharType="separate"/>
      </w:r>
      <w:r>
        <w:rPr>
          <w:rFonts w:ascii="Times New Roman" w:eastAsia="宋体" w:hAnsi="Times New Roman" w:cs="Times New Roman" w:hint="eastAsia"/>
          <w:kern w:val="0"/>
          <w:szCs w:val="21"/>
          <w:vertAlign w:val="superscript"/>
        </w:rPr>
        <w:t>[26]</w:t>
      </w:r>
      <w:r>
        <w:rPr>
          <w:rFonts w:ascii="Times New Roman" w:eastAsia="宋体" w:hAnsi="Times New Roman" w:cs="Times New Roman" w:hint="eastAsia"/>
          <w:kern w:val="0"/>
          <w:szCs w:val="21"/>
          <w:vertAlign w:val="superscript"/>
        </w:rPr>
        <w:fldChar w:fldCharType="end"/>
      </w:r>
      <w:r>
        <w:rPr>
          <w:rFonts w:ascii="Times New Roman" w:eastAsia="宋体" w:hAnsi="Times New Roman" w:cs="Times New Roman" w:hint="eastAsia"/>
          <w:kern w:val="0"/>
          <w:szCs w:val="21"/>
        </w:rPr>
        <w:t>，对小样本量数据不敏感。该方法通过结合先验信息与样本信息计算后验分布函数的积分，从而得到待估参数的均值与方差，能够精准地评估防洪韧性。基于</w:t>
      </w:r>
      <w:r>
        <w:rPr>
          <w:rFonts w:ascii="Times New Roman" w:eastAsia="宋体" w:hAnsi="Times New Roman" w:cs="Times New Roman" w:hint="eastAsia"/>
          <w:kern w:val="0"/>
          <w:szCs w:val="21"/>
        </w:rPr>
        <w:t>MCMC</w:t>
      </w:r>
      <w:r>
        <w:rPr>
          <w:rFonts w:ascii="Times New Roman" w:eastAsia="宋体" w:hAnsi="Times New Roman" w:cs="Times New Roman" w:hint="eastAsia"/>
          <w:kern w:val="0"/>
          <w:szCs w:val="21"/>
        </w:rPr>
        <w:t>模拟的</w:t>
      </w:r>
      <w:r>
        <w:rPr>
          <w:rFonts w:ascii="Times New Roman" w:eastAsia="宋体" w:hAnsi="Times New Roman" w:cs="Times New Roman" w:hint="eastAsia"/>
          <w:kern w:val="0"/>
          <w:szCs w:val="21"/>
        </w:rPr>
        <w:t>BSTIM</w:t>
      </w:r>
      <w:r>
        <w:rPr>
          <w:rFonts w:ascii="Times New Roman" w:eastAsia="宋体" w:hAnsi="Times New Roman" w:cs="Times New Roman" w:hint="eastAsia"/>
          <w:kern w:val="0"/>
          <w:szCs w:val="21"/>
        </w:rPr>
        <w:t>可将空间相关性与时空异质性纳入防洪韧性的时空特征评估研究中，揭示防洪韧性在时间与空间上的耦合过程。</w:t>
      </w:r>
    </w:p>
    <w:p w14:paraId="0D2B927F" w14:textId="77777777" w:rsidR="00D15E46"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因此，本文采用</w:t>
      </w:r>
      <w:r>
        <w:rPr>
          <w:rFonts w:ascii="Times New Roman" w:eastAsia="宋体" w:hAnsi="Times New Roman" w:cs="Times New Roman" w:hint="eastAsia"/>
          <w:kern w:val="0"/>
          <w:szCs w:val="21"/>
        </w:rPr>
        <w:t>MCMC</w:t>
      </w:r>
      <w:r>
        <w:rPr>
          <w:rFonts w:ascii="Times New Roman" w:eastAsia="宋体" w:hAnsi="Times New Roman" w:cs="Times New Roman" w:hint="eastAsia"/>
          <w:kern w:val="0"/>
          <w:szCs w:val="21"/>
        </w:rPr>
        <w:t>方法实现贝叶斯估计，通过梳理贝叶斯理论与模型间关系，明晰其内部关联机制与作用特征，并详细论述</w:t>
      </w:r>
      <w:r>
        <w:rPr>
          <w:rFonts w:ascii="Times New Roman" w:eastAsia="宋体" w:hAnsi="Times New Roman" w:cs="Times New Roman" w:hint="eastAsia"/>
          <w:kern w:val="0"/>
          <w:szCs w:val="21"/>
        </w:rPr>
        <w:t>BSTIM</w:t>
      </w:r>
      <w:r>
        <w:rPr>
          <w:rFonts w:ascii="Times New Roman" w:eastAsia="宋体" w:hAnsi="Times New Roman" w:cs="Times New Roman" w:hint="eastAsia"/>
          <w:kern w:val="0"/>
          <w:szCs w:val="21"/>
        </w:rPr>
        <w:t>参数的贝叶斯设定与推断过程。最后将</w:t>
      </w:r>
      <w:r>
        <w:rPr>
          <w:rFonts w:ascii="Times New Roman" w:eastAsia="宋体" w:hAnsi="Times New Roman" w:cs="Times New Roman" w:hint="eastAsia"/>
          <w:kern w:val="0"/>
          <w:szCs w:val="21"/>
        </w:rPr>
        <w:t>BSTIM</w:t>
      </w:r>
      <w:r>
        <w:rPr>
          <w:rFonts w:ascii="Times New Roman" w:eastAsia="宋体" w:hAnsi="Times New Roman" w:cs="Times New Roman" w:hint="eastAsia"/>
          <w:kern w:val="0"/>
          <w:szCs w:val="21"/>
        </w:rPr>
        <w:t>应用于长三角地区城市防洪韧性的评估研究中，得到时间演变特征、空间分布格局、局部变化趋势、冷热聚集分布、未来发展趋势等一系列研究结论，掌握区域的防洪韧性发展动态，以期为城市防洪韧性发展重点的有效识别、城市群抗洪救灾能力的提升提供决策参考。</w:t>
      </w:r>
    </w:p>
    <w:p w14:paraId="5B9FDC8A" w14:textId="77777777" w:rsidR="00D15E46" w:rsidRDefault="00000000">
      <w:pPr>
        <w:pStyle w:val="2"/>
      </w:pPr>
      <w:r>
        <w:rPr>
          <w:rFonts w:ascii="Times New Roman" w:hAnsi="Times New Roman" w:cs="Times New Roman"/>
        </w:rPr>
        <w:t>1</w:t>
      </w:r>
      <w:r>
        <w:t xml:space="preserve"> </w:t>
      </w:r>
      <w:r>
        <w:rPr>
          <w:rFonts w:hint="eastAsia"/>
        </w:rPr>
        <w:t>贝叶斯时空交互模型</w:t>
      </w:r>
    </w:p>
    <w:p w14:paraId="1EDC8223" w14:textId="77777777" w:rsidR="00D15E46" w:rsidRDefault="00000000">
      <w:pPr>
        <w:pStyle w:val="3"/>
      </w:pPr>
      <w:r>
        <w:rPr>
          <w:rFonts w:ascii="Times New Roman" w:hAnsi="Times New Roman" w:cs="Times New Roman"/>
        </w:rPr>
        <w:t>1.1</w:t>
      </w:r>
      <w:r>
        <w:t xml:space="preserve">  </w:t>
      </w:r>
      <w:r>
        <w:rPr>
          <w:rFonts w:ascii="黑体" w:eastAsia="黑体" w:hAnsi="黑体" w:cs="黑体" w:hint="eastAsia"/>
          <w:b w:val="0"/>
          <w:bCs w:val="0"/>
        </w:rPr>
        <w:t>贝叶斯模型</w:t>
      </w:r>
    </w:p>
    <w:p w14:paraId="0C7930B1"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贝叶斯估计是将观测样本信息与先验信息结合，并以此构建更新的后验分布，该理论已被应用于多个研究领域。贝叶斯统计学者将参数看成具有一定概率分布的随机变量，描述了未知参数</w:t>
      </w:r>
      <w:r>
        <w:rPr>
          <w:rFonts w:ascii="Times New Roman" w:hAnsi="Times New Roman" w:cs="Times New Roman"/>
          <w:i/>
          <w:iCs/>
          <w:szCs w:val="21"/>
        </w:rPr>
        <w:t>θ</w:t>
      </w:r>
      <w:r>
        <w:rPr>
          <w:rFonts w:ascii="Times New Roman" w:hAnsi="Times New Roman" w:cs="Times New Roman" w:hint="eastAsia"/>
          <w:szCs w:val="21"/>
        </w:rPr>
        <w:t>的先验信息的统计特征，称作先验信息</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_Ref425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[27]</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。给定未知参数</w:t>
      </w:r>
      <w:r>
        <w:rPr>
          <w:rFonts w:ascii="Times New Roman" w:hAnsi="Times New Roman" w:cs="Times New Roman"/>
          <w:i/>
          <w:iCs/>
          <w:szCs w:val="21"/>
        </w:rPr>
        <w:t>θ</w:t>
      </w:r>
      <w:r>
        <w:rPr>
          <w:rFonts w:ascii="Times New Roman" w:hAnsi="Times New Roman" w:cs="Times New Roman" w:hint="eastAsia"/>
          <w:szCs w:val="21"/>
        </w:rPr>
        <w:t>时，样本数据</w:t>
      </w:r>
      <w:r>
        <w:rPr>
          <w:rFonts w:ascii="Times New Roman" w:hAnsi="Times New Roman" w:cs="Times New Roman" w:hint="eastAsia"/>
          <w:i/>
          <w:iCs/>
          <w:szCs w:val="21"/>
        </w:rPr>
        <w:t>y</w:t>
      </w:r>
      <w:r>
        <w:rPr>
          <w:rFonts w:ascii="Times New Roman" w:hAnsi="Times New Roman" w:cs="Times New Roman" w:hint="eastAsia"/>
          <w:szCs w:val="21"/>
        </w:rPr>
        <w:t>的密度函数为</w:t>
      </w:r>
      <w:r>
        <w:rPr>
          <w:rFonts w:ascii="Times New Roman" w:hAnsi="Times New Roman" w:cs="Times New Roman" w:hint="eastAsia"/>
          <w:szCs w:val="21"/>
        </w:rPr>
        <w:t>p(</w:t>
      </w:r>
      <w:r>
        <w:rPr>
          <w:rFonts w:ascii="Times New Roman" w:hAnsi="Times New Roman" w:cs="Times New Roman" w:hint="eastAsia"/>
          <w:i/>
          <w:iCs/>
          <w:szCs w:val="21"/>
        </w:rPr>
        <w:t>y</w:t>
      </w:r>
      <w:r>
        <w:rPr>
          <w:rFonts w:ascii="Times New Roman" w:hAnsi="Times New Roman" w:cs="Times New Roman" w:hint="eastAsia"/>
          <w:szCs w:val="21"/>
        </w:rPr>
        <w:t>｜</w:t>
      </w:r>
      <w:r>
        <w:rPr>
          <w:rFonts w:ascii="Times New Roman" w:hAnsi="Times New Roman" w:cs="Times New Roman"/>
          <w:i/>
          <w:iCs/>
          <w:szCs w:val="21"/>
        </w:rPr>
        <w:t>θ</w:t>
      </w:r>
      <w:r>
        <w:rPr>
          <w:rFonts w:ascii="Times New Roman" w:hAnsi="Times New Roman" w:cs="Times New Roman" w:hint="eastAsia"/>
          <w:szCs w:val="21"/>
        </w:rPr>
        <w:t>)</w:t>
      </w:r>
      <w:r>
        <w:rPr>
          <w:rFonts w:ascii="Times New Roman" w:hAnsi="Times New Roman" w:cs="Times New Roman" w:hint="eastAsia"/>
          <w:szCs w:val="21"/>
        </w:rPr>
        <w:t>。获取到样本数据</w:t>
      </w:r>
      <w:r>
        <w:rPr>
          <w:rFonts w:ascii="Times New Roman" w:hAnsi="Times New Roman" w:cs="Times New Roman" w:hint="eastAsia"/>
          <w:i/>
          <w:iCs/>
          <w:szCs w:val="21"/>
        </w:rPr>
        <w:t>y</w:t>
      </w:r>
      <w:r>
        <w:rPr>
          <w:rFonts w:ascii="Times New Roman" w:hAnsi="Times New Roman" w:cs="Times New Roman" w:hint="eastAsia"/>
          <w:szCs w:val="21"/>
        </w:rPr>
        <w:t>时，</w:t>
      </w:r>
      <w:r>
        <w:rPr>
          <w:rFonts w:ascii="Times New Roman" w:hAnsi="Times New Roman" w:cs="Times New Roman"/>
          <w:i/>
          <w:iCs/>
          <w:szCs w:val="21"/>
        </w:rPr>
        <w:t>θ</w:t>
      </w:r>
      <w:r>
        <w:rPr>
          <w:rFonts w:ascii="Times New Roman" w:hAnsi="Times New Roman" w:cs="Times New Roman" w:hint="eastAsia"/>
          <w:szCs w:val="21"/>
        </w:rPr>
        <w:t>的后验分布密度</w:t>
      </w:r>
      <w:r>
        <w:rPr>
          <w:rFonts w:ascii="Times New Roman" w:hAnsi="Times New Roman" w:cs="Times New Roman"/>
          <w:szCs w:val="21"/>
        </w:rPr>
        <w:t>π</w:t>
      </w:r>
      <w:r>
        <w:rPr>
          <w:rFonts w:ascii="Times New Roman" w:hAnsi="Times New Roman" w:cs="Times New Roman" w:hint="eastAsia"/>
          <w:szCs w:val="21"/>
        </w:rPr>
        <w:t>(</w:t>
      </w:r>
      <w:r>
        <w:rPr>
          <w:rFonts w:ascii="Times New Roman" w:hAnsi="Times New Roman" w:cs="Times New Roman"/>
          <w:i/>
          <w:iCs/>
          <w:szCs w:val="21"/>
        </w:rPr>
        <w:t>θ</w:t>
      </w:r>
      <w:r>
        <w:rPr>
          <w:rFonts w:ascii="Times New Roman" w:hAnsi="Times New Roman" w:cs="Times New Roman" w:hint="eastAsia"/>
          <w:szCs w:val="21"/>
        </w:rPr>
        <w:t>｜</w:t>
      </w:r>
      <w:r>
        <w:rPr>
          <w:rFonts w:ascii="Times New Roman" w:hAnsi="Times New Roman" w:cs="Times New Roman" w:hint="eastAsia"/>
          <w:i/>
          <w:iCs/>
          <w:szCs w:val="21"/>
        </w:rPr>
        <w:t>y</w:t>
      </w:r>
      <w:r>
        <w:rPr>
          <w:rFonts w:ascii="Times New Roman" w:hAnsi="Times New Roman" w:cs="Times New Roman" w:hint="eastAsia"/>
          <w:szCs w:val="21"/>
        </w:rPr>
        <w:t>)</w:t>
      </w:r>
      <w:r>
        <w:rPr>
          <w:rFonts w:ascii="Times New Roman" w:hAnsi="Times New Roman" w:cs="Times New Roman" w:hint="eastAsia"/>
          <w:szCs w:val="21"/>
        </w:rPr>
        <w:t>可以表示为</w:t>
      </w:r>
      <w:r>
        <w:rPr>
          <w:rFonts w:ascii="Times New Roman" w:hAnsi="Times New Roman" w:cs="Times New Roman" w:hint="eastAsia"/>
          <w:i/>
          <w:iCs/>
          <w:szCs w:val="21"/>
        </w:rPr>
        <w:t>y</w:t>
      </w:r>
      <w:r>
        <w:rPr>
          <w:rFonts w:ascii="Times New Roman" w:hAnsi="Times New Roman" w:cs="Times New Roman" w:hint="eastAsia"/>
          <w:szCs w:val="21"/>
        </w:rPr>
        <w:t>的条件分布：</w:t>
      </w:r>
    </w:p>
    <w:p w14:paraId="204D9DB7" w14:textId="77777777" w:rsidR="00D15E46" w:rsidRDefault="00000000">
      <w:pPr>
        <w:spacing w:line="240" w:lineRule="atLeast"/>
        <w:jc w:val="center"/>
        <w:rPr>
          <w:rFonts w:ascii="Times New Roman" w:eastAsia="宋体" w:hAnsi="Times New Roman" w:cs="Times New Roman"/>
        </w:rPr>
      </w:pPr>
      <w:r>
        <w:rPr>
          <w:rFonts w:ascii="Times New Roman" w:eastAsia="宋体" w:hAnsi="Times New Roman" w:cs="Times New Roman"/>
          <w:position w:val="-10"/>
        </w:rPr>
        <w:object w:dxaOrig="3088" w:dyaOrig="300" w14:anchorId="1CD7F4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4.5pt;height:15pt" o:ole="">
            <v:imagedata r:id="rId17" o:title=""/>
          </v:shape>
          <o:OLEObject Type="Embed" ProgID="Equation.DSMT4" ShapeID="_x0000_i1025" DrawAspect="Content" ObjectID="_1835356998" r:id="rId18"/>
        </w:object>
      </w:r>
    </w:p>
    <w:p w14:paraId="5CA83DC9" w14:textId="77777777" w:rsidR="00D15E46" w:rsidRDefault="00000000">
      <w:pPr>
        <w:spacing w:line="240" w:lineRule="atLeast"/>
        <w:jc w:val="center"/>
        <w:rPr>
          <w:rFonts w:ascii="Times New Roman" w:eastAsia="宋体" w:hAnsi="Times New Roman" w:cs="Times New Roman"/>
        </w:rPr>
      </w:pPr>
      <w:r>
        <w:rPr>
          <w:rFonts w:ascii="Times New Roman" w:eastAsia="宋体" w:hAnsi="Times New Roman" w:cs="Times New Roman"/>
          <w:position w:val="-26"/>
        </w:rPr>
        <w:object w:dxaOrig="1967" w:dyaOrig="600" w14:anchorId="23C60793">
          <v:shape id="_x0000_i1026" type="#_x0000_t75" style="width:98.25pt;height:30pt" o:ole="">
            <v:imagedata r:id="rId19" o:title=""/>
          </v:shape>
          <o:OLEObject Type="Embed" ProgID="Equation.DSMT4" ShapeID="_x0000_i1026" DrawAspect="Content" ObjectID="_1835356999" r:id="rId20"/>
        </w:object>
      </w:r>
    </w:p>
    <w:p w14:paraId="3D572CB9"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szCs w:val="21"/>
        </w:rPr>
        <w:t>π(</w:t>
      </w:r>
      <w:r>
        <w:rPr>
          <w:rFonts w:ascii="Times New Roman" w:hAnsi="Times New Roman" w:cs="Times New Roman"/>
          <w:i/>
          <w:iCs/>
          <w:szCs w:val="21"/>
        </w:rPr>
        <w:t>θ</w:t>
      </w:r>
      <w:r>
        <w:rPr>
          <w:rFonts w:ascii="Times New Roman" w:hAnsi="Times New Roman" w:cs="Times New Roman"/>
          <w:szCs w:val="21"/>
        </w:rPr>
        <w:t>)</w:t>
      </w:r>
      <w:r>
        <w:rPr>
          <w:rFonts w:ascii="Times New Roman" w:hAnsi="Times New Roman" w:cs="Times New Roman" w:hint="eastAsia"/>
          <w:szCs w:val="21"/>
        </w:rPr>
        <w:t>为</w:t>
      </w:r>
      <w:r>
        <w:rPr>
          <w:rFonts w:ascii="Times New Roman" w:hAnsi="Times New Roman" w:cs="Times New Roman"/>
          <w:i/>
          <w:iCs/>
          <w:szCs w:val="21"/>
        </w:rPr>
        <w:t>θ</w:t>
      </w:r>
      <w:r>
        <w:rPr>
          <w:rFonts w:ascii="Times New Roman" w:hAnsi="Times New Roman" w:cs="Times New Roman" w:hint="eastAsia"/>
          <w:szCs w:val="21"/>
        </w:rPr>
        <w:t>的先验分布的密度函数；</w:t>
      </w:r>
      <w:r>
        <w:rPr>
          <w:rFonts w:ascii="Times New Roman" w:hAnsi="Times New Roman" w:cs="Times New Roman" w:hint="eastAsia"/>
          <w:szCs w:val="21"/>
        </w:rPr>
        <w:t>p</w:t>
      </w:r>
      <w:r>
        <w:rPr>
          <w:rFonts w:ascii="Times New Roman" w:hAnsi="Times New Roman" w:cs="Times New Roman"/>
          <w:szCs w:val="21"/>
        </w:rPr>
        <w:t>(</w:t>
      </w:r>
      <w:r>
        <w:rPr>
          <w:rFonts w:ascii="Times New Roman" w:hAnsi="Times New Roman" w:cs="Times New Roman"/>
          <w:i/>
          <w:iCs/>
          <w:szCs w:val="21"/>
        </w:rPr>
        <w:t>y</w:t>
      </w:r>
      <w:r>
        <w:rPr>
          <w:rFonts w:ascii="Times New Roman" w:hAnsi="Times New Roman" w:cs="Times New Roman"/>
          <w:szCs w:val="21"/>
        </w:rPr>
        <w:t>｜</w:t>
      </w:r>
      <w:r>
        <w:rPr>
          <w:rFonts w:ascii="Times New Roman" w:hAnsi="Times New Roman" w:cs="Times New Roman"/>
          <w:i/>
          <w:iCs/>
          <w:szCs w:val="21"/>
        </w:rPr>
        <w:t>θ</w:t>
      </w:r>
      <w:r>
        <w:rPr>
          <w:rFonts w:ascii="Times New Roman" w:hAnsi="Times New Roman" w:cs="Times New Roman"/>
          <w:szCs w:val="21"/>
        </w:rPr>
        <w:t>)</w:t>
      </w:r>
      <w:r>
        <w:rPr>
          <w:rFonts w:ascii="Times New Roman" w:hAnsi="Times New Roman" w:cs="Times New Roman" w:hint="eastAsia"/>
          <w:szCs w:val="21"/>
        </w:rPr>
        <w:t>为样本的概率函数</w:t>
      </w:r>
      <w:r>
        <w:rPr>
          <w:rFonts w:ascii="Times New Roman" w:hAnsi="Times New Roman" w:cs="Times New Roman" w:hint="eastAsia"/>
          <w:szCs w:val="21"/>
        </w:rPr>
        <w:t>(</w:t>
      </w:r>
      <w:r>
        <w:rPr>
          <w:rFonts w:ascii="Times New Roman" w:hAnsi="Times New Roman" w:cs="Times New Roman" w:hint="eastAsia"/>
          <w:szCs w:val="21"/>
        </w:rPr>
        <w:t>也称为似然函数</w:t>
      </w:r>
      <w:r>
        <w:rPr>
          <w:rFonts w:ascii="Times New Roman" w:hAnsi="Times New Roman" w:cs="Times New Roman" w:hint="eastAsia"/>
          <w:szCs w:val="21"/>
        </w:rPr>
        <w:t>)</w:t>
      </w:r>
      <w:r>
        <w:rPr>
          <w:rFonts w:ascii="Times New Roman" w:hAnsi="Times New Roman" w:cs="Times New Roman" w:hint="eastAsia"/>
          <w:szCs w:val="21"/>
        </w:rPr>
        <w:t>。对</w:t>
      </w:r>
      <w:r>
        <w:rPr>
          <w:rFonts w:ascii="Times New Roman" w:hAnsi="Times New Roman" w:cs="Times New Roman"/>
          <w:i/>
          <w:iCs/>
          <w:szCs w:val="21"/>
        </w:rPr>
        <w:t>θ</w:t>
      </w:r>
      <w:r>
        <w:rPr>
          <w:rFonts w:ascii="Times New Roman" w:hAnsi="Times New Roman" w:cs="Times New Roman" w:hint="eastAsia"/>
          <w:szCs w:val="21"/>
        </w:rPr>
        <w:t>进行积分，</w:t>
      </w:r>
      <w:r>
        <w:rPr>
          <w:rFonts w:ascii="Times New Roman" w:hAnsi="Times New Roman" w:cs="Times New Roman" w:hint="eastAsia"/>
          <w:i/>
          <w:iCs/>
          <w:szCs w:val="21"/>
        </w:rPr>
        <w:t>y</w:t>
      </w:r>
      <w:r>
        <w:rPr>
          <w:rFonts w:ascii="Times New Roman" w:hAnsi="Times New Roman" w:cs="Times New Roman" w:hint="eastAsia"/>
          <w:szCs w:val="21"/>
        </w:rPr>
        <w:t>的边缘分布密度公式为：</w:t>
      </w:r>
    </w:p>
    <w:p w14:paraId="545B93D7" w14:textId="77777777" w:rsidR="00D15E46" w:rsidRDefault="00000000">
      <w:pPr>
        <w:spacing w:line="240" w:lineRule="atLeast"/>
        <w:jc w:val="center"/>
        <w:rPr>
          <w:rFonts w:ascii="Times New Roman" w:hAnsi="Times New Roman" w:cs="Times New Roman"/>
          <w:szCs w:val="21"/>
        </w:rPr>
      </w:pPr>
      <w:r>
        <w:rPr>
          <w:rFonts w:ascii="Times New Roman" w:hAnsi="Times New Roman" w:cs="Times New Roman"/>
          <w:position w:val="-34"/>
        </w:rPr>
        <w:object w:dxaOrig="3100" w:dyaOrig="780" w14:anchorId="7F1D54EF">
          <v:shape id="_x0000_i1027" type="#_x0000_t75" style="width:155.25pt;height:39pt" o:ole="">
            <v:imagedata r:id="rId21" o:title=""/>
            <o:lock v:ext="edit" aspectratio="f"/>
          </v:shape>
          <o:OLEObject Type="Embed" ProgID="Equation.DSMT4" ShapeID="_x0000_i1027" DrawAspect="Content" ObjectID="_1835357000" r:id="rId22"/>
        </w:object>
      </w:r>
    </w:p>
    <w:p w14:paraId="584388C1"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szCs w:val="21"/>
        </w:rPr>
        <w:t>∫</w:t>
      </w:r>
      <w:r>
        <w:rPr>
          <w:rFonts w:ascii="Times New Roman" w:hAnsi="Times New Roman" w:cs="Times New Roman" w:hint="eastAsia"/>
          <w:szCs w:val="21"/>
        </w:rPr>
        <w:t>p</w:t>
      </w:r>
      <w:r>
        <w:rPr>
          <w:rFonts w:ascii="Times New Roman" w:hAnsi="Times New Roman" w:cs="Times New Roman"/>
          <w:szCs w:val="21"/>
        </w:rPr>
        <w:t>(</w:t>
      </w:r>
      <w:r>
        <w:rPr>
          <w:rFonts w:ascii="Times New Roman" w:hAnsi="Times New Roman" w:cs="Times New Roman"/>
          <w:i/>
          <w:iCs/>
          <w:szCs w:val="21"/>
        </w:rPr>
        <w:t>y</w:t>
      </w:r>
      <w:r>
        <w:rPr>
          <w:rFonts w:ascii="Times New Roman" w:hAnsi="Times New Roman" w:cs="Times New Roman"/>
          <w:szCs w:val="21"/>
        </w:rPr>
        <w:t>｜</w:t>
      </w:r>
      <w:r>
        <w:rPr>
          <w:rFonts w:ascii="Times New Roman" w:hAnsi="Times New Roman" w:cs="Times New Roman"/>
          <w:i/>
          <w:iCs/>
          <w:szCs w:val="21"/>
        </w:rPr>
        <w:t>θ</w:t>
      </w:r>
      <w:r>
        <w:rPr>
          <w:rFonts w:ascii="Times New Roman" w:hAnsi="Times New Roman" w:cs="Times New Roman"/>
          <w:szCs w:val="21"/>
        </w:rPr>
        <w:t>)π(</w:t>
      </w:r>
      <w:r>
        <w:rPr>
          <w:rFonts w:ascii="Times New Roman" w:hAnsi="Times New Roman" w:cs="Times New Roman"/>
          <w:i/>
          <w:iCs/>
          <w:szCs w:val="21"/>
        </w:rPr>
        <w:t>θ</w:t>
      </w:r>
      <w:r>
        <w:rPr>
          <w:rFonts w:ascii="Times New Roman" w:hAnsi="Times New Roman" w:cs="Times New Roman"/>
          <w:szCs w:val="21"/>
        </w:rPr>
        <w:t>)d</w:t>
      </w:r>
      <w:r>
        <w:rPr>
          <w:rFonts w:ascii="Times New Roman" w:hAnsi="Times New Roman" w:cs="Times New Roman"/>
          <w:i/>
          <w:iCs/>
          <w:szCs w:val="21"/>
        </w:rPr>
        <w:t>θ</w:t>
      </w:r>
      <w:r>
        <w:rPr>
          <w:rFonts w:ascii="Times New Roman" w:hAnsi="Times New Roman" w:cs="Times New Roman" w:hint="eastAsia"/>
          <w:szCs w:val="21"/>
        </w:rPr>
        <w:t>为样本</w:t>
      </w:r>
      <w:r>
        <w:rPr>
          <w:rFonts w:ascii="Times New Roman" w:hAnsi="Times New Roman" w:cs="Times New Roman" w:hint="eastAsia"/>
          <w:i/>
          <w:iCs/>
          <w:szCs w:val="21"/>
        </w:rPr>
        <w:t>y</w:t>
      </w:r>
      <w:r>
        <w:rPr>
          <w:rFonts w:ascii="Times New Roman" w:hAnsi="Times New Roman" w:cs="Times New Roman" w:hint="eastAsia"/>
          <w:szCs w:val="21"/>
        </w:rPr>
        <w:t>的边际分布，与</w:t>
      </w:r>
      <w:r>
        <w:rPr>
          <w:rFonts w:ascii="Times New Roman" w:hAnsi="Times New Roman" w:cs="Times New Roman"/>
          <w:i/>
          <w:iCs/>
          <w:szCs w:val="21"/>
        </w:rPr>
        <w:t>θ</w:t>
      </w:r>
      <w:r>
        <w:rPr>
          <w:rFonts w:ascii="Times New Roman" w:hAnsi="Times New Roman" w:cs="Times New Roman" w:hint="eastAsia"/>
          <w:szCs w:val="21"/>
        </w:rPr>
        <w:t>无关，</w:t>
      </w:r>
      <w:r>
        <w:rPr>
          <w:rFonts w:ascii="Times New Roman" w:hAnsi="Times New Roman" w:cs="Times New Roman" w:hint="eastAsia"/>
          <w:szCs w:val="21"/>
        </w:rPr>
        <w:t>可看成积分常数。因此，后验概率分布</w:t>
      </w:r>
      <w:r>
        <w:rPr>
          <w:rFonts w:ascii="Times New Roman" w:hAnsi="Times New Roman" w:cs="Times New Roman"/>
          <w:szCs w:val="21"/>
        </w:rPr>
        <w:t>π(</w:t>
      </w:r>
      <w:r>
        <w:rPr>
          <w:rFonts w:ascii="Times New Roman" w:hAnsi="Times New Roman" w:cs="Times New Roman"/>
          <w:i/>
          <w:iCs/>
          <w:szCs w:val="21"/>
        </w:rPr>
        <w:t>θ</w:t>
      </w:r>
      <w:r>
        <w:rPr>
          <w:rFonts w:ascii="Times New Roman" w:hAnsi="Times New Roman" w:cs="Times New Roman"/>
          <w:szCs w:val="21"/>
        </w:rPr>
        <w:t>｜</w:t>
      </w:r>
      <w:r>
        <w:rPr>
          <w:rFonts w:ascii="Times New Roman" w:hAnsi="Times New Roman" w:cs="Times New Roman"/>
          <w:i/>
          <w:iCs/>
          <w:szCs w:val="21"/>
        </w:rPr>
        <w:t>y</w:t>
      </w:r>
      <w:r>
        <w:rPr>
          <w:rFonts w:ascii="Times New Roman" w:hAnsi="Times New Roman" w:cs="Times New Roman"/>
          <w:szCs w:val="21"/>
        </w:rPr>
        <w:t>)</w:t>
      </w:r>
      <w:r>
        <w:rPr>
          <w:rFonts w:ascii="Times New Roman" w:hAnsi="Times New Roman" w:cs="Times New Roman" w:hint="eastAsia"/>
          <w:szCs w:val="21"/>
        </w:rPr>
        <w:t>与先验概率分布和似然函数之积成正比，表示为</w:t>
      </w:r>
    </w:p>
    <w:p w14:paraId="31E2324D" w14:textId="77777777" w:rsidR="00D15E46" w:rsidRDefault="00000000">
      <w:pPr>
        <w:spacing w:line="240" w:lineRule="atLeast"/>
        <w:jc w:val="center"/>
        <w:rPr>
          <w:rFonts w:ascii="Times New Roman" w:hAnsi="Times New Roman" w:cs="Times New Roman"/>
          <w:szCs w:val="21"/>
        </w:rPr>
      </w:pPr>
      <w:r>
        <w:rPr>
          <w:rFonts w:ascii="Times New Roman" w:eastAsia="宋体" w:hAnsi="Times New Roman" w:cs="Times New Roman"/>
          <w:position w:val="-10"/>
        </w:rPr>
        <w:object w:dxaOrig="1945" w:dyaOrig="300" w14:anchorId="2350606B">
          <v:shape id="_x0000_i1028" type="#_x0000_t75" style="width:97.5pt;height:15pt" o:ole="">
            <v:imagedata r:id="rId23" o:title=""/>
          </v:shape>
          <o:OLEObject Type="Embed" ProgID="Equation.DSMT4" ShapeID="_x0000_i1028" DrawAspect="Content" ObjectID="_1835357001" r:id="rId24"/>
        </w:object>
      </w:r>
    </w:p>
    <w:p w14:paraId="4DB073D0" w14:textId="77777777" w:rsidR="00D15E46" w:rsidRDefault="00000000">
      <w:pPr>
        <w:pStyle w:val="3"/>
      </w:pPr>
      <w:r>
        <w:rPr>
          <w:rFonts w:ascii="Times New Roman" w:hAnsi="Times New Roman" w:cs="Times New Roman"/>
        </w:rPr>
        <w:t>1.2</w:t>
      </w:r>
      <w:r>
        <w:t xml:space="preserve">  </w:t>
      </w:r>
      <w:r>
        <w:rPr>
          <w:rFonts w:ascii="黑体" w:eastAsia="黑体" w:hAnsi="黑体" w:cs="黑体" w:hint="eastAsia"/>
          <w:b w:val="0"/>
          <w:bCs w:val="0"/>
        </w:rPr>
        <w:t>模型间的关系</w:t>
      </w:r>
    </w:p>
    <w:p w14:paraId="0557C31D"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贝叶斯层次模型是基于贝叶斯理论建立的层次模型，将参数分为多个层次，使得每一个层次的参数都有其对应的先验分布，该模型适用于多变量且关系复杂的模型计算。</w:t>
      </w:r>
      <w:r>
        <w:rPr>
          <w:rFonts w:ascii="Times New Roman" w:hAnsi="Times New Roman" w:cs="Times New Roman" w:hint="eastAsia"/>
          <w:szCs w:val="21"/>
        </w:rPr>
        <w:t>BSTIM</w:t>
      </w:r>
      <w:r>
        <w:rPr>
          <w:rFonts w:ascii="Times New Roman" w:hAnsi="Times New Roman" w:cs="Times New Roman" w:hint="eastAsia"/>
          <w:szCs w:val="21"/>
        </w:rPr>
        <w:t>在传统层次分析框架上考虑了时空交互效应，将时空数据解构为三个维度的特征：空间维度的稳定格局分布、时间维度的整体变化规律以及时空交互视角下的局部演变特征</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_Ref5656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[28]</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。相较于传统方法，</w:t>
      </w:r>
      <w:r>
        <w:rPr>
          <w:rFonts w:ascii="Times New Roman" w:hAnsi="Times New Roman" w:cs="Times New Roman" w:hint="eastAsia"/>
          <w:szCs w:val="21"/>
        </w:rPr>
        <w:t>BSTIM</w:t>
      </w:r>
      <w:r>
        <w:rPr>
          <w:rFonts w:ascii="Times New Roman" w:hAnsi="Times New Roman" w:cs="Times New Roman" w:hint="eastAsia"/>
          <w:szCs w:val="21"/>
        </w:rPr>
        <w:t>考虑了小样本问题与数据的空间自相关性问题，在时空数据分析方面表现出显著的优势</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_Ref3308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[29]</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。三种模型间的关系如图</w:t>
      </w:r>
      <w:r>
        <w:rPr>
          <w:rFonts w:ascii="Times New Roman" w:hAnsi="Times New Roman" w:cs="Times New Roman" w:hint="eastAsia"/>
          <w:szCs w:val="21"/>
        </w:rPr>
        <w:t>1</w:t>
      </w:r>
      <w:r>
        <w:rPr>
          <w:rFonts w:ascii="Times New Roman" w:hAnsi="Times New Roman" w:cs="Times New Roman" w:hint="eastAsia"/>
          <w:szCs w:val="21"/>
        </w:rPr>
        <w:t>所示。</w:t>
      </w:r>
    </w:p>
    <w:p w14:paraId="12E4ED21" w14:textId="77777777" w:rsidR="00D15E46" w:rsidRDefault="00000000">
      <w:pPr>
        <w:spacing w:line="240" w:lineRule="atLeast"/>
        <w:rPr>
          <w:color w:val="0000FF"/>
        </w:rPr>
      </w:pPr>
      <w:r>
        <w:rPr>
          <w:rFonts w:hint="eastAsia"/>
          <w:color w:val="0000FF"/>
        </w:rPr>
        <w:object w:dxaOrig="4600" w:dyaOrig="1549" w14:anchorId="5D8FABA1">
          <v:shape id="_x0000_i1029" type="#_x0000_t75" style="width:230.25pt;height:77.25pt" o:ole="">
            <v:imagedata r:id="rId25" o:title=""/>
            <o:lock v:ext="edit" aspectratio="f"/>
          </v:shape>
          <o:OLEObject Type="Embed" ProgID="Visio.Drawing.15" ShapeID="_x0000_i1029" DrawAspect="Content" ObjectID="_1835357002" r:id="rId26"/>
        </w:object>
      </w:r>
    </w:p>
    <w:p w14:paraId="7369CA4D"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1</w:t>
      </w:r>
      <w:r>
        <w:rPr>
          <w:rFonts w:ascii="Times New Roman" w:hAnsi="Times New Roman" w:cs="Times New Roman"/>
          <w:b/>
          <w:bCs/>
          <w:sz w:val="18"/>
          <w:szCs w:val="18"/>
        </w:rPr>
        <w:fldChar w:fldCharType="end"/>
      </w:r>
      <w:r>
        <w:rPr>
          <w:rFonts w:ascii="黑体" w:hAnsi="黑体" w:cs="黑体"/>
          <w:sz w:val="18"/>
          <w:szCs w:val="18"/>
        </w:rPr>
        <w:t xml:space="preserve">  模型关系</w:t>
      </w:r>
    </w:p>
    <w:p w14:paraId="3C82D878"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BSTIM</w:t>
      </w:r>
      <w:r>
        <w:rPr>
          <w:rFonts w:ascii="Times New Roman" w:hAnsi="Times New Roman" w:cs="Times New Roman" w:hint="eastAsia"/>
          <w:szCs w:val="21"/>
        </w:rPr>
        <w:t>的核心为贝叶斯层次模型，该模型包括数据模型、过程模型与参数（超参数）模型：</w:t>
      </w:r>
    </w:p>
    <w:p w14:paraId="02B74E09" w14:textId="77777777" w:rsidR="00D15E46" w:rsidRDefault="00000000">
      <w:pPr>
        <w:ind w:firstLineChars="200" w:firstLine="420"/>
      </w:pPr>
      <w:r>
        <w:rPr>
          <w:rFonts w:hint="eastAsia"/>
        </w:rPr>
        <w:t>数据模型：</w:t>
      </w:r>
      <w:r>
        <w:rPr>
          <w:rFonts w:ascii="Times New Roman" w:eastAsia="黑体" w:hAnsi="Times New Roman" w:cs="Times New Roman"/>
          <w:i/>
          <w:iCs/>
        </w:rPr>
        <w:t>y</w:t>
      </w:r>
      <w:r>
        <w:rPr>
          <w:rFonts w:ascii="Times New Roman" w:eastAsia="黑体" w:hAnsi="Times New Roman" w:cs="Times New Roman"/>
          <w:i/>
          <w:iCs/>
          <w:vertAlign w:val="subscript"/>
        </w:rPr>
        <w:t>i</w:t>
      </w:r>
      <w:r>
        <w:rPr>
          <w:rFonts w:ascii="Times New Roman" w:eastAsia="黑体" w:hAnsi="Times New Roman" w:cs="Times New Roman"/>
        </w:rPr>
        <w:t>｜</w:t>
      </w:r>
      <w:r>
        <w:rPr>
          <w:rFonts w:ascii="Times New Roman" w:eastAsia="黑体" w:hAnsi="Times New Roman" w:cs="Times New Roman"/>
          <w:i/>
          <w:iCs/>
        </w:rPr>
        <w:t>θ</w:t>
      </w:r>
      <w:r>
        <w:rPr>
          <w:rFonts w:ascii="Times New Roman" w:eastAsia="黑体" w:hAnsi="Times New Roman" w:cs="Times New Roman" w:hint="eastAsia"/>
          <w:i/>
          <w:iCs/>
          <w:vertAlign w:val="subscript"/>
        </w:rPr>
        <w:t>j</w:t>
      </w:r>
      <w:r>
        <w:rPr>
          <w:rFonts w:ascii="Times New Roman" w:hAnsi="Times New Roman" w:cs="Times New Roman" w:hint="eastAsia"/>
        </w:rPr>
        <w:t>，</w:t>
      </w:r>
      <w:r>
        <w:rPr>
          <w:rFonts w:ascii="Times New Roman" w:hAnsi="Times New Roman" w:cs="Times New Roman"/>
          <w:i/>
          <w:iCs/>
        </w:rPr>
        <w:t>φ</w:t>
      </w:r>
      <w:r>
        <w:rPr>
          <w:rFonts w:ascii="Times New Roman" w:hAnsi="Times New Roman" w:cs="Times New Roman" w:hint="eastAsia"/>
        </w:rPr>
        <w:t>~</w:t>
      </w:r>
      <w:r>
        <w:rPr>
          <w:rFonts w:ascii="Times New Roman" w:hAnsi="Times New Roman" w:cs="Times New Roman"/>
          <w:i/>
          <w:iCs/>
        </w:rPr>
        <w:t>P</w:t>
      </w:r>
      <w:r>
        <w:rPr>
          <w:rFonts w:ascii="Times New Roman" w:hAnsi="Times New Roman" w:cs="Times New Roman"/>
        </w:rPr>
        <w:t>(</w:t>
      </w:r>
      <w:r>
        <w:rPr>
          <w:rFonts w:ascii="Times New Roman" w:hAnsi="Times New Roman" w:cs="Times New Roman"/>
          <w:i/>
          <w:iCs/>
        </w:rPr>
        <w:t>y</w:t>
      </w:r>
      <w:r>
        <w:rPr>
          <w:rFonts w:ascii="Times New Roman" w:hAnsi="Times New Roman" w:cs="Times New Roman"/>
          <w:i/>
          <w:iCs/>
          <w:vertAlign w:val="subscript"/>
        </w:rPr>
        <w:t>i</w:t>
      </w:r>
      <w:r>
        <w:rPr>
          <w:rFonts w:ascii="Times New Roman" w:hAnsi="Times New Roman" w:cs="Times New Roman"/>
        </w:rPr>
        <w:t>｜</w:t>
      </w:r>
      <w:r>
        <w:rPr>
          <w:rFonts w:ascii="Times New Roman" w:hAnsi="Times New Roman" w:cs="Times New Roman"/>
          <w:i/>
          <w:iCs/>
        </w:rPr>
        <w:t>θ</w:t>
      </w:r>
      <w:r>
        <w:rPr>
          <w:rFonts w:ascii="Times New Roman" w:hAnsi="Times New Roman" w:cs="Times New Roman" w:hint="eastAsia"/>
          <w:i/>
          <w:iCs/>
          <w:vertAlign w:val="subscript"/>
        </w:rPr>
        <w:t>j</w:t>
      </w:r>
      <w:r>
        <w:rPr>
          <w:rFonts w:ascii="Times New Roman" w:hAnsi="Times New Roman" w:cs="Times New Roman" w:hint="eastAsia"/>
        </w:rPr>
        <w:t>,</w:t>
      </w:r>
      <w:r>
        <w:rPr>
          <w:rFonts w:ascii="Times New Roman" w:hAnsi="Times New Roman" w:cs="Times New Roman"/>
          <w:i/>
          <w:iCs/>
        </w:rPr>
        <w:t>φ</w:t>
      </w:r>
      <w:r>
        <w:rPr>
          <w:rFonts w:ascii="Times New Roman" w:hAnsi="Times New Roman" w:cs="Times New Roman"/>
        </w:rPr>
        <w:t>)</w:t>
      </w:r>
      <w:r>
        <w:rPr>
          <w:rFonts w:hint="eastAsia"/>
        </w:rPr>
        <w:t>；</w:t>
      </w:r>
    </w:p>
    <w:p w14:paraId="4D396BF6" w14:textId="77777777" w:rsidR="00D15E46" w:rsidRDefault="00000000">
      <w:pPr>
        <w:ind w:firstLineChars="200" w:firstLine="420"/>
      </w:pPr>
      <w:r>
        <w:rPr>
          <w:rFonts w:hint="eastAsia"/>
        </w:rPr>
        <w:t>过程模型：</w:t>
      </w:r>
      <w:r>
        <w:rPr>
          <w:rFonts w:ascii="Times New Roman" w:eastAsia="黑体" w:hAnsi="Times New Roman" w:cs="Times New Roman"/>
          <w:i/>
          <w:iCs/>
        </w:rPr>
        <w:t>θ</w:t>
      </w:r>
      <w:r>
        <w:rPr>
          <w:rFonts w:ascii="Times New Roman" w:eastAsia="黑体" w:hAnsi="Times New Roman" w:cs="Times New Roman" w:hint="eastAsia"/>
          <w:i/>
          <w:iCs/>
          <w:vertAlign w:val="subscript"/>
        </w:rPr>
        <w:t>j</w:t>
      </w:r>
      <w:r>
        <w:rPr>
          <w:rFonts w:ascii="Times New Roman" w:eastAsia="黑体" w:hAnsi="Times New Roman" w:cs="Times New Roman"/>
        </w:rPr>
        <w:t>｜</w:t>
      </w:r>
      <w:r>
        <w:rPr>
          <w:rFonts w:ascii="Times New Roman" w:hAnsi="Times New Roman" w:cs="Times New Roman"/>
          <w:i/>
          <w:iCs/>
        </w:rPr>
        <w:t>φ</w:t>
      </w:r>
      <w:r>
        <w:rPr>
          <w:rFonts w:ascii="Times New Roman" w:hAnsi="Times New Roman" w:cs="Times New Roman" w:hint="eastAsia"/>
          <w:iCs/>
        </w:rPr>
        <w:t>~</w:t>
      </w:r>
      <w:r>
        <w:rPr>
          <w:rFonts w:ascii="Times New Roman" w:hAnsi="Times New Roman" w:cs="Times New Roman"/>
          <w:i/>
          <w:iCs/>
        </w:rPr>
        <w:t>P</w:t>
      </w:r>
      <w:r>
        <w:rPr>
          <w:rFonts w:ascii="Times New Roman" w:hAnsi="Times New Roman" w:cs="Times New Roman"/>
        </w:rPr>
        <w:t>(</w:t>
      </w:r>
      <w:r>
        <w:rPr>
          <w:rFonts w:ascii="Times New Roman" w:hAnsi="Times New Roman" w:cs="Times New Roman"/>
          <w:i/>
          <w:iCs/>
        </w:rPr>
        <w:t>θ</w:t>
      </w:r>
      <w:r>
        <w:rPr>
          <w:rFonts w:ascii="Times New Roman" w:hAnsi="Times New Roman" w:cs="Times New Roman" w:hint="eastAsia"/>
          <w:i/>
          <w:iCs/>
          <w:vertAlign w:val="subscript"/>
        </w:rPr>
        <w:t>j</w:t>
      </w:r>
      <w:r>
        <w:rPr>
          <w:rFonts w:ascii="Times New Roman" w:hAnsi="Times New Roman" w:cs="Times New Roman"/>
        </w:rPr>
        <w:t>｜</w:t>
      </w:r>
      <w:r>
        <w:rPr>
          <w:rFonts w:ascii="Times New Roman" w:hAnsi="Times New Roman" w:cs="Times New Roman"/>
          <w:i/>
          <w:iCs/>
        </w:rPr>
        <w:t>φ</w:t>
      </w:r>
      <w:r>
        <w:rPr>
          <w:rFonts w:ascii="Times New Roman" w:hAnsi="Times New Roman" w:cs="Times New Roman"/>
        </w:rPr>
        <w:t>)</w:t>
      </w:r>
      <w:r>
        <w:rPr>
          <w:rFonts w:hint="eastAsia"/>
        </w:rPr>
        <w:t>；</w:t>
      </w:r>
    </w:p>
    <w:p w14:paraId="2EEF9B28" w14:textId="77777777" w:rsidR="00D15E46" w:rsidRDefault="00000000">
      <w:pPr>
        <w:ind w:firstLineChars="200" w:firstLine="420"/>
      </w:pPr>
      <w:r>
        <w:rPr>
          <w:rFonts w:hint="eastAsia"/>
        </w:rPr>
        <w:t>参数模型：</w:t>
      </w:r>
      <w:r>
        <w:rPr>
          <w:rFonts w:ascii="Times New Roman" w:hAnsi="Times New Roman" w:cs="Times New Roman"/>
          <w:i/>
          <w:iCs/>
        </w:rPr>
        <w:t>φ</w:t>
      </w:r>
      <w:r>
        <w:rPr>
          <w:rFonts w:ascii="Times New Roman" w:hAnsi="Times New Roman" w:cs="Times New Roman" w:hint="eastAsia"/>
        </w:rPr>
        <w:t>~</w:t>
      </w:r>
      <w:r>
        <w:rPr>
          <w:rFonts w:ascii="Times New Roman" w:hAnsi="Times New Roman" w:cs="Times New Roman"/>
          <w:i/>
          <w:iCs/>
        </w:rPr>
        <w:t>P</w:t>
      </w:r>
      <w:r>
        <w:rPr>
          <w:rFonts w:ascii="Times New Roman" w:hAnsi="Times New Roman" w:cs="Times New Roman"/>
        </w:rPr>
        <w:t>(</w:t>
      </w:r>
      <w:r>
        <w:rPr>
          <w:rFonts w:ascii="Times New Roman" w:hAnsi="Times New Roman" w:cs="Times New Roman"/>
          <w:i/>
          <w:iCs/>
        </w:rPr>
        <w:t>φ</w:t>
      </w:r>
      <w:r>
        <w:rPr>
          <w:rFonts w:ascii="Times New Roman" w:hAnsi="Times New Roman" w:cs="Times New Roman"/>
        </w:rPr>
        <w:t>)</w:t>
      </w:r>
      <w:r>
        <w:rPr>
          <w:rFonts w:hint="eastAsia"/>
        </w:rPr>
        <w:t>。</w:t>
      </w:r>
    </w:p>
    <w:p w14:paraId="39200F65" w14:textId="77777777" w:rsidR="00D15E46" w:rsidRDefault="00000000">
      <w:pPr>
        <w:spacing w:line="240" w:lineRule="atLeast"/>
        <w:ind w:firstLineChars="200" w:firstLine="420"/>
        <w:rPr>
          <w:rFonts w:ascii="Times New Roman" w:hAnsi="Times New Roman" w:cs="Times New Roman"/>
        </w:rPr>
      </w:pPr>
      <w:r>
        <w:rPr>
          <w:rFonts w:ascii="宋体" w:eastAsia="宋体" w:hAnsi="宋体" w:cs="宋体" w:hint="eastAsia"/>
        </w:rPr>
        <w:t>上述模型中的</w:t>
      </w:r>
      <w:r>
        <w:rPr>
          <w:rFonts w:ascii="Times New Roman" w:eastAsia="黑体" w:hAnsi="Times New Roman" w:cs="Times New Roman"/>
          <w:i/>
          <w:iCs/>
        </w:rPr>
        <w:t>y</w:t>
      </w:r>
      <w:r>
        <w:rPr>
          <w:rFonts w:ascii="Times New Roman" w:eastAsia="黑体" w:hAnsi="Times New Roman" w:cs="Times New Roman"/>
          <w:i/>
          <w:iCs/>
          <w:vertAlign w:val="subscript"/>
        </w:rPr>
        <w:t>i</w:t>
      </w:r>
      <w:r>
        <w:rPr>
          <w:rFonts w:hint="eastAsia"/>
        </w:rPr>
        <w:t>为样本数据，表示研究对象</w:t>
      </w:r>
      <w:r>
        <w:rPr>
          <w:rFonts w:ascii="Times New Roman" w:hAnsi="Times New Roman" w:cs="Times New Roman"/>
          <w:i/>
          <w:iCs/>
        </w:rPr>
        <w:t>y</w:t>
      </w:r>
      <w:r>
        <w:rPr>
          <w:rFonts w:hint="eastAsia"/>
        </w:rPr>
        <w:t>的第</w:t>
      </w:r>
      <w:r>
        <w:rPr>
          <w:rFonts w:ascii="Times New Roman" w:hAnsi="Times New Roman" w:cs="Times New Roman"/>
          <w:i/>
          <w:iCs/>
        </w:rPr>
        <w:t>i</w:t>
      </w:r>
      <w:r>
        <w:rPr>
          <w:rFonts w:hint="eastAsia"/>
        </w:rPr>
        <w:t>个空间单元的原始值；</w:t>
      </w:r>
      <w:r>
        <w:rPr>
          <w:rFonts w:ascii="Times New Roman" w:eastAsia="黑体" w:hAnsi="Times New Roman" w:cs="Times New Roman"/>
          <w:i/>
          <w:iCs/>
        </w:rPr>
        <w:t>θ</w:t>
      </w:r>
      <w:r>
        <w:rPr>
          <w:rFonts w:ascii="Times New Roman" w:eastAsia="黑体" w:hAnsi="Times New Roman" w:cs="Times New Roman" w:hint="eastAsia"/>
          <w:i/>
          <w:iCs/>
          <w:vertAlign w:val="subscript"/>
        </w:rPr>
        <w:t>j</w:t>
      </w:r>
      <w:r>
        <w:rPr>
          <w:rFonts w:ascii="宋体" w:eastAsia="宋体" w:hAnsi="宋体" w:cs="宋体" w:hint="eastAsia"/>
        </w:rPr>
        <w:t>与</w:t>
      </w:r>
      <w:r>
        <w:rPr>
          <w:rFonts w:ascii="Times New Roman" w:hAnsi="Times New Roman" w:cs="Times New Roman"/>
          <w:i/>
          <w:iCs/>
        </w:rPr>
        <w:t>φ</w:t>
      </w:r>
      <w:r>
        <w:rPr>
          <w:rFonts w:ascii="Times New Roman" w:hAnsi="Times New Roman" w:cs="Times New Roman" w:hint="eastAsia"/>
        </w:rPr>
        <w:t>为似然函数对应的参数与超参数；</w:t>
      </w:r>
      <w:r>
        <w:rPr>
          <w:rFonts w:ascii="Times New Roman" w:hAnsi="Times New Roman" w:cs="Times New Roman"/>
          <w:i/>
          <w:iCs/>
        </w:rPr>
        <w:t>P</w:t>
      </w:r>
      <w:r>
        <w:rPr>
          <w:rFonts w:ascii="Times New Roman" w:hAnsi="Times New Roman" w:cs="Times New Roman"/>
        </w:rPr>
        <w:t>(</w:t>
      </w:r>
      <w:r>
        <w:rPr>
          <w:rFonts w:ascii="Times New Roman" w:hAnsi="Times New Roman" w:cs="Times New Roman"/>
          <w:i/>
          <w:iCs/>
        </w:rPr>
        <w:t>φ</w:t>
      </w:r>
      <w:r>
        <w:rPr>
          <w:rFonts w:ascii="Times New Roman" w:hAnsi="Times New Roman" w:cs="Times New Roman"/>
        </w:rPr>
        <w:t>)</w:t>
      </w:r>
      <w:r>
        <w:rPr>
          <w:rFonts w:ascii="Times New Roman" w:hAnsi="Times New Roman" w:cs="Times New Roman" w:hint="eastAsia"/>
        </w:rPr>
        <w:t>为似然函数所对应的超先验。数据模型用于反映样本信息，过程模型将数据模型与参数模型进行连接，可体现研究对象的变化机理；参数模型通过先验信息得到先验分布形式。根据贝叶斯理论，参数与超参数的后验分布可通过以下公式进行求解：</w:t>
      </w:r>
    </w:p>
    <w:p w14:paraId="1DFB6292" w14:textId="77777777" w:rsidR="00D15E46" w:rsidRDefault="00000000">
      <w:pPr>
        <w:spacing w:line="240" w:lineRule="atLeast"/>
        <w:jc w:val="center"/>
        <w:rPr>
          <w:rFonts w:ascii="Times New Roman" w:hAnsi="Times New Roman" w:cs="Times New Roman"/>
        </w:rPr>
      </w:pPr>
      <w:r>
        <w:rPr>
          <w:rFonts w:ascii="Times New Roman" w:eastAsia="宋体" w:hAnsi="Times New Roman" w:cs="Times New Roman"/>
          <w:position w:val="-10"/>
        </w:rPr>
        <w:object w:dxaOrig="3452" w:dyaOrig="300" w14:anchorId="6BB8399E">
          <v:shape id="_x0000_i1030" type="#_x0000_t75" style="width:172.5pt;height:15pt" o:ole="">
            <v:imagedata r:id="rId27" o:title=""/>
          </v:shape>
          <o:OLEObject Type="Embed" ProgID="Equation.DSMT4" ShapeID="_x0000_i1030" DrawAspect="Content" ObjectID="_1835357003" r:id="rId28"/>
        </w:object>
      </w:r>
    </w:p>
    <w:p w14:paraId="50013C73" w14:textId="77777777" w:rsidR="00D15E46" w:rsidRDefault="00000000">
      <w:pPr>
        <w:pStyle w:val="3"/>
        <w:rPr>
          <w:b w:val="0"/>
          <w:bCs w:val="0"/>
        </w:rPr>
      </w:pPr>
      <w:r>
        <w:rPr>
          <w:rFonts w:ascii="Times New Roman" w:hAnsi="Times New Roman" w:cs="Times New Roman"/>
        </w:rPr>
        <w:t>1.3</w:t>
      </w:r>
      <w:r>
        <w:rPr>
          <w:rFonts w:hint="eastAsia"/>
        </w:rPr>
        <w:t xml:space="preserve">  </w:t>
      </w:r>
      <w:r>
        <w:rPr>
          <w:rFonts w:ascii="黑体" w:eastAsia="黑体" w:hAnsi="黑体" w:cs="黑体" w:hint="eastAsia"/>
          <w:b w:val="0"/>
          <w:bCs w:val="0"/>
        </w:rPr>
        <w:t>贝叶斯时空交互模型的设定</w:t>
      </w:r>
    </w:p>
    <w:p w14:paraId="5A78F792" w14:textId="77777777" w:rsidR="00D15E46" w:rsidRDefault="00000000">
      <w:pPr>
        <w:ind w:firstLineChars="200" w:firstLine="420"/>
        <w:rPr>
          <w:rFonts w:ascii="宋体" w:eastAsia="宋体" w:hAnsi="宋体" w:cs="宋体" w:hint="eastAsia"/>
          <w:szCs w:val="21"/>
        </w:rPr>
      </w:pPr>
      <w:r>
        <w:rPr>
          <w:rFonts w:ascii="Times New Roman" w:hAnsi="Times New Roman" w:cs="Times New Roman"/>
        </w:rPr>
        <w:t>BSTIM</w:t>
      </w:r>
      <w:r>
        <w:rPr>
          <w:rFonts w:hint="eastAsia"/>
        </w:rPr>
        <w:t>包含了地区的随机效应、平均趋势项与地区趋势项，这使得该模型可以评估时空间的相互影响</w:t>
      </w:r>
      <w:r>
        <w:rPr>
          <w:rFonts w:hint="eastAsia"/>
          <w:vertAlign w:val="superscript"/>
        </w:rPr>
        <w:fldChar w:fldCharType="begin"/>
      </w:r>
      <w:r>
        <w:rPr>
          <w:rFonts w:hint="eastAsia"/>
          <w:vertAlign w:val="superscript"/>
        </w:rPr>
        <w:instrText xml:space="preserve"> REF _Ref14444 \r \h </w:instrText>
      </w:r>
      <w:r>
        <w:rPr>
          <w:rFonts w:hint="eastAsia"/>
          <w:vertAlign w:val="superscript"/>
        </w:rPr>
      </w:r>
      <w:r>
        <w:rPr>
          <w:rFonts w:hint="eastAsia"/>
          <w:vertAlign w:val="superscript"/>
        </w:rPr>
        <w:fldChar w:fldCharType="separate"/>
      </w:r>
      <w:r>
        <w:rPr>
          <w:rFonts w:hint="eastAsia"/>
          <w:vertAlign w:val="superscript"/>
        </w:rPr>
        <w:t>[9]</w:t>
      </w:r>
      <w:r>
        <w:rPr>
          <w:rFonts w:hint="eastAsia"/>
          <w:vertAlign w:val="superscript"/>
        </w:rPr>
        <w:fldChar w:fldCharType="end"/>
      </w:r>
      <w:r>
        <w:rPr>
          <w:rFonts w:hint="eastAsia"/>
        </w:rPr>
        <w:t>。本文通过建立指标体系的方法得到城市防洪韧性的变化规律，即原始时空数据。结合该数据和研究对象，本文对时间趋势和空间趋势的贝叶斯模型进行分解，</w:t>
      </w:r>
      <w:r>
        <w:rPr>
          <w:rFonts w:ascii="宋体" w:eastAsia="宋体" w:hAnsi="宋体" w:cs="宋体" w:hint="eastAsia"/>
          <w:szCs w:val="21"/>
        </w:rPr>
        <w:t>假定在城市</w:t>
      </w:r>
      <w:r>
        <w:rPr>
          <w:rFonts w:ascii="Times New Roman" w:eastAsia="宋体" w:hAnsi="Times New Roman" w:cs="Times New Roman"/>
          <w:i/>
          <w:iCs/>
          <w:szCs w:val="21"/>
        </w:rPr>
        <w:t>i</w:t>
      </w:r>
      <w:r>
        <w:rPr>
          <w:rFonts w:ascii="Times New Roman" w:eastAsia="宋体" w:hAnsi="Times New Roman" w:cs="Times New Roman"/>
          <w:szCs w:val="21"/>
        </w:rPr>
        <w:t>（</w:t>
      </w:r>
      <w:r>
        <w:rPr>
          <w:rFonts w:ascii="Times New Roman" w:eastAsia="宋体" w:hAnsi="Times New Roman" w:cs="Times New Roman"/>
          <w:i/>
          <w:iCs/>
          <w:szCs w:val="21"/>
        </w:rPr>
        <w:t>i</w:t>
      </w:r>
      <w:r>
        <w:rPr>
          <w:rFonts w:ascii="Times New Roman" w:eastAsia="宋体" w:hAnsi="Times New Roman" w:cs="Times New Roman"/>
          <w:szCs w:val="21"/>
        </w:rPr>
        <w:t>=1,2,...,</w:t>
      </w:r>
      <w:r>
        <w:rPr>
          <w:rFonts w:ascii="Times New Roman" w:eastAsia="宋体" w:hAnsi="Times New Roman" w:cs="Times New Roman" w:hint="eastAsia"/>
          <w:i/>
          <w:iCs/>
          <w:szCs w:val="21"/>
        </w:rPr>
        <w:t>M</w:t>
      </w:r>
      <w:r>
        <w:rPr>
          <w:rFonts w:ascii="Times New Roman" w:eastAsia="宋体" w:hAnsi="Times New Roman" w:cs="Times New Roman"/>
          <w:szCs w:val="21"/>
        </w:rPr>
        <w:t>）</w:t>
      </w:r>
      <w:r>
        <w:rPr>
          <w:rFonts w:ascii="宋体" w:eastAsia="宋体" w:hAnsi="宋体" w:cs="宋体" w:hint="eastAsia"/>
          <w:szCs w:val="21"/>
        </w:rPr>
        <w:t>第</w:t>
      </w:r>
      <w:r>
        <w:rPr>
          <w:rFonts w:ascii="Times New Roman" w:eastAsia="宋体" w:hAnsi="Times New Roman" w:cs="Times New Roman"/>
          <w:i/>
          <w:iCs/>
          <w:szCs w:val="21"/>
        </w:rPr>
        <w:t>t</w:t>
      </w:r>
      <w:r>
        <w:rPr>
          <w:rFonts w:ascii="Times New Roman" w:eastAsia="宋体" w:hAnsi="Times New Roman" w:cs="Times New Roman" w:hint="eastAsia"/>
          <w:szCs w:val="21"/>
        </w:rPr>
        <w:t>（</w:t>
      </w:r>
      <w:r>
        <w:rPr>
          <w:rFonts w:ascii="Times New Roman" w:eastAsia="宋体" w:hAnsi="Times New Roman" w:cs="Times New Roman" w:hint="eastAsia"/>
          <w:i/>
          <w:iCs/>
          <w:szCs w:val="21"/>
        </w:rPr>
        <w:t>t</w:t>
      </w:r>
      <w:r>
        <w:rPr>
          <w:rFonts w:ascii="Times New Roman" w:eastAsia="宋体" w:hAnsi="Times New Roman" w:cs="Times New Roman" w:hint="eastAsia"/>
          <w:szCs w:val="21"/>
        </w:rPr>
        <w:t>=1,2,...,</w:t>
      </w:r>
      <w:r>
        <w:rPr>
          <w:rFonts w:ascii="Times New Roman" w:eastAsia="宋体" w:hAnsi="Times New Roman" w:cs="Times New Roman" w:hint="eastAsia"/>
          <w:i/>
          <w:iCs/>
          <w:szCs w:val="21"/>
        </w:rPr>
        <w:t>N</w:t>
      </w:r>
      <w:r>
        <w:rPr>
          <w:rFonts w:ascii="Times New Roman" w:eastAsia="宋体" w:hAnsi="Times New Roman" w:cs="Times New Roman" w:hint="eastAsia"/>
          <w:szCs w:val="21"/>
        </w:rPr>
        <w:t>）</w:t>
      </w:r>
      <w:r>
        <w:rPr>
          <w:rFonts w:ascii="宋体" w:eastAsia="宋体" w:hAnsi="宋体" w:cs="宋体" w:hint="eastAsia"/>
          <w:szCs w:val="21"/>
        </w:rPr>
        <w:t>年的城市</w:t>
      </w:r>
      <w:r>
        <w:rPr>
          <w:rFonts w:hint="eastAsia"/>
        </w:rPr>
        <w:t>防洪</w:t>
      </w:r>
      <w:r>
        <w:rPr>
          <w:rFonts w:ascii="宋体" w:eastAsia="宋体" w:hAnsi="宋体" w:cs="宋体" w:hint="eastAsia"/>
          <w:szCs w:val="21"/>
        </w:rPr>
        <w:t>韧性</w:t>
      </w:r>
      <w:r>
        <w:rPr>
          <w:rFonts w:ascii="Times New Roman" w:eastAsia="宋体" w:hAnsi="Times New Roman" w:cs="Times New Roman"/>
          <w:i/>
          <w:iCs/>
          <w:szCs w:val="21"/>
        </w:rPr>
        <w:t>y</w:t>
      </w:r>
      <w:r>
        <w:rPr>
          <w:rFonts w:ascii="Times New Roman" w:eastAsia="宋体" w:hAnsi="Times New Roman" w:cs="Times New Roman"/>
          <w:i/>
          <w:iCs/>
          <w:szCs w:val="21"/>
          <w:vertAlign w:val="subscript"/>
        </w:rPr>
        <w:t>it</w:t>
      </w:r>
      <w:r>
        <w:rPr>
          <w:rFonts w:ascii="宋体" w:eastAsia="宋体" w:hAnsi="宋体" w:cs="宋体" w:hint="eastAsia"/>
          <w:szCs w:val="21"/>
        </w:rPr>
        <w:t>服从正态分布，</w:t>
      </w:r>
      <w:r>
        <w:rPr>
          <w:rFonts w:ascii="宋体" w:eastAsia="宋体" w:hAnsi="宋体" w:cs="宋体" w:hint="eastAsia"/>
          <w:szCs w:val="21"/>
        </w:rPr>
        <w:lastRenderedPageBreak/>
        <w:t>其模型如下。</w:t>
      </w:r>
    </w:p>
    <w:p w14:paraId="6DBE762D" w14:textId="77777777" w:rsidR="00D15E46" w:rsidRDefault="00000000">
      <w:pPr>
        <w:spacing w:line="240" w:lineRule="atLeast"/>
        <w:ind w:firstLineChars="200" w:firstLine="420"/>
        <w:rPr>
          <w:rFonts w:ascii="Times New Roman" w:hAnsi="Times New Roman" w:cs="Times New Roman"/>
          <w:szCs w:val="21"/>
        </w:rPr>
      </w:pPr>
      <w:r>
        <w:rPr>
          <w:rFonts w:ascii="Times New Roman" w:eastAsia="宋体" w:hAnsi="Times New Roman" w:cs="Times New Roman"/>
          <w:szCs w:val="21"/>
        </w:rPr>
        <w:t>1</w:t>
      </w:r>
      <w:r>
        <w:rPr>
          <w:rFonts w:ascii="宋体" w:eastAsia="宋体" w:hAnsi="宋体" w:cs="宋体" w:hint="eastAsia"/>
          <w:szCs w:val="21"/>
        </w:rPr>
        <w:t>）</w:t>
      </w:r>
      <w:r>
        <w:rPr>
          <w:rFonts w:ascii="Times New Roman" w:hAnsi="Times New Roman" w:cs="Times New Roman" w:hint="eastAsia"/>
          <w:szCs w:val="21"/>
        </w:rPr>
        <w:t>时空数据模型：</w:t>
      </w:r>
    </w:p>
    <w:p w14:paraId="3EC889E5" w14:textId="77777777" w:rsidR="00D15E46" w:rsidRDefault="00000000">
      <w:pPr>
        <w:spacing w:line="240" w:lineRule="atLeast"/>
        <w:jc w:val="center"/>
        <w:rPr>
          <w:rFonts w:ascii="Times New Roman" w:hAnsi="Times New Roman" w:cs="Times New Roman"/>
          <w:szCs w:val="21"/>
        </w:rPr>
      </w:pPr>
      <w:r>
        <w:rPr>
          <w:rFonts w:ascii="Times New Roman" w:eastAsia="宋体" w:hAnsi="Times New Roman" w:cs="Times New Roman"/>
          <w:position w:val="-10"/>
        </w:rPr>
        <w:object w:dxaOrig="1767" w:dyaOrig="300" w14:anchorId="15876573">
          <v:shape id="_x0000_i1031" type="#_x0000_t75" style="width:88.5pt;height:15pt" o:ole="">
            <v:imagedata r:id="rId29" o:title=""/>
          </v:shape>
          <o:OLEObject Type="Embed" ProgID="Equation.DSMT4" ShapeID="_x0000_i1031" DrawAspect="Content" ObjectID="_1835357004" r:id="rId30"/>
        </w:object>
      </w:r>
    </w:p>
    <w:p w14:paraId="2E5EDF3F" w14:textId="77777777" w:rsidR="00D15E46" w:rsidRDefault="00000000">
      <w:pPr>
        <w:spacing w:line="240" w:lineRule="atLeast"/>
        <w:ind w:firstLineChars="200" w:firstLine="420"/>
      </w:pPr>
      <w:r>
        <w:rPr>
          <w:rFonts w:ascii="Times New Roman" w:hAnsi="Times New Roman" w:cs="Times New Roman" w:hint="eastAsia"/>
          <w:szCs w:val="21"/>
        </w:rPr>
        <w:t>其中，</w:t>
      </w:r>
      <w:r>
        <w:rPr>
          <w:rFonts w:ascii="Times New Roman" w:hAnsi="Times New Roman" w:cs="Times New Roman"/>
          <w:i/>
          <w:iCs/>
        </w:rPr>
        <w:t>y</w:t>
      </w:r>
      <w:r>
        <w:rPr>
          <w:rFonts w:ascii="Times New Roman" w:hAnsi="Times New Roman" w:cs="Times New Roman"/>
          <w:i/>
          <w:iCs/>
          <w:vertAlign w:val="subscript"/>
        </w:rPr>
        <w:t>it</w:t>
      </w:r>
      <w:r>
        <w:rPr>
          <w:rFonts w:hint="eastAsia"/>
        </w:rPr>
        <w:t>为第</w:t>
      </w:r>
      <w:r>
        <w:rPr>
          <w:rFonts w:ascii="宋体" w:eastAsia="宋体" w:hAnsi="宋体" w:cs="宋体" w:hint="eastAsia"/>
          <w:i/>
          <w:iCs/>
        </w:rPr>
        <w:t>i</w:t>
      </w:r>
      <w:r>
        <w:rPr>
          <w:rFonts w:hint="eastAsia"/>
        </w:rPr>
        <w:t>个城市在</w:t>
      </w:r>
      <w:r>
        <w:rPr>
          <w:rFonts w:ascii="宋体" w:eastAsia="宋体" w:hAnsi="宋体" w:cs="宋体" w:hint="eastAsia"/>
          <w:i/>
          <w:iCs/>
        </w:rPr>
        <w:t>t</w:t>
      </w:r>
      <w:r>
        <w:rPr>
          <w:rFonts w:hint="eastAsia"/>
        </w:rPr>
        <w:t>时间的城市防洪韧性；</w:t>
      </w:r>
      <w:r>
        <w:rPr>
          <w:rFonts w:hint="eastAsia"/>
          <w:position w:val="-8"/>
        </w:rPr>
        <w:object w:dxaOrig="240" w:dyaOrig="279" w14:anchorId="064BBAC8">
          <v:shape id="_x0000_i1032" type="#_x0000_t75" style="width:12pt;height:14.25pt" o:ole="">
            <v:imagedata r:id="rId31" o:title=""/>
            <o:lock v:ext="edit" aspectratio="f"/>
          </v:shape>
          <o:OLEObject Type="Embed" ProgID="Equation.DSMT4" ShapeID="_x0000_i1032" DrawAspect="Content" ObjectID="_1835357005" r:id="rId32"/>
        </w:object>
      </w:r>
      <w:r>
        <w:rPr>
          <w:rFonts w:hint="eastAsia"/>
        </w:rPr>
        <w:t>为对应的参数值，也就是估计出</w:t>
      </w:r>
      <w:r>
        <w:rPr>
          <w:rFonts w:ascii="Times New Roman" w:hAnsi="Times New Roman" w:cs="Times New Roman"/>
          <w:i/>
          <w:iCs/>
        </w:rPr>
        <w:t>y</w:t>
      </w:r>
      <w:r>
        <w:rPr>
          <w:rFonts w:ascii="Times New Roman" w:hAnsi="Times New Roman" w:cs="Times New Roman"/>
          <w:i/>
          <w:iCs/>
          <w:vertAlign w:val="subscript"/>
        </w:rPr>
        <w:t>it</w:t>
      </w:r>
      <w:r>
        <w:rPr>
          <w:rFonts w:hint="eastAsia"/>
        </w:rPr>
        <w:t>的均值；</w:t>
      </w:r>
      <w:r>
        <w:rPr>
          <w:rFonts w:hint="eastAsia"/>
          <w:position w:val="-8"/>
        </w:rPr>
        <w:object w:dxaOrig="279" w:dyaOrig="279" w14:anchorId="22494182">
          <v:shape id="_x0000_i1033" type="#_x0000_t75" style="width:14.25pt;height:14.25pt" o:ole="">
            <v:imagedata r:id="rId33" o:title=""/>
            <o:lock v:ext="edit" aspectratio="f"/>
          </v:shape>
          <o:OLEObject Type="Embed" ProgID="Equation.DSMT4" ShapeID="_x0000_i1033" DrawAspect="Content" ObjectID="_1835357006" r:id="rId34"/>
        </w:object>
      </w:r>
      <w:r>
        <w:rPr>
          <w:rFonts w:hint="eastAsia"/>
        </w:rPr>
        <w:t>为城市防洪韧性的方差。</w:t>
      </w:r>
    </w:p>
    <w:p w14:paraId="08A7518D" w14:textId="77777777" w:rsidR="00D15E46" w:rsidRDefault="00000000">
      <w:pPr>
        <w:spacing w:line="240" w:lineRule="atLeast"/>
        <w:ind w:firstLineChars="200" w:firstLine="420"/>
      </w:pPr>
      <w:r>
        <w:rPr>
          <w:rFonts w:ascii="Times New Roman" w:hAnsi="Times New Roman" w:cs="Times New Roman"/>
        </w:rPr>
        <w:t>2</w:t>
      </w:r>
      <w:r>
        <w:rPr>
          <w:rFonts w:hint="eastAsia"/>
        </w:rPr>
        <w:t>）时空过程模型：</w:t>
      </w:r>
    </w:p>
    <w:p w14:paraId="15F043A6" w14:textId="77777777" w:rsidR="00D15E46" w:rsidRDefault="00000000">
      <w:pPr>
        <w:spacing w:line="240" w:lineRule="atLeast"/>
        <w:jc w:val="center"/>
      </w:pPr>
      <w:r>
        <w:rPr>
          <w:rFonts w:ascii="Times New Roman" w:eastAsia="宋体" w:hAnsi="Times New Roman" w:cs="Times New Roman"/>
          <w:position w:val="-10"/>
        </w:rPr>
        <w:object w:dxaOrig="2926" w:dyaOrig="300" w14:anchorId="6F62CA33">
          <v:shape id="_x0000_i1034" type="#_x0000_t75" style="width:146.25pt;height:15pt" o:ole="">
            <v:imagedata r:id="rId35" o:title=""/>
          </v:shape>
          <o:OLEObject Type="Embed" ProgID="Equation.DSMT4" ShapeID="_x0000_i1034" DrawAspect="Content" ObjectID="_1835357007" r:id="rId36"/>
        </w:object>
      </w:r>
    </w:p>
    <w:p w14:paraId="3D5FFE56" w14:textId="77777777" w:rsidR="00D15E46" w:rsidRDefault="00000000">
      <w:pPr>
        <w:ind w:firstLineChars="200" w:firstLine="420"/>
      </w:pPr>
      <w:r>
        <w:rPr>
          <w:rFonts w:hint="eastAsia"/>
        </w:rPr>
        <w:t>其中：</w:t>
      </w:r>
      <w:r>
        <w:rPr>
          <w:rFonts w:ascii="Times New Roman" w:eastAsia="宋体" w:hAnsi="Times New Roman" w:cs="Times New Roman"/>
          <w:i/>
          <w:iCs/>
        </w:rPr>
        <w:t>α</w:t>
      </w:r>
      <w:r>
        <w:rPr>
          <w:rFonts w:ascii="Times New Roman" w:eastAsia="宋体" w:hAnsi="Times New Roman" w:cs="Times New Roman" w:hint="eastAsia"/>
        </w:rPr>
        <w:t>是截距项，代表整个地区城市</w:t>
      </w:r>
      <w:r>
        <w:rPr>
          <w:rFonts w:hint="eastAsia"/>
        </w:rPr>
        <w:t>防洪</w:t>
      </w:r>
      <w:r>
        <w:rPr>
          <w:rFonts w:ascii="Times New Roman" w:eastAsia="宋体" w:hAnsi="Times New Roman" w:cs="Times New Roman" w:hint="eastAsia"/>
        </w:rPr>
        <w:t>韧性的平均水平；</w:t>
      </w:r>
      <w:r>
        <w:rPr>
          <w:rFonts w:ascii="Times New Roman" w:eastAsia="宋体" w:hAnsi="Times New Roman" w:cs="Times New Roman" w:hint="eastAsia"/>
          <w:i/>
          <w:iCs/>
        </w:rPr>
        <w:t>S</w:t>
      </w:r>
      <w:r>
        <w:rPr>
          <w:rFonts w:ascii="Times New Roman" w:eastAsia="宋体" w:hAnsi="Times New Roman" w:cs="Times New Roman" w:hint="eastAsia"/>
          <w:i/>
          <w:iCs/>
          <w:vertAlign w:val="subscript"/>
        </w:rPr>
        <w:t>i</w:t>
      </w:r>
      <w:r>
        <w:rPr>
          <w:rFonts w:ascii="Times New Roman" w:eastAsia="宋体" w:hAnsi="Times New Roman" w:cs="Times New Roman" w:hint="eastAsia"/>
        </w:rPr>
        <w:t>为空间结构效应；</w:t>
      </w:r>
      <w:r>
        <w:rPr>
          <w:rFonts w:ascii="Times New Roman" w:eastAsia="宋体" w:hAnsi="Times New Roman" w:cs="Times New Roman" w:hint="eastAsia"/>
          <w:i/>
          <w:iCs/>
        </w:rPr>
        <w:t>v</w:t>
      </w:r>
      <w:r>
        <w:rPr>
          <w:rFonts w:ascii="Times New Roman" w:eastAsia="宋体" w:hAnsi="Times New Roman" w:cs="Times New Roman" w:hint="eastAsia"/>
          <w:i/>
          <w:iCs/>
          <w:vertAlign w:val="subscript"/>
        </w:rPr>
        <w:t>t</w:t>
      </w:r>
      <w:r>
        <w:rPr>
          <w:rFonts w:ascii="Times New Roman" w:eastAsia="宋体" w:hAnsi="Times New Roman" w:cs="Times New Roman" w:hint="eastAsia"/>
        </w:rPr>
        <w:t>代表空间非结构效应，也就是区域本身的异质性；</w:t>
      </w:r>
      <w:r>
        <w:rPr>
          <w:rFonts w:ascii="Times New Roman" w:eastAsia="宋体" w:hAnsi="Times New Roman" w:cs="Times New Roman" w:hint="eastAsia"/>
        </w:rPr>
        <w:t>(</w:t>
      </w:r>
      <w:r>
        <w:rPr>
          <w:rFonts w:ascii="Times New Roman" w:eastAsia="宋体" w:hAnsi="Times New Roman" w:cs="Times New Roman" w:hint="eastAsia"/>
          <w:i/>
          <w:iCs/>
        </w:rPr>
        <w:t>b</w:t>
      </w:r>
      <w:r>
        <w:rPr>
          <w:rFonts w:ascii="Times New Roman" w:eastAsia="宋体" w:hAnsi="Times New Roman" w:cs="Times New Roman" w:hint="eastAsia"/>
          <w:vertAlign w:val="subscript"/>
        </w:rPr>
        <w:t>0</w:t>
      </w:r>
      <w:r>
        <w:rPr>
          <w:rFonts w:ascii="Times New Roman" w:eastAsia="宋体" w:hAnsi="Times New Roman" w:cs="Times New Roman" w:hint="eastAsia"/>
          <w:i/>
          <w:iCs/>
        </w:rPr>
        <w:t>t</w:t>
      </w:r>
      <w:r>
        <w:rPr>
          <w:rFonts w:ascii="Times New Roman" w:eastAsia="宋体" w:hAnsi="Times New Roman" w:cs="Times New Roman" w:hint="eastAsia"/>
        </w:rPr>
        <w:t>+</w:t>
      </w:r>
      <w:r>
        <w:rPr>
          <w:rFonts w:ascii="Times New Roman" w:eastAsia="宋体" w:hAnsi="Times New Roman" w:cs="Times New Roman" w:hint="eastAsia"/>
          <w:i/>
          <w:iCs/>
        </w:rPr>
        <w:t>v</w:t>
      </w:r>
      <w:r>
        <w:rPr>
          <w:rFonts w:ascii="Times New Roman" w:eastAsia="宋体" w:hAnsi="Times New Roman" w:cs="Times New Roman" w:hint="eastAsia"/>
          <w:i/>
          <w:iCs/>
          <w:vertAlign w:val="subscript"/>
        </w:rPr>
        <w:t>t</w:t>
      </w:r>
      <w:r>
        <w:rPr>
          <w:rFonts w:ascii="Times New Roman" w:eastAsia="宋体" w:hAnsi="Times New Roman" w:cs="Times New Roman" w:hint="eastAsia"/>
        </w:rPr>
        <w:t>)</w:t>
      </w:r>
      <w:r>
        <w:rPr>
          <w:rFonts w:ascii="Times New Roman" w:eastAsia="宋体" w:hAnsi="Times New Roman" w:cs="Times New Roman" w:hint="eastAsia"/>
        </w:rPr>
        <w:t>代表城市</w:t>
      </w:r>
      <w:r>
        <w:rPr>
          <w:rFonts w:hint="eastAsia"/>
        </w:rPr>
        <w:t>防洪</w:t>
      </w:r>
      <w:r>
        <w:rPr>
          <w:rFonts w:ascii="Times New Roman" w:eastAsia="宋体" w:hAnsi="Times New Roman" w:cs="Times New Roman" w:hint="eastAsia"/>
        </w:rPr>
        <w:t>韧性变化的总体趋势。</w:t>
      </w:r>
      <w:r>
        <w:rPr>
          <w:rFonts w:ascii="Times New Roman" w:eastAsia="宋体" w:hAnsi="Times New Roman" w:cs="Times New Roman" w:hint="eastAsia"/>
          <w:i/>
          <w:iCs/>
        </w:rPr>
        <w:t>b</w:t>
      </w:r>
      <w:r>
        <w:rPr>
          <w:rFonts w:ascii="Times New Roman" w:eastAsia="宋体" w:hAnsi="Times New Roman" w:cs="Times New Roman" w:hint="eastAsia"/>
          <w:vertAlign w:val="subscript"/>
        </w:rPr>
        <w:t>1</w:t>
      </w:r>
      <w:r>
        <w:rPr>
          <w:rFonts w:ascii="Times New Roman" w:eastAsia="宋体" w:hAnsi="Times New Roman" w:cs="Times New Roman" w:hint="eastAsia"/>
          <w:i/>
          <w:iCs/>
          <w:vertAlign w:val="subscript"/>
        </w:rPr>
        <w:t>i</w:t>
      </w:r>
      <w:r>
        <w:rPr>
          <w:rFonts w:ascii="Times New Roman" w:eastAsia="宋体" w:hAnsi="Times New Roman" w:cs="Times New Roman" w:hint="eastAsia"/>
        </w:rPr>
        <w:t>为时空交互下的局部变化趋势；</w:t>
      </w:r>
      <w:r>
        <w:rPr>
          <w:position w:val="-8"/>
        </w:rPr>
        <w:object w:dxaOrig="240" w:dyaOrig="279" w14:anchorId="3BF40CA6">
          <v:shape id="_x0000_i1035" type="#_x0000_t75" style="width:12pt;height:14.25pt" o:ole="">
            <v:imagedata r:id="rId37" o:title=""/>
          </v:shape>
          <o:OLEObject Type="Embed" ProgID="Equation.DSMT4" ShapeID="_x0000_i1035" DrawAspect="Content" ObjectID="_1835357008" r:id="rId38"/>
        </w:object>
      </w:r>
      <w:r>
        <w:rPr>
          <w:rFonts w:hint="eastAsia"/>
        </w:rPr>
        <w:t>代表时空非结构随机效应。</w:t>
      </w:r>
    </w:p>
    <w:p w14:paraId="26AD0A93" w14:textId="77777777" w:rsidR="00D15E46" w:rsidRDefault="00000000">
      <w:pPr>
        <w:spacing w:line="240" w:lineRule="atLeast"/>
        <w:ind w:firstLineChars="200" w:firstLine="420"/>
        <w:rPr>
          <w:rFonts w:ascii="Times New Roman" w:hAnsi="Times New Roman" w:cs="Times New Roman"/>
          <w:szCs w:val="21"/>
        </w:rPr>
      </w:pPr>
      <w:r>
        <w:rPr>
          <w:rFonts w:ascii="Times New Roman" w:eastAsia="宋体" w:hAnsi="Times New Roman" w:cs="Times New Roman"/>
          <w:szCs w:val="21"/>
        </w:rPr>
        <w:t>3</w:t>
      </w:r>
      <w:r>
        <w:rPr>
          <w:rFonts w:ascii="Times New Roman" w:hAnsi="Times New Roman" w:cs="Times New Roman" w:hint="eastAsia"/>
          <w:szCs w:val="21"/>
        </w:rPr>
        <w:t>）参数的先验分布：</w:t>
      </w:r>
    </w:p>
    <w:p w14:paraId="577B815E"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i/>
          <w:iCs/>
          <w:szCs w:val="21"/>
        </w:rPr>
        <w:t>S</w:t>
      </w:r>
      <w:r>
        <w:rPr>
          <w:rFonts w:ascii="Times New Roman" w:hAnsi="Times New Roman" w:cs="Times New Roman" w:hint="eastAsia"/>
          <w:szCs w:val="21"/>
        </w:rPr>
        <w:t>[1,M]~car.normal(adj.[],weights[],num[],tau.</w:t>
      </w:r>
      <w:r>
        <w:rPr>
          <w:rFonts w:ascii="Times New Roman" w:hAnsi="Times New Roman" w:cs="Times New Roman" w:hint="eastAsia"/>
          <w:i/>
          <w:iCs/>
          <w:szCs w:val="21"/>
        </w:rPr>
        <w:t>s</w:t>
      </w:r>
      <w:r>
        <w:rPr>
          <w:rFonts w:ascii="Times New Roman" w:hAnsi="Times New Roman" w:cs="Times New Roman" w:hint="eastAsia"/>
          <w:szCs w:val="21"/>
        </w:rPr>
        <w:t>)</w:t>
      </w:r>
    </w:p>
    <w:p w14:paraId="381ED66E" w14:textId="77777777" w:rsidR="00D15E46" w:rsidRDefault="00000000">
      <w:pPr>
        <w:spacing w:line="240" w:lineRule="atLeast"/>
        <w:ind w:firstLineChars="200" w:firstLine="420"/>
        <w:jc w:val="left"/>
        <w:rPr>
          <w:rFonts w:ascii="Times New Roman" w:hAnsi="Times New Roman" w:cs="Times New Roman"/>
          <w:szCs w:val="21"/>
        </w:rPr>
      </w:pPr>
      <w:r>
        <w:rPr>
          <w:rFonts w:ascii="Times New Roman" w:hAnsi="Times New Roman" w:cs="Times New Roman" w:hint="eastAsia"/>
          <w:i/>
          <w:iCs/>
          <w:szCs w:val="21"/>
        </w:rPr>
        <w:t>b</w:t>
      </w:r>
      <w:r>
        <w:rPr>
          <w:rFonts w:ascii="Times New Roman" w:hAnsi="Times New Roman" w:cs="Times New Roman" w:hint="eastAsia"/>
          <w:szCs w:val="21"/>
          <w:vertAlign w:val="subscript"/>
        </w:rPr>
        <w:t>1</w:t>
      </w:r>
      <w:r>
        <w:rPr>
          <w:rFonts w:ascii="Times New Roman" w:hAnsi="Times New Roman" w:cs="Times New Roman" w:hint="eastAsia"/>
          <w:szCs w:val="21"/>
        </w:rPr>
        <w:t>[1,M]~car.normal(adj.[],weights[],num[],tau.</w:t>
      </w:r>
      <w:r>
        <w:rPr>
          <w:rFonts w:ascii="Times New Roman" w:hAnsi="Times New Roman" w:cs="Times New Roman" w:hint="eastAsia"/>
          <w:i/>
          <w:iCs/>
          <w:szCs w:val="21"/>
        </w:rPr>
        <w:t>b</w:t>
      </w:r>
      <w:r>
        <w:rPr>
          <w:rFonts w:ascii="Times New Roman" w:hAnsi="Times New Roman" w:cs="Times New Roman" w:hint="eastAsia"/>
          <w:szCs w:val="21"/>
          <w:vertAlign w:val="subscript"/>
        </w:rPr>
        <w:t>1</w:t>
      </w:r>
      <w:r>
        <w:rPr>
          <w:rFonts w:ascii="Times New Roman" w:hAnsi="Times New Roman" w:cs="Times New Roman" w:hint="eastAsia"/>
          <w:szCs w:val="21"/>
        </w:rPr>
        <w:t>)</w:t>
      </w:r>
    </w:p>
    <w:p w14:paraId="1215074A"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i/>
          <w:iCs/>
          <w:szCs w:val="21"/>
        </w:rPr>
        <w:t>v</w:t>
      </w:r>
      <w:r>
        <w:rPr>
          <w:rFonts w:ascii="Times New Roman" w:hAnsi="Times New Roman" w:cs="Times New Roman" w:hint="eastAsia"/>
          <w:i/>
          <w:iCs/>
          <w:szCs w:val="21"/>
          <w:vertAlign w:val="subscript"/>
        </w:rPr>
        <w:t>t</w:t>
      </w:r>
      <w:r>
        <w:rPr>
          <w:rFonts w:ascii="Times New Roman" w:hAnsi="Times New Roman" w:cs="Times New Roman" w:hint="eastAsia"/>
          <w:szCs w:val="21"/>
        </w:rPr>
        <w:t>~ dnorm(0,tau.</w:t>
      </w:r>
      <w:r>
        <w:rPr>
          <w:rFonts w:ascii="Times New Roman" w:hAnsi="Times New Roman" w:cs="Times New Roman" w:hint="eastAsia"/>
          <w:i/>
          <w:iCs/>
          <w:szCs w:val="21"/>
        </w:rPr>
        <w:t>v</w:t>
      </w:r>
      <w:r>
        <w:rPr>
          <w:rFonts w:ascii="Times New Roman" w:hAnsi="Times New Roman" w:cs="Times New Roman" w:hint="eastAsia"/>
          <w:szCs w:val="21"/>
        </w:rPr>
        <w:t>)</w:t>
      </w:r>
    </w:p>
    <w:p w14:paraId="4BC566BE"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i/>
          <w:iCs/>
          <w:szCs w:val="21"/>
        </w:rPr>
        <w:t>ε</w:t>
      </w:r>
      <w:r>
        <w:rPr>
          <w:rFonts w:ascii="Times New Roman" w:hAnsi="Times New Roman" w:cs="Times New Roman"/>
          <w:i/>
          <w:iCs/>
          <w:szCs w:val="21"/>
          <w:vertAlign w:val="subscript"/>
        </w:rPr>
        <w:t>it</w:t>
      </w:r>
      <w:r>
        <w:rPr>
          <w:rFonts w:ascii="Times New Roman" w:hAnsi="Times New Roman" w:cs="Times New Roman" w:hint="eastAsia"/>
          <w:szCs w:val="21"/>
        </w:rPr>
        <w:t>~dnorm(0,tau.</w:t>
      </w:r>
      <w:r>
        <w:rPr>
          <w:rFonts w:ascii="Times New Roman" w:hAnsi="Times New Roman" w:cs="Times New Roman" w:hint="eastAsia"/>
          <w:i/>
          <w:iCs/>
          <w:szCs w:val="21"/>
        </w:rPr>
        <w:t>e</w:t>
      </w:r>
      <w:r>
        <w:rPr>
          <w:rFonts w:ascii="Times New Roman" w:hAnsi="Times New Roman" w:cs="Times New Roman" w:hint="eastAsia"/>
          <w:szCs w:val="21"/>
        </w:rPr>
        <w:t>)</w:t>
      </w:r>
    </w:p>
    <w:p w14:paraId="6F035E16"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tau.</w:t>
      </w:r>
      <w:r>
        <w:rPr>
          <w:rFonts w:ascii="Times New Roman" w:hAnsi="Times New Roman" w:cs="Times New Roman" w:hint="eastAsia"/>
          <w:i/>
          <w:iCs/>
          <w:szCs w:val="21"/>
        </w:rPr>
        <w:t>s</w:t>
      </w:r>
      <w:r>
        <w:rPr>
          <w:rFonts w:ascii="Times New Roman" w:hAnsi="Times New Roman" w:cs="Times New Roman" w:hint="eastAsia"/>
          <w:szCs w:val="21"/>
        </w:rPr>
        <w:t>~dgamma(0.01,0.001)</w:t>
      </w:r>
    </w:p>
    <w:p w14:paraId="6F3D74BD"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tau.</w:t>
      </w:r>
      <w:r>
        <w:rPr>
          <w:rFonts w:ascii="Times New Roman" w:hAnsi="Times New Roman" w:cs="Times New Roman" w:hint="eastAsia"/>
          <w:i/>
          <w:iCs/>
          <w:szCs w:val="21"/>
        </w:rPr>
        <w:t>b</w:t>
      </w:r>
      <w:r>
        <w:rPr>
          <w:rFonts w:ascii="Times New Roman" w:hAnsi="Times New Roman" w:cs="Times New Roman" w:hint="eastAsia"/>
          <w:szCs w:val="21"/>
          <w:vertAlign w:val="subscript"/>
        </w:rPr>
        <w:t>1</w:t>
      </w:r>
      <w:r>
        <w:rPr>
          <w:rFonts w:ascii="Times New Roman" w:hAnsi="Times New Roman" w:cs="Times New Roman" w:hint="eastAsia"/>
          <w:szCs w:val="21"/>
        </w:rPr>
        <w:t>~dgamma(0.01,0.001)</w:t>
      </w:r>
    </w:p>
    <w:p w14:paraId="23B47584"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tau.</w:t>
      </w:r>
      <w:r>
        <w:rPr>
          <w:rFonts w:ascii="Times New Roman" w:hAnsi="Times New Roman" w:cs="Times New Roman" w:hint="eastAsia"/>
          <w:i/>
          <w:iCs/>
          <w:szCs w:val="21"/>
        </w:rPr>
        <w:t>v</w:t>
      </w:r>
      <w:r>
        <w:rPr>
          <w:rFonts w:ascii="Times New Roman" w:hAnsi="Times New Roman" w:cs="Times New Roman" w:hint="eastAsia"/>
          <w:szCs w:val="21"/>
        </w:rPr>
        <w:t>~dgamma(0.01,0.001)</w:t>
      </w:r>
    </w:p>
    <w:p w14:paraId="5D0D105C"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tau.</w:t>
      </w:r>
      <w:r>
        <w:rPr>
          <w:rFonts w:ascii="Times New Roman" w:hAnsi="Times New Roman" w:cs="Times New Roman" w:hint="eastAsia"/>
          <w:i/>
          <w:iCs/>
          <w:szCs w:val="21"/>
        </w:rPr>
        <w:t>e</w:t>
      </w:r>
      <w:r>
        <w:rPr>
          <w:rFonts w:ascii="Times New Roman" w:hAnsi="Times New Roman" w:cs="Times New Roman" w:hint="eastAsia"/>
          <w:szCs w:val="21"/>
        </w:rPr>
        <w:t>~dgamma(0.01,0.001)</w:t>
      </w:r>
    </w:p>
    <w:p w14:paraId="5939773B"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i/>
          <w:iCs/>
          <w:szCs w:val="21"/>
        </w:rPr>
        <w:t>α</w:t>
      </w:r>
      <w:r>
        <w:rPr>
          <w:rFonts w:ascii="Times New Roman" w:hAnsi="Times New Roman" w:cs="Times New Roman" w:hint="eastAsia"/>
          <w:szCs w:val="21"/>
        </w:rPr>
        <w:t>~dflat( )</w:t>
      </w:r>
    </w:p>
    <w:p w14:paraId="0C9FFC29"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i/>
          <w:iCs/>
          <w:szCs w:val="21"/>
        </w:rPr>
        <w:t>b</w:t>
      </w:r>
      <w:r>
        <w:rPr>
          <w:rFonts w:ascii="Times New Roman" w:hAnsi="Times New Roman" w:cs="Times New Roman" w:hint="eastAsia"/>
          <w:szCs w:val="21"/>
          <w:vertAlign w:val="subscript"/>
        </w:rPr>
        <w:t>0</w:t>
      </w:r>
      <w:r>
        <w:rPr>
          <w:rFonts w:ascii="Times New Roman" w:hAnsi="Times New Roman" w:cs="Times New Roman" w:hint="eastAsia"/>
          <w:szCs w:val="21"/>
        </w:rPr>
        <w:t>~dflat( )</w:t>
      </w:r>
    </w:p>
    <w:p w14:paraId="70996FAF"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hint="eastAsia"/>
          <w:szCs w:val="21"/>
        </w:rPr>
        <w:t>tau.</w:t>
      </w:r>
      <w:r>
        <w:rPr>
          <w:rFonts w:ascii="Times New Roman" w:hAnsi="Times New Roman" w:cs="Times New Roman" w:hint="eastAsia"/>
          <w:i/>
          <w:iCs/>
          <w:szCs w:val="21"/>
        </w:rPr>
        <w:t>s</w:t>
      </w:r>
      <w:r>
        <w:rPr>
          <w:rFonts w:ascii="Times New Roman" w:hAnsi="Times New Roman" w:cs="Times New Roman" w:hint="eastAsia"/>
          <w:szCs w:val="21"/>
        </w:rPr>
        <w:t>、</w:t>
      </w:r>
      <w:r>
        <w:rPr>
          <w:rFonts w:ascii="Times New Roman" w:hAnsi="Times New Roman" w:cs="Times New Roman" w:hint="eastAsia"/>
          <w:szCs w:val="21"/>
        </w:rPr>
        <w:t>tau.</w:t>
      </w:r>
      <w:r>
        <w:rPr>
          <w:rFonts w:ascii="Times New Roman" w:hAnsi="Times New Roman" w:cs="Times New Roman" w:hint="eastAsia"/>
          <w:i/>
          <w:iCs/>
          <w:szCs w:val="21"/>
        </w:rPr>
        <w:t>b</w:t>
      </w:r>
      <w:r>
        <w:rPr>
          <w:rFonts w:ascii="Times New Roman" w:hAnsi="Times New Roman" w:cs="Times New Roman" w:hint="eastAsia"/>
          <w:szCs w:val="21"/>
        </w:rPr>
        <w:t>1</w:t>
      </w:r>
      <w:r>
        <w:rPr>
          <w:rFonts w:ascii="Times New Roman" w:hAnsi="Times New Roman" w:cs="Times New Roman" w:hint="eastAsia"/>
          <w:szCs w:val="21"/>
        </w:rPr>
        <w:t>是超参数，也就是参数服从分布的参数。空间相关性</w:t>
      </w:r>
      <w:r>
        <w:rPr>
          <w:rFonts w:ascii="Times New Roman" w:hAnsi="Times New Roman" w:cs="Times New Roman" w:hint="eastAsia"/>
          <w:i/>
          <w:iCs/>
          <w:szCs w:val="21"/>
        </w:rPr>
        <w:t>S</w:t>
      </w:r>
      <w:r>
        <w:rPr>
          <w:rFonts w:ascii="Times New Roman" w:hAnsi="Times New Roman" w:cs="Times New Roman" w:hint="eastAsia"/>
          <w:i/>
          <w:iCs/>
          <w:szCs w:val="21"/>
          <w:vertAlign w:val="subscript"/>
        </w:rPr>
        <w:t>i</w:t>
      </w:r>
      <w:r>
        <w:rPr>
          <w:rFonts w:ascii="Times New Roman" w:hAnsi="Times New Roman" w:cs="Times New Roman" w:hint="eastAsia"/>
          <w:szCs w:val="21"/>
        </w:rPr>
        <w:t>和时空交互项</w:t>
      </w:r>
      <w:r>
        <w:rPr>
          <w:rFonts w:ascii="Times New Roman" w:hAnsi="Times New Roman" w:cs="Times New Roman" w:hint="eastAsia"/>
          <w:i/>
          <w:iCs/>
          <w:szCs w:val="21"/>
        </w:rPr>
        <w:t>b</w:t>
      </w:r>
      <w:r>
        <w:rPr>
          <w:rFonts w:ascii="Times New Roman" w:hAnsi="Times New Roman" w:cs="Times New Roman" w:hint="eastAsia"/>
          <w:szCs w:val="21"/>
          <w:vertAlign w:val="subscript"/>
        </w:rPr>
        <w:t>1</w:t>
      </w:r>
      <w:r>
        <w:rPr>
          <w:rFonts w:ascii="Times New Roman" w:hAnsi="Times New Roman" w:cs="Times New Roman" w:hint="eastAsia"/>
          <w:i/>
          <w:iCs/>
          <w:szCs w:val="21"/>
          <w:vertAlign w:val="subscript"/>
        </w:rPr>
        <w:t>i</w:t>
      </w:r>
      <w:r>
        <w:rPr>
          <w:rFonts w:ascii="Times New Roman" w:hAnsi="Times New Roman" w:cs="Times New Roman" w:hint="eastAsia"/>
          <w:szCs w:val="21"/>
        </w:rPr>
        <w:t>的先验分布服从条件自回归过程</w:t>
      </w:r>
      <w:r>
        <w:rPr>
          <w:rFonts w:ascii="Times New Roman" w:hAnsi="Times New Roman" w:cs="Times New Roman" w:hint="eastAsia"/>
          <w:szCs w:val="21"/>
        </w:rPr>
        <w:t>(Conditional Auto-regressive Process</w:t>
      </w:r>
      <w:r>
        <w:rPr>
          <w:rFonts w:ascii="Times New Roman" w:hAnsi="Times New Roman" w:cs="Times New Roman" w:hint="eastAsia"/>
          <w:szCs w:val="21"/>
        </w:rPr>
        <w:t>，</w:t>
      </w:r>
      <w:r>
        <w:rPr>
          <w:rFonts w:ascii="Times New Roman" w:hAnsi="Times New Roman" w:cs="Times New Roman" w:hint="eastAsia"/>
          <w:szCs w:val="21"/>
        </w:rPr>
        <w:t>CAR)</w:t>
      </w:r>
      <w:r>
        <w:rPr>
          <w:rFonts w:ascii="Times New Roman" w:hAnsi="Times New Roman" w:cs="Times New Roman" w:hint="eastAsia"/>
          <w:szCs w:val="21"/>
        </w:rPr>
        <w:t>，</w:t>
      </w:r>
      <w:r>
        <w:rPr>
          <w:rFonts w:ascii="Times New Roman" w:hAnsi="Times New Roman" w:cs="Times New Roman" w:hint="eastAsia"/>
          <w:szCs w:val="21"/>
        </w:rPr>
        <w:t>car.normal</w:t>
      </w:r>
      <w:r>
        <w:rPr>
          <w:rFonts w:ascii="Times New Roman" w:hAnsi="Times New Roman" w:cs="Times New Roman" w:hint="eastAsia"/>
          <w:szCs w:val="21"/>
        </w:rPr>
        <w:t>模型为</w:t>
      </w:r>
      <w:r>
        <w:rPr>
          <w:rFonts w:ascii="Times New Roman" w:hAnsi="Times New Roman" w:cs="Times New Roman" w:hint="eastAsia"/>
          <w:szCs w:val="21"/>
          <w:vertAlign w:val="superscript"/>
        </w:rPr>
        <w:fldChar w:fldCharType="begin"/>
      </w:r>
      <w:r>
        <w:rPr>
          <w:rFonts w:ascii="Times New Roman" w:hAnsi="Times New Roman" w:cs="Times New Roman" w:hint="eastAsia"/>
          <w:szCs w:val="21"/>
          <w:vertAlign w:val="superscript"/>
        </w:rPr>
        <w:instrText xml:space="preserve"> REF _Ref5750 \r \h </w:instrText>
      </w:r>
      <w:r>
        <w:rPr>
          <w:rFonts w:ascii="Times New Roman" w:hAnsi="Times New Roman" w:cs="Times New Roman" w:hint="eastAsia"/>
          <w:szCs w:val="21"/>
          <w:vertAlign w:val="superscript"/>
        </w:rPr>
      </w:r>
      <w:r>
        <w:rPr>
          <w:rFonts w:ascii="Times New Roman" w:hAnsi="Times New Roman" w:cs="Times New Roman" w:hint="eastAsia"/>
          <w:szCs w:val="21"/>
          <w:vertAlign w:val="superscript"/>
        </w:rPr>
        <w:fldChar w:fldCharType="separate"/>
      </w:r>
      <w:r>
        <w:rPr>
          <w:rFonts w:ascii="Times New Roman" w:hAnsi="Times New Roman" w:cs="Times New Roman" w:hint="eastAsia"/>
          <w:szCs w:val="21"/>
          <w:vertAlign w:val="superscript"/>
        </w:rPr>
        <w:t>[30]</w:t>
      </w:r>
      <w:r>
        <w:rPr>
          <w:rFonts w:ascii="Times New Roman" w:hAnsi="Times New Roman" w:cs="Times New Roman" w:hint="eastAsia"/>
          <w:szCs w:val="21"/>
          <w:vertAlign w:val="superscript"/>
        </w:rPr>
        <w:fldChar w:fldCharType="end"/>
      </w:r>
      <w:r>
        <w:rPr>
          <w:rFonts w:ascii="Times New Roman" w:hAnsi="Times New Roman" w:cs="Times New Roman" w:hint="eastAsia"/>
          <w:szCs w:val="21"/>
        </w:rPr>
        <w:t>：</w:t>
      </w:r>
    </w:p>
    <w:p w14:paraId="495E6EA8" w14:textId="77777777" w:rsidR="00D15E46" w:rsidRDefault="00000000">
      <w:pPr>
        <w:spacing w:line="240" w:lineRule="atLeast"/>
        <w:jc w:val="center"/>
        <w:rPr>
          <w:rFonts w:ascii="Times New Roman" w:hAnsi="Times New Roman" w:cs="Times New Roman"/>
          <w:szCs w:val="21"/>
        </w:rPr>
      </w:pPr>
      <w:r>
        <w:rPr>
          <w:rFonts w:ascii="Times New Roman" w:eastAsia="宋体" w:hAnsi="Times New Roman" w:cs="Times New Roman"/>
          <w:position w:val="-16"/>
        </w:rPr>
        <w:object w:dxaOrig="4385" w:dyaOrig="380" w14:anchorId="1C961B8B">
          <v:shape id="_x0000_i1036" type="#_x0000_t75" style="width:219pt;height:18.75pt" o:ole="">
            <v:imagedata r:id="rId39" o:title=""/>
          </v:shape>
          <o:OLEObject Type="Embed" ProgID="Equation.DSMT4" ShapeID="_x0000_i1036" DrawAspect="Content" ObjectID="_1835357009" r:id="rId40"/>
        </w:object>
      </w:r>
    </w:p>
    <w:p w14:paraId="46C7F407"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其中，</w:t>
      </w:r>
      <w:r>
        <w:rPr>
          <w:rFonts w:ascii="Times New Roman" w:hAnsi="Times New Roman" w:cs="Times New Roman" w:hint="eastAsia"/>
          <w:szCs w:val="21"/>
        </w:rPr>
        <w:t>adj.[]</w:t>
      </w:r>
      <w:r>
        <w:rPr>
          <w:rFonts w:ascii="Times New Roman" w:hAnsi="Times New Roman" w:cs="Times New Roman" w:hint="eastAsia"/>
          <w:szCs w:val="21"/>
        </w:rPr>
        <w:t>为邻接城市的编号，</w:t>
      </w:r>
      <w:r>
        <w:rPr>
          <w:rFonts w:ascii="Times New Roman" w:hAnsi="Times New Roman" w:cs="Times New Roman" w:hint="eastAsia"/>
          <w:szCs w:val="21"/>
        </w:rPr>
        <w:t>weights[]</w:t>
      </w:r>
      <w:r>
        <w:rPr>
          <w:rFonts w:ascii="Times New Roman" w:hAnsi="Times New Roman" w:cs="Times New Roman" w:hint="eastAsia"/>
          <w:szCs w:val="21"/>
        </w:rPr>
        <w:t>用于描述城市间重要性的差异权重，</w:t>
      </w:r>
      <w:r>
        <w:rPr>
          <w:rFonts w:ascii="Times New Roman" w:hAnsi="Times New Roman" w:cs="Times New Roman" w:hint="eastAsia"/>
          <w:szCs w:val="21"/>
        </w:rPr>
        <w:t>num[]</w:t>
      </w:r>
      <w:r>
        <w:rPr>
          <w:rFonts w:ascii="Times New Roman" w:hAnsi="Times New Roman" w:cs="Times New Roman" w:hint="eastAsia"/>
          <w:szCs w:val="21"/>
        </w:rPr>
        <w:t>是相邻城市的个数；本研究采用</w:t>
      </w:r>
      <w:r>
        <w:rPr>
          <w:rFonts w:ascii="Times New Roman" w:hAnsi="Times New Roman" w:cs="Times New Roman" w:hint="eastAsia"/>
          <w:szCs w:val="21"/>
        </w:rPr>
        <w:t>Queen</w:t>
      </w:r>
      <w:r>
        <w:rPr>
          <w:rFonts w:ascii="Times New Roman" w:hAnsi="Times New Roman" w:cs="Times New Roman" w:hint="eastAsia"/>
          <w:szCs w:val="21"/>
        </w:rPr>
        <w:t>邻接权重矩阵，即如果城市</w:t>
      </w:r>
      <w:r>
        <w:rPr>
          <w:rFonts w:ascii="Times New Roman" w:hAnsi="Times New Roman" w:cs="Times New Roman" w:hint="eastAsia"/>
          <w:i/>
          <w:iCs/>
          <w:szCs w:val="21"/>
        </w:rPr>
        <w:t>i</w:t>
      </w:r>
      <w:r>
        <w:rPr>
          <w:rFonts w:ascii="Times New Roman" w:hAnsi="Times New Roman" w:cs="Times New Roman" w:hint="eastAsia"/>
          <w:szCs w:val="21"/>
        </w:rPr>
        <w:t>与城市</w:t>
      </w:r>
      <w:r>
        <w:rPr>
          <w:rFonts w:ascii="Times New Roman" w:hAnsi="Times New Roman" w:cs="Times New Roman" w:hint="eastAsia"/>
          <w:i/>
          <w:iCs/>
          <w:szCs w:val="21"/>
        </w:rPr>
        <w:t>j</w:t>
      </w:r>
      <w:r>
        <w:rPr>
          <w:rFonts w:ascii="Times New Roman" w:hAnsi="Times New Roman" w:cs="Times New Roman" w:hint="eastAsia"/>
          <w:szCs w:val="21"/>
        </w:rPr>
        <w:t>相邻，则</w:t>
      </w:r>
      <w:r>
        <w:rPr>
          <w:rFonts w:ascii="Times New Roman" w:hAnsi="Times New Roman" w:cs="Times New Roman" w:hint="eastAsia"/>
          <w:i/>
          <w:iCs/>
          <w:szCs w:val="21"/>
        </w:rPr>
        <w:t>w</w:t>
      </w:r>
      <w:r>
        <w:rPr>
          <w:rFonts w:ascii="Times New Roman" w:hAnsi="Times New Roman" w:cs="Times New Roman" w:hint="eastAsia"/>
          <w:i/>
          <w:iCs/>
          <w:szCs w:val="21"/>
          <w:vertAlign w:val="subscript"/>
        </w:rPr>
        <w:t>ij</w:t>
      </w:r>
      <w:r>
        <w:rPr>
          <w:rFonts w:ascii="Times New Roman" w:hAnsi="Times New Roman" w:cs="Times New Roman" w:hint="eastAsia"/>
          <w:szCs w:val="21"/>
        </w:rPr>
        <w:t>=1</w:t>
      </w:r>
      <w:r>
        <w:rPr>
          <w:rFonts w:ascii="Times New Roman" w:hAnsi="Times New Roman" w:cs="Times New Roman" w:hint="eastAsia"/>
          <w:szCs w:val="21"/>
        </w:rPr>
        <w:t>，否则为</w:t>
      </w:r>
      <w:r>
        <w:rPr>
          <w:rFonts w:ascii="Times New Roman" w:hAnsi="Times New Roman" w:cs="Times New Roman" w:hint="eastAsia"/>
          <w:szCs w:val="21"/>
        </w:rPr>
        <w:t>0</w:t>
      </w:r>
      <w:r>
        <w:rPr>
          <w:rFonts w:ascii="Times New Roman" w:hAnsi="Times New Roman" w:cs="Times New Roman" w:hint="eastAsia"/>
          <w:szCs w:val="21"/>
        </w:rPr>
        <w:t>。由于本文没有可靠的先验信息，故</w:t>
      </w:r>
      <w:r>
        <w:rPr>
          <w:rFonts w:ascii="Times New Roman" w:hAnsi="Times New Roman" w:cs="Times New Roman"/>
          <w:i/>
          <w:iCs/>
          <w:szCs w:val="21"/>
        </w:rPr>
        <w:t>α</w:t>
      </w:r>
      <w:r>
        <w:rPr>
          <w:rFonts w:ascii="Times New Roman" w:hAnsi="Times New Roman" w:cs="Times New Roman" w:hint="eastAsia"/>
          <w:szCs w:val="21"/>
        </w:rPr>
        <w:t>、</w:t>
      </w:r>
      <w:r>
        <w:rPr>
          <w:rFonts w:ascii="Times New Roman" w:hAnsi="Times New Roman" w:cs="Times New Roman" w:hint="eastAsia"/>
          <w:i/>
          <w:iCs/>
          <w:szCs w:val="21"/>
        </w:rPr>
        <w:t>b</w:t>
      </w:r>
      <w:r>
        <w:rPr>
          <w:rFonts w:ascii="Times New Roman" w:hAnsi="Times New Roman" w:cs="Times New Roman" w:hint="eastAsia"/>
          <w:szCs w:val="21"/>
          <w:vertAlign w:val="subscript"/>
        </w:rPr>
        <w:t>0</w:t>
      </w:r>
      <w:r>
        <w:rPr>
          <w:rFonts w:ascii="Times New Roman" w:hAnsi="Times New Roman" w:cs="Times New Roman" w:hint="eastAsia"/>
          <w:szCs w:val="21"/>
        </w:rPr>
        <w:t>服从无信息先验。</w:t>
      </w:r>
    </w:p>
    <w:p w14:paraId="7FE997F1"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4</w:t>
      </w:r>
      <w:r>
        <w:rPr>
          <w:rFonts w:ascii="Times New Roman" w:hAnsi="Times New Roman" w:cs="Times New Roman" w:hint="eastAsia"/>
          <w:szCs w:val="21"/>
        </w:rPr>
        <w:t>）参数的后验分布：</w:t>
      </w:r>
    </w:p>
    <w:p w14:paraId="3F76EBDE" w14:textId="77777777" w:rsidR="00D15E46"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参数的后验分布多为高维、复杂的分布函数，在参数后验分布的实际计算中，后验密度函数与未知参数估计的目的是求其期望值，本文采用</w:t>
      </w:r>
      <w:r>
        <w:rPr>
          <w:rFonts w:ascii="Times New Roman" w:hAnsi="Times New Roman" w:cs="Times New Roman" w:hint="eastAsia"/>
          <w:szCs w:val="21"/>
        </w:rPr>
        <w:t>MCMC</w:t>
      </w:r>
      <w:r>
        <w:rPr>
          <w:rFonts w:ascii="Times New Roman" w:hAnsi="Times New Roman" w:cs="Times New Roman" w:hint="eastAsia"/>
          <w:szCs w:val="21"/>
        </w:rPr>
        <w:t>法实现对分布期望的有效推断。该方法通过</w:t>
      </w:r>
      <w:r>
        <w:rPr>
          <w:rFonts w:ascii="Times New Roman" w:hAnsi="Times New Roman" w:cs="Times New Roman" w:hint="eastAsia"/>
          <w:szCs w:val="21"/>
        </w:rPr>
        <w:t>WinBUGS</w:t>
      </w:r>
      <w:r>
        <w:rPr>
          <w:rFonts w:ascii="Times New Roman" w:hAnsi="Times New Roman" w:cs="Times New Roman" w:hint="eastAsia"/>
          <w:szCs w:val="21"/>
        </w:rPr>
        <w:t>软件编程实现，该软件采用</w:t>
      </w:r>
      <w:r>
        <w:rPr>
          <w:rFonts w:ascii="Times New Roman" w:hAnsi="Times New Roman" w:cs="Times New Roman" w:hint="eastAsia"/>
          <w:szCs w:val="21"/>
        </w:rPr>
        <w:t>Gibbs</w:t>
      </w:r>
      <w:r>
        <w:rPr>
          <w:rFonts w:ascii="Times New Roman" w:hAnsi="Times New Roman" w:cs="Times New Roman" w:hint="eastAsia"/>
          <w:szCs w:val="21"/>
        </w:rPr>
        <w:t>抽样法，整合参数的先验分布与观测数据，进而形成更新的后验分布。</w:t>
      </w:r>
    </w:p>
    <w:p w14:paraId="50436C1A" w14:textId="77777777" w:rsidR="00D15E46" w:rsidRDefault="00000000">
      <w:pPr>
        <w:pStyle w:val="3"/>
      </w:pPr>
      <w:r>
        <w:rPr>
          <w:rFonts w:ascii="Times New Roman" w:hAnsi="Times New Roman" w:cs="Times New Roman"/>
        </w:rPr>
        <w:t>1.4</w:t>
      </w:r>
      <w:r>
        <w:rPr>
          <w:rFonts w:hint="eastAsia"/>
        </w:rPr>
        <w:t xml:space="preserve">  </w:t>
      </w:r>
      <w:r>
        <w:rPr>
          <w:rFonts w:ascii="黑体" w:eastAsia="黑体" w:hAnsi="黑体" w:cs="黑体" w:hint="eastAsia"/>
          <w:b w:val="0"/>
          <w:bCs w:val="0"/>
        </w:rPr>
        <w:t>马尔科夫链蒙特卡罗方法</w:t>
      </w:r>
    </w:p>
    <w:p w14:paraId="45971416" w14:textId="77777777" w:rsidR="00D15E46" w:rsidRDefault="00000000">
      <w:pPr>
        <w:ind w:firstLineChars="200" w:firstLine="420"/>
      </w:pPr>
      <w:r>
        <w:rPr>
          <w:rFonts w:cs="Times New Roman" w:hint="eastAsia"/>
        </w:rPr>
        <w:t>贝叶斯统计的困难在于后验的分布是高维且复杂的，</w:t>
      </w:r>
      <w:r>
        <w:rPr>
          <w:rFonts w:ascii="Times New Roman" w:hAnsi="Times New Roman" w:cs="Times New Roman"/>
        </w:rPr>
        <w:t>MCMC</w:t>
      </w:r>
      <w:r>
        <w:rPr>
          <w:rFonts w:cs="Times New Roman" w:hint="eastAsia"/>
        </w:rPr>
        <w:t>方法通过蒙特卡罗积分法发展而来，也可以称作随机模拟或者随机抽样方法。在面对非标准分布及变量间存在依赖关系的情况下，该方法仍然能够实现分布特征的准确模拟，本质就是使用马尔科夫链的蒙特卡罗积分法。该方法</w:t>
      </w:r>
      <w:r>
        <w:rPr>
          <w:rFonts w:ascii="Times New Roman" w:hAnsi="Times New Roman" w:cs="Times New Roman" w:hint="eastAsia"/>
        </w:rPr>
        <w:t>可将贝叶斯推断中复杂积分的计算难题得到轻松化解，完成大样本及多参数模型的估计。</w:t>
      </w:r>
    </w:p>
    <w:p w14:paraId="4FEA6662" w14:textId="77777777" w:rsidR="00D15E46" w:rsidRDefault="00000000">
      <w:pPr>
        <w:ind w:firstLineChars="200" w:firstLine="420"/>
        <w:rPr>
          <w:rFonts w:cs="Times New Roman"/>
        </w:rPr>
      </w:pPr>
      <w:r>
        <w:rPr>
          <w:rFonts w:ascii="Times New Roman" w:eastAsia="宋体" w:hAnsi="Times New Roman" w:cs="Times New Roman"/>
        </w:rPr>
        <w:t>MCMC</w:t>
      </w:r>
      <w:r>
        <w:rPr>
          <w:rFonts w:cs="Times New Roman" w:hint="eastAsia"/>
        </w:rPr>
        <w:t>方法属于蒙特卡罗方法，该方法的理论基础源于随机过程理论</w:t>
      </w:r>
      <w:r>
        <w:rPr>
          <w:rFonts w:cs="Times New Roman" w:hint="eastAsia"/>
          <w:vertAlign w:val="superscript"/>
        </w:rPr>
        <w:fldChar w:fldCharType="begin"/>
      </w:r>
      <w:r>
        <w:rPr>
          <w:rFonts w:cs="Times New Roman" w:hint="eastAsia"/>
          <w:vertAlign w:val="superscript"/>
        </w:rPr>
        <w:instrText xml:space="preserve"> REF _Ref32521 \r \h </w:instrText>
      </w:r>
      <w:r>
        <w:rPr>
          <w:rFonts w:cs="Times New Roman" w:hint="eastAsia"/>
          <w:vertAlign w:val="superscript"/>
        </w:rPr>
      </w:r>
      <w:r>
        <w:rPr>
          <w:rFonts w:cs="Times New Roman" w:hint="eastAsia"/>
          <w:vertAlign w:val="superscript"/>
        </w:rPr>
        <w:fldChar w:fldCharType="separate"/>
      </w:r>
      <w:r>
        <w:rPr>
          <w:rFonts w:cs="Times New Roman" w:hint="eastAsia"/>
          <w:vertAlign w:val="superscript"/>
        </w:rPr>
        <w:t>[31]</w:t>
      </w:r>
      <w:r>
        <w:rPr>
          <w:rFonts w:cs="Times New Roman" w:hint="eastAsia"/>
          <w:vertAlign w:val="superscript"/>
        </w:rPr>
        <w:fldChar w:fldCharType="end"/>
      </w:r>
      <w:r>
        <w:rPr>
          <w:rFonts w:cs="Times New Roman" w:hint="eastAsia"/>
          <w:vertAlign w:val="superscript"/>
        </w:rPr>
        <w:fldChar w:fldCharType="begin"/>
      </w:r>
      <w:r>
        <w:rPr>
          <w:rFonts w:cs="Times New Roman" w:hint="eastAsia"/>
          <w:vertAlign w:val="superscript"/>
        </w:rPr>
        <w:instrText xml:space="preserve"> REF _Ref32517 \r \h </w:instrText>
      </w:r>
      <w:r>
        <w:rPr>
          <w:rFonts w:cs="Times New Roman" w:hint="eastAsia"/>
          <w:vertAlign w:val="superscript"/>
        </w:rPr>
      </w:r>
      <w:r>
        <w:rPr>
          <w:rFonts w:cs="Times New Roman" w:hint="eastAsia"/>
          <w:vertAlign w:val="superscript"/>
        </w:rPr>
        <w:fldChar w:fldCharType="separate"/>
      </w:r>
      <w:r>
        <w:rPr>
          <w:rFonts w:cs="Times New Roman" w:hint="eastAsia"/>
          <w:vertAlign w:val="superscript"/>
        </w:rPr>
        <w:t>[32]</w:t>
      </w:r>
      <w:r>
        <w:rPr>
          <w:rFonts w:cs="Times New Roman" w:hint="eastAsia"/>
          <w:vertAlign w:val="superscript"/>
        </w:rPr>
        <w:fldChar w:fldCharType="end"/>
      </w:r>
      <w:r>
        <w:rPr>
          <w:rFonts w:cs="Times New Roman" w:hint="eastAsia"/>
        </w:rPr>
        <w:t>。其核心在于构建马尔科夫链，一个由随机变量组成的序列</w:t>
      </w:r>
      <w:r>
        <w:rPr>
          <w:rFonts w:ascii="Times New Roman" w:hAnsi="Times New Roman" w:cs="Times New Roman"/>
        </w:rPr>
        <w:t>{</w:t>
      </w:r>
      <w:r>
        <w:rPr>
          <w:rFonts w:ascii="Times New Roman" w:hAnsi="Times New Roman" w:cs="Times New Roman"/>
          <w:i/>
          <w:iCs/>
        </w:rPr>
        <w:t>X</w:t>
      </w:r>
      <w:r>
        <w:rPr>
          <w:rFonts w:ascii="Times New Roman" w:hAnsi="Times New Roman" w:cs="Times New Roman"/>
          <w:vertAlign w:val="superscript"/>
        </w:rPr>
        <w:t>(0)</w:t>
      </w:r>
      <w:r>
        <w:rPr>
          <w:rFonts w:ascii="Times New Roman" w:hAnsi="Times New Roman" w:cs="Times New Roman"/>
        </w:rPr>
        <w:t>，</w:t>
      </w:r>
      <w:r>
        <w:rPr>
          <w:rFonts w:ascii="Times New Roman" w:hAnsi="Times New Roman" w:cs="Times New Roman"/>
          <w:i/>
          <w:iCs/>
        </w:rPr>
        <w:t>X</w:t>
      </w:r>
      <w:r>
        <w:rPr>
          <w:rFonts w:ascii="Times New Roman" w:hAnsi="Times New Roman" w:cs="Times New Roman"/>
          <w:vertAlign w:val="superscript"/>
        </w:rPr>
        <w:t>(1)</w:t>
      </w:r>
      <w:r>
        <w:rPr>
          <w:rFonts w:ascii="Times New Roman" w:hAnsi="Times New Roman" w:cs="Times New Roman"/>
        </w:rPr>
        <w:t>，</w:t>
      </w:r>
      <w:r>
        <w:rPr>
          <w:rFonts w:ascii="Times New Roman" w:hAnsi="Times New Roman" w:cs="Times New Roman"/>
        </w:rPr>
        <w:t>...}</w:t>
      </w:r>
      <w:r>
        <w:rPr>
          <w:rFonts w:cs="Times New Roman" w:hint="eastAsia"/>
        </w:rPr>
        <w:t>，后续状态</w:t>
      </w:r>
      <w:r>
        <w:rPr>
          <w:rFonts w:ascii="Times New Roman" w:hAnsi="Times New Roman" w:cs="Times New Roman"/>
          <w:i/>
          <w:iCs/>
        </w:rPr>
        <w:t>X</w:t>
      </w:r>
      <w:r>
        <w:rPr>
          <w:rFonts w:ascii="Times New Roman" w:hAnsi="Times New Roman" w:cs="Times New Roman"/>
          <w:vertAlign w:val="superscript"/>
        </w:rPr>
        <w:t>(</w:t>
      </w:r>
      <w:r>
        <w:rPr>
          <w:rFonts w:ascii="Times New Roman" w:hAnsi="Times New Roman" w:cs="Times New Roman" w:hint="eastAsia"/>
          <w:vertAlign w:val="superscript"/>
        </w:rPr>
        <w:t>t+1</w:t>
      </w:r>
      <w:r>
        <w:rPr>
          <w:rFonts w:ascii="Times New Roman" w:hAnsi="Times New Roman" w:cs="Times New Roman"/>
          <w:vertAlign w:val="superscript"/>
        </w:rPr>
        <w:t>)</w:t>
      </w:r>
      <w:r>
        <w:rPr>
          <w:rFonts w:ascii="Times New Roman" w:hAnsi="Times New Roman" w:cs="Times New Roman" w:hint="eastAsia"/>
        </w:rPr>
        <w:t>通过条件分布</w:t>
      </w:r>
      <w:r>
        <w:rPr>
          <w:rFonts w:ascii="Times New Roman" w:hAnsi="Times New Roman" w:cs="Times New Roman"/>
          <w:i/>
          <w:iCs/>
        </w:rPr>
        <w:t>π</w:t>
      </w:r>
      <w:r>
        <w:rPr>
          <w:rFonts w:ascii="Times New Roman" w:hAnsi="Times New Roman" w:cs="Times New Roman"/>
        </w:rPr>
        <w:t>(</w:t>
      </w:r>
      <w:r>
        <w:rPr>
          <w:rFonts w:ascii="Times New Roman" w:hAnsi="Times New Roman" w:cs="Times New Roman"/>
          <w:i/>
          <w:iCs/>
        </w:rPr>
        <w:t>x</w:t>
      </w:r>
      <w:r>
        <w:rPr>
          <w:rFonts w:ascii="Times New Roman" w:hAnsi="Times New Roman" w:cs="Times New Roman"/>
        </w:rPr>
        <w:t>｜</w:t>
      </w:r>
      <w:r>
        <w:rPr>
          <w:rFonts w:ascii="Times New Roman" w:hAnsi="Times New Roman" w:cs="Times New Roman"/>
          <w:i/>
          <w:iCs/>
        </w:rPr>
        <w:t>X</w:t>
      </w:r>
      <w:r>
        <w:rPr>
          <w:rFonts w:ascii="Times New Roman" w:hAnsi="Times New Roman" w:cs="Times New Roman"/>
          <w:vertAlign w:val="superscript"/>
        </w:rPr>
        <w:t>(t)</w:t>
      </w:r>
      <w:r>
        <w:rPr>
          <w:rFonts w:ascii="Times New Roman" w:hAnsi="Times New Roman" w:cs="Times New Roman"/>
        </w:rPr>
        <w:t>)</w:t>
      </w:r>
      <w:r>
        <w:rPr>
          <w:rFonts w:ascii="Times New Roman" w:hAnsi="Times New Roman" w:cs="Times New Roman" w:hint="eastAsia"/>
        </w:rPr>
        <w:t>生成，并且只依赖于</w:t>
      </w:r>
      <w:r>
        <w:rPr>
          <w:rFonts w:ascii="Times New Roman" w:hAnsi="Times New Roman" w:cs="Times New Roman"/>
          <w:i/>
          <w:iCs/>
        </w:rPr>
        <w:t>X</w:t>
      </w:r>
      <w:r>
        <w:rPr>
          <w:rFonts w:ascii="Times New Roman" w:hAnsi="Times New Roman" w:cs="Times New Roman"/>
          <w:vertAlign w:val="superscript"/>
        </w:rPr>
        <w:t>(</w:t>
      </w:r>
      <w:r>
        <w:rPr>
          <w:rFonts w:ascii="Times New Roman" w:hAnsi="Times New Roman" w:cs="Times New Roman" w:hint="eastAsia"/>
          <w:vertAlign w:val="superscript"/>
        </w:rPr>
        <w:t>t</w:t>
      </w:r>
      <w:r>
        <w:rPr>
          <w:rFonts w:ascii="Times New Roman" w:hAnsi="Times New Roman" w:cs="Times New Roman"/>
          <w:vertAlign w:val="superscript"/>
        </w:rPr>
        <w:t>)</w:t>
      </w:r>
      <w:r>
        <w:rPr>
          <w:rFonts w:ascii="Times New Roman" w:hAnsi="Times New Roman" w:cs="Times New Roman" w:hint="eastAsia"/>
        </w:rPr>
        <w:t>。</w:t>
      </w:r>
      <w:r>
        <w:rPr>
          <w:rFonts w:cs="Times New Roman" w:hint="eastAsia"/>
        </w:rPr>
        <w:t>利用</w:t>
      </w:r>
      <w:r>
        <w:rPr>
          <w:rFonts w:ascii="Times New Roman" w:hAnsi="Times New Roman" w:cs="Times New Roman"/>
        </w:rPr>
        <w:t>MCMC</w:t>
      </w:r>
      <w:r>
        <w:rPr>
          <w:rFonts w:cs="Times New Roman" w:hint="eastAsia"/>
        </w:rPr>
        <w:t>法进行问题求解的步骤如下：</w:t>
      </w:r>
    </w:p>
    <w:p w14:paraId="6E66A7FF" w14:textId="77777777" w:rsidR="00D15E46" w:rsidRDefault="00000000">
      <w:pPr>
        <w:ind w:firstLineChars="200" w:firstLine="420"/>
        <w:rPr>
          <w:rFonts w:ascii="Times New Roman" w:hAnsi="Times New Roman" w:cs="Times New Roman"/>
        </w:rPr>
      </w:pPr>
      <w:r>
        <w:rPr>
          <w:rFonts w:cs="Times New Roman" w:hint="eastAsia"/>
        </w:rPr>
        <w:t>①建立一条能够收敛到平稳分布</w:t>
      </w:r>
      <w:r>
        <w:rPr>
          <w:rFonts w:ascii="Times New Roman" w:hAnsi="Times New Roman" w:cs="Times New Roman"/>
          <w:i/>
          <w:iCs/>
        </w:rPr>
        <w:t>π</w:t>
      </w:r>
      <w:r>
        <w:rPr>
          <w:rFonts w:ascii="Times New Roman" w:hAnsi="Times New Roman" w:cs="Times New Roman"/>
        </w:rPr>
        <w:t>(</w:t>
      </w:r>
      <w:r>
        <w:rPr>
          <w:rFonts w:ascii="Times New Roman" w:hAnsi="Times New Roman" w:cs="Times New Roman"/>
          <w:i/>
          <w:iCs/>
        </w:rPr>
        <w:t>x</w:t>
      </w:r>
      <w:r>
        <w:rPr>
          <w:rFonts w:ascii="Times New Roman" w:hAnsi="Times New Roman" w:cs="Times New Roman"/>
        </w:rPr>
        <w:t>)</w:t>
      </w:r>
      <w:r>
        <w:rPr>
          <w:rFonts w:ascii="Times New Roman" w:hAnsi="Times New Roman" w:cs="Times New Roman" w:hint="eastAsia"/>
        </w:rPr>
        <w:t>的</w:t>
      </w:r>
      <w:r>
        <w:rPr>
          <w:rFonts w:cs="Times New Roman" w:hint="eastAsia"/>
        </w:rPr>
        <w:t>马尔科夫链；②从初始状态</w:t>
      </w:r>
      <w:r>
        <w:rPr>
          <w:rFonts w:ascii="Times New Roman" w:hAnsi="Times New Roman" w:cs="Times New Roman"/>
          <w:i/>
          <w:iCs/>
        </w:rPr>
        <w:t>X</w:t>
      </w:r>
      <w:r>
        <w:rPr>
          <w:rFonts w:ascii="Times New Roman" w:hAnsi="Times New Roman" w:cs="Times New Roman"/>
          <w:vertAlign w:val="superscript"/>
        </w:rPr>
        <w:t>(0)</w:t>
      </w:r>
      <w:r>
        <w:rPr>
          <w:rFonts w:ascii="Times New Roman" w:hAnsi="Times New Roman" w:cs="Times New Roman" w:hint="eastAsia"/>
        </w:rPr>
        <w:t>出发，利用该马尔科夫链进行迭代，生成后验分布</w:t>
      </w:r>
      <w:r>
        <w:rPr>
          <w:rFonts w:ascii="Times New Roman" w:hAnsi="Times New Roman" w:cs="Times New Roman"/>
          <w:i/>
          <w:iCs/>
        </w:rPr>
        <w:t>π</w:t>
      </w:r>
      <w:r>
        <w:rPr>
          <w:rFonts w:ascii="Times New Roman" w:hAnsi="Times New Roman" w:cs="Times New Roman"/>
        </w:rPr>
        <w:t>(</w:t>
      </w:r>
      <w:r>
        <w:rPr>
          <w:rFonts w:ascii="Times New Roman" w:hAnsi="Times New Roman" w:cs="Times New Roman"/>
          <w:i/>
          <w:iCs/>
        </w:rPr>
        <w:t>x</w:t>
      </w:r>
      <w:r>
        <w:rPr>
          <w:rFonts w:ascii="Times New Roman" w:hAnsi="Times New Roman" w:cs="Times New Roman"/>
        </w:rPr>
        <w:t>)</w:t>
      </w:r>
      <w:r>
        <w:rPr>
          <w:rFonts w:ascii="Times New Roman" w:hAnsi="Times New Roman" w:cs="Times New Roman" w:hint="eastAsia"/>
        </w:rPr>
        <w:t>的样本序列：</w:t>
      </w:r>
      <w:r>
        <w:rPr>
          <w:rFonts w:ascii="Times New Roman" w:hAnsi="Times New Roman" w:cs="Times New Roman"/>
          <w:i/>
          <w:iCs/>
        </w:rPr>
        <w:t>X</w:t>
      </w:r>
      <w:r>
        <w:rPr>
          <w:rFonts w:ascii="Times New Roman" w:hAnsi="Times New Roman" w:cs="Times New Roman"/>
          <w:vertAlign w:val="superscript"/>
        </w:rPr>
        <w:t>(0)</w:t>
      </w:r>
      <w:r>
        <w:rPr>
          <w:rFonts w:ascii="Times New Roman" w:hAnsi="Times New Roman" w:cs="Times New Roman"/>
        </w:rPr>
        <w:t>，</w:t>
      </w:r>
      <w:r>
        <w:rPr>
          <w:rFonts w:ascii="Times New Roman" w:hAnsi="Times New Roman" w:cs="Times New Roman"/>
          <w:i/>
          <w:iCs/>
        </w:rPr>
        <w:t>X</w:t>
      </w:r>
      <w:r>
        <w:rPr>
          <w:rFonts w:ascii="Times New Roman" w:hAnsi="Times New Roman" w:cs="Times New Roman"/>
          <w:vertAlign w:val="superscript"/>
        </w:rPr>
        <w:t>(1)</w:t>
      </w:r>
      <w:r>
        <w:rPr>
          <w:rFonts w:ascii="Times New Roman" w:hAnsi="Times New Roman" w:cs="Times New Roman"/>
        </w:rPr>
        <w:t>，</w:t>
      </w:r>
      <w:r>
        <w:rPr>
          <w:rFonts w:ascii="Times New Roman" w:hAnsi="Times New Roman" w:cs="Times New Roman"/>
        </w:rPr>
        <w:t>...</w:t>
      </w:r>
      <w:r>
        <w:rPr>
          <w:rFonts w:ascii="Times New Roman" w:hAnsi="Times New Roman" w:cs="Times New Roman"/>
          <w:i/>
          <w:iCs/>
        </w:rPr>
        <w:t>X</w:t>
      </w:r>
      <w:r>
        <w:rPr>
          <w:rFonts w:ascii="Times New Roman" w:hAnsi="Times New Roman" w:cs="Times New Roman"/>
          <w:vertAlign w:val="superscript"/>
        </w:rPr>
        <w:t>(</w:t>
      </w:r>
      <w:r>
        <w:rPr>
          <w:rFonts w:ascii="Times New Roman" w:hAnsi="Times New Roman" w:cs="Times New Roman" w:hint="eastAsia"/>
          <w:vertAlign w:val="superscript"/>
        </w:rPr>
        <w:t>n</w:t>
      </w:r>
      <w:r>
        <w:rPr>
          <w:rFonts w:ascii="Times New Roman" w:hAnsi="Times New Roman" w:cs="Times New Roman"/>
          <w:vertAlign w:val="superscript"/>
        </w:rPr>
        <w:t>)</w:t>
      </w:r>
      <w:r>
        <w:rPr>
          <w:rFonts w:ascii="Times New Roman" w:hAnsi="Times New Roman" w:cs="Times New Roman" w:hint="eastAsia"/>
        </w:rPr>
        <w:t>；</w:t>
      </w:r>
      <w:r>
        <w:rPr>
          <w:rFonts w:cs="Times New Roman" w:hint="eastAsia"/>
        </w:rPr>
        <w:t>③进行蒙特卡罗积分计算，由上述内容得到</w:t>
      </w:r>
      <w:r>
        <w:rPr>
          <w:rFonts w:ascii="Times New Roman" w:hAnsi="Times New Roman" w:cs="Times New Roman" w:hint="eastAsia"/>
        </w:rPr>
        <w:t>后验分布</w:t>
      </w:r>
      <w:r>
        <w:rPr>
          <w:rFonts w:ascii="Times New Roman" w:hAnsi="Times New Roman" w:cs="Times New Roman"/>
          <w:i/>
          <w:iCs/>
        </w:rPr>
        <w:t>π</w:t>
      </w:r>
      <w:r>
        <w:rPr>
          <w:rFonts w:ascii="Times New Roman" w:hAnsi="Times New Roman" w:cs="Times New Roman"/>
        </w:rPr>
        <w:t>(</w:t>
      </w:r>
      <w:r>
        <w:rPr>
          <w:rFonts w:ascii="Times New Roman" w:hAnsi="Times New Roman" w:cs="Times New Roman"/>
          <w:i/>
          <w:iCs/>
        </w:rPr>
        <w:t>x</w:t>
      </w:r>
      <w:r>
        <w:rPr>
          <w:rFonts w:ascii="Times New Roman" w:hAnsi="Times New Roman" w:cs="Times New Roman"/>
        </w:rPr>
        <w:t>)</w:t>
      </w:r>
      <w:r>
        <w:rPr>
          <w:rFonts w:ascii="Times New Roman" w:hAnsi="Times New Roman" w:cs="Times New Roman" w:hint="eastAsia"/>
        </w:rPr>
        <w:t>后，计算</w:t>
      </w:r>
      <w:r>
        <w:rPr>
          <w:rFonts w:ascii="Times New Roman" w:hAnsi="Times New Roman" w:cs="Times New Roman" w:hint="eastAsia"/>
          <w:i/>
          <w:iCs/>
        </w:rPr>
        <w:t>f</w:t>
      </w:r>
      <w:r>
        <w:rPr>
          <w:rFonts w:ascii="Times New Roman" w:hAnsi="Times New Roman" w:cs="Times New Roman" w:hint="eastAsia"/>
        </w:rPr>
        <w:t>(</w:t>
      </w:r>
      <w:r>
        <w:rPr>
          <w:rFonts w:ascii="Times New Roman" w:hAnsi="Times New Roman" w:cs="Times New Roman" w:hint="eastAsia"/>
          <w:i/>
          <w:iCs/>
        </w:rPr>
        <w:t>x</w:t>
      </w:r>
      <w:r>
        <w:rPr>
          <w:rFonts w:ascii="Times New Roman" w:hAnsi="Times New Roman" w:cs="Times New Roman" w:hint="eastAsia"/>
        </w:rPr>
        <w:t>)</w:t>
      </w:r>
      <w:r>
        <w:rPr>
          <w:rFonts w:ascii="Times New Roman" w:hAnsi="Times New Roman" w:cs="Times New Roman" w:hint="eastAsia"/>
        </w:rPr>
        <w:t>关于</w:t>
      </w:r>
      <w:r>
        <w:rPr>
          <w:rFonts w:ascii="Times New Roman" w:hAnsi="Times New Roman" w:cs="Times New Roman"/>
          <w:i/>
          <w:iCs/>
        </w:rPr>
        <w:t>π</w:t>
      </w:r>
      <w:r>
        <w:rPr>
          <w:rFonts w:ascii="Times New Roman" w:hAnsi="Times New Roman" w:cs="Times New Roman" w:hint="eastAsia"/>
        </w:rPr>
        <w:t>(</w:t>
      </w:r>
      <w:r>
        <w:rPr>
          <w:rFonts w:ascii="Times New Roman" w:hAnsi="Times New Roman" w:cs="Times New Roman" w:hint="eastAsia"/>
          <w:i/>
          <w:iCs/>
        </w:rPr>
        <w:t>x</w:t>
      </w:r>
      <w:r>
        <w:rPr>
          <w:rFonts w:ascii="Times New Roman" w:hAnsi="Times New Roman" w:cs="Times New Roman" w:hint="eastAsia"/>
        </w:rPr>
        <w:t>)</w:t>
      </w:r>
      <w:r>
        <w:rPr>
          <w:rFonts w:ascii="Times New Roman" w:hAnsi="Times New Roman" w:cs="Times New Roman" w:hint="eastAsia"/>
        </w:rPr>
        <w:t>的期望值，也就是对抽样得到的样本进行积分：</w:t>
      </w:r>
    </w:p>
    <w:p w14:paraId="7347DF24" w14:textId="77777777" w:rsidR="00D15E46" w:rsidRDefault="00000000">
      <w:pPr>
        <w:spacing w:line="240" w:lineRule="atLeast"/>
        <w:jc w:val="center"/>
        <w:rPr>
          <w:rFonts w:ascii="Times New Roman" w:hAnsi="Times New Roman" w:cs="Times New Roman"/>
          <w:color w:val="FF0000"/>
          <w:szCs w:val="21"/>
        </w:rPr>
      </w:pPr>
      <w:r>
        <w:rPr>
          <w:rFonts w:ascii="Times New Roman" w:eastAsia="宋体" w:hAnsi="Times New Roman" w:cs="Times New Roman"/>
          <w:position w:val="-14"/>
        </w:rPr>
        <w:object w:dxaOrig="1748" w:dyaOrig="380" w14:anchorId="45AB51CD">
          <v:shape id="_x0000_i1037" type="#_x0000_t75" style="width:87.75pt;height:18.75pt" o:ole="">
            <v:imagedata r:id="rId41" o:title=""/>
          </v:shape>
          <o:OLEObject Type="Embed" ProgID="Equation.DSMT4" ShapeID="_x0000_i1037" DrawAspect="Content" ObjectID="_1835357010" r:id="rId42"/>
        </w:object>
      </w:r>
    </w:p>
    <w:p w14:paraId="27484B83" w14:textId="77777777" w:rsidR="00D15E46" w:rsidRDefault="00000000">
      <w:pPr>
        <w:spacing w:line="240" w:lineRule="atLeast"/>
        <w:ind w:firstLineChars="200" w:firstLine="420"/>
        <w:rPr>
          <w:rFonts w:ascii="Times New Roman" w:hAnsi="Times New Roman" w:cs="Times New Roman"/>
        </w:rPr>
      </w:pPr>
      <w:r>
        <w:rPr>
          <w:rFonts w:ascii="Times New Roman" w:hAnsi="Times New Roman" w:cs="Times New Roman" w:hint="eastAsia"/>
        </w:rPr>
        <w:t>根据大数定理该积分可写成以下形式：</w:t>
      </w:r>
    </w:p>
    <w:p w14:paraId="1B859591" w14:textId="77777777" w:rsidR="00D15E46" w:rsidRDefault="00000000">
      <w:pPr>
        <w:spacing w:line="240" w:lineRule="atLeast"/>
        <w:jc w:val="center"/>
        <w:rPr>
          <w:rFonts w:ascii="Times New Roman" w:hAnsi="Times New Roman" w:cs="Times New Roman"/>
        </w:rPr>
      </w:pPr>
      <w:r>
        <w:rPr>
          <w:rFonts w:ascii="Times New Roman" w:eastAsia="宋体" w:hAnsi="Times New Roman" w:cs="Times New Roman"/>
          <w:position w:val="-22"/>
        </w:rPr>
        <w:object w:dxaOrig="1689" w:dyaOrig="560" w14:anchorId="586E090D">
          <v:shape id="_x0000_i1038" type="#_x0000_t75" style="width:84.75pt;height:27.75pt" o:ole="">
            <v:imagedata r:id="rId43" o:title=""/>
          </v:shape>
          <o:OLEObject Type="Embed" ProgID="Equation.DSMT4" ShapeID="_x0000_i1038" DrawAspect="Content" ObjectID="_1835357011" r:id="rId44"/>
        </w:object>
      </w:r>
    </w:p>
    <w:p w14:paraId="6EC79F42" w14:textId="77777777" w:rsidR="00D15E46" w:rsidRDefault="00000000">
      <w:pPr>
        <w:ind w:firstLineChars="200" w:firstLine="420"/>
        <w:rPr>
          <w:rFonts w:ascii="Times New Roman" w:hAnsi="Times New Roman" w:cs="Times New Roman"/>
        </w:rPr>
      </w:pPr>
      <w:r>
        <w:rPr>
          <w:rFonts w:ascii="Times New Roman" w:hAnsi="Times New Roman" w:cs="Times New Roman" w:hint="eastAsia"/>
        </w:rPr>
        <w:t>可得任意函数</w:t>
      </w:r>
      <w:r>
        <w:rPr>
          <w:rFonts w:ascii="Times New Roman" w:hAnsi="Times New Roman" w:cs="Times New Roman" w:hint="eastAsia"/>
          <w:i/>
          <w:iCs/>
        </w:rPr>
        <w:t>f</w:t>
      </w:r>
      <w:r>
        <w:rPr>
          <w:rFonts w:ascii="Times New Roman" w:hAnsi="Times New Roman" w:cs="Times New Roman" w:hint="eastAsia"/>
        </w:rPr>
        <w:t>(</w:t>
      </w:r>
      <w:r>
        <w:rPr>
          <w:rFonts w:ascii="Times New Roman" w:hAnsi="Times New Roman" w:cs="Times New Roman" w:hint="eastAsia"/>
          <w:i/>
          <w:iCs/>
        </w:rPr>
        <w:t>x</w:t>
      </w:r>
      <w:r>
        <w:rPr>
          <w:rFonts w:ascii="Times New Roman" w:hAnsi="Times New Roman" w:cs="Times New Roman" w:hint="eastAsia"/>
        </w:rPr>
        <w:t>)</w:t>
      </w:r>
      <w:r>
        <w:rPr>
          <w:rFonts w:ascii="Times New Roman" w:hAnsi="Times New Roman" w:cs="Times New Roman" w:hint="eastAsia"/>
        </w:rPr>
        <w:t>的后验估计值为：</w:t>
      </w:r>
    </w:p>
    <w:p w14:paraId="7B35A108" w14:textId="77777777" w:rsidR="00D15E46" w:rsidRDefault="00000000">
      <w:pPr>
        <w:spacing w:line="240" w:lineRule="atLeast"/>
        <w:jc w:val="center"/>
        <w:rPr>
          <w:rFonts w:ascii="Times New Roman" w:eastAsia="宋体" w:hAnsi="Times New Roman" w:cs="Times New Roman"/>
        </w:rPr>
      </w:pPr>
      <w:r>
        <w:rPr>
          <w:rFonts w:ascii="Times New Roman" w:eastAsia="宋体" w:hAnsi="Times New Roman" w:cs="Times New Roman"/>
          <w:position w:val="-22"/>
        </w:rPr>
        <w:object w:dxaOrig="2654" w:dyaOrig="560" w14:anchorId="105E20ED">
          <v:shape id="_x0000_i1039" type="#_x0000_t75" style="width:132.75pt;height:27.75pt" o:ole="">
            <v:imagedata r:id="rId45" o:title=""/>
          </v:shape>
          <o:OLEObject Type="Embed" ProgID="Equation.DSMT4" ShapeID="_x0000_i1039" DrawAspect="Content" ObjectID="_1835357012" r:id="rId46"/>
        </w:object>
      </w:r>
    </w:p>
    <w:p w14:paraId="536FAC10" w14:textId="77777777" w:rsidR="00D15E46" w:rsidRDefault="00000000">
      <w:pPr>
        <w:spacing w:line="240" w:lineRule="atLeast"/>
        <w:jc w:val="right"/>
        <w:rPr>
          <w:rFonts w:ascii="Times New Roman" w:hAnsi="Times New Roman" w:cs="Times New Roman"/>
          <w:color w:val="FF0000"/>
          <w:szCs w:val="21"/>
        </w:rPr>
      </w:pPr>
      <w:r>
        <w:rPr>
          <w:rFonts w:ascii="Times New Roman" w:eastAsia="宋体" w:hAnsi="Times New Roman" w:cs="Times New Roman"/>
          <w:position w:val="-50"/>
        </w:rPr>
        <w:object w:dxaOrig="3177" w:dyaOrig="1100" w14:anchorId="0621D87A">
          <v:shape id="_x0000_i1040" type="#_x0000_t75" style="width:159pt;height:54.75pt" o:ole="">
            <v:imagedata r:id="rId47" o:title=""/>
          </v:shape>
          <o:OLEObject Type="Embed" ProgID="Equation.DSMT4" ShapeID="_x0000_i1040" DrawAspect="Content" ObjectID="_1835357013" r:id="rId48"/>
        </w:object>
      </w:r>
      <w:r>
        <w:rPr>
          <w:rFonts w:ascii="Times New Roman" w:hAnsi="Times New Roman" w:cs="Times New Roman"/>
          <w:color w:val="FF0000"/>
          <w:szCs w:val="21"/>
        </w:rPr>
        <w:t></w:t>
      </w:r>
      <w:r>
        <w:rPr>
          <w:rFonts w:ascii="Times New Roman" w:hAnsi="Times New Roman" w:cs="Times New Roman"/>
          <w:color w:val="FF0000"/>
          <w:szCs w:val="21"/>
        </w:rPr>
        <w:t></w:t>
      </w:r>
      <w:r>
        <w:rPr>
          <w:rFonts w:ascii="Times New Roman" w:hAnsi="Times New Roman" w:cs="Times New Roman" w:hint="eastAsia"/>
          <w:color w:val="FF0000"/>
          <w:szCs w:val="21"/>
        </w:rPr>
        <w:t xml:space="preserve">   </w:t>
      </w:r>
      <w:r>
        <w:rPr>
          <w:rFonts w:ascii="Times New Roman" w:hAnsi="Times New Roman" w:cs="Times New Roman" w:hint="eastAsia"/>
          <w:szCs w:val="21"/>
        </w:rPr>
        <w:t>(1)</w:t>
      </w:r>
    </w:p>
    <w:p w14:paraId="7E28BAE6" w14:textId="77777777" w:rsidR="00D15E46" w:rsidRDefault="00000000">
      <w:pPr>
        <w:spacing w:line="240" w:lineRule="atLeast"/>
        <w:ind w:firstLineChars="200" w:firstLine="420"/>
        <w:rPr>
          <w:rFonts w:ascii="Times New Roman" w:hAnsi="Times New Roman" w:cs="Times New Roman"/>
          <w:color w:val="FF0000"/>
          <w:szCs w:val="21"/>
        </w:rPr>
      </w:pPr>
      <w:r>
        <w:rPr>
          <w:rFonts w:ascii="Times New Roman" w:hAnsi="Times New Roman" w:cs="Times New Roman" w:hint="eastAsia"/>
          <w:szCs w:val="21"/>
        </w:rPr>
        <w:t>公式</w:t>
      </w:r>
      <w:r>
        <w:rPr>
          <w:rFonts w:ascii="Times New Roman" w:hAnsi="Times New Roman" w:cs="Times New Roman" w:hint="eastAsia"/>
          <w:szCs w:val="21"/>
        </w:rPr>
        <w:t>(1)</w:t>
      </w:r>
      <w:r>
        <w:rPr>
          <w:rFonts w:ascii="Times New Roman" w:hAnsi="Times New Roman" w:cs="Times New Roman" w:hint="eastAsia"/>
          <w:szCs w:val="21"/>
        </w:rPr>
        <w:t>为蒙特卡罗积分，</w:t>
      </w:r>
      <w:r>
        <w:rPr>
          <w:rFonts w:ascii="Times New Roman" w:hAnsi="Times New Roman" w:cs="Times New Roman" w:hint="eastAsia"/>
          <w:i/>
          <w:iCs/>
          <w:szCs w:val="21"/>
        </w:rPr>
        <w:t>n</w:t>
      </w:r>
      <w:r>
        <w:rPr>
          <w:rFonts w:ascii="Times New Roman" w:hAnsi="Times New Roman" w:cs="Times New Roman" w:hint="eastAsia"/>
          <w:szCs w:val="21"/>
        </w:rPr>
        <w:t>代表通过随机模拟所生成的样本总数，</w:t>
      </w:r>
      <w:r>
        <w:rPr>
          <w:rFonts w:ascii="Times New Roman" w:hAnsi="Times New Roman" w:cs="Times New Roman" w:hint="eastAsia"/>
          <w:i/>
          <w:iCs/>
          <w:szCs w:val="21"/>
        </w:rPr>
        <w:t>m</w:t>
      </w:r>
      <w:r>
        <w:rPr>
          <w:rFonts w:ascii="Times New Roman" w:hAnsi="Times New Roman" w:cs="Times New Roman" w:hint="eastAsia"/>
          <w:szCs w:val="21"/>
        </w:rPr>
        <w:t>表示马尔科夫链收敛至平稳状态时的样本数，即有效样本量。</w:t>
      </w:r>
    </w:p>
    <w:p w14:paraId="7B9708A1" w14:textId="77777777" w:rsidR="00D15E46" w:rsidRDefault="00000000">
      <w:pPr>
        <w:ind w:firstLineChars="200" w:firstLine="420"/>
        <w:rPr>
          <w:rFonts w:ascii="Times New Roman" w:hAnsi="Times New Roman" w:cs="Times New Roman"/>
        </w:rPr>
      </w:pPr>
      <w:r>
        <w:rPr>
          <w:rFonts w:ascii="Times New Roman" w:hAnsi="Times New Roman" w:cs="Times New Roman" w:hint="eastAsia"/>
        </w:rPr>
        <w:t>MCMC</w:t>
      </w:r>
      <w:r>
        <w:rPr>
          <w:rFonts w:ascii="Times New Roman" w:hAnsi="Times New Roman" w:cs="Times New Roman" w:hint="eastAsia"/>
        </w:rPr>
        <w:t>方法的收敛性判断可从多个维度进行判断，</w:t>
      </w:r>
      <w:r>
        <w:rPr>
          <w:rFonts w:ascii="Times New Roman" w:hAnsi="Times New Roman" w:cs="Times New Roman" w:hint="eastAsia"/>
        </w:rPr>
        <w:t>History(</w:t>
      </w:r>
      <w:r>
        <w:rPr>
          <w:rFonts w:ascii="Times New Roman" w:hAnsi="Times New Roman" w:cs="Times New Roman" w:hint="eastAsia"/>
        </w:rPr>
        <w:t>时间序列</w:t>
      </w:r>
      <w:r>
        <w:rPr>
          <w:rFonts w:ascii="Times New Roman" w:hAnsi="Times New Roman" w:cs="Times New Roman" w:hint="eastAsia"/>
        </w:rPr>
        <w:t>)</w:t>
      </w:r>
      <w:r>
        <w:rPr>
          <w:rFonts w:ascii="Times New Roman" w:hAnsi="Times New Roman" w:cs="Times New Roman" w:hint="eastAsia"/>
        </w:rPr>
        <w:t>、</w:t>
      </w:r>
      <w:r>
        <w:rPr>
          <w:rFonts w:ascii="Times New Roman" w:hAnsi="Times New Roman" w:cs="Times New Roman" w:hint="eastAsia"/>
        </w:rPr>
        <w:t>density(</w:t>
      </w:r>
      <w:r>
        <w:rPr>
          <w:rFonts w:ascii="Times New Roman" w:hAnsi="Times New Roman" w:cs="Times New Roman" w:hint="eastAsia"/>
        </w:rPr>
        <w:t>核密度估计</w:t>
      </w:r>
      <w:r>
        <w:rPr>
          <w:rFonts w:ascii="Times New Roman" w:hAnsi="Times New Roman" w:cs="Times New Roman" w:hint="eastAsia"/>
        </w:rPr>
        <w:t>)</w:t>
      </w:r>
      <w:r>
        <w:rPr>
          <w:rFonts w:ascii="Times New Roman" w:hAnsi="Times New Roman" w:cs="Times New Roman" w:hint="eastAsia"/>
        </w:rPr>
        <w:t>、</w:t>
      </w:r>
      <w:r>
        <w:rPr>
          <w:rFonts w:ascii="Times New Roman" w:hAnsi="Times New Roman" w:cs="Times New Roman" w:hint="eastAsia"/>
        </w:rPr>
        <w:t>Running quantiles(</w:t>
      </w:r>
      <w:r>
        <w:rPr>
          <w:rFonts w:ascii="Times New Roman" w:hAnsi="Times New Roman" w:cs="Times New Roman" w:hint="eastAsia"/>
        </w:rPr>
        <w:t>运行分位数</w:t>
      </w:r>
      <w:r>
        <w:rPr>
          <w:rFonts w:ascii="Times New Roman" w:hAnsi="Times New Roman" w:cs="Times New Roman" w:hint="eastAsia"/>
        </w:rPr>
        <w:t>)</w:t>
      </w:r>
      <w:r>
        <w:rPr>
          <w:rFonts w:ascii="Times New Roman" w:hAnsi="Times New Roman" w:cs="Times New Roman" w:hint="eastAsia"/>
        </w:rPr>
        <w:t>等均可检测模型的收敛性，链收敛说明后验密度被精准估计。</w:t>
      </w:r>
    </w:p>
    <w:p w14:paraId="6C330B16" w14:textId="77777777" w:rsidR="00D15E46" w:rsidRDefault="00000000">
      <w:pPr>
        <w:ind w:firstLineChars="200" w:firstLine="420"/>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w:t>
      </w:r>
      <w:r>
        <w:rPr>
          <w:rFonts w:ascii="Times New Roman" w:hAnsi="Times New Roman" w:cs="Times New Roman" w:hint="eastAsia"/>
        </w:rPr>
        <w:t>History(</w:t>
      </w:r>
      <w:r>
        <w:rPr>
          <w:rFonts w:ascii="Times New Roman" w:hAnsi="Times New Roman" w:cs="Times New Roman" w:hint="eastAsia"/>
        </w:rPr>
        <w:t>时间序列</w:t>
      </w:r>
      <w:r>
        <w:rPr>
          <w:rFonts w:ascii="Times New Roman" w:hAnsi="Times New Roman" w:cs="Times New Roman" w:hint="eastAsia"/>
        </w:rPr>
        <w:t>)</w:t>
      </w:r>
      <w:r>
        <w:rPr>
          <w:rFonts w:ascii="Times New Roman" w:hAnsi="Times New Roman" w:cs="Times New Roman" w:hint="eastAsia"/>
        </w:rPr>
        <w:t>：可显示出完整的追踪曲线，可检测链的收敛性。待估参数在经过</w:t>
      </w:r>
      <w:r>
        <w:rPr>
          <w:rFonts w:ascii="Times New Roman" w:hAnsi="Times New Roman" w:cs="Times New Roman" w:hint="eastAsia"/>
          <w:i/>
          <w:iCs/>
        </w:rPr>
        <w:t>n</w:t>
      </w:r>
      <w:r>
        <w:rPr>
          <w:rFonts w:ascii="Times New Roman" w:hAnsi="Times New Roman" w:cs="Times New Roman" w:hint="eastAsia"/>
        </w:rPr>
        <w:t>次迭代分析后</w:t>
      </w:r>
      <w:r>
        <w:rPr>
          <w:rFonts w:ascii="Times New Roman" w:hAnsi="Times New Roman" w:cs="Times New Roman" w:hint="eastAsia"/>
        </w:rPr>
        <w:t>(</w:t>
      </w:r>
      <w:r>
        <w:rPr>
          <w:rFonts w:ascii="Times New Roman" w:hAnsi="Times New Roman" w:cs="Times New Roman" w:hint="eastAsia"/>
        </w:rPr>
        <w:t>前</w:t>
      </w:r>
      <w:r>
        <w:rPr>
          <w:rFonts w:ascii="Times New Roman" w:hAnsi="Times New Roman" w:cs="Times New Roman" w:hint="eastAsia"/>
          <w:i/>
          <w:iCs/>
        </w:rPr>
        <w:t>m</w:t>
      </w:r>
      <w:r>
        <w:rPr>
          <w:rFonts w:ascii="Times New Roman" w:hAnsi="Times New Roman" w:cs="Times New Roman" w:hint="eastAsia"/>
        </w:rPr>
        <w:t>次迭代为燃烧期</w:t>
      </w:r>
      <w:r>
        <w:rPr>
          <w:rFonts w:ascii="Times New Roman" w:hAnsi="Times New Roman" w:cs="Times New Roman" w:hint="eastAsia"/>
        </w:rPr>
        <w:t>)</w:t>
      </w:r>
      <w:r>
        <w:rPr>
          <w:rFonts w:ascii="Times New Roman" w:hAnsi="Times New Roman" w:cs="Times New Roman" w:hint="eastAsia"/>
        </w:rPr>
        <w:t>，后验样本逐渐趋于一个固定值，这个值也就是待估参数的统计值，</w:t>
      </w:r>
      <w:r>
        <w:rPr>
          <w:rFonts w:ascii="Times New Roman" w:hAnsi="Times New Roman" w:cs="Times New Roman" w:hint="eastAsia"/>
        </w:rPr>
        <w:lastRenderedPageBreak/>
        <w:t>一般取其均值。</w:t>
      </w:r>
    </w:p>
    <w:p w14:paraId="7D3D3BE8" w14:textId="77777777" w:rsidR="00D15E46" w:rsidRDefault="00000000">
      <w:pPr>
        <w:ind w:firstLineChars="200" w:firstLine="420"/>
        <w:rPr>
          <w:rFonts w:ascii="Times New Roman" w:hAnsi="Times New Roman" w:cs="Times New Roman"/>
        </w:rPr>
      </w:pPr>
      <w:r>
        <w:rPr>
          <w:rFonts w:ascii="Times New Roman" w:hAnsi="Times New Roman" w:cs="Times New Roman"/>
        </w:rPr>
        <w:t>2</w:t>
      </w:r>
      <w:r>
        <w:rPr>
          <w:rFonts w:ascii="Times New Roman" w:hAnsi="Times New Roman" w:cs="Times New Roman" w:hint="eastAsia"/>
        </w:rPr>
        <w:t>）</w:t>
      </w:r>
      <w:r>
        <w:rPr>
          <w:rFonts w:ascii="Times New Roman" w:hAnsi="Times New Roman" w:cs="Times New Roman" w:hint="eastAsia"/>
        </w:rPr>
        <w:t>Density(</w:t>
      </w:r>
      <w:r>
        <w:rPr>
          <w:rFonts w:ascii="Times New Roman" w:hAnsi="Times New Roman" w:cs="Times New Roman" w:hint="eastAsia"/>
        </w:rPr>
        <w:t>核密度估计</w:t>
      </w:r>
      <w:r>
        <w:rPr>
          <w:rFonts w:ascii="Times New Roman" w:hAnsi="Times New Roman" w:cs="Times New Roman" w:hint="eastAsia"/>
        </w:rPr>
        <w:t>)</w:t>
      </w:r>
      <w:r>
        <w:rPr>
          <w:rFonts w:ascii="Times New Roman" w:hAnsi="Times New Roman" w:cs="Times New Roman" w:hint="eastAsia"/>
        </w:rPr>
        <w:t>：表现为后验密度在视觉上的核密度估计。横坐标为待估参数的取值范围，纵坐标为累积概率。若后验密度函数的分布形态近似服从正态分布特征，则其参数估计值为概率峰值位置的固定点。</w:t>
      </w:r>
    </w:p>
    <w:p w14:paraId="3130294B" w14:textId="77777777" w:rsidR="00D15E46" w:rsidRDefault="00000000">
      <w:pPr>
        <w:spacing w:line="240" w:lineRule="atLeast"/>
        <w:ind w:firstLineChars="200" w:firstLine="420"/>
        <w:rPr>
          <w:rFonts w:ascii="Times New Roman" w:eastAsia="宋体" w:hAnsi="Times New Roman" w:cs="Times New Roman"/>
          <w:szCs w:val="21"/>
        </w:rPr>
      </w:pPr>
      <w:r>
        <w:rPr>
          <w:rFonts w:ascii="Times New Roman" w:hAnsi="Times New Roman" w:cs="Times New Roman" w:hint="eastAsia"/>
        </w:rPr>
        <w:t>3</w:t>
      </w:r>
      <w:r>
        <w:rPr>
          <w:rFonts w:ascii="Times New Roman" w:hAnsi="Times New Roman" w:cs="Times New Roman" w:hint="eastAsia"/>
        </w:rPr>
        <w:t>）</w:t>
      </w:r>
      <w:r>
        <w:rPr>
          <w:rFonts w:ascii="Times New Roman" w:hAnsi="Times New Roman" w:cs="Times New Roman" w:hint="eastAsia"/>
        </w:rPr>
        <w:t>Running quantiles(</w:t>
      </w:r>
      <w:r>
        <w:rPr>
          <w:rFonts w:ascii="Times New Roman" w:hAnsi="Times New Roman" w:cs="Times New Roman" w:hint="eastAsia"/>
        </w:rPr>
        <w:t>运行分位数</w:t>
      </w:r>
      <w:r>
        <w:rPr>
          <w:rFonts w:ascii="Times New Roman" w:hAnsi="Times New Roman" w:cs="Times New Roman" w:hint="eastAsia"/>
        </w:rPr>
        <w:t>)</w:t>
      </w:r>
      <w:r>
        <w:rPr>
          <w:rFonts w:ascii="Times New Roman" w:hAnsi="Times New Roman" w:cs="Times New Roman" w:hint="eastAsia"/>
        </w:rPr>
        <w:t>：设定迭代次数后，运行计算获得</w:t>
      </w:r>
      <w:r>
        <w:rPr>
          <w:rFonts w:ascii="Times New Roman" w:hAnsi="Times New Roman" w:cs="Times New Roman" w:hint="eastAsia"/>
        </w:rPr>
        <w:t>95%</w:t>
      </w:r>
      <w:r>
        <w:rPr>
          <w:rFonts w:ascii="Times New Roman" w:hAnsi="Times New Roman" w:cs="Times New Roman" w:hint="eastAsia"/>
        </w:rPr>
        <w:t>置信区间，并基于此计算得到滑动平均值，该变量也可用于验证模型的收敛性。</w:t>
      </w:r>
    </w:p>
    <w:p w14:paraId="1FACFF62" w14:textId="77777777" w:rsidR="00D15E46" w:rsidRDefault="00000000">
      <w:pPr>
        <w:pStyle w:val="3"/>
        <w:rPr>
          <w:rFonts w:ascii="Times New Roman" w:hAnsi="Times New Roman" w:cs="Times New Roman"/>
        </w:rPr>
      </w:pPr>
      <w:r>
        <w:rPr>
          <w:rFonts w:ascii="Times New Roman" w:hAnsi="Times New Roman" w:cs="Times New Roman"/>
        </w:rPr>
        <w:t>1.</w:t>
      </w:r>
      <w:r>
        <w:rPr>
          <w:rFonts w:ascii="Times New Roman" w:hAnsi="Times New Roman" w:cs="Times New Roman" w:hint="eastAsia"/>
        </w:rPr>
        <w:t>5</w:t>
      </w:r>
      <w:r>
        <w:rPr>
          <w:rFonts w:ascii="Times New Roman" w:hAnsi="Times New Roman" w:cs="Times New Roman"/>
        </w:rPr>
        <w:t xml:space="preserve">  </w:t>
      </w:r>
      <w:r>
        <w:rPr>
          <w:rFonts w:ascii="黑体" w:eastAsia="黑体" w:hAnsi="黑体" w:cs="黑体" w:hint="eastAsia"/>
          <w:b w:val="0"/>
          <w:bCs w:val="0"/>
        </w:rPr>
        <w:t>聚类分析</w:t>
      </w:r>
    </w:p>
    <w:p w14:paraId="4ACE23F9" w14:textId="77777777" w:rsidR="00D15E46" w:rsidRDefault="00000000">
      <w:pPr>
        <w:widowControl/>
        <w:spacing w:line="240" w:lineRule="atLeast"/>
        <w:ind w:firstLine="420"/>
        <w:rPr>
          <w:rFonts w:ascii="Times New Roman" w:hAnsi="Times New Roman" w:cs="Times New Roman"/>
        </w:rPr>
      </w:pPr>
      <w:r>
        <w:rPr>
          <w:rFonts w:ascii="Times New Roman" w:hAnsi="Times New Roman" w:cs="Times New Roman" w:hint="eastAsia"/>
        </w:rPr>
        <w:t>通过上述模型得到参数的后验分布后，对研究区域进行聚类分析，可识别研究对象的冷热区聚集特征。其中，空间格局的相对水平</w:t>
      </w:r>
      <w:r>
        <w:rPr>
          <w:rFonts w:ascii="Times New Roman" w:hAnsi="Times New Roman" w:cs="Times New Roman" w:hint="eastAsia"/>
        </w:rPr>
        <w:t>exp(</w:t>
      </w:r>
      <w:r>
        <w:rPr>
          <w:rFonts w:ascii="Times New Roman" w:hAnsi="Times New Roman" w:cs="Times New Roman" w:hint="eastAsia"/>
          <w:i/>
          <w:iCs/>
        </w:rPr>
        <w:t>S</w:t>
      </w:r>
      <w:r>
        <w:rPr>
          <w:rFonts w:ascii="Times New Roman" w:hAnsi="Times New Roman" w:cs="Times New Roman" w:hint="eastAsia"/>
          <w:i/>
          <w:iCs/>
          <w:vertAlign w:val="subscript"/>
        </w:rPr>
        <w:t>i</w:t>
      </w:r>
      <w:r>
        <w:rPr>
          <w:rFonts w:ascii="Times New Roman" w:hAnsi="Times New Roman" w:cs="Times New Roman" w:hint="eastAsia"/>
        </w:rPr>
        <w:t>)</w:t>
      </w:r>
      <w:r>
        <w:rPr>
          <w:rFonts w:ascii="Times New Roman" w:hAnsi="Times New Roman" w:cs="Times New Roman" w:hint="eastAsia"/>
        </w:rPr>
        <w:t>可用以下公式得到：</w:t>
      </w:r>
    </w:p>
    <w:p w14:paraId="6146EB56" w14:textId="77777777" w:rsidR="00D15E46" w:rsidRDefault="00000000">
      <w:pPr>
        <w:widowControl/>
        <w:spacing w:line="240" w:lineRule="atLeast"/>
        <w:jc w:val="center"/>
        <w:rPr>
          <w:rFonts w:ascii="Times New Roman" w:hAnsi="Times New Roman" w:cs="Times New Roman"/>
        </w:rPr>
      </w:pPr>
      <w:r>
        <w:rPr>
          <w:rFonts w:ascii="Times New Roman" w:eastAsia="宋体" w:hAnsi="Times New Roman" w:cs="Times New Roman"/>
          <w:position w:val="-26"/>
        </w:rPr>
        <w:object w:dxaOrig="1892" w:dyaOrig="600" w14:anchorId="5B7A7285">
          <v:shape id="_x0000_i1041" type="#_x0000_t75" style="width:94.5pt;height:30pt" o:ole="">
            <v:imagedata r:id="rId49" o:title=""/>
          </v:shape>
          <o:OLEObject Type="Embed" ProgID="Equation.DSMT4" ShapeID="_x0000_i1041" DrawAspect="Content" ObjectID="_1835357014" r:id="rId50"/>
        </w:object>
      </w:r>
    </w:p>
    <w:p w14:paraId="78BF20F3" w14:textId="77777777" w:rsidR="00D15E46" w:rsidRDefault="00000000">
      <w:pPr>
        <w:widowControl/>
        <w:spacing w:line="240" w:lineRule="atLeast"/>
        <w:ind w:firstLine="420"/>
        <w:rPr>
          <w:rFonts w:ascii="Times New Roman" w:hAnsi="Times New Roman" w:cs="Times New Roman"/>
        </w:rPr>
      </w:pPr>
      <w:r>
        <w:rPr>
          <w:rFonts w:ascii="Times New Roman" w:hAnsi="Times New Roman" w:cs="Times New Roman" w:hint="eastAsia"/>
        </w:rPr>
        <w:t>exp(</w:t>
      </w:r>
      <w:r>
        <w:rPr>
          <w:rFonts w:ascii="Times New Roman" w:hAnsi="Times New Roman" w:cs="Times New Roman" w:hint="eastAsia"/>
          <w:i/>
          <w:iCs/>
        </w:rPr>
        <w:t>S</w:t>
      </w:r>
      <w:r>
        <w:rPr>
          <w:rFonts w:ascii="Times New Roman" w:hAnsi="Times New Roman" w:cs="Times New Roman" w:hint="eastAsia"/>
          <w:i/>
          <w:iCs/>
          <w:vertAlign w:val="subscript"/>
        </w:rPr>
        <w:t>i</w:t>
      </w:r>
      <w:r>
        <w:rPr>
          <w:rFonts w:ascii="Times New Roman" w:hAnsi="Times New Roman" w:cs="Times New Roman" w:hint="eastAsia"/>
        </w:rPr>
        <w:t>)</w:t>
      </w:r>
      <w:r>
        <w:rPr>
          <w:rFonts w:ascii="Times New Roman" w:hAnsi="Times New Roman" w:cs="Times New Roman" w:hint="eastAsia"/>
        </w:rPr>
        <w:t>的大小可测度第</w:t>
      </w:r>
      <w:r>
        <w:rPr>
          <w:rFonts w:ascii="Times New Roman" w:hAnsi="Times New Roman" w:cs="Times New Roman" w:hint="eastAsia"/>
          <w:i/>
          <w:iCs/>
        </w:rPr>
        <w:t>i</w:t>
      </w:r>
      <w:r>
        <w:rPr>
          <w:rFonts w:ascii="Times New Roman" w:hAnsi="Times New Roman" w:cs="Times New Roman" w:hint="eastAsia"/>
        </w:rPr>
        <w:t>个城市</w:t>
      </w:r>
      <w:r>
        <w:rPr>
          <w:rFonts w:hint="eastAsia"/>
        </w:rPr>
        <w:t>防洪</w:t>
      </w:r>
      <w:r>
        <w:rPr>
          <w:rFonts w:ascii="Times New Roman" w:hAnsi="Times New Roman" w:cs="Times New Roman" w:hint="eastAsia"/>
        </w:rPr>
        <w:t>韧性对应整个地区的比例大小，可利用</w:t>
      </w:r>
      <w:r>
        <w:rPr>
          <w:rFonts w:ascii="Times New Roman" w:hAnsi="Times New Roman" w:cs="Times New Roman" w:hint="eastAsia"/>
        </w:rPr>
        <w:t>exp(</w:t>
      </w:r>
      <w:r>
        <w:rPr>
          <w:rFonts w:ascii="Times New Roman" w:hAnsi="Times New Roman" w:cs="Times New Roman" w:hint="eastAsia"/>
          <w:i/>
          <w:iCs/>
        </w:rPr>
        <w:t>S</w:t>
      </w:r>
      <w:r>
        <w:rPr>
          <w:rFonts w:ascii="Times New Roman" w:hAnsi="Times New Roman" w:cs="Times New Roman" w:hint="eastAsia"/>
          <w:i/>
          <w:iCs/>
          <w:vertAlign w:val="subscript"/>
        </w:rPr>
        <w:t>i</w:t>
      </w:r>
      <w:r>
        <w:rPr>
          <w:rFonts w:ascii="Times New Roman" w:hAnsi="Times New Roman" w:cs="Times New Roman" w:hint="eastAsia"/>
        </w:rPr>
        <w:t>)&gt;1</w:t>
      </w:r>
      <w:r>
        <w:rPr>
          <w:rFonts w:ascii="Times New Roman" w:hAnsi="Times New Roman" w:cs="Times New Roman" w:hint="eastAsia"/>
        </w:rPr>
        <w:t>的后验概率进行分类。</w:t>
      </w:r>
      <w:r>
        <w:rPr>
          <w:rFonts w:ascii="Times New Roman" w:hAnsi="Times New Roman" w:cs="Times New Roman" w:hint="eastAsia"/>
          <w:i/>
          <w:iCs/>
        </w:rPr>
        <w:t>b</w:t>
      </w:r>
      <w:r>
        <w:rPr>
          <w:rFonts w:ascii="Times New Roman" w:hAnsi="Times New Roman" w:cs="Times New Roman" w:hint="eastAsia"/>
          <w:vertAlign w:val="subscript"/>
        </w:rPr>
        <w:t>1</w:t>
      </w:r>
      <w:r>
        <w:rPr>
          <w:rFonts w:ascii="Times New Roman" w:hAnsi="Times New Roman" w:cs="Times New Roman" w:hint="eastAsia"/>
          <w:i/>
          <w:iCs/>
          <w:vertAlign w:val="subscript"/>
        </w:rPr>
        <w:t>i</w:t>
      </w:r>
      <w:r>
        <w:rPr>
          <w:rFonts w:ascii="Times New Roman" w:hAnsi="Times New Roman" w:cs="Times New Roman" w:hint="eastAsia"/>
        </w:rPr>
        <w:t>可测度城市</w:t>
      </w:r>
      <w:r>
        <w:rPr>
          <w:rFonts w:ascii="Times New Roman" w:hAnsi="Times New Roman" w:cs="Times New Roman" w:hint="eastAsia"/>
          <w:i/>
          <w:iCs/>
        </w:rPr>
        <w:t>i</w:t>
      </w:r>
      <w:r>
        <w:rPr>
          <w:rFonts w:ascii="Times New Roman" w:hAnsi="Times New Roman" w:cs="Times New Roman" w:hint="eastAsia"/>
        </w:rPr>
        <w:t>局部变化趋势，利用其后验概率大于</w:t>
      </w:r>
      <w:r>
        <w:rPr>
          <w:rFonts w:ascii="Times New Roman" w:hAnsi="Times New Roman" w:cs="Times New Roman" w:hint="eastAsia"/>
        </w:rPr>
        <w:t>0</w:t>
      </w:r>
      <w:r>
        <w:rPr>
          <w:rFonts w:ascii="Times New Roman" w:hAnsi="Times New Roman" w:cs="Times New Roman" w:hint="eastAsia"/>
        </w:rPr>
        <w:t>进行分类。参照学者</w:t>
      </w:r>
      <w:r>
        <w:rPr>
          <w:rFonts w:ascii="Times New Roman" w:hAnsi="Times New Roman" w:cs="Times New Roman" w:hint="eastAsia"/>
        </w:rPr>
        <w:t>Richardson</w:t>
      </w:r>
      <w:r>
        <w:rPr>
          <w:rFonts w:ascii="Times New Roman" w:hAnsi="Times New Roman" w:cs="Times New Roman" w:hint="eastAsia"/>
          <w:vertAlign w:val="superscript"/>
        </w:rPr>
        <w:fldChar w:fldCharType="begin"/>
      </w:r>
      <w:r>
        <w:rPr>
          <w:rFonts w:ascii="Times New Roman" w:hAnsi="Times New Roman" w:cs="Times New Roman" w:hint="eastAsia"/>
          <w:vertAlign w:val="superscript"/>
        </w:rPr>
        <w:instrText xml:space="preserve"> REF _Ref5656 \r \h </w:instrText>
      </w:r>
      <w:r>
        <w:rPr>
          <w:rFonts w:ascii="Times New Roman" w:hAnsi="Times New Roman" w:cs="Times New Roman" w:hint="eastAsia"/>
          <w:vertAlign w:val="superscript"/>
        </w:rPr>
      </w:r>
      <w:r>
        <w:rPr>
          <w:rFonts w:ascii="Times New Roman" w:hAnsi="Times New Roman" w:cs="Times New Roman" w:hint="eastAsia"/>
          <w:vertAlign w:val="superscript"/>
        </w:rPr>
        <w:fldChar w:fldCharType="separate"/>
      </w:r>
      <w:r>
        <w:rPr>
          <w:rFonts w:ascii="Times New Roman" w:hAnsi="Times New Roman" w:cs="Times New Roman" w:hint="eastAsia"/>
          <w:vertAlign w:val="superscript"/>
        </w:rPr>
        <w:t>[28]</w:t>
      </w:r>
      <w:r>
        <w:rPr>
          <w:rFonts w:ascii="Times New Roman" w:hAnsi="Times New Roman" w:cs="Times New Roman" w:hint="eastAsia"/>
          <w:vertAlign w:val="superscript"/>
        </w:rPr>
        <w:fldChar w:fldCharType="end"/>
      </w:r>
      <w:r>
        <w:rPr>
          <w:rFonts w:ascii="Times New Roman" w:hAnsi="Times New Roman" w:cs="Times New Roman" w:hint="eastAsia"/>
        </w:rPr>
        <w:t>提出的分类准则（表</w:t>
      </w:r>
      <w:r>
        <w:rPr>
          <w:rFonts w:ascii="Times New Roman" w:hAnsi="Times New Roman" w:cs="Times New Roman" w:hint="eastAsia"/>
        </w:rPr>
        <w:t>1</w:t>
      </w:r>
      <w:r>
        <w:rPr>
          <w:rFonts w:ascii="Times New Roman" w:hAnsi="Times New Roman" w:cs="Times New Roman" w:hint="eastAsia"/>
        </w:rPr>
        <w:t>），</w:t>
      </w:r>
      <w:r>
        <w:rPr>
          <w:rFonts w:ascii="Times New Roman" w:hAnsi="Times New Roman" w:cs="Times New Roman" w:hint="eastAsia"/>
        </w:rPr>
        <w:t>data</w:t>
      </w:r>
      <w:r>
        <w:rPr>
          <w:rFonts w:ascii="Times New Roman" w:hAnsi="Times New Roman" w:cs="Times New Roman" w:hint="eastAsia"/>
        </w:rPr>
        <w:t>为研究的所有数据。</w:t>
      </w:r>
    </w:p>
    <w:p w14:paraId="575FFAE5" w14:textId="77777777" w:rsidR="00D15E46" w:rsidRDefault="00000000">
      <w:pPr>
        <w:pStyle w:val="a3"/>
        <w:jc w:val="center"/>
        <w:rPr>
          <w:rFonts w:ascii="黑体" w:hAnsi="黑体" w:cs="黑体" w:hint="eastAsia"/>
          <w:bCs/>
          <w:sz w:val="18"/>
          <w:szCs w:val="18"/>
        </w:rPr>
      </w:pPr>
      <w:r>
        <w:rPr>
          <w:rFonts w:ascii="黑体" w:hAnsi="黑体" w:cs="黑体" w:hint="eastAsia"/>
          <w:bCs/>
          <w:sz w:val="18"/>
          <w:szCs w:val="18"/>
        </w:rPr>
        <w:t xml:space="preserve">表 </w:t>
      </w:r>
      <w:r>
        <w:rPr>
          <w:rFonts w:ascii="Times New Roman" w:hAnsi="Times New Roman" w:cs="Times New Roman"/>
          <w:b/>
          <w:sz w:val="18"/>
          <w:szCs w:val="18"/>
        </w:rPr>
        <w:fldChar w:fldCharType="begin"/>
      </w:r>
      <w:r>
        <w:rPr>
          <w:rFonts w:ascii="Times New Roman" w:hAnsi="Times New Roman" w:cs="Times New Roman"/>
          <w:b/>
          <w:sz w:val="18"/>
          <w:szCs w:val="18"/>
        </w:rPr>
        <w:instrText xml:space="preserve"> SEQ </w:instrText>
      </w:r>
      <w:r>
        <w:rPr>
          <w:rFonts w:ascii="Times New Roman" w:hAnsi="Times New Roman" w:cs="Times New Roman"/>
          <w:b/>
          <w:sz w:val="18"/>
          <w:szCs w:val="18"/>
        </w:rPr>
        <w:instrText>表</w:instrText>
      </w:r>
      <w:r>
        <w:rPr>
          <w:rFonts w:ascii="Times New Roman" w:hAnsi="Times New Roman" w:cs="Times New Roman"/>
          <w:b/>
          <w:sz w:val="18"/>
          <w:szCs w:val="18"/>
        </w:rPr>
        <w:instrText xml:space="preserve"> \* ARABIC </w:instrText>
      </w:r>
      <w:r>
        <w:rPr>
          <w:rFonts w:ascii="Times New Roman" w:hAnsi="Times New Roman" w:cs="Times New Roman"/>
          <w:b/>
          <w:sz w:val="18"/>
          <w:szCs w:val="18"/>
        </w:rPr>
        <w:fldChar w:fldCharType="separate"/>
      </w:r>
      <w:r>
        <w:rPr>
          <w:rFonts w:ascii="Times New Roman" w:hAnsi="Times New Roman" w:cs="Times New Roman"/>
          <w:b/>
          <w:sz w:val="18"/>
          <w:szCs w:val="18"/>
        </w:rPr>
        <w:t>1</w:t>
      </w:r>
      <w:r>
        <w:rPr>
          <w:rFonts w:ascii="Times New Roman" w:hAnsi="Times New Roman" w:cs="Times New Roman"/>
          <w:b/>
          <w:sz w:val="18"/>
          <w:szCs w:val="18"/>
        </w:rPr>
        <w:fldChar w:fldCharType="end"/>
      </w:r>
      <w:r>
        <w:rPr>
          <w:rFonts w:ascii="黑体" w:hAnsi="黑体" w:cs="黑体" w:hint="eastAsia"/>
          <w:bCs/>
          <w:sz w:val="18"/>
          <w:szCs w:val="18"/>
        </w:rPr>
        <w:t xml:space="preserve">  聚类划分规则</w:t>
      </w:r>
    </w:p>
    <w:tbl>
      <w:tblPr>
        <w:tblW w:w="53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7"/>
        <w:gridCol w:w="1897"/>
        <w:gridCol w:w="631"/>
      </w:tblGrid>
      <w:tr w:rsidR="00D15E46" w14:paraId="4F71ADA4" w14:textId="77777777">
        <w:trPr>
          <w:trHeight w:val="255"/>
          <w:jc w:val="center"/>
        </w:trPr>
        <w:tc>
          <w:tcPr>
            <w:tcW w:w="2358" w:type="pct"/>
            <w:tcBorders>
              <w:top w:val="single" w:sz="8" w:space="0" w:color="auto"/>
              <w:left w:val="nil"/>
            </w:tcBorders>
            <w:vAlign w:val="center"/>
          </w:tcPr>
          <w:p w14:paraId="1828FD55" w14:textId="77777777" w:rsidR="00D15E46" w:rsidRDefault="00000000">
            <w:pPr>
              <w:pStyle w:val="afb"/>
              <w:spacing w:line="240" w:lineRule="atLeast"/>
              <w:rPr>
                <w:rFonts w:ascii="Times New Roman" w:hAnsi="Times New Roman"/>
                <w:sz w:val="21"/>
              </w:rPr>
            </w:pPr>
            <w:r>
              <w:rPr>
                <w:rFonts w:ascii="Times New Roman" w:hAnsi="Times New Roman"/>
                <w:sz w:val="21"/>
              </w:rPr>
              <w:t>空间格局聚集</w:t>
            </w:r>
          </w:p>
        </w:tc>
        <w:tc>
          <w:tcPr>
            <w:tcW w:w="1982" w:type="pct"/>
            <w:tcBorders>
              <w:top w:val="single" w:sz="8" w:space="0" w:color="auto"/>
            </w:tcBorders>
            <w:vAlign w:val="center"/>
          </w:tcPr>
          <w:p w14:paraId="778B6D0F" w14:textId="77777777" w:rsidR="00D15E46" w:rsidRDefault="00000000">
            <w:pPr>
              <w:pStyle w:val="afb"/>
              <w:spacing w:line="240" w:lineRule="atLeast"/>
              <w:rPr>
                <w:rFonts w:ascii="Times New Roman" w:hAnsi="Times New Roman"/>
                <w:sz w:val="21"/>
              </w:rPr>
            </w:pPr>
            <w:r>
              <w:rPr>
                <w:rFonts w:ascii="Times New Roman" w:hAnsi="Times New Roman"/>
                <w:sz w:val="21"/>
              </w:rPr>
              <w:t>局部变化格局聚集</w:t>
            </w:r>
          </w:p>
        </w:tc>
        <w:tc>
          <w:tcPr>
            <w:tcW w:w="659" w:type="pct"/>
            <w:tcBorders>
              <w:top w:val="single" w:sz="8" w:space="0" w:color="auto"/>
              <w:right w:val="nil"/>
            </w:tcBorders>
            <w:vAlign w:val="center"/>
          </w:tcPr>
          <w:p w14:paraId="3AE3C7B8" w14:textId="77777777" w:rsidR="00D15E46" w:rsidRDefault="00000000">
            <w:pPr>
              <w:pStyle w:val="afb"/>
              <w:spacing w:line="240" w:lineRule="atLeast"/>
              <w:rPr>
                <w:rFonts w:ascii="Times New Roman" w:hAnsi="Times New Roman"/>
                <w:sz w:val="21"/>
              </w:rPr>
            </w:pPr>
            <w:r>
              <w:rPr>
                <w:rFonts w:ascii="Times New Roman" w:hAnsi="Times New Roman"/>
                <w:sz w:val="21"/>
              </w:rPr>
              <w:t>分类</w:t>
            </w:r>
          </w:p>
        </w:tc>
      </w:tr>
      <w:tr w:rsidR="00D15E46" w14:paraId="7A41F21F" w14:textId="77777777">
        <w:trPr>
          <w:trHeight w:val="255"/>
          <w:jc w:val="center"/>
        </w:trPr>
        <w:tc>
          <w:tcPr>
            <w:tcW w:w="2358" w:type="pct"/>
            <w:tcBorders>
              <w:left w:val="nil"/>
            </w:tcBorders>
            <w:vAlign w:val="center"/>
          </w:tcPr>
          <w:p w14:paraId="571F5793" w14:textId="77777777" w:rsidR="00D15E46" w:rsidRDefault="00000000">
            <w:pPr>
              <w:pStyle w:val="afb"/>
              <w:spacing w:line="240" w:lineRule="atLeast"/>
              <w:rPr>
                <w:rFonts w:ascii="Times New Roman" w:hAnsi="Times New Roman"/>
                <w:sz w:val="21"/>
              </w:rPr>
            </w:pPr>
            <w:r>
              <w:rPr>
                <w:rFonts w:ascii="Times New Roman" w:hAnsi="Times New Roman"/>
                <w:sz w:val="21"/>
              </w:rPr>
              <w:t>p[exp(</w:t>
            </w:r>
            <w:r>
              <w:rPr>
                <w:rFonts w:ascii="Times New Roman" w:hAnsi="Times New Roman"/>
                <w:i/>
                <w:iCs/>
                <w:sz w:val="21"/>
              </w:rPr>
              <w:t>S</w:t>
            </w:r>
            <w:r>
              <w:rPr>
                <w:rFonts w:ascii="Times New Roman" w:hAnsi="Times New Roman"/>
                <w:i/>
                <w:iCs/>
                <w:sz w:val="21"/>
                <w:vertAlign w:val="subscript"/>
              </w:rPr>
              <w:t>i</w:t>
            </w:r>
            <w:r>
              <w:rPr>
                <w:rFonts w:ascii="Times New Roman" w:hAnsi="Times New Roman"/>
                <w:sz w:val="21"/>
              </w:rPr>
              <w:t>)&gt;1|data]&gt;0.8</w:t>
            </w:r>
          </w:p>
        </w:tc>
        <w:tc>
          <w:tcPr>
            <w:tcW w:w="1982" w:type="pct"/>
            <w:vAlign w:val="center"/>
          </w:tcPr>
          <w:p w14:paraId="686F8AED" w14:textId="77777777" w:rsidR="00D15E46" w:rsidRDefault="00000000">
            <w:pPr>
              <w:pStyle w:val="afb"/>
              <w:spacing w:line="240" w:lineRule="atLeast"/>
              <w:rPr>
                <w:rFonts w:ascii="Times New Roman" w:hAnsi="Times New Roman"/>
                <w:sz w:val="21"/>
              </w:rPr>
            </w:pPr>
            <w:r>
              <w:rPr>
                <w:rFonts w:ascii="Times New Roman" w:hAnsi="Times New Roman"/>
                <w:sz w:val="21"/>
              </w:rPr>
              <w:t>p[</w:t>
            </w:r>
            <w:r>
              <w:rPr>
                <w:rFonts w:ascii="Times New Roman" w:hAnsi="Times New Roman"/>
                <w:i/>
                <w:iCs/>
                <w:sz w:val="21"/>
              </w:rPr>
              <w:t>b</w:t>
            </w:r>
            <w:r>
              <w:rPr>
                <w:rFonts w:ascii="Times New Roman" w:hAnsi="Times New Roman"/>
                <w:sz w:val="21"/>
                <w:vertAlign w:val="subscript"/>
              </w:rPr>
              <w:t>1</w:t>
            </w:r>
            <w:r>
              <w:rPr>
                <w:rFonts w:ascii="Times New Roman" w:hAnsi="Times New Roman"/>
                <w:i/>
                <w:iCs/>
                <w:sz w:val="21"/>
                <w:vertAlign w:val="subscript"/>
              </w:rPr>
              <w:t>i</w:t>
            </w:r>
            <w:r>
              <w:rPr>
                <w:rFonts w:ascii="Times New Roman" w:hAnsi="Times New Roman"/>
                <w:sz w:val="21"/>
              </w:rPr>
              <w:t>&gt;0|data]&gt;0.8</w:t>
            </w:r>
          </w:p>
        </w:tc>
        <w:tc>
          <w:tcPr>
            <w:tcW w:w="659" w:type="pct"/>
            <w:tcBorders>
              <w:right w:val="nil"/>
            </w:tcBorders>
            <w:vAlign w:val="center"/>
          </w:tcPr>
          <w:p w14:paraId="1A318EDA" w14:textId="77777777" w:rsidR="00D15E46" w:rsidRDefault="00000000">
            <w:pPr>
              <w:pStyle w:val="afb"/>
              <w:spacing w:line="240" w:lineRule="atLeast"/>
              <w:rPr>
                <w:rFonts w:ascii="Times New Roman" w:hAnsi="Times New Roman"/>
                <w:sz w:val="21"/>
              </w:rPr>
            </w:pPr>
            <w:r>
              <w:rPr>
                <w:rFonts w:ascii="Times New Roman" w:hAnsi="Times New Roman"/>
                <w:sz w:val="21"/>
              </w:rPr>
              <w:t>热点区</w:t>
            </w:r>
          </w:p>
        </w:tc>
      </w:tr>
      <w:tr w:rsidR="00D15E46" w14:paraId="23C1A893" w14:textId="77777777">
        <w:trPr>
          <w:trHeight w:val="255"/>
          <w:jc w:val="center"/>
        </w:trPr>
        <w:tc>
          <w:tcPr>
            <w:tcW w:w="2358" w:type="pct"/>
            <w:tcBorders>
              <w:left w:val="nil"/>
            </w:tcBorders>
            <w:vAlign w:val="center"/>
          </w:tcPr>
          <w:p w14:paraId="4EF2808D" w14:textId="77777777" w:rsidR="00D15E46" w:rsidRDefault="00000000">
            <w:pPr>
              <w:pStyle w:val="afb"/>
              <w:spacing w:line="240" w:lineRule="atLeast"/>
              <w:rPr>
                <w:rFonts w:ascii="Times New Roman" w:hAnsi="Times New Roman"/>
                <w:sz w:val="21"/>
              </w:rPr>
            </w:pPr>
            <w:r>
              <w:rPr>
                <w:rFonts w:ascii="Times New Roman" w:hAnsi="Times New Roman"/>
                <w:sz w:val="21"/>
              </w:rPr>
              <w:t>p[exp(</w:t>
            </w:r>
            <w:r>
              <w:rPr>
                <w:rFonts w:ascii="Times New Roman" w:hAnsi="Times New Roman"/>
                <w:i/>
                <w:iCs/>
                <w:sz w:val="21"/>
              </w:rPr>
              <w:t>S</w:t>
            </w:r>
            <w:r>
              <w:rPr>
                <w:rFonts w:ascii="Times New Roman" w:hAnsi="Times New Roman"/>
                <w:i/>
                <w:iCs/>
                <w:sz w:val="21"/>
                <w:vertAlign w:val="subscript"/>
              </w:rPr>
              <w:t>i</w:t>
            </w:r>
            <w:r>
              <w:rPr>
                <w:rFonts w:ascii="Times New Roman" w:hAnsi="Times New Roman"/>
                <w:sz w:val="21"/>
              </w:rPr>
              <w:t>)&gt;1|data]&lt;0.2</w:t>
            </w:r>
          </w:p>
        </w:tc>
        <w:tc>
          <w:tcPr>
            <w:tcW w:w="1982" w:type="pct"/>
            <w:vAlign w:val="center"/>
          </w:tcPr>
          <w:p w14:paraId="483A93A3" w14:textId="77777777" w:rsidR="00D15E46" w:rsidRDefault="00000000">
            <w:pPr>
              <w:pStyle w:val="afb"/>
              <w:spacing w:line="240" w:lineRule="atLeast"/>
              <w:rPr>
                <w:rFonts w:ascii="Times New Roman" w:hAnsi="Times New Roman"/>
                <w:sz w:val="21"/>
              </w:rPr>
            </w:pPr>
            <w:r>
              <w:rPr>
                <w:rFonts w:ascii="Times New Roman" w:hAnsi="Times New Roman"/>
                <w:sz w:val="21"/>
              </w:rPr>
              <w:t>p[</w:t>
            </w:r>
            <w:r>
              <w:rPr>
                <w:rFonts w:ascii="Times New Roman" w:hAnsi="Times New Roman"/>
                <w:i/>
                <w:iCs/>
                <w:sz w:val="21"/>
              </w:rPr>
              <w:t>b</w:t>
            </w:r>
            <w:r>
              <w:rPr>
                <w:rFonts w:ascii="Times New Roman" w:hAnsi="Times New Roman"/>
                <w:sz w:val="21"/>
                <w:vertAlign w:val="subscript"/>
              </w:rPr>
              <w:t>1</w:t>
            </w:r>
            <w:r>
              <w:rPr>
                <w:rFonts w:ascii="Times New Roman" w:hAnsi="Times New Roman"/>
                <w:i/>
                <w:iCs/>
                <w:sz w:val="21"/>
                <w:vertAlign w:val="subscript"/>
              </w:rPr>
              <w:t>i</w:t>
            </w:r>
            <w:r>
              <w:rPr>
                <w:rFonts w:ascii="Times New Roman" w:hAnsi="Times New Roman"/>
                <w:sz w:val="21"/>
              </w:rPr>
              <w:t>&gt;0|data]&lt;0.2</w:t>
            </w:r>
          </w:p>
        </w:tc>
        <w:tc>
          <w:tcPr>
            <w:tcW w:w="659" w:type="pct"/>
            <w:tcBorders>
              <w:right w:val="nil"/>
            </w:tcBorders>
            <w:vAlign w:val="center"/>
          </w:tcPr>
          <w:p w14:paraId="0A3EBC12" w14:textId="77777777" w:rsidR="00D15E46" w:rsidRDefault="00000000">
            <w:pPr>
              <w:pStyle w:val="afb"/>
              <w:spacing w:line="240" w:lineRule="atLeast"/>
              <w:rPr>
                <w:rFonts w:ascii="Times New Roman" w:hAnsi="Times New Roman"/>
                <w:sz w:val="21"/>
              </w:rPr>
            </w:pPr>
            <w:r>
              <w:rPr>
                <w:rFonts w:ascii="Times New Roman" w:hAnsi="Times New Roman"/>
                <w:sz w:val="21"/>
              </w:rPr>
              <w:t>冷点区</w:t>
            </w:r>
          </w:p>
        </w:tc>
      </w:tr>
      <w:tr w:rsidR="00D15E46" w14:paraId="1F6C3F79" w14:textId="77777777">
        <w:trPr>
          <w:trHeight w:val="255"/>
          <w:jc w:val="center"/>
        </w:trPr>
        <w:tc>
          <w:tcPr>
            <w:tcW w:w="2358" w:type="pct"/>
            <w:tcBorders>
              <w:left w:val="nil"/>
              <w:bottom w:val="single" w:sz="8" w:space="0" w:color="auto"/>
            </w:tcBorders>
            <w:vAlign w:val="center"/>
          </w:tcPr>
          <w:p w14:paraId="576CE56B" w14:textId="77777777" w:rsidR="00D15E46" w:rsidRDefault="00000000">
            <w:pPr>
              <w:pStyle w:val="afb"/>
              <w:spacing w:line="240" w:lineRule="atLeast"/>
              <w:rPr>
                <w:rFonts w:ascii="Times New Roman" w:hAnsi="Times New Roman"/>
                <w:sz w:val="21"/>
              </w:rPr>
            </w:pPr>
            <w:r>
              <w:rPr>
                <w:rFonts w:ascii="Times New Roman" w:hAnsi="Times New Roman"/>
                <w:sz w:val="21"/>
              </w:rPr>
              <w:t>0.2&lt;p[exp(</w:t>
            </w:r>
            <w:r>
              <w:rPr>
                <w:rFonts w:ascii="Times New Roman" w:hAnsi="Times New Roman"/>
                <w:i/>
                <w:iCs/>
                <w:sz w:val="21"/>
              </w:rPr>
              <w:t>S</w:t>
            </w:r>
            <w:r>
              <w:rPr>
                <w:rFonts w:ascii="Times New Roman" w:hAnsi="Times New Roman"/>
                <w:i/>
                <w:iCs/>
                <w:sz w:val="21"/>
                <w:vertAlign w:val="subscript"/>
              </w:rPr>
              <w:t>i</w:t>
            </w:r>
            <w:r>
              <w:rPr>
                <w:rFonts w:ascii="Times New Roman" w:hAnsi="Times New Roman"/>
                <w:sz w:val="21"/>
              </w:rPr>
              <w:t>)&gt;1|data]&lt;0.8</w:t>
            </w:r>
          </w:p>
        </w:tc>
        <w:tc>
          <w:tcPr>
            <w:tcW w:w="1982" w:type="pct"/>
            <w:tcBorders>
              <w:bottom w:val="single" w:sz="8" w:space="0" w:color="auto"/>
            </w:tcBorders>
            <w:vAlign w:val="center"/>
          </w:tcPr>
          <w:p w14:paraId="07AA27CB" w14:textId="77777777" w:rsidR="00D15E46" w:rsidRDefault="00000000">
            <w:pPr>
              <w:pStyle w:val="afb"/>
              <w:spacing w:line="240" w:lineRule="atLeast"/>
              <w:rPr>
                <w:rFonts w:ascii="Times New Roman" w:hAnsi="Times New Roman"/>
                <w:sz w:val="21"/>
              </w:rPr>
            </w:pPr>
            <w:r>
              <w:rPr>
                <w:rFonts w:ascii="Times New Roman" w:hAnsi="Times New Roman"/>
                <w:sz w:val="21"/>
              </w:rPr>
              <w:t>0.2&lt;p[</w:t>
            </w:r>
            <w:r>
              <w:rPr>
                <w:rFonts w:ascii="Times New Roman" w:hAnsi="Times New Roman"/>
                <w:i/>
                <w:iCs/>
                <w:sz w:val="21"/>
              </w:rPr>
              <w:t>b</w:t>
            </w:r>
            <w:r>
              <w:rPr>
                <w:rFonts w:ascii="Times New Roman" w:hAnsi="Times New Roman"/>
                <w:sz w:val="21"/>
                <w:vertAlign w:val="subscript"/>
              </w:rPr>
              <w:t>1</w:t>
            </w:r>
            <w:r>
              <w:rPr>
                <w:rFonts w:ascii="Times New Roman" w:hAnsi="Times New Roman"/>
                <w:i/>
                <w:iCs/>
                <w:sz w:val="21"/>
                <w:vertAlign w:val="subscript"/>
              </w:rPr>
              <w:t>i</w:t>
            </w:r>
            <w:r>
              <w:rPr>
                <w:rFonts w:ascii="Times New Roman" w:hAnsi="Times New Roman"/>
                <w:sz w:val="21"/>
              </w:rPr>
              <w:t>&gt;0|data]&lt;0.8</w:t>
            </w:r>
          </w:p>
        </w:tc>
        <w:tc>
          <w:tcPr>
            <w:tcW w:w="659" w:type="pct"/>
            <w:tcBorders>
              <w:bottom w:val="single" w:sz="8" w:space="0" w:color="auto"/>
              <w:right w:val="nil"/>
            </w:tcBorders>
            <w:vAlign w:val="center"/>
          </w:tcPr>
          <w:p w14:paraId="25C55C22" w14:textId="77777777" w:rsidR="00D15E46" w:rsidRDefault="00000000">
            <w:pPr>
              <w:pStyle w:val="afb"/>
              <w:spacing w:line="240" w:lineRule="atLeast"/>
              <w:rPr>
                <w:rFonts w:ascii="Times New Roman" w:hAnsi="Times New Roman"/>
                <w:sz w:val="21"/>
              </w:rPr>
            </w:pPr>
            <w:r>
              <w:rPr>
                <w:rFonts w:ascii="Times New Roman" w:hAnsi="Times New Roman"/>
                <w:sz w:val="21"/>
              </w:rPr>
              <w:t>温点区</w:t>
            </w:r>
          </w:p>
        </w:tc>
      </w:tr>
    </w:tbl>
    <w:p w14:paraId="16CBC480" w14:textId="77777777" w:rsidR="00D15E46" w:rsidRDefault="00000000">
      <w:pPr>
        <w:widowControl/>
        <w:ind w:firstLineChars="200" w:firstLine="420"/>
        <w:rPr>
          <w:rFonts w:ascii="Times New Roman" w:hAnsi="Times New Roman" w:cs="Times New Roman"/>
        </w:rPr>
      </w:pPr>
      <w:r>
        <w:rPr>
          <w:rFonts w:ascii="Times New Roman" w:hAnsi="Times New Roman" w:cs="Times New Roman" w:hint="eastAsia"/>
        </w:rPr>
        <w:t>为了定量评价</w:t>
      </w:r>
      <w:r>
        <w:rPr>
          <w:rFonts w:ascii="Times New Roman" w:hAnsi="Times New Roman" w:cs="Times New Roman" w:hint="eastAsia"/>
        </w:rPr>
        <w:t>BSTIM</w:t>
      </w:r>
      <w:r>
        <w:rPr>
          <w:rFonts w:ascii="Times New Roman" w:hAnsi="Times New Roman" w:cs="Times New Roman" w:hint="eastAsia"/>
        </w:rPr>
        <w:t>分解出的时间与空间效应对时空过程的解释度，本文根据学者提出的方差成分系数</w:t>
      </w:r>
      <w:r>
        <w:rPr>
          <w:rFonts w:ascii="Times New Roman" w:hAnsi="Times New Roman" w:cs="Times New Roman" w:hint="eastAsia"/>
        </w:rPr>
        <w:t xml:space="preserve">(variance partitioning coefficient, </w:t>
      </w:r>
      <w:r>
        <w:rPr>
          <w:rFonts w:ascii="Times New Roman" w:hAnsi="Times New Roman" w:cs="Times New Roman" w:hint="eastAsia"/>
          <w:i/>
          <w:iCs/>
        </w:rPr>
        <w:t>VPC</w:t>
      </w:r>
      <w:r>
        <w:rPr>
          <w:rFonts w:ascii="Times New Roman" w:hAnsi="Times New Roman" w:cs="Times New Roman" w:hint="eastAsia"/>
        </w:rPr>
        <w:t>)</w:t>
      </w:r>
      <w:r>
        <w:rPr>
          <w:rFonts w:ascii="Times New Roman" w:hAnsi="Times New Roman" w:cs="Times New Roman" w:hint="eastAsia"/>
        </w:rPr>
        <w:t>进行计算</w:t>
      </w:r>
      <w:r>
        <w:rPr>
          <w:rFonts w:ascii="Times New Roman" w:hAnsi="Times New Roman" w:cs="Times New Roman" w:hint="eastAsia"/>
          <w:vertAlign w:val="superscript"/>
        </w:rPr>
        <w:fldChar w:fldCharType="begin"/>
      </w:r>
      <w:r>
        <w:rPr>
          <w:rFonts w:ascii="Times New Roman" w:hAnsi="Times New Roman" w:cs="Times New Roman" w:hint="eastAsia"/>
          <w:vertAlign w:val="superscript"/>
        </w:rPr>
        <w:instrText xml:space="preserve"> REF _Ref203 \r \h </w:instrText>
      </w:r>
      <w:r>
        <w:rPr>
          <w:rFonts w:ascii="Times New Roman" w:hAnsi="Times New Roman" w:cs="Times New Roman" w:hint="eastAsia"/>
          <w:vertAlign w:val="superscript"/>
        </w:rPr>
      </w:r>
      <w:r>
        <w:rPr>
          <w:rFonts w:ascii="Times New Roman" w:hAnsi="Times New Roman" w:cs="Times New Roman" w:hint="eastAsia"/>
          <w:vertAlign w:val="superscript"/>
        </w:rPr>
        <w:fldChar w:fldCharType="separate"/>
      </w:r>
      <w:r>
        <w:rPr>
          <w:rFonts w:ascii="Times New Roman" w:hAnsi="Times New Roman" w:cs="Times New Roman" w:hint="eastAsia"/>
          <w:vertAlign w:val="superscript"/>
        </w:rPr>
        <w:t>[33]</w:t>
      </w:r>
      <w:r>
        <w:rPr>
          <w:rFonts w:ascii="Times New Roman" w:hAnsi="Times New Roman" w:cs="Times New Roman" w:hint="eastAsia"/>
          <w:vertAlign w:val="superscript"/>
        </w:rPr>
        <w:fldChar w:fldCharType="end"/>
      </w:r>
      <w:r>
        <w:rPr>
          <w:rFonts w:ascii="Times New Roman" w:hAnsi="Times New Roman" w:cs="Times New Roman" w:hint="eastAsia"/>
        </w:rPr>
        <w:t>，具体公式如下：</w:t>
      </w:r>
    </w:p>
    <w:p w14:paraId="223E172D" w14:textId="77777777" w:rsidR="00D15E46" w:rsidRDefault="00000000">
      <w:pPr>
        <w:widowControl/>
        <w:jc w:val="right"/>
        <w:rPr>
          <w:rFonts w:ascii="Times New Roman" w:hAnsi="Times New Roman" w:cs="Times New Roman"/>
        </w:rPr>
      </w:pPr>
      <w:r>
        <w:rPr>
          <w:rFonts w:ascii="Times New Roman" w:eastAsia="宋体" w:hAnsi="Times New Roman" w:cs="Times New Roman"/>
          <w:position w:val="-26"/>
        </w:rPr>
        <w:object w:dxaOrig="3866" w:dyaOrig="600" w14:anchorId="03884CFC">
          <v:shape id="_x0000_i1042" type="#_x0000_t75" style="width:193.5pt;height:30pt" o:ole="">
            <v:imagedata r:id="rId51" o:title=""/>
          </v:shape>
          <o:OLEObject Type="Embed" ProgID="Equation.DSMT4" ShapeID="_x0000_i1042" DrawAspect="Content" ObjectID="_1835357015" r:id="rId52"/>
        </w:object>
      </w:r>
      <w:r>
        <w:rPr>
          <w:rFonts w:ascii="Times New Roman" w:eastAsia="宋体" w:hAnsi="Times New Roman" w:cs="Times New Roman" w:hint="eastAsia"/>
        </w:rPr>
        <w:t xml:space="preserve">   (2)</w:t>
      </w:r>
    </w:p>
    <w:p w14:paraId="430BE76C" w14:textId="77777777" w:rsidR="00D15E46" w:rsidRDefault="00000000">
      <w:pPr>
        <w:pStyle w:val="2"/>
      </w:pPr>
      <w:r>
        <w:rPr>
          <w:rFonts w:ascii="Times New Roman" w:hAnsi="Times New Roman" w:cs="Times New Roman"/>
        </w:rPr>
        <w:t>2</w:t>
      </w:r>
      <w:r>
        <w:t xml:space="preserve"> </w:t>
      </w:r>
      <w:r>
        <w:rPr>
          <w:rFonts w:hint="eastAsia"/>
        </w:rPr>
        <w:t>案例研究</w:t>
      </w:r>
    </w:p>
    <w:p w14:paraId="3AB9FE6A" w14:textId="77777777" w:rsidR="00D15E46" w:rsidRDefault="00000000">
      <w:pPr>
        <w:pStyle w:val="3"/>
        <w:rPr>
          <w:b w:val="0"/>
          <w:bCs w:val="0"/>
        </w:rPr>
      </w:pPr>
      <w:r>
        <w:rPr>
          <w:rFonts w:ascii="Times New Roman" w:hAnsi="Times New Roman" w:cs="Times New Roman"/>
        </w:rPr>
        <w:t>2.1</w:t>
      </w:r>
      <w:r>
        <w:rPr>
          <w:rFonts w:hint="eastAsia"/>
        </w:rPr>
        <w:t xml:space="preserve">  </w:t>
      </w:r>
      <w:r>
        <w:rPr>
          <w:rFonts w:ascii="黑体" w:eastAsia="黑体" w:hAnsi="黑体" w:cs="黑体" w:hint="eastAsia"/>
          <w:b w:val="0"/>
          <w:bCs w:val="0"/>
        </w:rPr>
        <w:t>数据收集与方法应用</w:t>
      </w:r>
    </w:p>
    <w:p w14:paraId="0C61FCBB" w14:textId="77777777" w:rsidR="00D15E46" w:rsidRDefault="00000000">
      <w:pPr>
        <w:pStyle w:val="3"/>
        <w:spacing w:before="60" w:after="60"/>
        <w:ind w:firstLineChars="200" w:firstLine="420"/>
        <w:rPr>
          <w:rFonts w:ascii="Times New Roman" w:eastAsia="宋体" w:hAnsi="Times New Roman" w:cs="Times New Roman"/>
          <w:b w:val="0"/>
          <w:bCs w:val="0"/>
        </w:rPr>
      </w:pPr>
      <w:r>
        <w:rPr>
          <w:rFonts w:ascii="Times New Roman" w:eastAsia="宋体" w:hAnsi="Times New Roman" w:cs="Times New Roman" w:hint="eastAsia"/>
          <w:b w:val="0"/>
          <w:bCs w:val="0"/>
          <w:szCs w:val="21"/>
        </w:rPr>
        <w:t>1</w:t>
      </w:r>
      <w:r>
        <w:rPr>
          <w:rFonts w:ascii="Times New Roman" w:eastAsia="宋体" w:hAnsi="Times New Roman" w:cs="Times New Roman" w:hint="eastAsia"/>
          <w:b w:val="0"/>
          <w:bCs w:val="0"/>
          <w:szCs w:val="21"/>
        </w:rPr>
        <w:t>）</w:t>
      </w:r>
      <w:r>
        <w:rPr>
          <w:rFonts w:ascii="Times New Roman" w:eastAsia="宋体" w:hAnsi="Times New Roman" w:cs="Times New Roman"/>
          <w:b w:val="0"/>
          <w:bCs w:val="0"/>
          <w:szCs w:val="21"/>
        </w:rPr>
        <w:t>时空数据收集</w:t>
      </w:r>
    </w:p>
    <w:p w14:paraId="26294BB5" w14:textId="77777777" w:rsidR="00D15E46" w:rsidRDefault="00000000">
      <w:pPr>
        <w:ind w:firstLineChars="200" w:firstLine="420"/>
        <w:rPr>
          <w:rFonts w:ascii="Times New Roman" w:eastAsia="宋体" w:hAnsi="Times New Roman" w:cs="Times New Roman"/>
        </w:rPr>
      </w:pPr>
      <w:r>
        <w:rPr>
          <w:rFonts w:ascii="Times New Roman" w:eastAsia="宋体" w:hAnsi="Times New Roman" w:cs="Times New Roman" w:hint="eastAsia"/>
        </w:rPr>
        <w:t>本文从韧性视角出发，基于</w:t>
      </w:r>
      <w:r>
        <w:rPr>
          <w:rFonts w:ascii="Times New Roman" w:eastAsia="宋体" w:hAnsi="Times New Roman" w:cs="Times New Roman" w:hint="eastAsia"/>
        </w:rPr>
        <w:t>D</w:t>
      </w:r>
      <w:r>
        <w:rPr>
          <w:rFonts w:ascii="Times New Roman" w:eastAsia="宋体" w:hAnsi="Times New Roman" w:cs="Times New Roman" w:hint="eastAsia"/>
        </w:rPr>
        <w:t>（驱动力）</w:t>
      </w:r>
      <w:r>
        <w:rPr>
          <w:rFonts w:ascii="Times New Roman" w:eastAsia="宋体" w:hAnsi="Times New Roman" w:cs="Times New Roman" w:hint="eastAsia"/>
        </w:rPr>
        <w:t>-S</w:t>
      </w:r>
      <w:r>
        <w:rPr>
          <w:rFonts w:ascii="Times New Roman" w:eastAsia="宋体" w:hAnsi="Times New Roman" w:cs="Times New Roman" w:hint="eastAsia"/>
        </w:rPr>
        <w:t>（状态）</w:t>
      </w:r>
      <w:r>
        <w:rPr>
          <w:rFonts w:ascii="Times New Roman" w:eastAsia="宋体" w:hAnsi="Times New Roman" w:cs="Times New Roman" w:hint="eastAsia"/>
        </w:rPr>
        <w:t>-R</w:t>
      </w:r>
      <w:r>
        <w:rPr>
          <w:rFonts w:ascii="Times New Roman" w:eastAsia="宋体" w:hAnsi="Times New Roman" w:cs="Times New Roman" w:hint="eastAsia"/>
        </w:rPr>
        <w:t>（响应）模型，采用熵权</w:t>
      </w:r>
      <w:r>
        <w:rPr>
          <w:rFonts w:ascii="Times New Roman" w:eastAsia="宋体" w:hAnsi="Times New Roman" w:cs="Times New Roman" w:hint="eastAsia"/>
        </w:rPr>
        <w:t>-TOPSIS</w:t>
      </w:r>
      <w:r>
        <w:rPr>
          <w:rFonts w:ascii="Times New Roman" w:eastAsia="宋体" w:hAnsi="Times New Roman" w:cs="Times New Roman" w:hint="eastAsia"/>
        </w:rPr>
        <w:t>法</w:t>
      </w:r>
      <w:r>
        <w:rPr>
          <w:rFonts w:ascii="Times New Roman" w:eastAsia="宋体" w:hAnsi="Times New Roman" w:cs="Times New Roman" w:hint="eastAsia"/>
          <w:vertAlign w:val="superscript"/>
        </w:rPr>
        <w:fldChar w:fldCharType="begin"/>
      </w:r>
      <w:r>
        <w:rPr>
          <w:rFonts w:ascii="Times New Roman" w:eastAsia="宋体" w:hAnsi="Times New Roman" w:cs="Times New Roman" w:hint="eastAsia"/>
          <w:vertAlign w:val="superscript"/>
        </w:rPr>
        <w:instrText xml:space="preserve"> REF _Ref236 \r \h </w:instrText>
      </w:r>
      <w:r>
        <w:rPr>
          <w:rFonts w:ascii="Times New Roman" w:eastAsia="宋体" w:hAnsi="Times New Roman" w:cs="Times New Roman" w:hint="eastAsia"/>
          <w:vertAlign w:val="superscript"/>
        </w:rPr>
      </w:r>
      <w:r>
        <w:rPr>
          <w:rFonts w:ascii="Times New Roman" w:eastAsia="宋体" w:hAnsi="Times New Roman" w:cs="Times New Roman" w:hint="eastAsia"/>
          <w:vertAlign w:val="superscript"/>
        </w:rPr>
        <w:fldChar w:fldCharType="separate"/>
      </w:r>
      <w:r>
        <w:rPr>
          <w:rFonts w:ascii="Times New Roman" w:eastAsia="宋体" w:hAnsi="Times New Roman" w:cs="Times New Roman" w:hint="eastAsia"/>
          <w:vertAlign w:val="superscript"/>
        </w:rPr>
        <w:t>[34]</w:t>
      </w:r>
      <w:r>
        <w:rPr>
          <w:rFonts w:ascii="Times New Roman" w:eastAsia="宋体" w:hAnsi="Times New Roman" w:cs="Times New Roman" w:hint="eastAsia"/>
          <w:vertAlign w:val="superscript"/>
        </w:rPr>
        <w:fldChar w:fldCharType="end"/>
      </w:r>
      <w:r>
        <w:rPr>
          <w:rFonts w:ascii="Times New Roman" w:eastAsia="宋体" w:hAnsi="Times New Roman" w:cs="Times New Roman" w:hint="eastAsia"/>
          <w:vertAlign w:val="superscript"/>
        </w:rPr>
        <w:fldChar w:fldCharType="begin"/>
      </w:r>
      <w:r>
        <w:rPr>
          <w:rFonts w:ascii="Times New Roman" w:eastAsia="宋体" w:hAnsi="Times New Roman" w:cs="Times New Roman" w:hint="eastAsia"/>
          <w:vertAlign w:val="superscript"/>
        </w:rPr>
        <w:instrText xml:space="preserve"> REF _Ref239 \r \h </w:instrText>
      </w:r>
      <w:r>
        <w:rPr>
          <w:rFonts w:ascii="Times New Roman" w:eastAsia="宋体" w:hAnsi="Times New Roman" w:cs="Times New Roman" w:hint="eastAsia"/>
          <w:vertAlign w:val="superscript"/>
        </w:rPr>
      </w:r>
      <w:r>
        <w:rPr>
          <w:rFonts w:ascii="Times New Roman" w:eastAsia="宋体" w:hAnsi="Times New Roman" w:cs="Times New Roman"/>
          <w:vertAlign w:val="superscript"/>
        </w:rPr>
        <w:fldChar w:fldCharType="separate"/>
      </w:r>
      <w:r>
        <w:rPr>
          <w:rFonts w:ascii="Times New Roman" w:eastAsia="宋体" w:hAnsi="Times New Roman" w:cs="Times New Roman" w:hint="eastAsia"/>
          <w:vertAlign w:val="superscript"/>
        </w:rPr>
        <w:fldChar w:fldCharType="end"/>
      </w:r>
      <w:r>
        <w:rPr>
          <w:rFonts w:ascii="Times New Roman" w:eastAsia="宋体" w:hAnsi="Times New Roman" w:cs="Times New Roman" w:hint="eastAsia"/>
        </w:rPr>
        <w:t>对长三角地区城市</w:t>
      </w:r>
      <w:r>
        <w:rPr>
          <w:rFonts w:hint="eastAsia"/>
        </w:rPr>
        <w:t>防洪</w:t>
      </w:r>
      <w:r>
        <w:rPr>
          <w:rFonts w:ascii="Times New Roman" w:eastAsia="宋体" w:hAnsi="Times New Roman" w:cs="Times New Roman" w:hint="eastAsia"/>
        </w:rPr>
        <w:t>韧性进行计算，得到本研究的时空原始数据。数据来源包括：中国气象数据网</w:t>
      </w:r>
      <w:r>
        <w:rPr>
          <w:rFonts w:ascii="Times New Roman" w:eastAsia="宋体" w:hAnsi="Times New Roman" w:cs="Times New Roman" w:hint="eastAsia"/>
        </w:rPr>
        <w:t>(https://data.cma.cn/)</w:t>
      </w:r>
      <w:r>
        <w:rPr>
          <w:rFonts w:ascii="Times New Roman" w:eastAsia="宋体" w:hAnsi="Times New Roman" w:cs="Times New Roman" w:hint="eastAsia"/>
        </w:rPr>
        <w:t>、中国科学院地理科学与资源研究所、国家基础地理信息中心</w:t>
      </w:r>
      <w:r>
        <w:rPr>
          <w:rFonts w:ascii="Times New Roman" w:eastAsia="宋体" w:hAnsi="Times New Roman" w:cs="Times New Roman" w:hint="eastAsia"/>
        </w:rPr>
        <w:t>(https://www.ngcc.cn/)</w:t>
      </w:r>
      <w:r>
        <w:rPr>
          <w:rFonts w:ascii="Times New Roman" w:eastAsia="宋体" w:hAnsi="Times New Roman" w:cs="Times New Roman" w:hint="eastAsia"/>
        </w:rPr>
        <w:t>、《中国城市统计年鉴》、《中国城市建设统计年鉴》、各省市统计年鉴以及各城市的国民经济和社会发展统计公报。图</w:t>
      </w:r>
      <w:r>
        <w:rPr>
          <w:rFonts w:ascii="Times New Roman" w:eastAsia="宋体" w:hAnsi="Times New Roman" w:cs="Times New Roman" w:hint="eastAsia"/>
        </w:rPr>
        <w:t>2</w:t>
      </w:r>
      <w:r>
        <w:rPr>
          <w:rFonts w:ascii="Times New Roman" w:eastAsia="宋体" w:hAnsi="Times New Roman" w:cs="Times New Roman" w:hint="eastAsia"/>
        </w:rPr>
        <w:t>为基于</w:t>
      </w:r>
      <w:r>
        <w:rPr>
          <w:rFonts w:ascii="Times New Roman" w:eastAsia="宋体" w:hAnsi="Times New Roman" w:cs="Times New Roman" w:hint="eastAsia"/>
        </w:rPr>
        <w:t>DSR</w:t>
      </w:r>
      <w:r>
        <w:rPr>
          <w:rFonts w:ascii="Times New Roman" w:eastAsia="宋体" w:hAnsi="Times New Roman" w:cs="Times New Roman" w:hint="eastAsia"/>
        </w:rPr>
        <w:t>研究框架的</w:t>
      </w:r>
      <w:r>
        <w:rPr>
          <w:rFonts w:hint="eastAsia"/>
        </w:rPr>
        <w:t>防洪韧性</w:t>
      </w:r>
      <w:r>
        <w:rPr>
          <w:rFonts w:ascii="Times New Roman" w:eastAsia="宋体" w:hAnsi="Times New Roman" w:cs="Times New Roman" w:hint="eastAsia"/>
        </w:rPr>
        <w:t>评价指标体系，其中带有</w:t>
      </w:r>
      <w:r>
        <w:rPr>
          <w:rFonts w:ascii="Times New Roman" w:eastAsia="宋体" w:hAnsi="Times New Roman" w:cs="Times New Roman" w:hint="eastAsia"/>
        </w:rPr>
        <w:t>*</w:t>
      </w:r>
      <w:r>
        <w:rPr>
          <w:rFonts w:ascii="Times New Roman" w:eastAsia="宋体" w:hAnsi="Times New Roman" w:cs="Times New Roman" w:hint="eastAsia"/>
        </w:rPr>
        <w:t>标识的为负向指标，其余为正向指标，括号内是各指标的权重系数。</w:t>
      </w:r>
    </w:p>
    <w:p w14:paraId="194A13F5"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2</w:t>
      </w:r>
      <w:r>
        <w:rPr>
          <w:rFonts w:ascii="Times New Roman" w:hAnsi="Times New Roman" w:cs="Times New Roman"/>
          <w:b/>
          <w:bCs/>
          <w:sz w:val="18"/>
          <w:szCs w:val="18"/>
        </w:rPr>
        <w:fldChar w:fldCharType="end"/>
      </w:r>
      <w:r>
        <w:rPr>
          <w:rFonts w:ascii="黑体" w:hAnsi="黑体" w:cs="黑体"/>
          <w:sz w:val="18"/>
          <w:szCs w:val="18"/>
        </w:rPr>
        <w:t xml:space="preserve">  指标体系</w:t>
      </w:r>
    </w:p>
    <w:p w14:paraId="49EC5021" w14:textId="77777777" w:rsidR="00D15E46" w:rsidRDefault="00000000">
      <w:pPr>
        <w:widowControl/>
        <w:spacing w:line="240" w:lineRule="atLeast"/>
        <w:jc w:val="center"/>
        <w:rPr>
          <w:rFonts w:ascii="黑体" w:eastAsia="黑体" w:hAnsi="黑体" w:cs="黑体" w:hint="eastAsia"/>
          <w:sz w:val="18"/>
          <w:szCs w:val="18"/>
        </w:rPr>
      </w:pPr>
      <w:r>
        <w:rPr>
          <w:rFonts w:ascii="黑体" w:eastAsia="黑体" w:hAnsi="黑体" w:cs="黑体" w:hint="eastAsia"/>
          <w:sz w:val="18"/>
          <w:szCs w:val="18"/>
        </w:rPr>
        <w:object w:dxaOrig="3989" w:dyaOrig="5508" w14:anchorId="1EFE0BE8">
          <v:shape id="_x0000_i1043" type="#_x0000_t75" style="width:199.5pt;height:275.25pt" o:ole="">
            <v:imagedata r:id="rId53" o:title=""/>
            <o:lock v:ext="edit" aspectratio="f"/>
          </v:shape>
          <o:OLEObject Type="Embed" ProgID="Visio.Drawing.15" ShapeID="_x0000_i1043" DrawAspect="Content" ObjectID="_1835357016" r:id="rId54"/>
        </w:object>
      </w:r>
    </w:p>
    <w:p w14:paraId="09CAEFB0"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w:t>
      </w:r>
      <w:r>
        <w:rPr>
          <w:rFonts w:ascii="Times New Roman" w:hAnsi="Times New Roman" w:cs="Times New Roman" w:hint="eastAsia"/>
          <w:szCs w:val="21"/>
        </w:rPr>
        <w:t>BSTIM</w:t>
      </w:r>
      <w:r>
        <w:rPr>
          <w:rFonts w:ascii="Times New Roman" w:hAnsi="Times New Roman" w:cs="Times New Roman" w:hint="eastAsia"/>
          <w:szCs w:val="21"/>
        </w:rPr>
        <w:t>应用</w:t>
      </w:r>
    </w:p>
    <w:p w14:paraId="4959E36A" w14:textId="77777777" w:rsidR="00D15E46" w:rsidRDefault="00000000">
      <w:pPr>
        <w:ind w:firstLineChars="200" w:firstLine="420"/>
      </w:pPr>
      <w:r>
        <w:rPr>
          <w:rFonts w:ascii="宋体" w:eastAsia="宋体" w:hAnsi="宋体" w:cs="宋体" w:hint="eastAsia"/>
          <w:szCs w:val="21"/>
        </w:rPr>
        <w:t>结合上述时空数据与</w:t>
      </w:r>
      <w:r>
        <w:rPr>
          <w:rFonts w:ascii="Times New Roman" w:eastAsia="宋体" w:hAnsi="Times New Roman" w:cs="Times New Roman"/>
          <w:szCs w:val="21"/>
        </w:rPr>
        <w:t>BSTIM</w:t>
      </w:r>
      <w:r>
        <w:rPr>
          <w:rFonts w:ascii="宋体" w:eastAsia="宋体" w:hAnsi="宋体" w:cs="宋体" w:hint="eastAsia"/>
          <w:szCs w:val="21"/>
        </w:rPr>
        <w:t>计算方法，在</w:t>
      </w:r>
      <w:r>
        <w:rPr>
          <w:rFonts w:ascii="Times New Roman" w:eastAsia="宋体" w:hAnsi="Times New Roman" w:cs="Times New Roman"/>
          <w:szCs w:val="21"/>
        </w:rPr>
        <w:t>WinBUGS</w:t>
      </w:r>
      <w:r>
        <w:rPr>
          <w:rFonts w:ascii="宋体" w:eastAsia="宋体" w:hAnsi="宋体" w:cs="宋体" w:hint="eastAsia"/>
          <w:szCs w:val="21"/>
        </w:rPr>
        <w:t>软件中输入时空面板数据与空间邻接信息。本文</w:t>
      </w:r>
      <w:r>
        <w:rPr>
          <w:rFonts w:ascii="Times New Roman" w:hAnsi="Times New Roman" w:cs="Times New Roman" w:hint="eastAsia"/>
        </w:rPr>
        <w:t>采用一条</w:t>
      </w:r>
      <w:r>
        <w:rPr>
          <w:rFonts w:ascii="Times New Roman" w:hAnsi="Times New Roman" w:cs="Times New Roman" w:hint="eastAsia"/>
        </w:rPr>
        <w:t>MCMC</w:t>
      </w:r>
      <w:r>
        <w:rPr>
          <w:rFonts w:ascii="Times New Roman" w:hAnsi="Times New Roman" w:cs="Times New Roman" w:hint="eastAsia"/>
        </w:rPr>
        <w:t>链，预烧期</w:t>
      </w:r>
      <w:r>
        <w:rPr>
          <w:rFonts w:ascii="Times New Roman" w:hAnsi="Times New Roman" w:cs="Times New Roman" w:hint="eastAsia"/>
          <w:i/>
          <w:iCs/>
        </w:rPr>
        <w:t>m</w:t>
      </w:r>
      <w:r>
        <w:rPr>
          <w:rFonts w:ascii="Times New Roman" w:hAnsi="Times New Roman" w:cs="Times New Roman" w:hint="eastAsia"/>
        </w:rPr>
        <w:t>为</w:t>
      </w:r>
      <w:r>
        <w:rPr>
          <w:rFonts w:ascii="Times New Roman" w:hAnsi="Times New Roman" w:cs="Times New Roman" w:hint="eastAsia"/>
        </w:rPr>
        <w:t>1</w:t>
      </w:r>
      <w:r>
        <w:rPr>
          <w:rFonts w:ascii="Times New Roman" w:hAnsi="Times New Roman" w:cs="Times New Roman" w:hint="eastAsia"/>
        </w:rPr>
        <w:t>万次，迭代次数</w:t>
      </w:r>
      <w:r>
        <w:rPr>
          <w:rFonts w:ascii="Times New Roman" w:hAnsi="Times New Roman" w:cs="Times New Roman" w:hint="eastAsia"/>
          <w:i/>
          <w:iCs/>
        </w:rPr>
        <w:t>n</w:t>
      </w:r>
      <w:r>
        <w:rPr>
          <w:rFonts w:ascii="Times New Roman" w:hAnsi="Times New Roman" w:cs="Times New Roman" w:hint="eastAsia"/>
        </w:rPr>
        <w:t>为</w:t>
      </w:r>
      <w:r>
        <w:rPr>
          <w:rFonts w:ascii="Times New Roman" w:hAnsi="Times New Roman" w:cs="Times New Roman" w:hint="eastAsia"/>
        </w:rPr>
        <w:t>5</w:t>
      </w:r>
      <w:r>
        <w:rPr>
          <w:rFonts w:ascii="Times New Roman" w:hAnsi="Times New Roman" w:cs="Times New Roman" w:hint="eastAsia"/>
        </w:rPr>
        <w:t>万次。</w:t>
      </w:r>
      <w:r>
        <w:rPr>
          <w:rFonts w:hint="eastAsia"/>
        </w:rPr>
        <w:t>根据公式（</w:t>
      </w:r>
      <w:r>
        <w:rPr>
          <w:rFonts w:ascii="Times New Roman" w:hAnsi="Times New Roman" w:cs="Times New Roman"/>
        </w:rPr>
        <w:t>2</w:t>
      </w:r>
      <w:r>
        <w:rPr>
          <w:rFonts w:hint="eastAsia"/>
        </w:rPr>
        <w:t>）对城市防洪韧性的</w:t>
      </w:r>
      <w:r>
        <w:rPr>
          <w:rFonts w:ascii="Times New Roman" w:eastAsia="宋体" w:hAnsi="Times New Roman" w:cs="Times New Roman"/>
          <w:i/>
          <w:iCs/>
          <w:szCs w:val="21"/>
        </w:rPr>
        <w:t>VPC</w:t>
      </w:r>
      <w:r>
        <w:rPr>
          <w:rFonts w:ascii="宋体" w:eastAsia="宋体" w:hAnsi="宋体" w:cs="宋体" w:hint="eastAsia"/>
          <w:szCs w:val="21"/>
        </w:rPr>
        <w:t>值进行计算，结果为</w:t>
      </w:r>
      <w:r>
        <w:rPr>
          <w:rFonts w:ascii="Times New Roman" w:eastAsia="宋体" w:hAnsi="Times New Roman" w:cs="Times New Roman"/>
          <w:szCs w:val="21"/>
        </w:rPr>
        <w:t>93.74%</w:t>
      </w:r>
      <w:r>
        <w:rPr>
          <w:rFonts w:ascii="Times New Roman" w:eastAsia="宋体" w:hAnsi="Times New Roman" w:cs="Times New Roman" w:hint="eastAsia"/>
          <w:szCs w:val="21"/>
        </w:rPr>
        <w:t>，说明</w:t>
      </w:r>
      <w:r>
        <w:rPr>
          <w:rFonts w:ascii="Times New Roman" w:hAnsi="Times New Roman" w:cs="Times New Roman"/>
        </w:rPr>
        <w:t>BSTIM</w:t>
      </w:r>
      <w:r>
        <w:rPr>
          <w:rFonts w:hint="eastAsia"/>
        </w:rPr>
        <w:t>对该时空变化的解释度较好。</w:t>
      </w:r>
    </w:p>
    <w:p w14:paraId="1876475B" w14:textId="77777777" w:rsidR="00D15E46" w:rsidRDefault="00000000">
      <w:pPr>
        <w:pStyle w:val="3"/>
        <w:rPr>
          <w:rFonts w:ascii="黑体" w:eastAsia="黑体" w:hAnsi="黑体" w:cs="黑体" w:hint="eastAsia"/>
          <w:b w:val="0"/>
          <w:kern w:val="0"/>
          <w:szCs w:val="21"/>
        </w:rPr>
      </w:pPr>
      <w:r>
        <w:rPr>
          <w:rFonts w:ascii="Times New Roman" w:eastAsia="宋体" w:hAnsi="Times New Roman" w:cs="Times New Roman" w:hint="eastAsia"/>
          <w:kern w:val="0"/>
          <w:szCs w:val="21"/>
        </w:rPr>
        <w:lastRenderedPageBreak/>
        <w:t xml:space="preserve">2.2  </w:t>
      </w:r>
      <w:r>
        <w:rPr>
          <w:rFonts w:ascii="黑体" w:eastAsia="黑体" w:hAnsi="黑体" w:cs="黑体" w:hint="eastAsia"/>
          <w:b w:val="0"/>
          <w:kern w:val="0"/>
          <w:szCs w:val="21"/>
        </w:rPr>
        <w:t>参数解读</w:t>
      </w:r>
    </w:p>
    <w:p w14:paraId="0C9C2C7A"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本文以空间结构效应</w:t>
      </w:r>
      <w:r>
        <w:rPr>
          <w:rFonts w:ascii="Times New Roman" w:hAnsi="Times New Roman" w:cs="Times New Roman" w:hint="eastAsia"/>
          <w:i/>
          <w:iCs/>
          <w:szCs w:val="21"/>
        </w:rPr>
        <w:t>S</w:t>
      </w:r>
      <w:r>
        <w:rPr>
          <w:rFonts w:ascii="Times New Roman" w:hAnsi="Times New Roman" w:cs="Times New Roman" w:hint="eastAsia"/>
          <w:i/>
          <w:iCs/>
          <w:szCs w:val="21"/>
          <w:vertAlign w:val="subscript"/>
        </w:rPr>
        <w:t>i</w:t>
      </w:r>
      <w:r>
        <w:rPr>
          <w:rFonts w:ascii="Times New Roman" w:hAnsi="Times New Roman" w:cs="Times New Roman" w:hint="eastAsia"/>
          <w:szCs w:val="21"/>
        </w:rPr>
        <w:t>为例，进行上海、杭州、南京与合肥共</w:t>
      </w:r>
      <w:r>
        <w:rPr>
          <w:rFonts w:ascii="Times New Roman" w:hAnsi="Times New Roman" w:cs="Times New Roman" w:hint="eastAsia"/>
          <w:szCs w:val="21"/>
        </w:rPr>
        <w:t>4</w:t>
      </w:r>
      <w:r>
        <w:rPr>
          <w:rFonts w:ascii="Times New Roman" w:hAnsi="Times New Roman" w:cs="Times New Roman" w:hint="eastAsia"/>
          <w:szCs w:val="21"/>
        </w:rPr>
        <w:t>个城市的空间格局参数解读与收敛性判断</w:t>
      </w:r>
      <w:r>
        <w:rPr>
          <w:rFonts w:ascii="Times New Roman" w:hAnsi="Times New Roman" w:cs="Times New Roman" w:hint="eastAsia"/>
          <w:szCs w:val="21"/>
        </w:rPr>
        <w:t>(</w:t>
      </w:r>
      <w:r>
        <w:rPr>
          <w:rFonts w:ascii="Times New Roman" w:hAnsi="Times New Roman" w:cs="Times New Roman" w:hint="eastAsia"/>
          <w:szCs w:val="21"/>
        </w:rPr>
        <w:t>见表</w:t>
      </w:r>
      <w:r>
        <w:rPr>
          <w:rFonts w:ascii="Times New Roman" w:hAnsi="Times New Roman" w:cs="Times New Roman" w:hint="eastAsia"/>
          <w:szCs w:val="21"/>
        </w:rPr>
        <w:t>2)</w:t>
      </w:r>
      <w:r>
        <w:rPr>
          <w:rFonts w:ascii="Times New Roman" w:hAnsi="Times New Roman" w:cs="Times New Roman" w:hint="eastAsia"/>
          <w:szCs w:val="21"/>
        </w:rPr>
        <w:t>。由表</w:t>
      </w:r>
      <w:r>
        <w:rPr>
          <w:rFonts w:ascii="Times New Roman" w:hAnsi="Times New Roman" w:cs="Times New Roman" w:hint="eastAsia"/>
          <w:szCs w:val="21"/>
        </w:rPr>
        <w:t>2</w:t>
      </w:r>
      <w:r>
        <w:rPr>
          <w:rFonts w:ascii="Times New Roman" w:hAnsi="Times New Roman" w:cs="Times New Roman" w:hint="eastAsia"/>
          <w:szCs w:val="21"/>
        </w:rPr>
        <w:t>可知，空间结构效应</w:t>
      </w:r>
      <w:r>
        <w:rPr>
          <w:rFonts w:ascii="Times New Roman" w:hAnsi="Times New Roman" w:cs="Times New Roman" w:hint="eastAsia"/>
          <w:i/>
          <w:iCs/>
          <w:szCs w:val="21"/>
        </w:rPr>
        <w:t>S</w:t>
      </w:r>
      <w:r>
        <w:rPr>
          <w:rFonts w:ascii="Times New Roman" w:hAnsi="Times New Roman" w:cs="Times New Roman" w:hint="eastAsia"/>
          <w:i/>
          <w:iCs/>
          <w:szCs w:val="21"/>
          <w:vertAlign w:val="subscript"/>
        </w:rPr>
        <w:t>i</w:t>
      </w:r>
      <w:r>
        <w:rPr>
          <w:rFonts w:ascii="Times New Roman" w:hAnsi="Times New Roman" w:cs="Times New Roman" w:hint="eastAsia"/>
          <w:szCs w:val="21"/>
        </w:rPr>
        <w:t>的</w:t>
      </w:r>
      <w:r>
        <w:rPr>
          <w:rFonts w:ascii="Times New Roman" w:hAnsi="Times New Roman" w:cs="Times New Roman" w:hint="eastAsia"/>
          <w:szCs w:val="21"/>
        </w:rPr>
        <w:t>后验概率分布形态近似服从正态分布特征，</w:t>
      </w:r>
      <w:r>
        <w:rPr>
          <w:rFonts w:ascii="Times New Roman" w:hAnsi="Times New Roman" w:cs="Times New Roman" w:hint="eastAsia"/>
          <w:szCs w:val="21"/>
        </w:rPr>
        <w:t>MCMC</w:t>
      </w:r>
      <w:r>
        <w:rPr>
          <w:rFonts w:ascii="Times New Roman" w:hAnsi="Times New Roman" w:cs="Times New Roman" w:hint="eastAsia"/>
          <w:szCs w:val="21"/>
        </w:rPr>
        <w:t>链的收敛性较好，即形成了稳定的空间格局。其余参数同样以上述三种方式进行收敛性判断，经检验，</w:t>
      </w:r>
      <w:r>
        <w:rPr>
          <w:rFonts w:ascii="Times New Roman" w:hAnsi="Times New Roman" w:cs="Times New Roman" w:hint="eastAsia"/>
          <w:szCs w:val="21"/>
        </w:rPr>
        <w:t>MCMC</w:t>
      </w:r>
      <w:r>
        <w:rPr>
          <w:rFonts w:ascii="Times New Roman" w:hAnsi="Times New Roman" w:cs="Times New Roman" w:hint="eastAsia"/>
          <w:szCs w:val="21"/>
        </w:rPr>
        <w:t>链的收敛性良好，结果可信度较高。</w:t>
      </w:r>
    </w:p>
    <w:p w14:paraId="5E63038F" w14:textId="77777777" w:rsidR="00D15E46" w:rsidRDefault="00D15E46">
      <w:pPr>
        <w:widowControl/>
        <w:spacing w:line="240" w:lineRule="atLeast"/>
        <w:jc w:val="center"/>
        <w:rPr>
          <w:rFonts w:ascii="Times New Roman" w:eastAsia="宋体" w:hAnsi="Times New Roman" w:cs="Times New Roman"/>
          <w:b/>
          <w:sz w:val="18"/>
          <w:szCs w:val="18"/>
        </w:rPr>
        <w:sectPr w:rsidR="00D15E46">
          <w:type w:val="continuous"/>
          <w:pgSz w:w="11906" w:h="16838"/>
          <w:pgMar w:top="1440" w:right="1106" w:bottom="1440" w:left="1106" w:header="851" w:footer="992" w:gutter="0"/>
          <w:cols w:num="2" w:space="720" w:equalWidth="0">
            <w:col w:w="4634" w:space="425"/>
            <w:col w:w="4634"/>
          </w:cols>
          <w:titlePg/>
          <w:docGrid w:type="linesAndChars" w:linePitch="312"/>
        </w:sectPr>
      </w:pPr>
    </w:p>
    <w:p w14:paraId="178C6A7B" w14:textId="77777777" w:rsidR="00D15E46" w:rsidRDefault="00000000">
      <w:pPr>
        <w:widowControl/>
        <w:spacing w:line="240" w:lineRule="atLeast"/>
        <w:jc w:val="center"/>
      </w:pPr>
      <w:r>
        <w:rPr>
          <w:rFonts w:ascii="黑体" w:eastAsia="黑体" w:hAnsi="黑体" w:cs="黑体" w:hint="eastAsia"/>
          <w:bCs/>
          <w:sz w:val="18"/>
          <w:szCs w:val="18"/>
        </w:rPr>
        <w:t>表</w:t>
      </w:r>
      <w:r>
        <w:rPr>
          <w:rFonts w:ascii="Times New Roman" w:eastAsia="宋体" w:hAnsi="Times New Roman" w:cs="Times New Roman"/>
          <w:b/>
          <w:sz w:val="18"/>
          <w:szCs w:val="18"/>
        </w:rPr>
        <w:t xml:space="preserve"> </w:t>
      </w:r>
      <w:r>
        <w:rPr>
          <w:rFonts w:ascii="Times New Roman" w:eastAsia="宋体" w:hAnsi="Times New Roman" w:cs="Times New Roman"/>
          <w:b/>
          <w:sz w:val="18"/>
          <w:szCs w:val="18"/>
        </w:rPr>
        <w:fldChar w:fldCharType="begin"/>
      </w:r>
      <w:r>
        <w:rPr>
          <w:rFonts w:ascii="Times New Roman" w:eastAsia="宋体" w:hAnsi="Times New Roman" w:cs="Times New Roman"/>
          <w:b/>
          <w:sz w:val="18"/>
          <w:szCs w:val="18"/>
        </w:rPr>
        <w:instrText xml:space="preserve"> SEQ </w:instrText>
      </w:r>
      <w:r>
        <w:rPr>
          <w:rFonts w:ascii="Times New Roman" w:eastAsia="宋体" w:hAnsi="Times New Roman" w:cs="Times New Roman"/>
          <w:b/>
          <w:sz w:val="18"/>
          <w:szCs w:val="18"/>
        </w:rPr>
        <w:instrText>表</w:instrText>
      </w:r>
      <w:r>
        <w:rPr>
          <w:rFonts w:ascii="Times New Roman" w:eastAsia="宋体" w:hAnsi="Times New Roman" w:cs="Times New Roman"/>
          <w:b/>
          <w:sz w:val="18"/>
          <w:szCs w:val="18"/>
        </w:rPr>
        <w:instrText xml:space="preserve"> \* ARABIC </w:instrText>
      </w:r>
      <w:r>
        <w:rPr>
          <w:rFonts w:ascii="Times New Roman" w:eastAsia="宋体" w:hAnsi="Times New Roman" w:cs="Times New Roman"/>
          <w:b/>
          <w:sz w:val="18"/>
          <w:szCs w:val="18"/>
        </w:rPr>
        <w:fldChar w:fldCharType="separate"/>
      </w:r>
      <w:r>
        <w:rPr>
          <w:rFonts w:ascii="Times New Roman" w:eastAsia="宋体" w:hAnsi="Times New Roman" w:cs="Times New Roman"/>
          <w:b/>
          <w:sz w:val="18"/>
          <w:szCs w:val="18"/>
        </w:rPr>
        <w:t>2</w:t>
      </w:r>
      <w:r>
        <w:rPr>
          <w:rFonts w:ascii="Times New Roman" w:eastAsia="宋体" w:hAnsi="Times New Roman" w:cs="Times New Roman"/>
          <w:b/>
          <w:sz w:val="18"/>
          <w:szCs w:val="18"/>
        </w:rPr>
        <w:fldChar w:fldCharType="end"/>
      </w:r>
      <w:r>
        <w:rPr>
          <w:rFonts w:ascii="Times New Roman" w:eastAsia="宋体" w:hAnsi="Times New Roman" w:cs="Times New Roman" w:hint="eastAsia"/>
          <w:b/>
          <w:sz w:val="18"/>
          <w:szCs w:val="18"/>
        </w:rPr>
        <w:t xml:space="preserve">  </w:t>
      </w:r>
      <w:r>
        <w:rPr>
          <w:rFonts w:ascii="Times New Roman" w:eastAsia="宋体" w:hAnsi="Times New Roman" w:cs="Times New Roman" w:hint="eastAsia"/>
          <w:b/>
          <w:i/>
          <w:iCs/>
          <w:sz w:val="18"/>
          <w:szCs w:val="18"/>
        </w:rPr>
        <w:t>S</w:t>
      </w:r>
      <w:r>
        <w:rPr>
          <w:rFonts w:ascii="Times New Roman" w:eastAsia="宋体" w:hAnsi="Times New Roman" w:cs="Times New Roman" w:hint="eastAsia"/>
          <w:b/>
          <w:i/>
          <w:iCs/>
          <w:sz w:val="18"/>
          <w:szCs w:val="18"/>
          <w:vertAlign w:val="subscript"/>
        </w:rPr>
        <w:t>i</w:t>
      </w:r>
      <w:r>
        <w:rPr>
          <w:rFonts w:ascii="黑体" w:eastAsia="黑体" w:hAnsi="黑体" w:cs="黑体" w:hint="eastAsia"/>
          <w:bCs/>
          <w:sz w:val="18"/>
          <w:szCs w:val="18"/>
        </w:rPr>
        <w:t>的后验分布结果</w:t>
      </w:r>
    </w:p>
    <w:tbl>
      <w:tblPr>
        <w:tblStyle w:val="af0"/>
        <w:tblpPr w:leftFromText="180" w:rightFromText="180" w:vertAnchor="page" w:horzAnchor="page" w:tblpXSpec="center" w:tblpY="4756"/>
        <w:tblOverlap w:val="never"/>
        <w:tblW w:w="5892" w:type="pct"/>
        <w:jc w:val="center"/>
        <w:tblBorders>
          <w:top w:val="none" w:sz="0" w:space="0" w:color="auto"/>
          <w:left w:val="none" w:sz="0" w:space="0" w:color="auto"/>
          <w:bottom w:val="none" w:sz="0" w:space="0" w:color="auto"/>
          <w:right w:val="none" w:sz="0" w:space="0" w:color="auto"/>
          <w:insideH w:val="single" w:sz="8" w:space="0" w:color="auto"/>
          <w:insideV w:val="single" w:sz="8" w:space="0" w:color="auto"/>
        </w:tblBorders>
        <w:tblLayout w:type="fixed"/>
        <w:tblLook w:val="04A0" w:firstRow="1" w:lastRow="0" w:firstColumn="1" w:lastColumn="0" w:noHBand="0" w:noVBand="1"/>
      </w:tblPr>
      <w:tblGrid>
        <w:gridCol w:w="321"/>
        <w:gridCol w:w="1376"/>
        <w:gridCol w:w="835"/>
        <w:gridCol w:w="964"/>
        <w:gridCol w:w="3845"/>
        <w:gridCol w:w="2056"/>
        <w:gridCol w:w="2026"/>
      </w:tblGrid>
      <w:tr w:rsidR="00D15E46" w14:paraId="00889273" w14:textId="77777777">
        <w:trPr>
          <w:trHeight w:val="769"/>
          <w:jc w:val="center"/>
        </w:trPr>
        <w:tc>
          <w:tcPr>
            <w:tcW w:w="140" w:type="pct"/>
            <w:tcBorders>
              <w:top w:val="single" w:sz="12" w:space="0" w:color="auto"/>
            </w:tcBorders>
            <w:vAlign w:val="center"/>
          </w:tcPr>
          <w:p w14:paraId="00DDA8E2"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城市</w:t>
            </w:r>
            <w:r>
              <w:rPr>
                <w:rFonts w:ascii="Times New Roman" w:eastAsia="宋体" w:hAnsi="Times New Roman" w:cs="Times New Roman" w:hint="eastAsia"/>
                <w:i/>
                <w:iCs/>
                <w:sz w:val="18"/>
                <w:szCs w:val="18"/>
              </w:rPr>
              <w:t>i</w:t>
            </w:r>
          </w:p>
        </w:tc>
        <w:tc>
          <w:tcPr>
            <w:tcW w:w="602" w:type="pct"/>
            <w:tcBorders>
              <w:top w:val="single" w:sz="12" w:space="0" w:color="auto"/>
            </w:tcBorders>
            <w:vAlign w:val="center"/>
          </w:tcPr>
          <w:p w14:paraId="52A4A26B"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i/>
                <w:iCs/>
                <w:sz w:val="18"/>
                <w:szCs w:val="18"/>
              </w:rPr>
              <w:t>S</w:t>
            </w:r>
            <w:r>
              <w:rPr>
                <w:rFonts w:ascii="Times New Roman" w:eastAsia="宋体" w:hAnsi="Times New Roman" w:cs="Times New Roman" w:hint="eastAsia"/>
                <w:i/>
                <w:iCs/>
                <w:sz w:val="18"/>
                <w:szCs w:val="18"/>
                <w:vertAlign w:val="subscript"/>
              </w:rPr>
              <w:t>i</w:t>
            </w:r>
            <w:r>
              <w:rPr>
                <w:rFonts w:ascii="Times New Roman" w:eastAsia="宋体" w:hAnsi="Times New Roman" w:cs="Times New Roman" w:hint="eastAsia"/>
                <w:sz w:val="18"/>
                <w:szCs w:val="18"/>
              </w:rPr>
              <w:t>的后验中值</w:t>
            </w:r>
          </w:p>
          <w:p w14:paraId="10F7C52E"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(95%</w:t>
            </w:r>
            <w:r>
              <w:rPr>
                <w:rFonts w:ascii="Times New Roman" w:eastAsia="宋体" w:hAnsi="Times New Roman" w:cs="Times New Roman" w:hint="eastAsia"/>
                <w:sz w:val="18"/>
                <w:szCs w:val="18"/>
              </w:rPr>
              <w:t>置信区间</w:t>
            </w:r>
            <w:r>
              <w:rPr>
                <w:rFonts w:ascii="Times New Roman" w:eastAsia="宋体" w:hAnsi="Times New Roman" w:cs="Times New Roman" w:hint="eastAsia"/>
                <w:sz w:val="18"/>
                <w:szCs w:val="18"/>
              </w:rPr>
              <w:t>)</w:t>
            </w:r>
          </w:p>
        </w:tc>
        <w:tc>
          <w:tcPr>
            <w:tcW w:w="365" w:type="pct"/>
            <w:tcBorders>
              <w:top w:val="single" w:sz="12" w:space="0" w:color="auto"/>
            </w:tcBorders>
            <w:vAlign w:val="center"/>
          </w:tcPr>
          <w:p w14:paraId="0C5440A5"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i/>
                <w:iCs/>
                <w:sz w:val="18"/>
                <w:szCs w:val="18"/>
              </w:rPr>
              <w:t>S</w:t>
            </w:r>
            <w:r>
              <w:rPr>
                <w:rFonts w:ascii="Times New Roman" w:eastAsia="宋体" w:hAnsi="Times New Roman" w:cs="Times New Roman" w:hint="eastAsia"/>
                <w:i/>
                <w:iCs/>
                <w:sz w:val="18"/>
                <w:szCs w:val="18"/>
                <w:vertAlign w:val="subscript"/>
              </w:rPr>
              <w:t>i</w:t>
            </w:r>
            <w:r>
              <w:rPr>
                <w:rFonts w:ascii="Times New Roman" w:eastAsia="宋体" w:hAnsi="Times New Roman" w:cs="Times New Roman" w:hint="eastAsia"/>
                <w:sz w:val="18"/>
                <w:szCs w:val="18"/>
              </w:rPr>
              <w:t>的</w:t>
            </w:r>
          </w:p>
          <w:p w14:paraId="17409FA2"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标准差</w:t>
            </w:r>
          </w:p>
        </w:tc>
        <w:tc>
          <w:tcPr>
            <w:tcW w:w="422" w:type="pct"/>
            <w:tcBorders>
              <w:top w:val="single" w:sz="12" w:space="0" w:color="auto"/>
            </w:tcBorders>
            <w:vAlign w:val="center"/>
          </w:tcPr>
          <w:p w14:paraId="2538CB57"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exp(</w:t>
            </w:r>
            <w:r>
              <w:rPr>
                <w:rFonts w:ascii="Times New Roman" w:eastAsia="宋体" w:hAnsi="Times New Roman" w:cs="Times New Roman" w:hint="eastAsia"/>
                <w:i/>
                <w:iCs/>
                <w:sz w:val="18"/>
                <w:szCs w:val="18"/>
              </w:rPr>
              <w:t>S</w:t>
            </w:r>
            <w:r>
              <w:rPr>
                <w:rFonts w:ascii="Times New Roman" w:eastAsia="宋体" w:hAnsi="Times New Roman" w:cs="Times New Roman" w:hint="eastAsia"/>
                <w:i/>
                <w:iCs/>
                <w:sz w:val="18"/>
                <w:szCs w:val="18"/>
                <w:vertAlign w:val="subscript"/>
              </w:rPr>
              <w:t>i</w:t>
            </w:r>
            <w:r>
              <w:rPr>
                <w:rFonts w:ascii="Times New Roman" w:eastAsia="宋体" w:hAnsi="Times New Roman" w:cs="Times New Roman" w:hint="eastAsia"/>
                <w:sz w:val="18"/>
                <w:szCs w:val="18"/>
              </w:rPr>
              <w:t>)&gt;1</w:t>
            </w:r>
            <w:r>
              <w:rPr>
                <w:rFonts w:ascii="Times New Roman" w:eastAsia="宋体" w:hAnsi="Times New Roman" w:cs="Times New Roman" w:hint="eastAsia"/>
                <w:sz w:val="18"/>
                <w:szCs w:val="18"/>
              </w:rPr>
              <w:t>的后验</w:t>
            </w:r>
          </w:p>
          <w:p w14:paraId="0EDD9902"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概率估计</w:t>
            </w:r>
          </w:p>
        </w:tc>
        <w:tc>
          <w:tcPr>
            <w:tcW w:w="1682" w:type="pct"/>
            <w:tcBorders>
              <w:top w:val="single" w:sz="12" w:space="0" w:color="auto"/>
            </w:tcBorders>
            <w:vAlign w:val="center"/>
          </w:tcPr>
          <w:p w14:paraId="66439161"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时间序列图</w:t>
            </w:r>
          </w:p>
          <w:p w14:paraId="492D2428"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(History)</w:t>
            </w:r>
          </w:p>
        </w:tc>
        <w:tc>
          <w:tcPr>
            <w:tcW w:w="899" w:type="pct"/>
            <w:tcBorders>
              <w:top w:val="single" w:sz="12" w:space="0" w:color="auto"/>
            </w:tcBorders>
            <w:vAlign w:val="center"/>
          </w:tcPr>
          <w:p w14:paraId="63D0FE47"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运行分位数</w:t>
            </w:r>
          </w:p>
          <w:p w14:paraId="63B7CB46"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(Running quantiles)</w:t>
            </w:r>
          </w:p>
        </w:tc>
        <w:tc>
          <w:tcPr>
            <w:tcW w:w="886" w:type="pct"/>
            <w:tcBorders>
              <w:top w:val="single" w:sz="12" w:space="0" w:color="auto"/>
            </w:tcBorders>
            <w:vAlign w:val="center"/>
          </w:tcPr>
          <w:p w14:paraId="1CFE2256"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核密度估计</w:t>
            </w:r>
          </w:p>
          <w:p w14:paraId="5C77F1EA"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(Density)</w:t>
            </w:r>
          </w:p>
        </w:tc>
      </w:tr>
      <w:tr w:rsidR="00D15E46" w14:paraId="5C0AE1CC" w14:textId="77777777">
        <w:trPr>
          <w:trHeight w:val="1104"/>
          <w:jc w:val="center"/>
        </w:trPr>
        <w:tc>
          <w:tcPr>
            <w:tcW w:w="140" w:type="pct"/>
            <w:vAlign w:val="center"/>
          </w:tcPr>
          <w:p w14:paraId="12670399"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上海</w:t>
            </w:r>
          </w:p>
        </w:tc>
        <w:tc>
          <w:tcPr>
            <w:tcW w:w="602" w:type="pct"/>
            <w:vAlign w:val="center"/>
          </w:tcPr>
          <w:p w14:paraId="1501B271"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0.9421</w:t>
            </w:r>
          </w:p>
          <w:p w14:paraId="7D275E52"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(0.9178,0.9624)</w:t>
            </w:r>
          </w:p>
        </w:tc>
        <w:tc>
          <w:tcPr>
            <w:tcW w:w="365" w:type="pct"/>
            <w:vAlign w:val="center"/>
          </w:tcPr>
          <w:p w14:paraId="6A5A59FF"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0.01187</w:t>
            </w:r>
          </w:p>
        </w:tc>
        <w:tc>
          <w:tcPr>
            <w:tcW w:w="422" w:type="pct"/>
            <w:vAlign w:val="center"/>
          </w:tcPr>
          <w:p w14:paraId="273B8AF1"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1</w:t>
            </w:r>
          </w:p>
        </w:tc>
        <w:tc>
          <w:tcPr>
            <w:tcW w:w="1682" w:type="pct"/>
            <w:vAlign w:val="center"/>
          </w:tcPr>
          <w:p w14:paraId="324E0A55"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131B8B24" wp14:editId="22B59EF9">
                  <wp:extent cx="2411730" cy="720725"/>
                  <wp:effectExtent l="0" t="0" r="11430" b="10795"/>
                  <wp:docPr id="15" name="图片 38" descr="S_上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8" descr="S_上海"/>
                          <pic:cNvPicPr>
                            <a:picLocks noChangeAspect="1"/>
                          </pic:cNvPicPr>
                        </pic:nvPicPr>
                        <pic:blipFill>
                          <a:blip r:embed="rId55"/>
                          <a:stretch>
                            <a:fillRect/>
                          </a:stretch>
                        </pic:blipFill>
                        <pic:spPr>
                          <a:xfrm>
                            <a:off x="0" y="0"/>
                            <a:ext cx="2411730" cy="720725"/>
                          </a:xfrm>
                          <a:prstGeom prst="rect">
                            <a:avLst/>
                          </a:prstGeom>
                          <a:noFill/>
                          <a:ln>
                            <a:noFill/>
                          </a:ln>
                        </pic:spPr>
                      </pic:pic>
                    </a:graphicData>
                  </a:graphic>
                </wp:inline>
              </w:drawing>
            </w:r>
          </w:p>
        </w:tc>
        <w:tc>
          <w:tcPr>
            <w:tcW w:w="899" w:type="pct"/>
            <w:vAlign w:val="center"/>
          </w:tcPr>
          <w:p w14:paraId="76EF1CFE"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2CA08775" wp14:editId="2579548B">
                  <wp:extent cx="1247140" cy="723900"/>
                  <wp:effectExtent l="0" t="0" r="2540" b="7620"/>
                  <wp:docPr id="16" name="图片 39" descr="[Running quantiles]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9" descr="[Running quantiles]_1"/>
                          <pic:cNvPicPr>
                            <a:picLocks noChangeAspect="1"/>
                          </pic:cNvPicPr>
                        </pic:nvPicPr>
                        <pic:blipFill>
                          <a:blip r:embed="rId56"/>
                          <a:stretch>
                            <a:fillRect/>
                          </a:stretch>
                        </pic:blipFill>
                        <pic:spPr>
                          <a:xfrm>
                            <a:off x="0" y="0"/>
                            <a:ext cx="1247140" cy="723900"/>
                          </a:xfrm>
                          <a:prstGeom prst="rect">
                            <a:avLst/>
                          </a:prstGeom>
                          <a:noFill/>
                          <a:ln>
                            <a:noFill/>
                          </a:ln>
                        </pic:spPr>
                      </pic:pic>
                    </a:graphicData>
                  </a:graphic>
                </wp:inline>
              </w:drawing>
            </w:r>
          </w:p>
        </w:tc>
        <w:tc>
          <w:tcPr>
            <w:tcW w:w="886" w:type="pct"/>
            <w:vAlign w:val="center"/>
          </w:tcPr>
          <w:p w14:paraId="4E382C5E"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3AAD2573" wp14:editId="1F827529">
                  <wp:extent cx="1231265" cy="606425"/>
                  <wp:effectExtent l="0" t="0" r="3175" b="3175"/>
                  <wp:docPr id="19" name="图片 40" descr="[Kernel density]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0" descr="[Kernel density]_1"/>
                          <pic:cNvPicPr>
                            <a:picLocks noChangeAspect="1"/>
                          </pic:cNvPicPr>
                        </pic:nvPicPr>
                        <pic:blipFill>
                          <a:blip r:embed="rId57"/>
                          <a:stretch>
                            <a:fillRect/>
                          </a:stretch>
                        </pic:blipFill>
                        <pic:spPr>
                          <a:xfrm>
                            <a:off x="0" y="0"/>
                            <a:ext cx="1231265" cy="606425"/>
                          </a:xfrm>
                          <a:prstGeom prst="rect">
                            <a:avLst/>
                          </a:prstGeom>
                          <a:noFill/>
                          <a:ln>
                            <a:noFill/>
                          </a:ln>
                        </pic:spPr>
                      </pic:pic>
                    </a:graphicData>
                  </a:graphic>
                </wp:inline>
              </w:drawing>
            </w:r>
          </w:p>
        </w:tc>
      </w:tr>
      <w:tr w:rsidR="00D15E46" w14:paraId="056C268F" w14:textId="77777777">
        <w:trPr>
          <w:trHeight w:val="1028"/>
          <w:jc w:val="center"/>
        </w:trPr>
        <w:tc>
          <w:tcPr>
            <w:tcW w:w="140" w:type="pct"/>
            <w:vAlign w:val="center"/>
          </w:tcPr>
          <w:p w14:paraId="28852C2C"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杭州</w:t>
            </w:r>
          </w:p>
        </w:tc>
        <w:tc>
          <w:tcPr>
            <w:tcW w:w="602" w:type="pct"/>
            <w:vAlign w:val="center"/>
          </w:tcPr>
          <w:p w14:paraId="17FC5E64"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0.3666</w:t>
            </w:r>
          </w:p>
          <w:p w14:paraId="47BDE3F7"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(0.3378,0.3962)</w:t>
            </w:r>
          </w:p>
        </w:tc>
        <w:tc>
          <w:tcPr>
            <w:tcW w:w="365" w:type="pct"/>
            <w:vAlign w:val="center"/>
          </w:tcPr>
          <w:p w14:paraId="5ADF5910"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0.0149</w:t>
            </w:r>
          </w:p>
        </w:tc>
        <w:tc>
          <w:tcPr>
            <w:tcW w:w="422" w:type="pct"/>
            <w:vAlign w:val="center"/>
          </w:tcPr>
          <w:p w14:paraId="4568AEF4"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1</w:t>
            </w:r>
          </w:p>
        </w:tc>
        <w:tc>
          <w:tcPr>
            <w:tcW w:w="1682" w:type="pct"/>
            <w:vAlign w:val="center"/>
          </w:tcPr>
          <w:p w14:paraId="5C0C8EF2"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6AD56B33" wp14:editId="187E8468">
                  <wp:extent cx="2410460" cy="720090"/>
                  <wp:effectExtent l="0" t="0" r="12700" b="11430"/>
                  <wp:docPr id="18" name="图片 41" descr="S_杭州"/>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1" descr="S_杭州"/>
                          <pic:cNvPicPr>
                            <a:picLocks noChangeAspect="1"/>
                          </pic:cNvPicPr>
                        </pic:nvPicPr>
                        <pic:blipFill>
                          <a:blip r:embed="rId58"/>
                          <a:stretch>
                            <a:fillRect/>
                          </a:stretch>
                        </pic:blipFill>
                        <pic:spPr>
                          <a:xfrm>
                            <a:off x="0" y="0"/>
                            <a:ext cx="2410460" cy="720090"/>
                          </a:xfrm>
                          <a:prstGeom prst="rect">
                            <a:avLst/>
                          </a:prstGeom>
                          <a:noFill/>
                          <a:ln>
                            <a:noFill/>
                          </a:ln>
                        </pic:spPr>
                      </pic:pic>
                    </a:graphicData>
                  </a:graphic>
                </wp:inline>
              </w:drawing>
            </w:r>
          </w:p>
        </w:tc>
        <w:tc>
          <w:tcPr>
            <w:tcW w:w="899" w:type="pct"/>
            <w:vAlign w:val="center"/>
          </w:tcPr>
          <w:p w14:paraId="68D4BE9E"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48AA4D71" wp14:editId="4869C2B7">
                  <wp:extent cx="1249045" cy="724535"/>
                  <wp:effectExtent l="0" t="0" r="635" b="6985"/>
                  <wp:docPr id="17" name="图片 42" descr="[Running quantiles]_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2" descr="[Running quantiles]_22"/>
                          <pic:cNvPicPr>
                            <a:picLocks noChangeAspect="1"/>
                          </pic:cNvPicPr>
                        </pic:nvPicPr>
                        <pic:blipFill>
                          <a:blip r:embed="rId59"/>
                          <a:stretch>
                            <a:fillRect/>
                          </a:stretch>
                        </pic:blipFill>
                        <pic:spPr>
                          <a:xfrm>
                            <a:off x="0" y="0"/>
                            <a:ext cx="1249045" cy="724535"/>
                          </a:xfrm>
                          <a:prstGeom prst="rect">
                            <a:avLst/>
                          </a:prstGeom>
                          <a:noFill/>
                          <a:ln>
                            <a:noFill/>
                          </a:ln>
                        </pic:spPr>
                      </pic:pic>
                    </a:graphicData>
                  </a:graphic>
                </wp:inline>
              </w:drawing>
            </w:r>
          </w:p>
        </w:tc>
        <w:tc>
          <w:tcPr>
            <w:tcW w:w="886" w:type="pct"/>
            <w:vAlign w:val="center"/>
          </w:tcPr>
          <w:p w14:paraId="44A19208"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1C5FB814" wp14:editId="1F25A9B0">
                  <wp:extent cx="1229995" cy="605790"/>
                  <wp:effectExtent l="0" t="0" r="4445" b="3810"/>
                  <wp:docPr id="20" name="图片 43" descr="[Kernel density]_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3" descr="[Kernel density]_22"/>
                          <pic:cNvPicPr>
                            <a:picLocks noChangeAspect="1"/>
                          </pic:cNvPicPr>
                        </pic:nvPicPr>
                        <pic:blipFill>
                          <a:blip r:embed="rId60"/>
                          <a:stretch>
                            <a:fillRect/>
                          </a:stretch>
                        </pic:blipFill>
                        <pic:spPr>
                          <a:xfrm>
                            <a:off x="0" y="0"/>
                            <a:ext cx="1229995" cy="605790"/>
                          </a:xfrm>
                          <a:prstGeom prst="rect">
                            <a:avLst/>
                          </a:prstGeom>
                          <a:noFill/>
                          <a:ln>
                            <a:noFill/>
                          </a:ln>
                        </pic:spPr>
                      </pic:pic>
                    </a:graphicData>
                  </a:graphic>
                </wp:inline>
              </w:drawing>
            </w:r>
          </w:p>
        </w:tc>
      </w:tr>
      <w:tr w:rsidR="00D15E46" w14:paraId="686BA33A" w14:textId="77777777">
        <w:trPr>
          <w:trHeight w:val="1066"/>
          <w:jc w:val="center"/>
        </w:trPr>
        <w:tc>
          <w:tcPr>
            <w:tcW w:w="140" w:type="pct"/>
            <w:vAlign w:val="center"/>
          </w:tcPr>
          <w:p w14:paraId="210FF3C6"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南京</w:t>
            </w:r>
          </w:p>
        </w:tc>
        <w:tc>
          <w:tcPr>
            <w:tcW w:w="602" w:type="pct"/>
            <w:vAlign w:val="center"/>
          </w:tcPr>
          <w:p w14:paraId="7C07B2C4"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0.5532</w:t>
            </w:r>
          </w:p>
          <w:p w14:paraId="4E62001D"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(0.5303,0.5815)</w:t>
            </w:r>
          </w:p>
        </w:tc>
        <w:tc>
          <w:tcPr>
            <w:tcW w:w="365" w:type="pct"/>
            <w:vAlign w:val="center"/>
          </w:tcPr>
          <w:p w14:paraId="20AB3C91"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0.01402</w:t>
            </w:r>
          </w:p>
        </w:tc>
        <w:tc>
          <w:tcPr>
            <w:tcW w:w="422" w:type="pct"/>
            <w:vAlign w:val="center"/>
          </w:tcPr>
          <w:p w14:paraId="643F4CF5"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1</w:t>
            </w:r>
          </w:p>
        </w:tc>
        <w:tc>
          <w:tcPr>
            <w:tcW w:w="1682" w:type="pct"/>
            <w:vAlign w:val="center"/>
          </w:tcPr>
          <w:p w14:paraId="6B783B60"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02EB974A" wp14:editId="231796E6">
                  <wp:extent cx="2410460" cy="720090"/>
                  <wp:effectExtent l="0" t="0" r="12700" b="11430"/>
                  <wp:docPr id="21" name="图片 44" descr="S_南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44" descr="S_南京"/>
                          <pic:cNvPicPr>
                            <a:picLocks noChangeAspect="1"/>
                          </pic:cNvPicPr>
                        </pic:nvPicPr>
                        <pic:blipFill>
                          <a:blip r:embed="rId61"/>
                          <a:stretch>
                            <a:fillRect/>
                          </a:stretch>
                        </pic:blipFill>
                        <pic:spPr>
                          <a:xfrm>
                            <a:off x="0" y="0"/>
                            <a:ext cx="2410460" cy="720090"/>
                          </a:xfrm>
                          <a:prstGeom prst="rect">
                            <a:avLst/>
                          </a:prstGeom>
                          <a:noFill/>
                          <a:ln>
                            <a:noFill/>
                          </a:ln>
                        </pic:spPr>
                      </pic:pic>
                    </a:graphicData>
                  </a:graphic>
                </wp:inline>
              </w:drawing>
            </w:r>
          </w:p>
        </w:tc>
        <w:tc>
          <w:tcPr>
            <w:tcW w:w="899" w:type="pct"/>
            <w:vAlign w:val="center"/>
          </w:tcPr>
          <w:p w14:paraId="7E8AD30C"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5B04C50E" wp14:editId="61089036">
                  <wp:extent cx="1249045" cy="724535"/>
                  <wp:effectExtent l="0" t="0" r="635" b="6985"/>
                  <wp:docPr id="22" name="图片 45" descr="[Running quantiles]_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5" descr="[Running quantiles]_37"/>
                          <pic:cNvPicPr>
                            <a:picLocks noChangeAspect="1"/>
                          </pic:cNvPicPr>
                        </pic:nvPicPr>
                        <pic:blipFill>
                          <a:blip r:embed="rId62"/>
                          <a:stretch>
                            <a:fillRect/>
                          </a:stretch>
                        </pic:blipFill>
                        <pic:spPr>
                          <a:xfrm>
                            <a:off x="0" y="0"/>
                            <a:ext cx="1249045" cy="724535"/>
                          </a:xfrm>
                          <a:prstGeom prst="rect">
                            <a:avLst/>
                          </a:prstGeom>
                          <a:noFill/>
                          <a:ln>
                            <a:noFill/>
                          </a:ln>
                        </pic:spPr>
                      </pic:pic>
                    </a:graphicData>
                  </a:graphic>
                </wp:inline>
              </w:drawing>
            </w:r>
          </w:p>
        </w:tc>
        <w:tc>
          <w:tcPr>
            <w:tcW w:w="886" w:type="pct"/>
            <w:vAlign w:val="center"/>
          </w:tcPr>
          <w:p w14:paraId="2ECF7942"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20915790" wp14:editId="02D8F107">
                  <wp:extent cx="1229995" cy="605790"/>
                  <wp:effectExtent l="0" t="0" r="4445" b="3810"/>
                  <wp:docPr id="23" name="图片 46" descr="[Kernel density]_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6" descr="[Kernel density]_37"/>
                          <pic:cNvPicPr>
                            <a:picLocks noChangeAspect="1"/>
                          </pic:cNvPicPr>
                        </pic:nvPicPr>
                        <pic:blipFill>
                          <a:blip r:embed="rId63"/>
                          <a:stretch>
                            <a:fillRect/>
                          </a:stretch>
                        </pic:blipFill>
                        <pic:spPr>
                          <a:xfrm>
                            <a:off x="0" y="0"/>
                            <a:ext cx="1229995" cy="605790"/>
                          </a:xfrm>
                          <a:prstGeom prst="rect">
                            <a:avLst/>
                          </a:prstGeom>
                          <a:noFill/>
                          <a:ln>
                            <a:noFill/>
                          </a:ln>
                        </pic:spPr>
                      </pic:pic>
                    </a:graphicData>
                  </a:graphic>
                </wp:inline>
              </w:drawing>
            </w:r>
          </w:p>
        </w:tc>
      </w:tr>
      <w:tr w:rsidR="00D15E46" w14:paraId="4F0599D7" w14:textId="77777777">
        <w:trPr>
          <w:trHeight w:val="1175"/>
          <w:jc w:val="center"/>
        </w:trPr>
        <w:tc>
          <w:tcPr>
            <w:tcW w:w="140" w:type="pct"/>
            <w:tcBorders>
              <w:bottom w:val="single" w:sz="12" w:space="0" w:color="auto"/>
            </w:tcBorders>
            <w:vAlign w:val="center"/>
          </w:tcPr>
          <w:p w14:paraId="0461E880"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合肥</w:t>
            </w:r>
          </w:p>
        </w:tc>
        <w:tc>
          <w:tcPr>
            <w:tcW w:w="602" w:type="pct"/>
            <w:tcBorders>
              <w:bottom w:val="single" w:sz="12" w:space="0" w:color="auto"/>
            </w:tcBorders>
            <w:vAlign w:val="center"/>
          </w:tcPr>
          <w:p w14:paraId="3B2136B7"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0.9421</w:t>
            </w:r>
          </w:p>
          <w:p w14:paraId="043CD783"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(0.9178,0.9624)</w:t>
            </w:r>
          </w:p>
        </w:tc>
        <w:tc>
          <w:tcPr>
            <w:tcW w:w="365" w:type="pct"/>
            <w:tcBorders>
              <w:bottom w:val="single" w:sz="12" w:space="0" w:color="auto"/>
            </w:tcBorders>
            <w:vAlign w:val="center"/>
          </w:tcPr>
          <w:p w14:paraId="2D246594"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0.01457</w:t>
            </w:r>
          </w:p>
        </w:tc>
        <w:tc>
          <w:tcPr>
            <w:tcW w:w="422" w:type="pct"/>
            <w:tcBorders>
              <w:bottom w:val="single" w:sz="12" w:space="0" w:color="auto"/>
            </w:tcBorders>
            <w:vAlign w:val="center"/>
          </w:tcPr>
          <w:p w14:paraId="68599FF3"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sz w:val="18"/>
                <w:szCs w:val="18"/>
              </w:rPr>
              <w:t>1</w:t>
            </w:r>
          </w:p>
        </w:tc>
        <w:tc>
          <w:tcPr>
            <w:tcW w:w="1682" w:type="pct"/>
            <w:tcBorders>
              <w:bottom w:val="single" w:sz="12" w:space="0" w:color="auto"/>
            </w:tcBorders>
            <w:vAlign w:val="center"/>
          </w:tcPr>
          <w:p w14:paraId="515A2E87"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57A3587B" wp14:editId="308656B4">
                  <wp:extent cx="2410460" cy="720090"/>
                  <wp:effectExtent l="0" t="0" r="12700" b="11430"/>
                  <wp:docPr id="24" name="图片 47" descr="S_合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47" descr="S_合肥"/>
                          <pic:cNvPicPr>
                            <a:picLocks noChangeAspect="1"/>
                          </pic:cNvPicPr>
                        </pic:nvPicPr>
                        <pic:blipFill>
                          <a:blip r:embed="rId64"/>
                          <a:stretch>
                            <a:fillRect/>
                          </a:stretch>
                        </pic:blipFill>
                        <pic:spPr>
                          <a:xfrm>
                            <a:off x="0" y="0"/>
                            <a:ext cx="2410460" cy="720090"/>
                          </a:xfrm>
                          <a:prstGeom prst="rect">
                            <a:avLst/>
                          </a:prstGeom>
                          <a:noFill/>
                          <a:ln>
                            <a:noFill/>
                          </a:ln>
                        </pic:spPr>
                      </pic:pic>
                    </a:graphicData>
                  </a:graphic>
                </wp:inline>
              </w:drawing>
            </w:r>
          </w:p>
        </w:tc>
        <w:tc>
          <w:tcPr>
            <w:tcW w:w="899" w:type="pct"/>
            <w:tcBorders>
              <w:bottom w:val="single" w:sz="12" w:space="0" w:color="auto"/>
            </w:tcBorders>
            <w:vAlign w:val="center"/>
          </w:tcPr>
          <w:p w14:paraId="0BB7D78C"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2CB91713" wp14:editId="53B70C04">
                  <wp:extent cx="1249045" cy="724535"/>
                  <wp:effectExtent l="0" t="0" r="635" b="6985"/>
                  <wp:docPr id="26" name="图片 48" descr="[Running quantiles]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48" descr="[Running quantiles]_9"/>
                          <pic:cNvPicPr>
                            <a:picLocks noChangeAspect="1"/>
                          </pic:cNvPicPr>
                        </pic:nvPicPr>
                        <pic:blipFill>
                          <a:blip r:embed="rId65"/>
                          <a:stretch>
                            <a:fillRect/>
                          </a:stretch>
                        </pic:blipFill>
                        <pic:spPr>
                          <a:xfrm>
                            <a:off x="0" y="0"/>
                            <a:ext cx="1249045" cy="724535"/>
                          </a:xfrm>
                          <a:prstGeom prst="rect">
                            <a:avLst/>
                          </a:prstGeom>
                          <a:noFill/>
                          <a:ln>
                            <a:noFill/>
                          </a:ln>
                        </pic:spPr>
                      </pic:pic>
                    </a:graphicData>
                  </a:graphic>
                </wp:inline>
              </w:drawing>
            </w:r>
          </w:p>
        </w:tc>
        <w:tc>
          <w:tcPr>
            <w:tcW w:w="886" w:type="pct"/>
            <w:tcBorders>
              <w:bottom w:val="single" w:sz="12" w:space="0" w:color="auto"/>
            </w:tcBorders>
            <w:vAlign w:val="center"/>
          </w:tcPr>
          <w:p w14:paraId="26D4DBEB" w14:textId="77777777" w:rsidR="00D15E46" w:rsidRDefault="00000000">
            <w:pPr>
              <w:jc w:val="center"/>
              <w:rPr>
                <w:rFonts w:ascii="Times New Roman" w:eastAsia="宋体" w:hAnsi="Times New Roman" w:cs="Times New Roman"/>
                <w:sz w:val="18"/>
                <w:szCs w:val="18"/>
              </w:rPr>
            </w:pPr>
            <w:r>
              <w:rPr>
                <w:rFonts w:ascii="Times New Roman" w:eastAsia="宋体" w:hAnsi="Times New Roman" w:cs="Times New Roman" w:hint="eastAsia"/>
                <w:noProof/>
                <w:sz w:val="18"/>
                <w:szCs w:val="18"/>
              </w:rPr>
              <w:drawing>
                <wp:inline distT="0" distB="0" distL="114300" distR="114300" wp14:anchorId="3054E6AC" wp14:editId="44221991">
                  <wp:extent cx="1229995" cy="605790"/>
                  <wp:effectExtent l="0" t="0" r="4445" b="3810"/>
                  <wp:docPr id="25" name="图片 49" descr="[Kernel density]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49" descr="[Kernel density]_9"/>
                          <pic:cNvPicPr>
                            <a:picLocks noChangeAspect="1"/>
                          </pic:cNvPicPr>
                        </pic:nvPicPr>
                        <pic:blipFill>
                          <a:blip r:embed="rId66"/>
                          <a:stretch>
                            <a:fillRect/>
                          </a:stretch>
                        </pic:blipFill>
                        <pic:spPr>
                          <a:xfrm>
                            <a:off x="0" y="0"/>
                            <a:ext cx="1229995" cy="605790"/>
                          </a:xfrm>
                          <a:prstGeom prst="rect">
                            <a:avLst/>
                          </a:prstGeom>
                          <a:noFill/>
                          <a:ln>
                            <a:noFill/>
                          </a:ln>
                        </pic:spPr>
                      </pic:pic>
                    </a:graphicData>
                  </a:graphic>
                </wp:inline>
              </w:drawing>
            </w:r>
          </w:p>
        </w:tc>
      </w:tr>
    </w:tbl>
    <w:p w14:paraId="24EBB449" w14:textId="77777777" w:rsidR="00D15E46" w:rsidRDefault="00D15E46">
      <w:pPr>
        <w:widowControl/>
        <w:spacing w:line="240" w:lineRule="atLeast"/>
        <w:rPr>
          <w:rFonts w:ascii="Times New Roman" w:eastAsia="宋体" w:hAnsi="Times New Roman" w:cs="Times New Roman"/>
          <w:b/>
          <w:kern w:val="0"/>
          <w:szCs w:val="21"/>
        </w:rPr>
        <w:sectPr w:rsidR="00D15E46">
          <w:type w:val="continuous"/>
          <w:pgSz w:w="11906" w:h="16838"/>
          <w:pgMar w:top="1440" w:right="1106" w:bottom="1440" w:left="1106" w:header="851" w:footer="992" w:gutter="0"/>
          <w:cols w:space="425"/>
          <w:titlePg/>
          <w:docGrid w:type="linesAndChars" w:linePitch="312"/>
        </w:sectPr>
      </w:pPr>
    </w:p>
    <w:p w14:paraId="01700C92" w14:textId="77777777" w:rsidR="00D15E46" w:rsidRDefault="00000000">
      <w:pPr>
        <w:pStyle w:val="3"/>
      </w:pPr>
      <w:r>
        <w:rPr>
          <w:rFonts w:ascii="Times New Roman" w:hAnsi="Times New Roman" w:cs="Times New Roman"/>
        </w:rPr>
        <w:t>2.3</w:t>
      </w:r>
      <w:r>
        <w:rPr>
          <w:rFonts w:hint="eastAsia"/>
        </w:rPr>
        <w:t xml:space="preserve">  </w:t>
      </w:r>
      <w:r>
        <w:rPr>
          <w:rFonts w:ascii="黑体" w:eastAsia="黑体" w:hAnsi="黑体" w:cs="黑体" w:hint="eastAsia"/>
          <w:b w:val="0"/>
          <w:bCs w:val="0"/>
        </w:rPr>
        <w:t>结果分析</w:t>
      </w:r>
    </w:p>
    <w:p w14:paraId="429EEB6B" w14:textId="77777777" w:rsidR="00D15E46" w:rsidRDefault="00000000">
      <w:pPr>
        <w:ind w:firstLineChars="200" w:firstLine="420"/>
      </w:pPr>
      <w:r>
        <w:rPr>
          <w:rFonts w:ascii="宋体" w:eastAsia="宋体" w:hAnsi="宋体" w:cs="宋体" w:hint="eastAsia"/>
          <w:szCs w:val="21"/>
        </w:rPr>
        <w:t>通过上述方法，长三角地区城市防洪韧性形成了稳定的</w:t>
      </w:r>
      <w:r>
        <w:rPr>
          <w:rFonts w:ascii="Times New Roman" w:eastAsia="宋体" w:hAnsi="Times New Roman" w:cs="Times New Roman" w:hint="eastAsia"/>
        </w:rPr>
        <w:t>空间格局、时间趋势、局部变化趋势与冷热点聚集情况</w:t>
      </w:r>
      <w:r>
        <w:rPr>
          <w:rFonts w:ascii="Times New Roman" w:eastAsia="宋体" w:hAnsi="Times New Roman" w:cs="Times New Roman" w:hint="eastAsia"/>
        </w:rPr>
        <w:t>(</w:t>
      </w:r>
      <w:r>
        <w:rPr>
          <w:rFonts w:ascii="Times New Roman" w:eastAsia="宋体" w:hAnsi="Times New Roman" w:cs="Times New Roman" w:hint="eastAsia"/>
        </w:rPr>
        <w:t>图</w:t>
      </w:r>
      <w:r>
        <w:rPr>
          <w:rFonts w:ascii="Times New Roman" w:eastAsia="宋体" w:hAnsi="Times New Roman" w:cs="Times New Roman" w:hint="eastAsia"/>
        </w:rPr>
        <w:t>3</w:t>
      </w:r>
      <w:r>
        <w:rPr>
          <w:rFonts w:ascii="Times New Roman" w:eastAsia="宋体" w:hAnsi="Times New Roman" w:cs="Times New Roman" w:hint="eastAsia"/>
        </w:rPr>
        <w:t>到图</w:t>
      </w:r>
      <w:r>
        <w:rPr>
          <w:rFonts w:ascii="Times New Roman" w:eastAsia="宋体" w:hAnsi="Times New Roman" w:cs="Times New Roman" w:hint="eastAsia"/>
        </w:rPr>
        <w:t>7)</w:t>
      </w:r>
      <w:r>
        <w:rPr>
          <w:rFonts w:ascii="宋体" w:eastAsia="宋体" w:hAnsi="宋体" w:cs="宋体" w:hint="eastAsia"/>
          <w:szCs w:val="21"/>
        </w:rPr>
        <w:t>。</w:t>
      </w:r>
    </w:p>
    <w:p w14:paraId="65BA526B"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1</w:t>
      </w:r>
      <w:r>
        <w:rPr>
          <w:rFonts w:ascii="Times New Roman" w:hAnsi="Times New Roman" w:cs="Times New Roman" w:hint="eastAsia"/>
          <w:szCs w:val="21"/>
        </w:rPr>
        <w:t>）时间趋势</w:t>
      </w:r>
    </w:p>
    <w:p w14:paraId="37F8C36A"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本文以</w:t>
      </w:r>
      <w:r>
        <w:rPr>
          <w:rFonts w:ascii="Times New Roman" w:hAnsi="Times New Roman" w:cs="Times New Roman" w:hint="eastAsia"/>
          <w:szCs w:val="21"/>
        </w:rPr>
        <w:t>exp(</w:t>
      </w:r>
      <w:r>
        <w:rPr>
          <w:rFonts w:ascii="Times New Roman" w:hAnsi="Times New Roman" w:cs="Times New Roman" w:hint="eastAsia"/>
          <w:i/>
          <w:iCs/>
          <w:szCs w:val="21"/>
        </w:rPr>
        <w:t>b</w:t>
      </w:r>
      <w:r>
        <w:rPr>
          <w:rFonts w:ascii="Times New Roman" w:hAnsi="Times New Roman" w:cs="Times New Roman" w:hint="eastAsia"/>
          <w:szCs w:val="21"/>
          <w:vertAlign w:val="subscript"/>
        </w:rPr>
        <w:t>0</w:t>
      </w:r>
      <w:r>
        <w:rPr>
          <w:rFonts w:ascii="Times New Roman" w:hAnsi="Times New Roman" w:cs="Times New Roman" w:hint="eastAsia"/>
          <w:i/>
          <w:iCs/>
          <w:szCs w:val="21"/>
          <w:vertAlign w:val="subscript"/>
        </w:rPr>
        <w:t>t</w:t>
      </w:r>
      <w:r>
        <w:rPr>
          <w:rFonts w:ascii="Times New Roman" w:hAnsi="Times New Roman" w:cs="Times New Roman" w:hint="eastAsia"/>
          <w:szCs w:val="21"/>
        </w:rPr>
        <w:t>+</w:t>
      </w:r>
      <w:r>
        <w:rPr>
          <w:rFonts w:ascii="Times New Roman" w:hAnsi="Times New Roman" w:cs="Times New Roman" w:hint="eastAsia"/>
          <w:i/>
          <w:iCs/>
          <w:szCs w:val="21"/>
        </w:rPr>
        <w:t>v</w:t>
      </w:r>
      <w:r>
        <w:rPr>
          <w:rFonts w:ascii="Times New Roman" w:hAnsi="Times New Roman" w:cs="Times New Roman" w:hint="eastAsia"/>
          <w:i/>
          <w:iCs/>
          <w:szCs w:val="21"/>
          <w:vertAlign w:val="subscript"/>
        </w:rPr>
        <w:t>t</w:t>
      </w:r>
      <w:r>
        <w:rPr>
          <w:rFonts w:ascii="Times New Roman" w:hAnsi="Times New Roman" w:cs="Times New Roman" w:hint="eastAsia"/>
          <w:szCs w:val="21"/>
        </w:rPr>
        <w:t>)</w:t>
      </w:r>
      <w:r>
        <w:rPr>
          <w:rFonts w:ascii="Times New Roman" w:hAnsi="Times New Roman" w:cs="Times New Roman" w:hint="eastAsia"/>
          <w:szCs w:val="21"/>
        </w:rPr>
        <w:t>的后验中值表示城市防洪韧性的时间变化趋势，如图</w:t>
      </w:r>
      <w:r>
        <w:rPr>
          <w:rFonts w:ascii="Times New Roman" w:hAnsi="Times New Roman" w:cs="Times New Roman" w:hint="eastAsia"/>
          <w:szCs w:val="21"/>
        </w:rPr>
        <w:t>3</w:t>
      </w:r>
      <w:r>
        <w:rPr>
          <w:rFonts w:ascii="Times New Roman" w:hAnsi="Times New Roman" w:cs="Times New Roman" w:hint="eastAsia"/>
          <w:szCs w:val="21"/>
        </w:rPr>
        <w:t>所示。在多次抽样后，城市防洪韧性在</w:t>
      </w:r>
      <w:r>
        <w:rPr>
          <w:rFonts w:ascii="Times New Roman" w:hAnsi="Times New Roman" w:cs="Times New Roman" w:hint="eastAsia"/>
          <w:szCs w:val="21"/>
        </w:rPr>
        <w:t>95%</w:t>
      </w:r>
      <w:r>
        <w:rPr>
          <w:rFonts w:ascii="Times New Roman" w:hAnsi="Times New Roman" w:cs="Times New Roman" w:hint="eastAsia"/>
          <w:szCs w:val="21"/>
        </w:rPr>
        <w:t>置信区间内围绕均值呈现小范围的波动，置信区间稳定性良好，结果可靠度较高。</w:t>
      </w:r>
    </w:p>
    <w:p w14:paraId="5D6D8C9A" w14:textId="77777777" w:rsidR="00D15E46" w:rsidRDefault="00000000">
      <w:pPr>
        <w:widowControl/>
        <w:spacing w:line="240" w:lineRule="atLeast"/>
        <w:jc w:val="center"/>
        <w:rPr>
          <w:rFonts w:ascii="Times New Roman" w:hAnsi="Times New Roman" w:cs="Times New Roman"/>
          <w:szCs w:val="21"/>
        </w:rPr>
      </w:pPr>
      <w:r>
        <w:rPr>
          <w:rFonts w:cs="Times New Roman"/>
        </w:rPr>
        <w:object w:dxaOrig="4535" w:dyaOrig="2992" w14:anchorId="6B3BBBA5">
          <v:shape id="_x0000_i1044" type="#_x0000_t75" style="width:226.5pt;height:149.25pt" o:ole="">
            <v:imagedata r:id="rId67" o:title="" cropbottom="7864f" cropleft="2432f" cropright="1775f"/>
            <o:lock v:ext="edit" aspectratio="f"/>
          </v:shape>
          <o:OLEObject Type="Embed" ProgID="Visio.Drawing.15" ShapeID="_x0000_i1044" DrawAspect="Content" ObjectID="_1835357017" r:id="rId68"/>
        </w:object>
      </w:r>
    </w:p>
    <w:p w14:paraId="4EB7DAA5"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3</w:t>
      </w:r>
      <w:r>
        <w:rPr>
          <w:rFonts w:ascii="Times New Roman" w:hAnsi="Times New Roman" w:cs="Times New Roman"/>
          <w:b/>
          <w:bCs/>
          <w:sz w:val="18"/>
          <w:szCs w:val="18"/>
        </w:rPr>
        <w:fldChar w:fldCharType="end"/>
      </w:r>
      <w:r>
        <w:rPr>
          <w:rFonts w:ascii="黑体" w:hAnsi="黑体" w:cs="黑体" w:hint="eastAsia"/>
          <w:sz w:val="18"/>
          <w:szCs w:val="18"/>
        </w:rPr>
        <w:t xml:space="preserve">  总体时间趋势</w:t>
      </w:r>
    </w:p>
    <w:p w14:paraId="7E4BB897"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长三角地区城市防洪韧性整体呈现上升趋势，其中</w:t>
      </w:r>
      <w:r>
        <w:rPr>
          <w:rFonts w:ascii="Times New Roman" w:hAnsi="Times New Roman" w:cs="Times New Roman" w:hint="eastAsia"/>
          <w:szCs w:val="21"/>
        </w:rPr>
        <w:t>2017</w:t>
      </w:r>
      <w:r>
        <w:rPr>
          <w:rFonts w:ascii="Times New Roman" w:hAnsi="Times New Roman" w:cs="Times New Roman" w:hint="eastAsia"/>
          <w:szCs w:val="21"/>
        </w:rPr>
        <w:t>年的提升幅度最大，年增长率达到</w:t>
      </w:r>
      <w:r>
        <w:rPr>
          <w:rFonts w:ascii="Times New Roman" w:hAnsi="Times New Roman" w:cs="Times New Roman" w:hint="eastAsia"/>
          <w:szCs w:val="21"/>
        </w:rPr>
        <w:t>17.89%</w:t>
      </w:r>
      <w:r>
        <w:rPr>
          <w:rFonts w:ascii="Times New Roman" w:hAnsi="Times New Roman" w:cs="Times New Roman" w:hint="eastAsia"/>
          <w:szCs w:val="21"/>
        </w:rPr>
        <w:t>；</w:t>
      </w:r>
      <w:r>
        <w:rPr>
          <w:rFonts w:ascii="Times New Roman" w:hAnsi="Times New Roman" w:cs="Times New Roman" w:hint="eastAsia"/>
          <w:szCs w:val="21"/>
        </w:rPr>
        <w:t>2009</w:t>
      </w:r>
      <w:r>
        <w:rPr>
          <w:rFonts w:ascii="Times New Roman" w:hAnsi="Times New Roman" w:cs="Times New Roman" w:hint="eastAsia"/>
          <w:szCs w:val="21"/>
        </w:rPr>
        <w:t>年的提升幅度最小，年增长率为</w:t>
      </w:r>
      <w:r>
        <w:rPr>
          <w:rFonts w:ascii="Times New Roman" w:hAnsi="Times New Roman" w:cs="Times New Roman" w:hint="eastAsia"/>
          <w:szCs w:val="21"/>
        </w:rPr>
        <w:t>14.71%</w:t>
      </w:r>
      <w:r>
        <w:rPr>
          <w:rFonts w:ascii="Times New Roman" w:hAnsi="Times New Roman" w:cs="Times New Roman" w:hint="eastAsia"/>
          <w:szCs w:val="21"/>
        </w:rPr>
        <w:t>。总体来看，城市防洪韧性在</w:t>
      </w:r>
      <w:r>
        <w:rPr>
          <w:rFonts w:ascii="Times New Roman" w:hAnsi="Times New Roman" w:cs="Times New Roman" w:hint="eastAsia"/>
          <w:szCs w:val="21"/>
        </w:rPr>
        <w:t>2016</w:t>
      </w:r>
      <w:r>
        <w:rPr>
          <w:rFonts w:ascii="Times New Roman" w:hAnsi="Times New Roman" w:cs="Times New Roman" w:hint="eastAsia"/>
          <w:szCs w:val="21"/>
        </w:rPr>
        <w:t>到</w:t>
      </w:r>
      <w:r>
        <w:rPr>
          <w:rFonts w:ascii="Times New Roman" w:hAnsi="Times New Roman" w:cs="Times New Roman" w:hint="eastAsia"/>
          <w:szCs w:val="21"/>
        </w:rPr>
        <w:t>2022</w:t>
      </w:r>
      <w:r>
        <w:rPr>
          <w:rFonts w:ascii="Times New Roman" w:hAnsi="Times New Roman" w:cs="Times New Roman" w:hint="eastAsia"/>
          <w:szCs w:val="21"/>
        </w:rPr>
        <w:t>年的增长幅度大于</w:t>
      </w:r>
      <w:r>
        <w:rPr>
          <w:rFonts w:ascii="Times New Roman" w:hAnsi="Times New Roman" w:cs="Times New Roman" w:hint="eastAsia"/>
          <w:szCs w:val="21"/>
        </w:rPr>
        <w:t>2009</w:t>
      </w:r>
      <w:r>
        <w:rPr>
          <w:rFonts w:ascii="Times New Roman" w:hAnsi="Times New Roman" w:cs="Times New Roman" w:hint="eastAsia"/>
          <w:szCs w:val="21"/>
        </w:rPr>
        <w:t>到</w:t>
      </w:r>
      <w:r>
        <w:rPr>
          <w:rFonts w:ascii="Times New Roman" w:hAnsi="Times New Roman" w:cs="Times New Roman" w:hint="eastAsia"/>
          <w:szCs w:val="21"/>
        </w:rPr>
        <w:t>2015</w:t>
      </w:r>
      <w:r>
        <w:rPr>
          <w:rFonts w:ascii="Times New Roman" w:hAnsi="Times New Roman" w:cs="Times New Roman" w:hint="eastAsia"/>
          <w:szCs w:val="21"/>
        </w:rPr>
        <w:t>年，这也说明近年</w:t>
      </w:r>
      <w:r>
        <w:rPr>
          <w:rFonts w:ascii="Times New Roman" w:hAnsi="Times New Roman" w:cs="Times New Roman" w:hint="eastAsia"/>
          <w:szCs w:val="21"/>
        </w:rPr>
        <w:lastRenderedPageBreak/>
        <w:t>来长三角地区对城市防洪救灾的重视程度日渐提升，促进了城市防洪韧性的发展。</w:t>
      </w:r>
    </w:p>
    <w:p w14:paraId="39F57217"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）空间格局</w:t>
      </w:r>
    </w:p>
    <w:p w14:paraId="1826B24D" w14:textId="77777777" w:rsidR="00D15E46" w:rsidRDefault="00000000">
      <w:pPr>
        <w:widowControl/>
        <w:spacing w:line="240" w:lineRule="atLeast"/>
        <w:ind w:firstLineChars="200" w:firstLine="420"/>
        <w:rPr>
          <w:rFonts w:ascii="Times New Roman" w:eastAsia="宋体" w:hAnsi="Times New Roman" w:cs="Times New Roman"/>
          <w:bCs/>
        </w:rPr>
      </w:pPr>
      <w:r>
        <w:rPr>
          <w:rFonts w:ascii="宋体" w:eastAsia="宋体" w:hAnsi="宋体" w:cs="宋体" w:hint="eastAsia"/>
          <w:bCs/>
        </w:rPr>
        <w:t>城市</w:t>
      </w:r>
      <w:r>
        <w:rPr>
          <w:rFonts w:ascii="宋体" w:eastAsia="宋体" w:hAnsi="宋体" w:cs="宋体" w:hint="eastAsia"/>
          <w:szCs w:val="21"/>
        </w:rPr>
        <w:t>防洪</w:t>
      </w:r>
      <w:r>
        <w:rPr>
          <w:rFonts w:ascii="宋体" w:eastAsia="宋体" w:hAnsi="宋体" w:cs="宋体" w:hint="eastAsia"/>
          <w:bCs/>
        </w:rPr>
        <w:t>韧性的空间格局以</w:t>
      </w:r>
      <w:r>
        <w:rPr>
          <w:rFonts w:ascii="Times New Roman" w:eastAsia="宋体" w:hAnsi="Times New Roman" w:cs="Times New Roman"/>
          <w:bCs/>
          <w:i/>
          <w:iCs/>
        </w:rPr>
        <w:t>S</w:t>
      </w:r>
      <w:r>
        <w:rPr>
          <w:rFonts w:ascii="Times New Roman" w:eastAsia="宋体" w:hAnsi="Times New Roman" w:cs="Times New Roman"/>
          <w:bCs/>
          <w:i/>
          <w:iCs/>
          <w:vertAlign w:val="subscript"/>
        </w:rPr>
        <w:t>i</w:t>
      </w:r>
      <w:r>
        <w:rPr>
          <w:rFonts w:ascii="宋体" w:eastAsia="宋体" w:hAnsi="宋体" w:cs="宋体" w:hint="eastAsia"/>
          <w:bCs/>
        </w:rPr>
        <w:t>的后验中值表示，如图</w:t>
      </w:r>
      <w:r>
        <w:rPr>
          <w:rFonts w:ascii="Times New Roman" w:eastAsia="宋体" w:hAnsi="Times New Roman" w:cs="Times New Roman" w:hint="eastAsia"/>
          <w:bCs/>
        </w:rPr>
        <w:t>4</w:t>
      </w:r>
      <w:r>
        <w:rPr>
          <w:rFonts w:ascii="Times New Roman" w:eastAsia="宋体" w:hAnsi="Times New Roman" w:cs="Times New Roman" w:hint="eastAsia"/>
          <w:bCs/>
        </w:rPr>
        <w:t>所示。长三角地区城市</w:t>
      </w:r>
      <w:r>
        <w:rPr>
          <w:rFonts w:ascii="宋体" w:eastAsia="宋体" w:hAnsi="宋体" w:cs="宋体" w:hint="eastAsia"/>
          <w:szCs w:val="21"/>
        </w:rPr>
        <w:t>防洪</w:t>
      </w:r>
      <w:r>
        <w:rPr>
          <w:rFonts w:ascii="Times New Roman" w:eastAsia="宋体" w:hAnsi="Times New Roman" w:cs="Times New Roman" w:hint="eastAsia"/>
          <w:bCs/>
        </w:rPr>
        <w:t>韧性的空间分布存在显著差异，整体上呈现由北向南依次为“低</w:t>
      </w:r>
      <w:r>
        <w:rPr>
          <w:rFonts w:ascii="Times New Roman" w:eastAsia="宋体" w:hAnsi="Times New Roman" w:cs="Times New Roman" w:hint="eastAsia"/>
          <w:bCs/>
        </w:rPr>
        <w:t>-</w:t>
      </w:r>
      <w:r>
        <w:rPr>
          <w:rFonts w:ascii="Times New Roman" w:eastAsia="宋体" w:hAnsi="Times New Roman" w:cs="Times New Roman" w:hint="eastAsia"/>
          <w:bCs/>
        </w:rPr>
        <w:t>高</w:t>
      </w:r>
      <w:r>
        <w:rPr>
          <w:rFonts w:ascii="Times New Roman" w:eastAsia="宋体" w:hAnsi="Times New Roman" w:cs="Times New Roman" w:hint="eastAsia"/>
          <w:bCs/>
        </w:rPr>
        <w:t>-</w:t>
      </w:r>
      <w:r>
        <w:rPr>
          <w:rFonts w:ascii="Times New Roman" w:eastAsia="宋体" w:hAnsi="Times New Roman" w:cs="Times New Roman" w:hint="eastAsia"/>
          <w:bCs/>
        </w:rPr>
        <w:t>中”的分布格局。城市</w:t>
      </w:r>
      <w:r>
        <w:rPr>
          <w:rFonts w:ascii="宋体" w:eastAsia="宋体" w:hAnsi="宋体" w:cs="宋体" w:hint="eastAsia"/>
          <w:szCs w:val="21"/>
        </w:rPr>
        <w:t>防洪</w:t>
      </w:r>
      <w:r>
        <w:rPr>
          <w:rFonts w:ascii="Times New Roman" w:eastAsia="宋体" w:hAnsi="Times New Roman" w:cs="Times New Roman" w:hint="eastAsia"/>
          <w:bCs/>
        </w:rPr>
        <w:t>韧性高于均值的城市主要分布在长三角的中部地区，包括上海、南京、杭州与合肥等直辖市与省级城市；低于均值的城市主要分布在长三角的西北部与东南部地区，包括阜阳、亳州、淮北等城市，这些地区的经济发展水平也相对较弱，这也说明拥有较多资金支撑的城市其</w:t>
      </w:r>
      <w:r>
        <w:rPr>
          <w:rFonts w:ascii="宋体" w:eastAsia="宋体" w:hAnsi="宋体" w:cs="宋体" w:hint="eastAsia"/>
          <w:szCs w:val="21"/>
        </w:rPr>
        <w:t>防洪</w:t>
      </w:r>
      <w:r>
        <w:rPr>
          <w:rFonts w:ascii="Times New Roman" w:eastAsia="宋体" w:hAnsi="Times New Roman" w:cs="Times New Roman" w:hint="eastAsia"/>
          <w:bCs/>
        </w:rPr>
        <w:t>韧性普遍更强。</w:t>
      </w:r>
    </w:p>
    <w:p w14:paraId="1F92F490" w14:textId="77777777" w:rsidR="00D15E46" w:rsidRDefault="00000000">
      <w:pPr>
        <w:widowControl/>
        <w:spacing w:line="240" w:lineRule="atLeast"/>
        <w:jc w:val="center"/>
        <w:rPr>
          <w:rFonts w:ascii="Times New Roman" w:eastAsia="宋体" w:hAnsi="Times New Roman" w:cs="Times New Roman"/>
          <w:bCs/>
        </w:rPr>
      </w:pPr>
      <w:r>
        <w:rPr>
          <w:rFonts w:ascii="Times New Roman" w:eastAsia="宋体" w:hAnsi="Times New Roman" w:cs="Times New Roman" w:hint="eastAsia"/>
          <w:bCs/>
          <w:noProof/>
        </w:rPr>
        <w:drawing>
          <wp:inline distT="0" distB="0" distL="114300" distR="114300" wp14:anchorId="6D9A9F53" wp14:editId="5FDF330E">
            <wp:extent cx="2008505" cy="2098040"/>
            <wp:effectExtent l="0" t="0" r="3175" b="5080"/>
            <wp:docPr id="39" name="图片 51" descr="黑白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51" descr="黑白_1"/>
                    <pic:cNvPicPr>
                      <a:picLocks noChangeAspect="1"/>
                    </pic:cNvPicPr>
                  </pic:nvPicPr>
                  <pic:blipFill>
                    <a:blip r:embed="rId69"/>
                    <a:stretch>
                      <a:fillRect/>
                    </a:stretch>
                  </pic:blipFill>
                  <pic:spPr>
                    <a:xfrm>
                      <a:off x="0" y="0"/>
                      <a:ext cx="2008505" cy="2098040"/>
                    </a:xfrm>
                    <a:prstGeom prst="rect">
                      <a:avLst/>
                    </a:prstGeom>
                    <a:noFill/>
                    <a:ln>
                      <a:noFill/>
                    </a:ln>
                  </pic:spPr>
                </pic:pic>
              </a:graphicData>
            </a:graphic>
          </wp:inline>
        </w:drawing>
      </w:r>
    </w:p>
    <w:p w14:paraId="63BD01D1"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hint="eastAsia"/>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4</w:t>
      </w:r>
      <w:r>
        <w:rPr>
          <w:rFonts w:ascii="Times New Roman" w:hAnsi="Times New Roman" w:cs="Times New Roman"/>
          <w:b/>
          <w:bCs/>
          <w:sz w:val="18"/>
          <w:szCs w:val="18"/>
        </w:rPr>
        <w:fldChar w:fldCharType="end"/>
      </w:r>
      <w:r>
        <w:rPr>
          <w:rFonts w:ascii="黑体" w:hAnsi="黑体" w:cs="黑体" w:hint="eastAsia"/>
          <w:sz w:val="18"/>
          <w:szCs w:val="18"/>
        </w:rPr>
        <w:t xml:space="preserve">  防洪韧性的空间格局</w:t>
      </w:r>
    </w:p>
    <w:p w14:paraId="64FB9008" w14:textId="77777777" w:rsidR="00D15E46" w:rsidRDefault="00000000">
      <w:pPr>
        <w:widowControl/>
        <w:spacing w:line="240" w:lineRule="atLeast"/>
        <w:jc w:val="center"/>
        <w:rPr>
          <w:sz w:val="18"/>
          <w:szCs w:val="18"/>
        </w:rPr>
      </w:pPr>
      <w:r>
        <w:rPr>
          <w:rFonts w:hint="eastAsia"/>
          <w:sz w:val="18"/>
          <w:szCs w:val="18"/>
        </w:rPr>
        <w:t>（注：该图</w:t>
      </w:r>
      <w:r>
        <w:rPr>
          <w:rFonts w:ascii="Times New Roman" w:hAnsi="Times New Roman" w:cs="Times New Roman"/>
          <w:sz w:val="18"/>
          <w:szCs w:val="18"/>
        </w:rPr>
        <w:t>基于国家测绘地理信息局标准地图服务网站标准地图</w:t>
      </w:r>
      <w:r>
        <w:rPr>
          <w:rFonts w:ascii="Times New Roman" w:hAnsi="Times New Roman" w:cs="Times New Roman"/>
          <w:sz w:val="18"/>
          <w:szCs w:val="18"/>
        </w:rPr>
        <w:t>[GS(2024)0650</w:t>
      </w:r>
      <w:r>
        <w:rPr>
          <w:rFonts w:ascii="Times New Roman" w:hAnsi="Times New Roman" w:cs="Times New Roman"/>
          <w:sz w:val="18"/>
          <w:szCs w:val="18"/>
        </w:rPr>
        <w:t>号</w:t>
      </w:r>
      <w:r>
        <w:rPr>
          <w:rFonts w:ascii="Times New Roman" w:hAnsi="Times New Roman" w:cs="Times New Roman"/>
          <w:sz w:val="18"/>
          <w:szCs w:val="18"/>
        </w:rPr>
        <w:t>]</w:t>
      </w:r>
      <w:r>
        <w:rPr>
          <w:rFonts w:ascii="Times New Roman" w:hAnsi="Times New Roman" w:cs="Times New Roman"/>
          <w:sz w:val="18"/>
          <w:szCs w:val="18"/>
        </w:rPr>
        <w:t>制</w:t>
      </w:r>
      <w:r>
        <w:rPr>
          <w:rFonts w:hint="eastAsia"/>
          <w:sz w:val="18"/>
          <w:szCs w:val="18"/>
        </w:rPr>
        <w:t>作，底图无修改）</w:t>
      </w:r>
    </w:p>
    <w:p w14:paraId="21D16C55" w14:textId="77777777" w:rsidR="00D15E46" w:rsidRDefault="00000000">
      <w:pPr>
        <w:widowControl/>
        <w:spacing w:line="240" w:lineRule="atLeast"/>
        <w:ind w:firstLineChars="200" w:firstLine="420"/>
      </w:pPr>
      <w:r>
        <w:rPr>
          <w:rFonts w:hint="eastAsia"/>
        </w:rPr>
        <w:t>本文以</w:t>
      </w:r>
      <w:r>
        <w:rPr>
          <w:rFonts w:ascii="Times New Roman" w:hAnsi="Times New Roman" w:cs="Times New Roman"/>
          <w:i/>
          <w:iCs/>
        </w:rPr>
        <w:t>b</w:t>
      </w:r>
      <w:r>
        <w:rPr>
          <w:rFonts w:ascii="Times New Roman" w:hAnsi="Times New Roman" w:cs="Times New Roman"/>
          <w:vertAlign w:val="subscript"/>
        </w:rPr>
        <w:t>1</w:t>
      </w:r>
      <w:r>
        <w:rPr>
          <w:rFonts w:ascii="Times New Roman" w:hAnsi="Times New Roman" w:cs="Times New Roman"/>
          <w:i/>
          <w:iCs/>
          <w:vertAlign w:val="subscript"/>
        </w:rPr>
        <w:t>i</w:t>
      </w:r>
      <w:r>
        <w:rPr>
          <w:rFonts w:hint="eastAsia"/>
        </w:rPr>
        <w:t>的后验中值表示城市</w:t>
      </w:r>
      <w:r>
        <w:rPr>
          <w:rFonts w:ascii="宋体" w:eastAsia="宋体" w:hAnsi="宋体" w:cs="宋体" w:hint="eastAsia"/>
          <w:szCs w:val="21"/>
        </w:rPr>
        <w:t>防洪</w:t>
      </w:r>
      <w:r>
        <w:rPr>
          <w:rFonts w:hint="eastAsia"/>
        </w:rPr>
        <w:t>韧性的局部变化趋势，如图</w:t>
      </w:r>
      <w:r>
        <w:rPr>
          <w:rFonts w:ascii="Times New Roman" w:hAnsi="Times New Roman" w:cs="Times New Roman"/>
        </w:rPr>
        <w:t>5</w:t>
      </w:r>
      <w:r>
        <w:rPr>
          <w:rFonts w:hint="eastAsia"/>
        </w:rPr>
        <w:t>所示。长三角的东北部与东部城市的</w:t>
      </w:r>
      <w:r>
        <w:rPr>
          <w:rFonts w:ascii="宋体" w:eastAsia="宋体" w:hAnsi="宋体" w:cs="宋体" w:hint="eastAsia"/>
          <w:szCs w:val="21"/>
        </w:rPr>
        <w:t>防洪</w:t>
      </w:r>
      <w:r>
        <w:rPr>
          <w:rFonts w:hint="eastAsia"/>
        </w:rPr>
        <w:t>韧性变化趋势均高于整体均值，西部地区局部变化趋势则低于地区的平均水平。以城市视角来看，徐州、淮北、上海、南京等地的城市</w:t>
      </w:r>
      <w:r>
        <w:rPr>
          <w:rFonts w:ascii="宋体" w:eastAsia="宋体" w:hAnsi="宋体" w:cs="宋体" w:hint="eastAsia"/>
          <w:szCs w:val="21"/>
        </w:rPr>
        <w:t>防洪</w:t>
      </w:r>
      <w:r>
        <w:rPr>
          <w:rFonts w:hint="eastAsia"/>
        </w:rPr>
        <w:t>韧性变化趋势明显高于地区均值；六安、安庆、池州等城市的</w:t>
      </w:r>
      <w:r>
        <w:rPr>
          <w:rFonts w:ascii="宋体" w:eastAsia="宋体" w:hAnsi="宋体" w:cs="宋体" w:hint="eastAsia"/>
          <w:szCs w:val="21"/>
        </w:rPr>
        <w:t>防洪</w:t>
      </w:r>
      <w:r>
        <w:rPr>
          <w:rFonts w:hint="eastAsia"/>
        </w:rPr>
        <w:t>韧性低于地区变化的平均水平。</w:t>
      </w:r>
    </w:p>
    <w:p w14:paraId="7A35C228" w14:textId="77777777" w:rsidR="00D15E46" w:rsidRDefault="00000000">
      <w:pPr>
        <w:widowControl/>
        <w:spacing w:line="240" w:lineRule="atLeast"/>
        <w:jc w:val="center"/>
      </w:pPr>
      <w:r>
        <w:rPr>
          <w:rFonts w:ascii="Times New Roman" w:eastAsia="宋体" w:hAnsi="Times New Roman" w:cs="Times New Roman" w:hint="eastAsia"/>
          <w:bCs/>
          <w:noProof/>
        </w:rPr>
        <w:drawing>
          <wp:inline distT="0" distB="0" distL="114300" distR="114300" wp14:anchorId="10B67C53" wp14:editId="43CC46A2">
            <wp:extent cx="2008505" cy="2098040"/>
            <wp:effectExtent l="0" t="0" r="3175" b="5080"/>
            <wp:docPr id="40" name="图片 52" descr="黑白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52" descr="黑白_2"/>
                    <pic:cNvPicPr>
                      <a:picLocks noChangeAspect="1"/>
                    </pic:cNvPicPr>
                  </pic:nvPicPr>
                  <pic:blipFill>
                    <a:blip r:embed="rId70"/>
                    <a:stretch>
                      <a:fillRect/>
                    </a:stretch>
                  </pic:blipFill>
                  <pic:spPr>
                    <a:xfrm>
                      <a:off x="0" y="0"/>
                      <a:ext cx="2008505" cy="2098040"/>
                    </a:xfrm>
                    <a:prstGeom prst="rect">
                      <a:avLst/>
                    </a:prstGeom>
                    <a:noFill/>
                    <a:ln>
                      <a:noFill/>
                    </a:ln>
                  </pic:spPr>
                </pic:pic>
              </a:graphicData>
            </a:graphic>
          </wp:inline>
        </w:drawing>
      </w:r>
    </w:p>
    <w:p w14:paraId="7B666B18"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5</w:t>
      </w:r>
      <w:r>
        <w:rPr>
          <w:rFonts w:ascii="Times New Roman" w:hAnsi="Times New Roman" w:cs="Times New Roman"/>
          <w:b/>
          <w:bCs/>
          <w:sz w:val="18"/>
          <w:szCs w:val="18"/>
        </w:rPr>
        <w:fldChar w:fldCharType="end"/>
      </w:r>
      <w:r>
        <w:rPr>
          <w:rFonts w:ascii="黑体" w:hAnsi="黑体" w:cs="黑体" w:hint="eastAsia"/>
          <w:sz w:val="18"/>
          <w:szCs w:val="18"/>
        </w:rPr>
        <w:t xml:space="preserve">  防洪韧性的局部空间格局</w:t>
      </w:r>
    </w:p>
    <w:p w14:paraId="23276D95" w14:textId="77777777" w:rsidR="00D15E46" w:rsidRDefault="00000000">
      <w:pPr>
        <w:widowControl/>
        <w:spacing w:line="240" w:lineRule="atLeast"/>
        <w:jc w:val="center"/>
        <w:rPr>
          <w:rFonts w:ascii="Times New Roman" w:hAnsi="Times New Roman" w:cs="Times New Roman"/>
          <w:szCs w:val="21"/>
        </w:rPr>
      </w:pPr>
      <w:r>
        <w:rPr>
          <w:rFonts w:hint="eastAsia"/>
          <w:sz w:val="18"/>
          <w:szCs w:val="18"/>
        </w:rPr>
        <w:t>（注：该图</w:t>
      </w:r>
      <w:r>
        <w:rPr>
          <w:rFonts w:ascii="Times New Roman" w:hAnsi="Times New Roman" w:cs="Times New Roman"/>
          <w:sz w:val="18"/>
          <w:szCs w:val="18"/>
        </w:rPr>
        <w:t>基于国家测绘地理信息局标准地图服务网站标准地图</w:t>
      </w:r>
      <w:r>
        <w:rPr>
          <w:rFonts w:ascii="Times New Roman" w:hAnsi="Times New Roman" w:cs="Times New Roman"/>
          <w:sz w:val="18"/>
          <w:szCs w:val="18"/>
        </w:rPr>
        <w:t>[GS(2024)0650</w:t>
      </w:r>
      <w:r>
        <w:rPr>
          <w:rFonts w:ascii="Times New Roman" w:hAnsi="Times New Roman" w:cs="Times New Roman"/>
          <w:sz w:val="18"/>
          <w:szCs w:val="18"/>
        </w:rPr>
        <w:t>号</w:t>
      </w:r>
      <w:r>
        <w:rPr>
          <w:rFonts w:ascii="Times New Roman" w:hAnsi="Times New Roman" w:cs="Times New Roman"/>
          <w:sz w:val="18"/>
          <w:szCs w:val="18"/>
        </w:rPr>
        <w:t>]</w:t>
      </w:r>
      <w:r>
        <w:rPr>
          <w:rFonts w:ascii="Times New Roman" w:hAnsi="Times New Roman" w:cs="Times New Roman"/>
          <w:sz w:val="18"/>
          <w:szCs w:val="18"/>
        </w:rPr>
        <w:t>制</w:t>
      </w:r>
      <w:r>
        <w:rPr>
          <w:rFonts w:hint="eastAsia"/>
          <w:sz w:val="18"/>
          <w:szCs w:val="18"/>
        </w:rPr>
        <w:t>作，底图无修改）</w:t>
      </w:r>
    </w:p>
    <w:p w14:paraId="3AA3BC54" w14:textId="77777777" w:rsidR="00D15E46"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3</w:t>
      </w:r>
      <w:r>
        <w:rPr>
          <w:rFonts w:ascii="Times New Roman" w:hAnsi="Times New Roman" w:cs="Times New Roman" w:hint="eastAsia"/>
          <w:szCs w:val="21"/>
        </w:rPr>
        <w:t>）聚集分布</w:t>
      </w:r>
    </w:p>
    <w:p w14:paraId="367CBC21" w14:textId="77777777" w:rsidR="00D15E46" w:rsidRDefault="00000000">
      <w:pPr>
        <w:ind w:firstLineChars="200" w:firstLine="420"/>
        <w:rPr>
          <w:rFonts w:ascii="宋体" w:eastAsia="宋体" w:hAnsi="宋体" w:cs="宋体" w:hint="eastAsia"/>
          <w:bCs/>
        </w:rPr>
      </w:pPr>
      <w:r>
        <w:rPr>
          <w:rFonts w:ascii="宋体" w:eastAsia="宋体" w:hAnsi="宋体" w:cs="宋体" w:hint="eastAsia"/>
          <w:bCs/>
        </w:rPr>
        <w:t>根据公式(</w:t>
      </w:r>
      <w:r>
        <w:rPr>
          <w:rFonts w:ascii="Times New Roman" w:eastAsia="宋体" w:hAnsi="Times New Roman" w:cs="Times New Roman"/>
          <w:bCs/>
        </w:rPr>
        <w:t>13</w:t>
      </w:r>
      <w:r>
        <w:rPr>
          <w:rFonts w:ascii="Times New Roman" w:eastAsia="宋体" w:hAnsi="Times New Roman" w:cs="Times New Roman" w:hint="eastAsia"/>
          <w:bCs/>
        </w:rPr>
        <w:t>)</w:t>
      </w:r>
      <w:r>
        <w:rPr>
          <w:rFonts w:ascii="Times New Roman" w:eastAsia="宋体" w:hAnsi="Times New Roman" w:cs="Times New Roman" w:hint="eastAsia"/>
          <w:bCs/>
        </w:rPr>
        <w:t>计算结果</w:t>
      </w:r>
      <w:r>
        <w:rPr>
          <w:rFonts w:ascii="宋体" w:eastAsia="宋体" w:hAnsi="宋体" w:cs="宋体" w:hint="eastAsia"/>
          <w:bCs/>
        </w:rPr>
        <w:t>与表1所示分类，得到图</w:t>
      </w:r>
      <w:r>
        <w:rPr>
          <w:rFonts w:ascii="Times New Roman" w:eastAsia="宋体" w:hAnsi="Times New Roman" w:cs="Times New Roman" w:hint="eastAsia"/>
          <w:bCs/>
        </w:rPr>
        <w:t>6</w:t>
      </w:r>
      <w:r>
        <w:rPr>
          <w:rFonts w:ascii="宋体" w:eastAsia="宋体" w:hAnsi="宋体" w:cs="宋体" w:hint="eastAsia"/>
          <w:bCs/>
        </w:rPr>
        <w:t>与图</w:t>
      </w:r>
      <w:r>
        <w:rPr>
          <w:rFonts w:ascii="Times New Roman" w:eastAsia="宋体" w:hAnsi="Times New Roman" w:cs="Times New Roman" w:hint="eastAsia"/>
          <w:bCs/>
        </w:rPr>
        <w:t>7</w:t>
      </w:r>
      <w:r>
        <w:rPr>
          <w:rFonts w:ascii="Times New Roman" w:eastAsia="宋体" w:hAnsi="Times New Roman" w:cs="Times New Roman" w:hint="eastAsia"/>
          <w:bCs/>
        </w:rPr>
        <w:t>的冷热区聚集分布特点。</w:t>
      </w:r>
      <w:r>
        <w:rPr>
          <w:rFonts w:ascii="宋体" w:eastAsia="宋体" w:hAnsi="宋体" w:cs="宋体" w:hint="eastAsia"/>
          <w:bCs/>
        </w:rPr>
        <w:t>图</w:t>
      </w:r>
      <w:r>
        <w:rPr>
          <w:rFonts w:ascii="Times New Roman" w:eastAsia="宋体" w:hAnsi="Times New Roman" w:cs="Times New Roman" w:hint="eastAsia"/>
          <w:bCs/>
        </w:rPr>
        <w:t>6</w:t>
      </w:r>
      <w:r>
        <w:rPr>
          <w:rFonts w:ascii="宋体" w:eastAsia="宋体" w:hAnsi="宋体" w:cs="宋体" w:hint="eastAsia"/>
          <w:bCs/>
        </w:rPr>
        <w:t>为城市</w:t>
      </w:r>
      <w:r>
        <w:rPr>
          <w:rFonts w:ascii="宋体" w:eastAsia="宋体" w:hAnsi="宋体" w:cs="宋体" w:hint="eastAsia"/>
          <w:szCs w:val="21"/>
        </w:rPr>
        <w:t>防洪</w:t>
      </w:r>
      <w:r>
        <w:rPr>
          <w:rFonts w:ascii="宋体" w:eastAsia="宋体" w:hAnsi="宋体" w:cs="宋体" w:hint="eastAsia"/>
          <w:bCs/>
        </w:rPr>
        <w:t>韧性空间格局的冷热区聚集情况。由该图可知，冷热区域在空间上的差异性较为显著。长三角的中部大部分地区处于热点区域，包括上海、合肥、杭州、宣城等城市；北部地区位于冷点区域，主要有徐州、连云港、盐城等地；安庆与绍兴处于温点区域。</w:t>
      </w:r>
    </w:p>
    <w:p w14:paraId="6A4A211E" w14:textId="77777777" w:rsidR="00D15E46" w:rsidRDefault="00000000">
      <w:pPr>
        <w:jc w:val="center"/>
        <w:rPr>
          <w:rFonts w:ascii="宋体" w:eastAsia="宋体" w:hAnsi="宋体" w:cs="宋体" w:hint="eastAsia"/>
          <w:bCs/>
        </w:rPr>
      </w:pPr>
      <w:r>
        <w:rPr>
          <w:rFonts w:ascii="Times New Roman" w:eastAsia="宋体" w:hAnsi="Times New Roman" w:cs="Times New Roman" w:hint="eastAsia"/>
          <w:bCs/>
          <w:noProof/>
        </w:rPr>
        <w:drawing>
          <wp:inline distT="0" distB="0" distL="114300" distR="114300" wp14:anchorId="0EBE7D76" wp14:editId="3CDFCBB8">
            <wp:extent cx="2008505" cy="2098040"/>
            <wp:effectExtent l="0" t="0" r="3175" b="5080"/>
            <wp:docPr id="41" name="图片 53" descr="黑白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53" descr="黑白_3"/>
                    <pic:cNvPicPr>
                      <a:picLocks noChangeAspect="1"/>
                    </pic:cNvPicPr>
                  </pic:nvPicPr>
                  <pic:blipFill>
                    <a:blip r:embed="rId71"/>
                    <a:stretch>
                      <a:fillRect/>
                    </a:stretch>
                  </pic:blipFill>
                  <pic:spPr>
                    <a:xfrm>
                      <a:off x="0" y="0"/>
                      <a:ext cx="2008505" cy="2098040"/>
                    </a:xfrm>
                    <a:prstGeom prst="rect">
                      <a:avLst/>
                    </a:prstGeom>
                    <a:noFill/>
                    <a:ln>
                      <a:noFill/>
                    </a:ln>
                  </pic:spPr>
                </pic:pic>
              </a:graphicData>
            </a:graphic>
          </wp:inline>
        </w:drawing>
      </w:r>
    </w:p>
    <w:p w14:paraId="38E561A7"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6</w:t>
      </w:r>
      <w:r>
        <w:rPr>
          <w:rFonts w:ascii="Times New Roman" w:hAnsi="Times New Roman" w:cs="Times New Roman"/>
          <w:b/>
          <w:bCs/>
          <w:sz w:val="18"/>
          <w:szCs w:val="18"/>
        </w:rPr>
        <w:fldChar w:fldCharType="end"/>
      </w:r>
      <w:r>
        <w:rPr>
          <w:rFonts w:ascii="黑体" w:hAnsi="黑体" w:cs="黑体" w:hint="eastAsia"/>
          <w:sz w:val="18"/>
          <w:szCs w:val="18"/>
        </w:rPr>
        <w:t xml:space="preserve">  空间格局的聚集分布</w:t>
      </w:r>
    </w:p>
    <w:p w14:paraId="52E010C5" w14:textId="77777777" w:rsidR="00D15E46" w:rsidRDefault="00000000">
      <w:pPr>
        <w:widowControl/>
        <w:spacing w:line="240" w:lineRule="atLeast"/>
        <w:jc w:val="center"/>
        <w:rPr>
          <w:rFonts w:ascii="宋体" w:eastAsia="宋体" w:hAnsi="宋体" w:cs="宋体" w:hint="eastAsia"/>
          <w:bCs/>
        </w:rPr>
      </w:pPr>
      <w:r>
        <w:rPr>
          <w:rFonts w:hint="eastAsia"/>
          <w:sz w:val="18"/>
          <w:szCs w:val="18"/>
        </w:rPr>
        <w:t>（注：该图</w:t>
      </w:r>
      <w:r>
        <w:rPr>
          <w:rFonts w:ascii="Times New Roman" w:hAnsi="Times New Roman" w:cs="Times New Roman"/>
          <w:sz w:val="18"/>
          <w:szCs w:val="18"/>
        </w:rPr>
        <w:t>基于国家测绘地理信息局标准地图服务网站标准地图</w:t>
      </w:r>
      <w:r>
        <w:rPr>
          <w:rFonts w:ascii="Times New Roman" w:hAnsi="Times New Roman" w:cs="Times New Roman"/>
          <w:sz w:val="18"/>
          <w:szCs w:val="18"/>
        </w:rPr>
        <w:t>[GS(2024)0650</w:t>
      </w:r>
      <w:r>
        <w:rPr>
          <w:rFonts w:ascii="Times New Roman" w:hAnsi="Times New Roman" w:cs="Times New Roman"/>
          <w:sz w:val="18"/>
          <w:szCs w:val="18"/>
        </w:rPr>
        <w:t>号</w:t>
      </w:r>
      <w:r>
        <w:rPr>
          <w:rFonts w:ascii="Times New Roman" w:hAnsi="Times New Roman" w:cs="Times New Roman"/>
          <w:sz w:val="18"/>
          <w:szCs w:val="18"/>
        </w:rPr>
        <w:t>]</w:t>
      </w:r>
      <w:r>
        <w:rPr>
          <w:rFonts w:ascii="Times New Roman" w:hAnsi="Times New Roman" w:cs="Times New Roman"/>
          <w:sz w:val="18"/>
          <w:szCs w:val="18"/>
        </w:rPr>
        <w:t>制</w:t>
      </w:r>
      <w:r>
        <w:rPr>
          <w:rFonts w:hint="eastAsia"/>
          <w:sz w:val="18"/>
          <w:szCs w:val="18"/>
        </w:rPr>
        <w:t>作，底图无修改）</w:t>
      </w:r>
    </w:p>
    <w:p w14:paraId="78F02BE1" w14:textId="77777777" w:rsidR="00D15E46" w:rsidRDefault="00000000">
      <w:pPr>
        <w:ind w:firstLineChars="200" w:firstLine="420"/>
        <w:rPr>
          <w:rFonts w:ascii="Times New Roman" w:eastAsia="宋体" w:hAnsi="Times New Roman" w:cs="Times New Roman"/>
          <w:bCs/>
        </w:rPr>
      </w:pPr>
      <w:r>
        <w:rPr>
          <w:rFonts w:ascii="宋体" w:eastAsia="宋体" w:hAnsi="宋体" w:cs="宋体" w:hint="eastAsia"/>
          <w:bCs/>
        </w:rPr>
        <w:t>图</w:t>
      </w:r>
      <w:r>
        <w:rPr>
          <w:rFonts w:ascii="Times New Roman" w:eastAsia="宋体" w:hAnsi="Times New Roman" w:cs="Times New Roman" w:hint="eastAsia"/>
          <w:bCs/>
        </w:rPr>
        <w:t>7</w:t>
      </w:r>
      <w:r>
        <w:rPr>
          <w:rFonts w:ascii="Times New Roman" w:eastAsia="宋体" w:hAnsi="Times New Roman" w:cs="Times New Roman" w:hint="eastAsia"/>
          <w:bCs/>
        </w:rPr>
        <w:t>显示了长三角地区城市</w:t>
      </w:r>
      <w:r>
        <w:rPr>
          <w:rFonts w:ascii="宋体" w:eastAsia="宋体" w:hAnsi="宋体" w:cs="宋体" w:hint="eastAsia"/>
          <w:szCs w:val="21"/>
        </w:rPr>
        <w:t>防洪</w:t>
      </w:r>
      <w:r>
        <w:rPr>
          <w:rFonts w:ascii="Times New Roman" w:eastAsia="宋体" w:hAnsi="Times New Roman" w:cs="Times New Roman" w:hint="eastAsia"/>
          <w:bCs/>
        </w:rPr>
        <w:t>韧性局部变化趋势的冷热区聚集分布情况。长三角的东北部、东部地区的</w:t>
      </w:r>
      <w:r>
        <w:rPr>
          <w:rFonts w:ascii="宋体" w:eastAsia="宋体" w:hAnsi="宋体" w:cs="宋体" w:hint="eastAsia"/>
          <w:szCs w:val="21"/>
        </w:rPr>
        <w:t>防洪</w:t>
      </w:r>
      <w:r>
        <w:rPr>
          <w:rFonts w:ascii="Times New Roman" w:eastAsia="宋体" w:hAnsi="Times New Roman" w:cs="Times New Roman" w:hint="eastAsia"/>
          <w:bCs/>
        </w:rPr>
        <w:t>韧性局部变化处于热点区域，包括南通、无锡、上海等城市；冷点区域则集中于西部与西南部地区，例如，池州、铜陵、黄山等地；台州、蚌埠与镇江位于温点区域。</w:t>
      </w:r>
    </w:p>
    <w:p w14:paraId="30D06088" w14:textId="77777777" w:rsidR="00D15E46" w:rsidRDefault="00000000">
      <w:pPr>
        <w:widowControl/>
        <w:spacing w:line="240" w:lineRule="atLeast"/>
        <w:jc w:val="center"/>
        <w:rPr>
          <w:rFonts w:ascii="Times New Roman" w:hAnsi="Times New Roman" w:cs="Times New Roman"/>
          <w:color w:val="FF0000"/>
          <w:szCs w:val="21"/>
        </w:rPr>
      </w:pPr>
      <w:r>
        <w:rPr>
          <w:rFonts w:ascii="Times New Roman" w:eastAsia="宋体" w:hAnsi="Times New Roman" w:cs="Times New Roman" w:hint="eastAsia"/>
          <w:bCs/>
          <w:noProof/>
        </w:rPr>
        <w:lastRenderedPageBreak/>
        <w:drawing>
          <wp:inline distT="0" distB="0" distL="114300" distR="114300" wp14:anchorId="70971FFE" wp14:editId="70B33E6B">
            <wp:extent cx="2008505" cy="2098040"/>
            <wp:effectExtent l="0" t="0" r="3175" b="5080"/>
            <wp:docPr id="42" name="图片 54" descr="黑白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54" descr="黑白_4"/>
                    <pic:cNvPicPr>
                      <a:picLocks noChangeAspect="1"/>
                    </pic:cNvPicPr>
                  </pic:nvPicPr>
                  <pic:blipFill>
                    <a:blip r:embed="rId72"/>
                    <a:stretch>
                      <a:fillRect/>
                    </a:stretch>
                  </pic:blipFill>
                  <pic:spPr>
                    <a:xfrm>
                      <a:off x="0" y="0"/>
                      <a:ext cx="2008505" cy="2098040"/>
                    </a:xfrm>
                    <a:prstGeom prst="rect">
                      <a:avLst/>
                    </a:prstGeom>
                    <a:noFill/>
                    <a:ln>
                      <a:noFill/>
                    </a:ln>
                  </pic:spPr>
                </pic:pic>
              </a:graphicData>
            </a:graphic>
          </wp:inline>
        </w:drawing>
      </w:r>
    </w:p>
    <w:p w14:paraId="45141CBE" w14:textId="77777777" w:rsidR="00D15E46" w:rsidRDefault="00000000">
      <w:pPr>
        <w:pStyle w:val="a3"/>
        <w:widowControl/>
        <w:spacing w:line="240" w:lineRule="atLeast"/>
        <w:jc w:val="center"/>
        <w:rPr>
          <w:rFonts w:ascii="黑体" w:hAnsi="黑体" w:cs="黑体" w:hint="eastAsia"/>
          <w:sz w:val="18"/>
          <w:szCs w:val="18"/>
        </w:rPr>
      </w:pPr>
      <w:r>
        <w:rPr>
          <w:rFonts w:ascii="黑体" w:hAnsi="黑体" w:cs="黑体"/>
          <w:sz w:val="18"/>
          <w:szCs w:val="18"/>
        </w:rPr>
        <w:t xml:space="preserve">图 </w:t>
      </w:r>
      <w:r>
        <w:rPr>
          <w:rFonts w:ascii="Times New Roman" w:hAnsi="Times New Roman" w:cs="Times New Roman"/>
          <w:b/>
          <w:bCs/>
          <w:sz w:val="18"/>
          <w:szCs w:val="18"/>
        </w:rPr>
        <w:fldChar w:fldCharType="begin"/>
      </w:r>
      <w:r>
        <w:rPr>
          <w:rFonts w:ascii="Times New Roman" w:hAnsi="Times New Roman" w:cs="Times New Roman"/>
          <w:b/>
          <w:bCs/>
          <w:sz w:val="18"/>
          <w:szCs w:val="18"/>
        </w:rPr>
        <w:instrText xml:space="preserve"> SEQ </w:instrText>
      </w:r>
      <w:r>
        <w:rPr>
          <w:rFonts w:ascii="Times New Roman" w:hAnsi="Times New Roman" w:cs="Times New Roman"/>
          <w:b/>
          <w:bCs/>
          <w:sz w:val="18"/>
          <w:szCs w:val="18"/>
        </w:rPr>
        <w:instrText>图</w:instrText>
      </w:r>
      <w:r>
        <w:rPr>
          <w:rFonts w:ascii="Times New Roman" w:hAnsi="Times New Roman" w:cs="Times New Roman"/>
          <w:b/>
          <w:bCs/>
          <w:sz w:val="18"/>
          <w:szCs w:val="18"/>
        </w:rPr>
        <w:instrText xml:space="preserve"> \* ARABIC </w:instrText>
      </w:r>
      <w:r>
        <w:rPr>
          <w:rFonts w:ascii="Times New Roman" w:hAnsi="Times New Roman" w:cs="Times New Roman"/>
          <w:b/>
          <w:bCs/>
          <w:sz w:val="18"/>
          <w:szCs w:val="18"/>
        </w:rPr>
        <w:fldChar w:fldCharType="separate"/>
      </w:r>
      <w:r>
        <w:rPr>
          <w:rFonts w:ascii="Times New Roman" w:hAnsi="Times New Roman" w:cs="Times New Roman"/>
          <w:b/>
          <w:bCs/>
          <w:sz w:val="18"/>
          <w:szCs w:val="18"/>
        </w:rPr>
        <w:t>7</w:t>
      </w:r>
      <w:r>
        <w:rPr>
          <w:rFonts w:ascii="Times New Roman" w:hAnsi="Times New Roman" w:cs="Times New Roman"/>
          <w:b/>
          <w:bCs/>
          <w:sz w:val="18"/>
          <w:szCs w:val="18"/>
        </w:rPr>
        <w:fldChar w:fldCharType="end"/>
      </w:r>
      <w:r>
        <w:rPr>
          <w:rFonts w:ascii="黑体" w:hAnsi="黑体" w:cs="黑体" w:hint="eastAsia"/>
          <w:sz w:val="18"/>
          <w:szCs w:val="18"/>
        </w:rPr>
        <w:t xml:space="preserve">  局部空间格局的聚集分布</w:t>
      </w:r>
    </w:p>
    <w:p w14:paraId="2F9F8EF9" w14:textId="77777777" w:rsidR="00D15E46" w:rsidRDefault="00000000">
      <w:pPr>
        <w:widowControl/>
        <w:spacing w:line="240" w:lineRule="atLeast"/>
        <w:jc w:val="center"/>
        <w:rPr>
          <w:rFonts w:ascii="Times New Roman" w:hAnsi="Times New Roman" w:cs="Times New Roman"/>
          <w:bCs/>
          <w:szCs w:val="21"/>
        </w:rPr>
      </w:pPr>
      <w:r>
        <w:rPr>
          <w:rFonts w:hint="eastAsia"/>
          <w:sz w:val="18"/>
          <w:szCs w:val="18"/>
        </w:rPr>
        <w:t>（注：该图</w:t>
      </w:r>
      <w:r>
        <w:rPr>
          <w:rFonts w:ascii="Times New Roman" w:hAnsi="Times New Roman" w:cs="Times New Roman"/>
          <w:sz w:val="18"/>
          <w:szCs w:val="18"/>
        </w:rPr>
        <w:t>基于国家测绘地理信息局标准地图服务网站标准地图</w:t>
      </w:r>
      <w:r>
        <w:rPr>
          <w:rFonts w:ascii="Times New Roman" w:hAnsi="Times New Roman" w:cs="Times New Roman"/>
          <w:sz w:val="18"/>
          <w:szCs w:val="18"/>
        </w:rPr>
        <w:t>[GS(2024)0650</w:t>
      </w:r>
      <w:r>
        <w:rPr>
          <w:rFonts w:ascii="Times New Roman" w:hAnsi="Times New Roman" w:cs="Times New Roman"/>
          <w:sz w:val="18"/>
          <w:szCs w:val="18"/>
        </w:rPr>
        <w:t>号</w:t>
      </w:r>
      <w:r>
        <w:rPr>
          <w:rFonts w:ascii="Times New Roman" w:hAnsi="Times New Roman" w:cs="Times New Roman"/>
          <w:sz w:val="18"/>
          <w:szCs w:val="18"/>
        </w:rPr>
        <w:t>]</w:t>
      </w:r>
      <w:r>
        <w:rPr>
          <w:rFonts w:ascii="Times New Roman" w:hAnsi="Times New Roman" w:cs="Times New Roman"/>
          <w:sz w:val="18"/>
          <w:szCs w:val="18"/>
        </w:rPr>
        <w:t>制</w:t>
      </w:r>
      <w:r>
        <w:rPr>
          <w:rFonts w:hint="eastAsia"/>
          <w:sz w:val="18"/>
          <w:szCs w:val="18"/>
        </w:rPr>
        <w:t>作，底图无修改）</w:t>
      </w:r>
    </w:p>
    <w:p w14:paraId="173CBA28" w14:textId="77777777" w:rsidR="00D15E46" w:rsidRDefault="00000000">
      <w:pPr>
        <w:ind w:firstLineChars="200" w:firstLine="420"/>
        <w:rPr>
          <w:rFonts w:ascii="Times New Roman" w:eastAsia="宋体" w:hAnsi="Times New Roman" w:cs="Times New Roman"/>
          <w:b/>
          <w:sz w:val="18"/>
          <w:szCs w:val="18"/>
        </w:rPr>
      </w:pPr>
      <w:r>
        <w:rPr>
          <w:rFonts w:ascii="Times New Roman" w:hAnsi="Times New Roman" w:cs="Times New Roman" w:hint="eastAsia"/>
          <w:bCs/>
          <w:szCs w:val="21"/>
        </w:rPr>
        <w:t>将图</w:t>
      </w:r>
      <w:r>
        <w:rPr>
          <w:rFonts w:ascii="Times New Roman" w:hAnsi="Times New Roman" w:cs="Times New Roman" w:hint="eastAsia"/>
          <w:bCs/>
          <w:szCs w:val="21"/>
        </w:rPr>
        <w:t>6</w:t>
      </w:r>
      <w:r>
        <w:rPr>
          <w:rFonts w:ascii="Times New Roman" w:hAnsi="Times New Roman" w:cs="Times New Roman" w:hint="eastAsia"/>
          <w:bCs/>
          <w:szCs w:val="21"/>
        </w:rPr>
        <w:t>与图</w:t>
      </w:r>
      <w:r>
        <w:rPr>
          <w:rFonts w:ascii="Times New Roman" w:hAnsi="Times New Roman" w:cs="Times New Roman" w:hint="eastAsia"/>
          <w:bCs/>
          <w:szCs w:val="21"/>
        </w:rPr>
        <w:t>7</w:t>
      </w:r>
      <w:r>
        <w:rPr>
          <w:rFonts w:ascii="Times New Roman" w:hAnsi="Times New Roman" w:cs="Times New Roman" w:hint="eastAsia"/>
          <w:bCs/>
          <w:szCs w:val="21"/>
        </w:rPr>
        <w:t>叠加分析，上海、杭州、苏州等地既处于城市</w:t>
      </w:r>
      <w:r>
        <w:rPr>
          <w:rFonts w:ascii="宋体" w:eastAsia="宋体" w:hAnsi="宋体" w:cs="宋体" w:hint="eastAsia"/>
          <w:szCs w:val="21"/>
        </w:rPr>
        <w:t>防洪</w:t>
      </w:r>
      <w:r>
        <w:rPr>
          <w:rFonts w:ascii="Times New Roman" w:hAnsi="Times New Roman" w:cs="Times New Roman" w:hint="eastAsia"/>
          <w:bCs/>
          <w:szCs w:val="21"/>
        </w:rPr>
        <w:t>韧性的热点区域，又处于局部变化的热点区域，呈现“热</w:t>
      </w:r>
      <w:r>
        <w:rPr>
          <w:rFonts w:ascii="Times New Roman" w:hAnsi="Times New Roman" w:cs="Times New Roman" w:hint="eastAsia"/>
          <w:bCs/>
          <w:szCs w:val="21"/>
        </w:rPr>
        <w:t>-</w:t>
      </w:r>
      <w:r>
        <w:rPr>
          <w:rFonts w:ascii="Times New Roman" w:hAnsi="Times New Roman" w:cs="Times New Roman" w:hint="eastAsia"/>
          <w:bCs/>
          <w:szCs w:val="21"/>
        </w:rPr>
        <w:t>热”状态，表明这些城市在研究期间内的</w:t>
      </w:r>
      <w:r>
        <w:rPr>
          <w:rFonts w:ascii="宋体" w:eastAsia="宋体" w:hAnsi="宋体" w:cs="宋体" w:hint="eastAsia"/>
          <w:szCs w:val="21"/>
        </w:rPr>
        <w:t>防洪</w:t>
      </w:r>
      <w:r>
        <w:rPr>
          <w:rFonts w:ascii="Times New Roman" w:hAnsi="Times New Roman" w:cs="Times New Roman" w:hint="eastAsia"/>
          <w:bCs/>
          <w:szCs w:val="21"/>
        </w:rPr>
        <w:t>韧性处于较高水平且在未来的发展态势向好。亳州与滁州位于城市</w:t>
      </w:r>
      <w:r>
        <w:rPr>
          <w:rFonts w:ascii="宋体" w:eastAsia="宋体" w:hAnsi="宋体" w:cs="宋体" w:hint="eastAsia"/>
          <w:szCs w:val="21"/>
        </w:rPr>
        <w:t>防洪</w:t>
      </w:r>
      <w:r>
        <w:rPr>
          <w:rFonts w:ascii="Times New Roman" w:hAnsi="Times New Roman" w:cs="Times New Roman" w:hint="eastAsia"/>
          <w:bCs/>
          <w:szCs w:val="21"/>
        </w:rPr>
        <w:t>韧性的冷点区域，且处于局部变化趋势的冷点区域，呈现“冷</w:t>
      </w:r>
      <w:r>
        <w:rPr>
          <w:rFonts w:ascii="Times New Roman" w:hAnsi="Times New Roman" w:cs="Times New Roman" w:hint="eastAsia"/>
          <w:bCs/>
          <w:szCs w:val="21"/>
        </w:rPr>
        <w:t>-</w:t>
      </w:r>
      <w:r>
        <w:rPr>
          <w:rFonts w:ascii="Times New Roman" w:hAnsi="Times New Roman" w:cs="Times New Roman" w:hint="eastAsia"/>
          <w:bCs/>
          <w:szCs w:val="21"/>
        </w:rPr>
        <w:t>冷”状态，这说明这两个城市的</w:t>
      </w:r>
      <w:r>
        <w:rPr>
          <w:rFonts w:ascii="宋体" w:eastAsia="宋体" w:hAnsi="宋体" w:cs="宋体" w:hint="eastAsia"/>
          <w:szCs w:val="21"/>
        </w:rPr>
        <w:t>防洪</w:t>
      </w:r>
      <w:r>
        <w:rPr>
          <w:rFonts w:ascii="Times New Roman" w:hAnsi="Times New Roman" w:cs="Times New Roman" w:hint="eastAsia"/>
          <w:bCs/>
          <w:szCs w:val="21"/>
        </w:rPr>
        <w:t>韧性水平较低且在未来的增长速度也较为平稳。徐州、宿州、宿迁等长三角西北部地区处于</w:t>
      </w:r>
      <w:r>
        <w:rPr>
          <w:rFonts w:ascii="宋体" w:eastAsia="宋体" w:hAnsi="宋体" w:cs="宋体" w:hint="eastAsia"/>
          <w:szCs w:val="21"/>
        </w:rPr>
        <w:t>防洪</w:t>
      </w:r>
      <w:r>
        <w:rPr>
          <w:rFonts w:ascii="Times New Roman" w:hAnsi="Times New Roman" w:cs="Times New Roman" w:hint="eastAsia"/>
          <w:bCs/>
          <w:szCs w:val="21"/>
        </w:rPr>
        <w:t>韧性的冷点区域，但位于局部变化的热点区域，呈现“冷</w:t>
      </w:r>
      <w:r>
        <w:rPr>
          <w:rFonts w:ascii="Times New Roman" w:hAnsi="Times New Roman" w:cs="Times New Roman" w:hint="eastAsia"/>
          <w:bCs/>
          <w:szCs w:val="21"/>
        </w:rPr>
        <w:t>-</w:t>
      </w:r>
      <w:r>
        <w:rPr>
          <w:rFonts w:ascii="Times New Roman" w:hAnsi="Times New Roman" w:cs="Times New Roman" w:hint="eastAsia"/>
          <w:bCs/>
          <w:szCs w:val="21"/>
        </w:rPr>
        <w:t>热”状态，表明这几个地区的城市</w:t>
      </w:r>
      <w:r>
        <w:rPr>
          <w:rFonts w:ascii="宋体" w:eastAsia="宋体" w:hAnsi="宋体" w:cs="宋体" w:hint="eastAsia"/>
          <w:szCs w:val="21"/>
        </w:rPr>
        <w:t>防洪</w:t>
      </w:r>
      <w:r>
        <w:rPr>
          <w:rFonts w:ascii="Times New Roman" w:hAnsi="Times New Roman" w:cs="Times New Roman" w:hint="eastAsia"/>
          <w:bCs/>
          <w:szCs w:val="21"/>
        </w:rPr>
        <w:t>韧性虽低于平均水平，但在未来会实现快速增长。金华、衢州、宣城等长三角中西部地区多位于城市</w:t>
      </w:r>
      <w:r>
        <w:rPr>
          <w:rFonts w:ascii="宋体" w:eastAsia="宋体" w:hAnsi="宋体" w:cs="宋体" w:hint="eastAsia"/>
          <w:szCs w:val="21"/>
        </w:rPr>
        <w:t>防洪</w:t>
      </w:r>
      <w:r>
        <w:rPr>
          <w:rFonts w:ascii="Times New Roman" w:hAnsi="Times New Roman" w:cs="Times New Roman" w:hint="eastAsia"/>
          <w:bCs/>
          <w:szCs w:val="21"/>
        </w:rPr>
        <w:t>韧性的热点区域，但处于局部变化冷点区域，呈现“热</w:t>
      </w:r>
      <w:r>
        <w:rPr>
          <w:rFonts w:ascii="Times New Roman" w:hAnsi="Times New Roman" w:cs="Times New Roman" w:hint="eastAsia"/>
          <w:bCs/>
          <w:szCs w:val="21"/>
        </w:rPr>
        <w:t>-</w:t>
      </w:r>
      <w:r>
        <w:rPr>
          <w:rFonts w:ascii="Times New Roman" w:hAnsi="Times New Roman" w:cs="Times New Roman" w:hint="eastAsia"/>
          <w:bCs/>
          <w:szCs w:val="21"/>
        </w:rPr>
        <w:t>冷”状态，说明这些城市的防洪韧性虽高于平均水平但在未来一段时间增长速度将有所放缓。</w:t>
      </w:r>
    </w:p>
    <w:p w14:paraId="0FBE3FE4" w14:textId="77777777" w:rsidR="00D15E46" w:rsidRDefault="00000000">
      <w:pPr>
        <w:pStyle w:val="2"/>
      </w:pPr>
      <w:r>
        <w:rPr>
          <w:rFonts w:ascii="Times New Roman" w:hAnsi="Times New Roman" w:cs="Times New Roman"/>
        </w:rPr>
        <w:t>3</w:t>
      </w:r>
      <w:r>
        <w:t xml:space="preserve"> </w:t>
      </w:r>
      <w:r>
        <w:rPr>
          <w:rFonts w:hint="eastAsia"/>
        </w:rPr>
        <w:t>结论</w:t>
      </w:r>
    </w:p>
    <w:p w14:paraId="10A5B984" w14:textId="77777777" w:rsidR="00D15E46"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本文通过梳理贝叶斯理论与</w:t>
      </w:r>
      <w:r>
        <w:rPr>
          <w:rFonts w:ascii="Times New Roman" w:hAnsi="Times New Roman" w:cs="Times New Roman" w:hint="eastAsia"/>
          <w:kern w:val="0"/>
          <w:szCs w:val="21"/>
        </w:rPr>
        <w:t>MCMC</w:t>
      </w:r>
      <w:r>
        <w:rPr>
          <w:rFonts w:ascii="Times New Roman" w:hAnsi="Times New Roman" w:cs="Times New Roman" w:hint="eastAsia"/>
          <w:kern w:val="0"/>
          <w:szCs w:val="21"/>
        </w:rPr>
        <w:t>方法，论述贝叶斯估计中未知参数的设定与推断过程，并将</w:t>
      </w:r>
      <w:r>
        <w:rPr>
          <w:rFonts w:ascii="Times New Roman" w:hAnsi="Times New Roman" w:cs="Times New Roman" w:hint="eastAsia"/>
          <w:kern w:val="0"/>
          <w:szCs w:val="21"/>
        </w:rPr>
        <w:t>BSTIM</w:t>
      </w:r>
      <w:r>
        <w:rPr>
          <w:rFonts w:ascii="Times New Roman" w:hAnsi="Times New Roman" w:cs="Times New Roman" w:hint="eastAsia"/>
          <w:kern w:val="0"/>
          <w:szCs w:val="21"/>
        </w:rPr>
        <w:t>应用于长三角地区防洪韧性的评估研究，得到以下主要结论：</w:t>
      </w:r>
    </w:p>
    <w:p w14:paraId="40CAAC75" w14:textId="77777777" w:rsidR="00D15E46"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1</w:t>
      </w:r>
      <w:r>
        <w:rPr>
          <w:rFonts w:ascii="Times New Roman" w:hAnsi="Times New Roman" w:cs="Times New Roman" w:hint="eastAsia"/>
          <w:kern w:val="0"/>
          <w:szCs w:val="21"/>
        </w:rPr>
        <w:t>）基于</w:t>
      </w:r>
      <w:r>
        <w:rPr>
          <w:rFonts w:ascii="Times New Roman" w:hAnsi="Times New Roman" w:cs="Times New Roman" w:hint="eastAsia"/>
          <w:kern w:val="0"/>
          <w:szCs w:val="21"/>
        </w:rPr>
        <w:t>MCMC</w:t>
      </w:r>
      <w:r>
        <w:rPr>
          <w:rFonts w:ascii="Times New Roman" w:hAnsi="Times New Roman" w:cs="Times New Roman" w:hint="eastAsia"/>
          <w:kern w:val="0"/>
          <w:szCs w:val="21"/>
        </w:rPr>
        <w:t>模拟的贝叶斯估计将未知参数的先验信息与样本信息结合得到更新的后验信息，为城市防洪韧性的评估提供了新的研究视角。</w:t>
      </w:r>
      <w:r>
        <w:rPr>
          <w:rFonts w:ascii="Times New Roman" w:hAnsi="Times New Roman" w:cs="Times New Roman" w:hint="eastAsia"/>
          <w:kern w:val="0"/>
          <w:szCs w:val="21"/>
        </w:rPr>
        <w:t>BSTIM</w:t>
      </w:r>
      <w:r>
        <w:rPr>
          <w:rFonts w:ascii="Times New Roman" w:hAnsi="Times New Roman" w:cs="Times New Roman" w:hint="eastAsia"/>
          <w:kern w:val="0"/>
          <w:szCs w:val="21"/>
        </w:rPr>
        <w:t>实现了贝叶斯理论与时空交互模型的结合，将邻接城市的空间信息纳入到时空演化过程中，提高了城市防洪韧性的时空特征分析的准确性。</w:t>
      </w:r>
    </w:p>
    <w:p w14:paraId="3A46E47D" w14:textId="77777777" w:rsidR="00D15E46"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2</w:t>
      </w:r>
      <w:r>
        <w:rPr>
          <w:rFonts w:ascii="Times New Roman" w:hAnsi="Times New Roman" w:cs="Times New Roman" w:hint="eastAsia"/>
          <w:kern w:val="0"/>
          <w:szCs w:val="21"/>
        </w:rPr>
        <w:t>）长三角地区的城市防洪韧性呈现缓慢上升趋势，近年来城市防洪韧性的增长速率加快；城市</w:t>
      </w:r>
      <w:r>
        <w:rPr>
          <w:rFonts w:ascii="Times New Roman" w:hAnsi="Times New Roman" w:cs="Times New Roman" w:hint="eastAsia"/>
          <w:kern w:val="0"/>
          <w:szCs w:val="21"/>
        </w:rPr>
        <w:t>防洪韧性的空间格局差异性显著，空间布局整体上形成“低</w:t>
      </w:r>
      <w:r>
        <w:rPr>
          <w:rFonts w:ascii="Times New Roman" w:hAnsi="Times New Roman" w:cs="Times New Roman" w:hint="eastAsia"/>
          <w:kern w:val="0"/>
          <w:szCs w:val="21"/>
        </w:rPr>
        <w:t>-</w:t>
      </w:r>
      <w:r>
        <w:rPr>
          <w:rFonts w:ascii="Times New Roman" w:hAnsi="Times New Roman" w:cs="Times New Roman" w:hint="eastAsia"/>
          <w:kern w:val="0"/>
          <w:szCs w:val="21"/>
        </w:rPr>
        <w:t>高</w:t>
      </w:r>
      <w:r>
        <w:rPr>
          <w:rFonts w:ascii="Times New Roman" w:hAnsi="Times New Roman" w:cs="Times New Roman" w:hint="eastAsia"/>
          <w:kern w:val="0"/>
          <w:szCs w:val="21"/>
        </w:rPr>
        <w:t>-</w:t>
      </w:r>
      <w:r>
        <w:rPr>
          <w:rFonts w:ascii="Times New Roman" w:hAnsi="Times New Roman" w:cs="Times New Roman" w:hint="eastAsia"/>
          <w:kern w:val="0"/>
          <w:szCs w:val="21"/>
        </w:rPr>
        <w:t>中”的空间格局；局部变化趋势形成“东高西低，北部居中”的特点。</w:t>
      </w:r>
    </w:p>
    <w:p w14:paraId="4CB85D09" w14:textId="77777777" w:rsidR="00D15E46"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3</w:t>
      </w:r>
      <w:r>
        <w:rPr>
          <w:rFonts w:ascii="Times New Roman" w:hAnsi="Times New Roman" w:cs="Times New Roman" w:hint="eastAsia"/>
          <w:kern w:val="0"/>
          <w:szCs w:val="21"/>
        </w:rPr>
        <w:t>）长三角大部分地区的城市防洪韧性高于整个地区的平均水平；长三角地区的局部变化冷热聚集形成“西冷东热”的格局，处于冷点区域的城市较多。未来长三角地区超半数的城市防洪韧性水平变化整体向好。</w:t>
      </w:r>
    </w:p>
    <w:p w14:paraId="57D60300" w14:textId="77777777" w:rsidR="00D15E46"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4</w:t>
      </w:r>
      <w:r>
        <w:rPr>
          <w:rFonts w:ascii="Times New Roman" w:hAnsi="Times New Roman" w:cs="Times New Roman" w:hint="eastAsia"/>
          <w:kern w:val="0"/>
          <w:szCs w:val="21"/>
        </w:rPr>
        <w:t>）</w:t>
      </w:r>
      <w:r>
        <w:rPr>
          <w:rFonts w:ascii="Times New Roman" w:hAnsi="Times New Roman" w:cs="Times New Roman" w:hint="eastAsia"/>
          <w:kern w:val="0"/>
          <w:szCs w:val="21"/>
        </w:rPr>
        <w:t>MCMC</w:t>
      </w:r>
      <w:r>
        <w:rPr>
          <w:rFonts w:ascii="Times New Roman" w:hAnsi="Times New Roman" w:cs="Times New Roman" w:hint="eastAsia"/>
          <w:kern w:val="0"/>
          <w:szCs w:val="21"/>
        </w:rPr>
        <w:t>方法通过反复利用贝叶斯定理，能够处理防洪韧性系统这一复杂模型的参数估计问题，对空间关联数据的拟合较好。本文的</w:t>
      </w:r>
      <w:r>
        <w:rPr>
          <w:rFonts w:ascii="Times New Roman" w:hAnsi="Times New Roman" w:cs="Times New Roman" w:hint="eastAsia"/>
          <w:kern w:val="0"/>
          <w:szCs w:val="21"/>
        </w:rPr>
        <w:t>VPC</w:t>
      </w:r>
      <w:r>
        <w:rPr>
          <w:rFonts w:ascii="Times New Roman" w:hAnsi="Times New Roman" w:cs="Times New Roman" w:hint="eastAsia"/>
          <w:kern w:val="0"/>
          <w:szCs w:val="21"/>
        </w:rPr>
        <w:t>值达到了</w:t>
      </w:r>
      <w:r>
        <w:rPr>
          <w:rFonts w:ascii="Times New Roman" w:hAnsi="Times New Roman" w:cs="Times New Roman" w:hint="eastAsia"/>
          <w:kern w:val="0"/>
          <w:szCs w:val="21"/>
        </w:rPr>
        <w:t>93%</w:t>
      </w:r>
      <w:r>
        <w:rPr>
          <w:rFonts w:ascii="Times New Roman" w:hAnsi="Times New Roman" w:cs="Times New Roman" w:hint="eastAsia"/>
          <w:kern w:val="0"/>
          <w:szCs w:val="21"/>
        </w:rPr>
        <w:t>以上，说明</w:t>
      </w:r>
      <w:r>
        <w:rPr>
          <w:rFonts w:ascii="Times New Roman" w:hAnsi="Times New Roman" w:cs="Times New Roman" w:hint="eastAsia"/>
          <w:kern w:val="0"/>
          <w:szCs w:val="21"/>
        </w:rPr>
        <w:t>BSTIM</w:t>
      </w:r>
      <w:r>
        <w:rPr>
          <w:rFonts w:ascii="Times New Roman" w:hAnsi="Times New Roman" w:cs="Times New Roman" w:hint="eastAsia"/>
          <w:kern w:val="0"/>
          <w:szCs w:val="21"/>
        </w:rPr>
        <w:t>能够有效地评估防洪韧性时空演化中的时空交互效应。</w:t>
      </w:r>
    </w:p>
    <w:p w14:paraId="483E03F2" w14:textId="77777777" w:rsidR="00D15E46" w:rsidRDefault="00000000">
      <w:pPr>
        <w:widowControl/>
        <w:spacing w:line="240" w:lineRule="atLeast"/>
        <w:ind w:firstLine="420"/>
        <w:rPr>
          <w:rFonts w:ascii="Times New Roman" w:hAnsi="Times New Roman" w:cs="Times New Roman"/>
          <w:kern w:val="0"/>
          <w:szCs w:val="21"/>
        </w:rPr>
      </w:pPr>
      <w:r>
        <w:rPr>
          <w:rFonts w:ascii="Times New Roman" w:hAnsi="Times New Roman" w:cs="Times New Roman" w:hint="eastAsia"/>
          <w:kern w:val="0"/>
          <w:szCs w:val="21"/>
        </w:rPr>
        <w:t>尽管如此，本文的研究也存在一定不足。在案例研究方面，本研究尺度为市级，若能够细化到县级或区级，空间信息会更加丰富，结果会得到进一步改善。此外，有关于</w:t>
      </w:r>
      <w:r>
        <w:rPr>
          <w:rFonts w:ascii="Times New Roman" w:hAnsi="Times New Roman" w:cs="Times New Roman" w:hint="eastAsia"/>
          <w:kern w:val="0"/>
          <w:szCs w:val="21"/>
        </w:rPr>
        <w:t>MCMC</w:t>
      </w:r>
      <w:r>
        <w:rPr>
          <w:rFonts w:ascii="Times New Roman" w:hAnsi="Times New Roman" w:cs="Times New Roman" w:hint="eastAsia"/>
          <w:kern w:val="0"/>
          <w:szCs w:val="21"/>
        </w:rPr>
        <w:t>模型先验信息的设定，其合理性仍需进一步考虑，这将是下一步工作的目标。</w:t>
      </w:r>
    </w:p>
    <w:p w14:paraId="0E2A38CD" w14:textId="77777777" w:rsidR="00D15E46" w:rsidRDefault="00000000">
      <w:pPr>
        <w:pStyle w:val="2"/>
      </w:pPr>
      <w:r>
        <w:t>参考文献（</w:t>
      </w:r>
      <w:r>
        <w:rPr>
          <w:rFonts w:ascii="Times New Roman" w:hAnsi="Times New Roman" w:cs="Times New Roman"/>
        </w:rPr>
        <w:t>References</w:t>
      </w:r>
      <w:r>
        <w:t>）</w:t>
      </w:r>
    </w:p>
    <w:p w14:paraId="04D1DACE" w14:textId="77777777" w:rsidR="00D15E46" w:rsidRDefault="00000000">
      <w:pPr>
        <w:pStyle w:val="11"/>
        <w:numPr>
          <w:ilvl w:val="0"/>
          <w:numId w:val="1"/>
        </w:numPr>
        <w:ind w:left="425" w:firstLineChars="0"/>
        <w:rPr>
          <w:sz w:val="18"/>
          <w:szCs w:val="18"/>
        </w:rPr>
      </w:pPr>
      <w:bookmarkStart w:id="0" w:name="_Ref23963"/>
      <w:r>
        <w:rPr>
          <w:rFonts w:hint="eastAsia"/>
          <w:sz w:val="18"/>
          <w:szCs w:val="18"/>
        </w:rPr>
        <w:t>张金良</w:t>
      </w:r>
      <w:r>
        <w:rPr>
          <w:rFonts w:hint="eastAsia"/>
          <w:sz w:val="18"/>
          <w:szCs w:val="18"/>
        </w:rPr>
        <w:t xml:space="preserve">, </w:t>
      </w:r>
      <w:r>
        <w:rPr>
          <w:rFonts w:hint="eastAsia"/>
          <w:sz w:val="18"/>
          <w:szCs w:val="18"/>
        </w:rPr>
        <w:t>罗秋实</w:t>
      </w:r>
      <w:r>
        <w:rPr>
          <w:rFonts w:hint="eastAsia"/>
          <w:sz w:val="18"/>
          <w:szCs w:val="18"/>
        </w:rPr>
        <w:t xml:space="preserve">, </w:t>
      </w:r>
      <w:r>
        <w:rPr>
          <w:rFonts w:hint="eastAsia"/>
          <w:sz w:val="18"/>
          <w:szCs w:val="18"/>
        </w:rPr>
        <w:t>王冰洁</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城市极端暴雨洪涝灾害成因及对策研究进展</w:t>
      </w:r>
      <w:r>
        <w:rPr>
          <w:rFonts w:hint="eastAsia"/>
          <w:sz w:val="18"/>
          <w:szCs w:val="18"/>
        </w:rPr>
        <w:t xml:space="preserve">[J]. </w:t>
      </w:r>
      <w:r>
        <w:rPr>
          <w:rFonts w:hint="eastAsia"/>
          <w:sz w:val="18"/>
          <w:szCs w:val="18"/>
        </w:rPr>
        <w:t>水资源保护</w:t>
      </w:r>
      <w:r>
        <w:rPr>
          <w:rFonts w:hint="eastAsia"/>
          <w:sz w:val="18"/>
          <w:szCs w:val="18"/>
        </w:rPr>
        <w:t>, 2024, 40(1):6-15.</w:t>
      </w:r>
      <w:bookmarkEnd w:id="0"/>
    </w:p>
    <w:p w14:paraId="01C3CB82" w14:textId="77777777" w:rsidR="00D15E46" w:rsidRDefault="00000000">
      <w:pPr>
        <w:pStyle w:val="11"/>
        <w:ind w:left="425" w:firstLineChars="0" w:firstLine="0"/>
        <w:rPr>
          <w:sz w:val="18"/>
          <w:szCs w:val="18"/>
        </w:rPr>
      </w:pPr>
      <w:r>
        <w:rPr>
          <w:rFonts w:hint="eastAsia"/>
          <w:sz w:val="18"/>
          <w:szCs w:val="18"/>
        </w:rPr>
        <w:t xml:space="preserve">ZHANG J L, LUO Q S, WANG B J ,et al. Research progress on causes and countermeasures for extreme rainstorm-induced urban flood disasters[J]. Water Resources Protection, 2024, 40(1):6-15. </w:t>
      </w:r>
      <w:r>
        <w:rPr>
          <w:rFonts w:cs="Times New Roman"/>
          <w:sz w:val="18"/>
          <w:szCs w:val="18"/>
        </w:rPr>
        <w:t>(in Chinese)</w:t>
      </w:r>
    </w:p>
    <w:p w14:paraId="4F62F652" w14:textId="77777777" w:rsidR="00D15E46" w:rsidRDefault="00000000">
      <w:pPr>
        <w:pStyle w:val="11"/>
        <w:numPr>
          <w:ilvl w:val="0"/>
          <w:numId w:val="1"/>
        </w:numPr>
        <w:ind w:left="425" w:firstLineChars="0"/>
        <w:rPr>
          <w:sz w:val="18"/>
          <w:szCs w:val="18"/>
        </w:rPr>
      </w:pPr>
      <w:bookmarkStart w:id="1" w:name="_Ref24022"/>
      <w:bookmarkStart w:id="2" w:name="_Ref25615"/>
      <w:bookmarkEnd w:id="1"/>
      <w:r>
        <w:rPr>
          <w:rFonts w:hint="eastAsia"/>
          <w:sz w:val="18"/>
          <w:szCs w:val="18"/>
        </w:rPr>
        <w:t>王凯丰</w:t>
      </w:r>
      <w:r>
        <w:rPr>
          <w:rFonts w:hint="eastAsia"/>
          <w:sz w:val="18"/>
          <w:szCs w:val="18"/>
        </w:rPr>
        <w:t xml:space="preserve">, </w:t>
      </w:r>
      <w:r>
        <w:rPr>
          <w:rFonts w:hint="eastAsia"/>
          <w:sz w:val="18"/>
          <w:szCs w:val="18"/>
        </w:rPr>
        <w:t>张洪斌</w:t>
      </w:r>
      <w:r>
        <w:rPr>
          <w:rFonts w:hint="eastAsia"/>
          <w:sz w:val="18"/>
          <w:szCs w:val="18"/>
        </w:rPr>
        <w:t xml:space="preserve">, </w:t>
      </w:r>
      <w:r>
        <w:rPr>
          <w:rFonts w:hint="eastAsia"/>
          <w:sz w:val="18"/>
          <w:szCs w:val="18"/>
        </w:rPr>
        <w:t>力刚</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城市洪涝韧性的研究进展及关键支撑技术综述</w:t>
      </w:r>
      <w:r>
        <w:rPr>
          <w:rFonts w:hint="eastAsia"/>
          <w:sz w:val="18"/>
          <w:szCs w:val="18"/>
        </w:rPr>
        <w:t xml:space="preserve">[J]. </w:t>
      </w:r>
      <w:r>
        <w:rPr>
          <w:rFonts w:hint="eastAsia"/>
          <w:sz w:val="18"/>
          <w:szCs w:val="18"/>
        </w:rPr>
        <w:t>水利水电技术</w:t>
      </w:r>
      <w:r>
        <w:rPr>
          <w:rFonts w:hint="eastAsia"/>
          <w:sz w:val="18"/>
          <w:szCs w:val="18"/>
        </w:rPr>
        <w:t>(</w:t>
      </w:r>
      <w:r>
        <w:rPr>
          <w:rFonts w:hint="eastAsia"/>
          <w:sz w:val="18"/>
          <w:szCs w:val="18"/>
        </w:rPr>
        <w:t>中英文</w:t>
      </w:r>
      <w:r>
        <w:rPr>
          <w:rFonts w:hint="eastAsia"/>
          <w:sz w:val="18"/>
          <w:szCs w:val="18"/>
        </w:rPr>
        <w:t>), 2023, 54(11):77-88.</w:t>
      </w:r>
      <w:bookmarkEnd w:id="2"/>
    </w:p>
    <w:p w14:paraId="22907532" w14:textId="77777777" w:rsidR="00D15E46" w:rsidRDefault="00000000">
      <w:pPr>
        <w:pStyle w:val="11"/>
        <w:ind w:left="425" w:firstLineChars="0" w:firstLine="0"/>
        <w:rPr>
          <w:sz w:val="18"/>
          <w:szCs w:val="18"/>
        </w:rPr>
      </w:pPr>
      <w:r>
        <w:rPr>
          <w:rFonts w:hint="eastAsia"/>
          <w:sz w:val="18"/>
          <w:szCs w:val="18"/>
        </w:rPr>
        <w:t xml:space="preserve">WANG K F, ZHANG H B, LI G, et al. Advances in resilience study and its key supporting urban flood review[J]. Water Resources and Hydropower Engineering, 2023, 54(11):77-88. </w:t>
      </w:r>
      <w:r>
        <w:rPr>
          <w:rFonts w:cs="Times New Roman"/>
          <w:sz w:val="18"/>
          <w:szCs w:val="18"/>
        </w:rPr>
        <w:t>(in Chinese)</w:t>
      </w:r>
    </w:p>
    <w:p w14:paraId="1AECBBA2" w14:textId="77777777" w:rsidR="00D15E46" w:rsidRDefault="00000000">
      <w:pPr>
        <w:pStyle w:val="11"/>
        <w:numPr>
          <w:ilvl w:val="0"/>
          <w:numId w:val="1"/>
        </w:numPr>
        <w:ind w:left="425" w:firstLineChars="0"/>
        <w:rPr>
          <w:sz w:val="18"/>
          <w:szCs w:val="18"/>
        </w:rPr>
      </w:pPr>
      <w:bookmarkStart w:id="3" w:name="_Ref24058"/>
      <w:r>
        <w:rPr>
          <w:rFonts w:hint="eastAsia"/>
          <w:sz w:val="18"/>
          <w:szCs w:val="18"/>
        </w:rPr>
        <w:t>王启飞</w:t>
      </w:r>
      <w:r>
        <w:rPr>
          <w:rFonts w:hint="eastAsia"/>
          <w:sz w:val="18"/>
          <w:szCs w:val="18"/>
        </w:rPr>
        <w:t xml:space="preserve">, </w:t>
      </w:r>
      <w:r>
        <w:rPr>
          <w:rFonts w:hint="eastAsia"/>
          <w:sz w:val="18"/>
          <w:szCs w:val="18"/>
        </w:rPr>
        <w:t>赵逸涵</w:t>
      </w:r>
      <w:r>
        <w:rPr>
          <w:rFonts w:hint="eastAsia"/>
          <w:sz w:val="18"/>
          <w:szCs w:val="18"/>
        </w:rPr>
        <w:t xml:space="preserve">, </w:t>
      </w:r>
      <w:r>
        <w:rPr>
          <w:rFonts w:hint="eastAsia"/>
          <w:sz w:val="18"/>
          <w:szCs w:val="18"/>
        </w:rPr>
        <w:t>张慧</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基于</w:t>
      </w:r>
      <w:r>
        <w:rPr>
          <w:rFonts w:hint="eastAsia"/>
          <w:sz w:val="18"/>
          <w:szCs w:val="18"/>
        </w:rPr>
        <w:t>PSR</w:t>
      </w:r>
      <w:r>
        <w:rPr>
          <w:rFonts w:hint="eastAsia"/>
          <w:sz w:val="18"/>
          <w:szCs w:val="18"/>
        </w:rPr>
        <w:t>和信息敏感性的城市韧性度评价</w:t>
      </w:r>
      <w:r>
        <w:rPr>
          <w:rFonts w:hint="eastAsia"/>
          <w:sz w:val="18"/>
          <w:szCs w:val="18"/>
        </w:rPr>
        <w:t>:</w:t>
      </w:r>
      <w:r>
        <w:rPr>
          <w:rFonts w:hint="eastAsia"/>
          <w:sz w:val="18"/>
          <w:szCs w:val="18"/>
        </w:rPr>
        <w:t>以北京市为例</w:t>
      </w:r>
      <w:r>
        <w:rPr>
          <w:rFonts w:hint="eastAsia"/>
          <w:sz w:val="18"/>
          <w:szCs w:val="18"/>
        </w:rPr>
        <w:t xml:space="preserve">[J]. </w:t>
      </w:r>
      <w:r>
        <w:rPr>
          <w:rFonts w:hint="eastAsia"/>
          <w:sz w:val="18"/>
          <w:szCs w:val="18"/>
        </w:rPr>
        <w:t>中国安全科学学报</w:t>
      </w:r>
      <w:r>
        <w:rPr>
          <w:rFonts w:hint="eastAsia"/>
          <w:sz w:val="18"/>
          <w:szCs w:val="18"/>
        </w:rPr>
        <w:t>, 2023, 33(8): 198-204.</w:t>
      </w:r>
      <w:bookmarkEnd w:id="3"/>
    </w:p>
    <w:p w14:paraId="06E6FFBC" w14:textId="77777777" w:rsidR="00D15E46" w:rsidRDefault="00000000">
      <w:pPr>
        <w:pStyle w:val="11"/>
        <w:ind w:left="425" w:firstLineChars="0" w:firstLine="0"/>
        <w:rPr>
          <w:sz w:val="18"/>
          <w:szCs w:val="18"/>
        </w:rPr>
      </w:pPr>
      <w:r>
        <w:rPr>
          <w:rFonts w:hint="eastAsia"/>
          <w:sz w:val="18"/>
          <w:szCs w:val="18"/>
        </w:rPr>
        <w:t xml:space="preserve">WANG Q F, ZHAO Y H, ZHANG H, et al. Evaluation of urban resilience based on PSR model and information sensitivity: a case study of Beijing[J]. China Safety Science Journal, 2023, 33(8):198-204. </w:t>
      </w:r>
      <w:r>
        <w:rPr>
          <w:rFonts w:cs="Times New Roman"/>
          <w:sz w:val="18"/>
          <w:szCs w:val="18"/>
        </w:rPr>
        <w:t>(in Chinese)</w:t>
      </w:r>
    </w:p>
    <w:p w14:paraId="66ED8684" w14:textId="77777777" w:rsidR="00D15E46" w:rsidRDefault="00000000">
      <w:pPr>
        <w:pStyle w:val="11"/>
        <w:numPr>
          <w:ilvl w:val="0"/>
          <w:numId w:val="1"/>
        </w:numPr>
        <w:wordWrap w:val="0"/>
        <w:ind w:left="425" w:firstLineChars="0"/>
        <w:rPr>
          <w:sz w:val="18"/>
          <w:szCs w:val="18"/>
        </w:rPr>
      </w:pPr>
      <w:bookmarkStart w:id="4" w:name="_Ref25082"/>
      <w:bookmarkStart w:id="5" w:name="_Ref9296"/>
      <w:bookmarkStart w:id="6" w:name="_Ref27758"/>
      <w:r>
        <w:rPr>
          <w:rFonts w:hint="eastAsia"/>
          <w:sz w:val="18"/>
          <w:szCs w:val="18"/>
        </w:rPr>
        <w:t>Ghosh M, NatarajanA K, Stroud T W F, et al. Generalized linear models for small-area estimation[J]. Journal of the American Statistical Association, 1998, 93(441): 273-282.</w:t>
      </w:r>
      <w:r>
        <w:rPr>
          <w:rFonts w:hint="eastAsia"/>
          <w:sz w:val="18"/>
          <w:szCs w:val="18"/>
        </w:rPr>
        <w:lastRenderedPageBreak/>
        <w:t xml:space="preserve"> DOI:10.1080/01621459.1998.10474108.</w:t>
      </w:r>
      <w:bookmarkEnd w:id="4"/>
      <w:r>
        <w:rPr>
          <w:rFonts w:hint="eastAsia"/>
          <w:sz w:val="18"/>
          <w:szCs w:val="18"/>
        </w:rPr>
        <w:t xml:space="preserve"> </w:t>
      </w:r>
      <w:r>
        <w:rPr>
          <w:rFonts w:cs="Times New Roman"/>
          <w:sz w:val="18"/>
          <w:szCs w:val="18"/>
        </w:rPr>
        <w:t>(in Chinese)</w:t>
      </w:r>
      <w:bookmarkEnd w:id="5"/>
    </w:p>
    <w:p w14:paraId="414E7123" w14:textId="77777777" w:rsidR="00D15E46" w:rsidRDefault="00000000">
      <w:pPr>
        <w:pStyle w:val="11"/>
        <w:numPr>
          <w:ilvl w:val="0"/>
          <w:numId w:val="1"/>
        </w:numPr>
        <w:ind w:left="425" w:firstLineChars="0"/>
        <w:rPr>
          <w:sz w:val="18"/>
          <w:szCs w:val="18"/>
        </w:rPr>
      </w:pPr>
      <w:bookmarkStart w:id="7" w:name="_Ref6698"/>
      <w:bookmarkStart w:id="8" w:name="_Ref28397"/>
      <w:r>
        <w:rPr>
          <w:rFonts w:hint="eastAsia"/>
          <w:sz w:val="18"/>
          <w:szCs w:val="18"/>
        </w:rPr>
        <w:t>李俊明</w:t>
      </w:r>
      <w:r>
        <w:rPr>
          <w:rFonts w:hint="eastAsia"/>
          <w:sz w:val="18"/>
          <w:szCs w:val="18"/>
        </w:rPr>
        <w:t xml:space="preserve">, </w:t>
      </w:r>
      <w:r>
        <w:rPr>
          <w:rFonts w:hint="eastAsia"/>
          <w:sz w:val="18"/>
          <w:szCs w:val="18"/>
        </w:rPr>
        <w:t>周佳卉</w:t>
      </w:r>
      <w:r>
        <w:rPr>
          <w:rFonts w:hint="eastAsia"/>
          <w:sz w:val="18"/>
          <w:szCs w:val="18"/>
        </w:rPr>
        <w:t xml:space="preserve">, </w:t>
      </w:r>
      <w:r>
        <w:rPr>
          <w:rFonts w:hint="eastAsia"/>
          <w:sz w:val="18"/>
          <w:szCs w:val="18"/>
        </w:rPr>
        <w:t>李杰</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基于贝叶斯统计的黄河流域生态文明与共同富裕的时空协同演进研究</w:t>
      </w:r>
      <w:r>
        <w:rPr>
          <w:rFonts w:hint="eastAsia"/>
          <w:sz w:val="18"/>
          <w:szCs w:val="18"/>
        </w:rPr>
        <w:t xml:space="preserve">[J]. </w:t>
      </w:r>
      <w:r>
        <w:rPr>
          <w:rFonts w:hint="eastAsia"/>
          <w:sz w:val="18"/>
          <w:szCs w:val="18"/>
        </w:rPr>
        <w:t>地球信息科学学报</w:t>
      </w:r>
      <w:r>
        <w:rPr>
          <w:rFonts w:hint="eastAsia"/>
          <w:sz w:val="18"/>
          <w:szCs w:val="18"/>
        </w:rPr>
        <w:t>,2023, 25(4):766-782.</w:t>
      </w:r>
      <w:bookmarkEnd w:id="7"/>
    </w:p>
    <w:p w14:paraId="795716DD" w14:textId="77777777" w:rsidR="00D15E46" w:rsidRDefault="00000000">
      <w:pPr>
        <w:pStyle w:val="11"/>
        <w:ind w:left="425" w:firstLineChars="0" w:firstLine="0"/>
        <w:rPr>
          <w:sz w:val="18"/>
          <w:szCs w:val="18"/>
        </w:rPr>
      </w:pPr>
      <w:r>
        <w:rPr>
          <w:rFonts w:hint="eastAsia"/>
          <w:sz w:val="18"/>
          <w:szCs w:val="18"/>
        </w:rPr>
        <w:t xml:space="preserve">LI J M, ZHOU J H, LI J, et al. Spatio-temporal evolution and synergy of ecological civilization and common prosperity in the yellow river basin based on Bayesian statistics[J]. Journal of Geo-information Science, 2023, 25(4):766-782. </w:t>
      </w:r>
      <w:r>
        <w:rPr>
          <w:rFonts w:cs="Times New Roman"/>
          <w:sz w:val="18"/>
          <w:szCs w:val="18"/>
        </w:rPr>
        <w:t>(in Chinese)</w:t>
      </w:r>
    </w:p>
    <w:p w14:paraId="1D15239C" w14:textId="77777777" w:rsidR="00D15E46" w:rsidRDefault="00000000">
      <w:pPr>
        <w:pStyle w:val="11"/>
        <w:numPr>
          <w:ilvl w:val="0"/>
          <w:numId w:val="1"/>
        </w:numPr>
        <w:ind w:left="425" w:firstLineChars="0"/>
        <w:rPr>
          <w:sz w:val="18"/>
          <w:szCs w:val="18"/>
        </w:rPr>
      </w:pPr>
      <w:bookmarkStart w:id="9" w:name="_Ref10538"/>
      <w:r>
        <w:rPr>
          <w:rFonts w:hint="eastAsia"/>
          <w:sz w:val="18"/>
          <w:szCs w:val="18"/>
        </w:rPr>
        <w:t>于明雪</w:t>
      </w:r>
      <w:r>
        <w:rPr>
          <w:rFonts w:hint="eastAsia"/>
          <w:sz w:val="18"/>
          <w:szCs w:val="18"/>
        </w:rPr>
        <w:t xml:space="preserve">, </w:t>
      </w:r>
      <w:r>
        <w:rPr>
          <w:rFonts w:hint="eastAsia"/>
          <w:sz w:val="18"/>
          <w:szCs w:val="18"/>
        </w:rPr>
        <w:t>孙建国</w:t>
      </w:r>
      <w:r>
        <w:rPr>
          <w:rFonts w:hint="eastAsia"/>
          <w:sz w:val="18"/>
          <w:szCs w:val="18"/>
        </w:rPr>
        <w:t xml:space="preserve">, </w:t>
      </w:r>
      <w:r>
        <w:rPr>
          <w:rFonts w:hint="eastAsia"/>
          <w:sz w:val="18"/>
          <w:szCs w:val="18"/>
        </w:rPr>
        <w:t>杨维涛</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基于贝叶斯层次时空模型的甘肃省土地利用程度演变分析</w:t>
      </w:r>
      <w:r>
        <w:rPr>
          <w:rFonts w:hint="eastAsia"/>
          <w:sz w:val="18"/>
          <w:szCs w:val="18"/>
        </w:rPr>
        <w:t xml:space="preserve">[J]. </w:t>
      </w:r>
      <w:r>
        <w:rPr>
          <w:rFonts w:hint="eastAsia"/>
          <w:sz w:val="18"/>
          <w:szCs w:val="18"/>
        </w:rPr>
        <w:t>地理科学</w:t>
      </w:r>
      <w:r>
        <w:rPr>
          <w:rFonts w:hint="eastAsia"/>
          <w:sz w:val="18"/>
          <w:szCs w:val="18"/>
        </w:rPr>
        <w:t>, 2022, 42(5):918-925.</w:t>
      </w:r>
      <w:bookmarkEnd w:id="9"/>
    </w:p>
    <w:p w14:paraId="4F03CCF2" w14:textId="77777777" w:rsidR="00D15E46" w:rsidRDefault="00000000">
      <w:pPr>
        <w:pStyle w:val="11"/>
        <w:ind w:left="425" w:firstLineChars="0" w:firstLine="0"/>
        <w:rPr>
          <w:sz w:val="18"/>
          <w:szCs w:val="18"/>
        </w:rPr>
      </w:pPr>
      <w:r>
        <w:rPr>
          <w:rFonts w:hint="eastAsia"/>
          <w:sz w:val="18"/>
          <w:szCs w:val="18"/>
        </w:rPr>
        <w:t xml:space="preserve">YU M X, SUN J G, YANG W T, et al. Evolution of land use degree in Gansu province based on Bayesian hierarchical spatio-temporal model[J]. Scientia Geographica Sinica, 2022, 42(5):918-925. </w:t>
      </w:r>
      <w:r>
        <w:rPr>
          <w:rFonts w:cs="Times New Roman"/>
          <w:sz w:val="18"/>
          <w:szCs w:val="18"/>
        </w:rPr>
        <w:t>(in Chinese)</w:t>
      </w:r>
    </w:p>
    <w:p w14:paraId="5FDA3F5F" w14:textId="77777777" w:rsidR="00D15E46" w:rsidRDefault="00000000">
      <w:pPr>
        <w:pStyle w:val="11"/>
        <w:numPr>
          <w:ilvl w:val="0"/>
          <w:numId w:val="1"/>
        </w:numPr>
        <w:ind w:left="425" w:firstLineChars="0"/>
        <w:rPr>
          <w:sz w:val="18"/>
          <w:szCs w:val="18"/>
        </w:rPr>
      </w:pPr>
      <w:bookmarkStart w:id="10" w:name="_Ref12040"/>
      <w:bookmarkStart w:id="11" w:name="_Ref28576"/>
      <w:bookmarkEnd w:id="8"/>
      <w:r>
        <w:rPr>
          <w:rFonts w:hint="eastAsia"/>
          <w:sz w:val="18"/>
          <w:szCs w:val="18"/>
        </w:rPr>
        <w:t>段琳琼</w:t>
      </w:r>
      <w:r>
        <w:rPr>
          <w:rFonts w:hint="eastAsia"/>
          <w:sz w:val="18"/>
          <w:szCs w:val="18"/>
        </w:rPr>
        <w:t xml:space="preserve">, </w:t>
      </w:r>
      <w:r>
        <w:rPr>
          <w:rFonts w:hint="eastAsia"/>
          <w:sz w:val="18"/>
          <w:szCs w:val="18"/>
        </w:rPr>
        <w:t>陈维肖</w:t>
      </w:r>
      <w:r>
        <w:rPr>
          <w:rFonts w:hint="eastAsia"/>
          <w:sz w:val="18"/>
          <w:szCs w:val="18"/>
        </w:rPr>
        <w:t xml:space="preserve">, </w:t>
      </w:r>
      <w:r>
        <w:rPr>
          <w:rFonts w:hint="eastAsia"/>
          <w:sz w:val="18"/>
          <w:szCs w:val="18"/>
        </w:rPr>
        <w:t>王楠楠</w:t>
      </w:r>
      <w:r>
        <w:rPr>
          <w:rFonts w:hint="eastAsia"/>
          <w:sz w:val="18"/>
          <w:szCs w:val="18"/>
        </w:rPr>
        <w:t>,</w:t>
      </w:r>
      <w:r>
        <w:rPr>
          <w:rFonts w:hint="eastAsia"/>
          <w:sz w:val="18"/>
          <w:szCs w:val="18"/>
        </w:rPr>
        <w:t>等</w:t>
      </w:r>
      <w:r>
        <w:rPr>
          <w:rFonts w:hint="eastAsia"/>
          <w:sz w:val="18"/>
          <w:szCs w:val="18"/>
        </w:rPr>
        <w:t xml:space="preserve">. </w:t>
      </w:r>
      <w:r>
        <w:rPr>
          <w:rFonts w:hint="eastAsia"/>
          <w:sz w:val="18"/>
          <w:szCs w:val="18"/>
        </w:rPr>
        <w:t>基于贝叶斯时空模型的建设用地扩张格局差异分析——以长三角和中原城市群为例</w:t>
      </w:r>
      <w:r>
        <w:rPr>
          <w:rFonts w:hint="eastAsia"/>
          <w:sz w:val="18"/>
          <w:szCs w:val="18"/>
        </w:rPr>
        <w:t xml:space="preserve">[J]. </w:t>
      </w:r>
      <w:r>
        <w:rPr>
          <w:rFonts w:hint="eastAsia"/>
          <w:sz w:val="18"/>
          <w:szCs w:val="18"/>
        </w:rPr>
        <w:t>地域研究与开发</w:t>
      </w:r>
      <w:r>
        <w:rPr>
          <w:rFonts w:hint="eastAsia"/>
          <w:sz w:val="18"/>
          <w:szCs w:val="18"/>
        </w:rPr>
        <w:t>, 2021, 40(1):168-174.</w:t>
      </w:r>
      <w:bookmarkEnd w:id="10"/>
    </w:p>
    <w:p w14:paraId="52BE0916" w14:textId="77777777" w:rsidR="00D15E46" w:rsidRDefault="00000000">
      <w:pPr>
        <w:pStyle w:val="11"/>
        <w:ind w:left="425" w:firstLineChars="0" w:firstLine="0"/>
        <w:rPr>
          <w:sz w:val="18"/>
          <w:szCs w:val="18"/>
        </w:rPr>
      </w:pPr>
      <w:r>
        <w:rPr>
          <w:rFonts w:hint="eastAsia"/>
          <w:sz w:val="18"/>
          <w:szCs w:val="18"/>
        </w:rPr>
        <w:t xml:space="preserve">DUAN L Q, CHEN W X, WANG N N, et al. Analysis on difference of construction land expansion pattern based on Bayesian spatio-temporal model: Taking Yangtze River Delta and central plains urban agglomeration as examples[J]. Areal Research and Development, 2021, 40(1):168-174. </w:t>
      </w:r>
      <w:r>
        <w:rPr>
          <w:rFonts w:cs="Times New Roman"/>
          <w:sz w:val="18"/>
          <w:szCs w:val="18"/>
        </w:rPr>
        <w:t>(in Chinese)</w:t>
      </w:r>
    </w:p>
    <w:p w14:paraId="5F6F6835" w14:textId="77777777" w:rsidR="00D15E46" w:rsidRDefault="00000000">
      <w:pPr>
        <w:pStyle w:val="11"/>
        <w:numPr>
          <w:ilvl w:val="0"/>
          <w:numId w:val="1"/>
        </w:numPr>
        <w:ind w:left="425" w:firstLineChars="0"/>
        <w:rPr>
          <w:sz w:val="18"/>
          <w:szCs w:val="18"/>
        </w:rPr>
      </w:pPr>
      <w:bookmarkStart w:id="12" w:name="_Ref13105"/>
      <w:r>
        <w:rPr>
          <w:rFonts w:hint="eastAsia"/>
          <w:sz w:val="18"/>
          <w:szCs w:val="18"/>
        </w:rPr>
        <w:t>张新成</w:t>
      </w:r>
      <w:r>
        <w:rPr>
          <w:rFonts w:hint="eastAsia"/>
          <w:sz w:val="18"/>
          <w:szCs w:val="18"/>
        </w:rPr>
        <w:t xml:space="preserve">. </w:t>
      </w:r>
      <w:r>
        <w:rPr>
          <w:rFonts w:hint="eastAsia"/>
          <w:sz w:val="18"/>
          <w:szCs w:val="18"/>
        </w:rPr>
        <w:t>中国乡村旅游公共服务水平时空演化及成因分析</w:t>
      </w:r>
      <w:r>
        <w:rPr>
          <w:rFonts w:hint="eastAsia"/>
          <w:sz w:val="18"/>
          <w:szCs w:val="18"/>
        </w:rPr>
        <w:t xml:space="preserve">[J]. </w:t>
      </w:r>
      <w:r>
        <w:rPr>
          <w:rFonts w:hint="eastAsia"/>
          <w:sz w:val="18"/>
          <w:szCs w:val="18"/>
        </w:rPr>
        <w:t>旅游学刊</w:t>
      </w:r>
      <w:r>
        <w:rPr>
          <w:rFonts w:hint="eastAsia"/>
          <w:sz w:val="18"/>
          <w:szCs w:val="18"/>
        </w:rPr>
        <w:t>, 2021, 36(11):26-39.</w:t>
      </w:r>
      <w:bookmarkEnd w:id="12"/>
    </w:p>
    <w:p w14:paraId="4FFDA394" w14:textId="77777777" w:rsidR="00D15E46" w:rsidRDefault="00000000">
      <w:pPr>
        <w:pStyle w:val="11"/>
        <w:ind w:left="425" w:firstLineChars="0" w:firstLine="0"/>
        <w:rPr>
          <w:sz w:val="18"/>
          <w:szCs w:val="18"/>
        </w:rPr>
      </w:pPr>
      <w:r>
        <w:rPr>
          <w:rFonts w:hint="eastAsia"/>
          <w:sz w:val="18"/>
          <w:szCs w:val="18"/>
        </w:rPr>
        <w:t xml:space="preserve">ZHANG X C. Spatiotemporal patterns of public service levels in China's rural tourism and their origins[J]. Tourism Tribune, 2021, 36(11): 26-39. </w:t>
      </w:r>
      <w:r>
        <w:rPr>
          <w:rFonts w:cs="Times New Roman"/>
          <w:sz w:val="18"/>
          <w:szCs w:val="18"/>
        </w:rPr>
        <w:t>(in Chinese)</w:t>
      </w:r>
    </w:p>
    <w:p w14:paraId="507934F0" w14:textId="77777777" w:rsidR="00D15E46" w:rsidRDefault="00000000">
      <w:pPr>
        <w:pStyle w:val="11"/>
        <w:numPr>
          <w:ilvl w:val="0"/>
          <w:numId w:val="1"/>
        </w:numPr>
        <w:ind w:left="425" w:firstLineChars="0"/>
        <w:rPr>
          <w:sz w:val="18"/>
          <w:szCs w:val="18"/>
        </w:rPr>
      </w:pPr>
      <w:bookmarkStart w:id="13" w:name="_Ref14444"/>
      <w:bookmarkEnd w:id="11"/>
      <w:r>
        <w:rPr>
          <w:rFonts w:hint="eastAsia"/>
          <w:sz w:val="18"/>
          <w:szCs w:val="18"/>
        </w:rPr>
        <w:t>黄俊宝</w:t>
      </w:r>
      <w:r>
        <w:rPr>
          <w:rFonts w:hint="eastAsia"/>
          <w:sz w:val="18"/>
          <w:szCs w:val="18"/>
        </w:rPr>
        <w:t xml:space="preserve">. </w:t>
      </w:r>
      <w:r>
        <w:rPr>
          <w:rFonts w:hint="eastAsia"/>
          <w:sz w:val="18"/>
          <w:szCs w:val="18"/>
        </w:rPr>
        <w:t>基于贝叶斯层次时空模型的中国区域科技创新能力研究</w:t>
      </w:r>
      <w:r>
        <w:rPr>
          <w:rFonts w:hint="eastAsia"/>
          <w:sz w:val="18"/>
          <w:szCs w:val="18"/>
        </w:rPr>
        <w:t>[D].</w:t>
      </w:r>
      <w:r>
        <w:rPr>
          <w:rFonts w:hint="eastAsia"/>
          <w:sz w:val="18"/>
          <w:szCs w:val="18"/>
        </w:rPr>
        <w:t>深圳</w:t>
      </w:r>
      <w:r>
        <w:rPr>
          <w:rFonts w:hint="eastAsia"/>
          <w:sz w:val="18"/>
          <w:szCs w:val="18"/>
        </w:rPr>
        <w:t xml:space="preserve">: </w:t>
      </w:r>
      <w:r>
        <w:rPr>
          <w:rFonts w:hint="eastAsia"/>
          <w:sz w:val="18"/>
          <w:szCs w:val="18"/>
        </w:rPr>
        <w:t>深圳大学</w:t>
      </w:r>
      <w:r>
        <w:rPr>
          <w:rFonts w:hint="eastAsia"/>
          <w:sz w:val="18"/>
          <w:szCs w:val="18"/>
        </w:rPr>
        <w:t>, 2020.</w:t>
      </w:r>
      <w:bookmarkEnd w:id="13"/>
    </w:p>
    <w:p w14:paraId="54F0C2AA" w14:textId="77777777" w:rsidR="00D15E46" w:rsidRDefault="00000000">
      <w:pPr>
        <w:pStyle w:val="11"/>
        <w:ind w:left="425" w:firstLineChars="0" w:firstLine="0"/>
        <w:rPr>
          <w:sz w:val="18"/>
          <w:szCs w:val="18"/>
        </w:rPr>
      </w:pPr>
      <w:r>
        <w:rPr>
          <w:rFonts w:hint="eastAsia"/>
          <w:sz w:val="18"/>
          <w:szCs w:val="18"/>
        </w:rPr>
        <w:t xml:space="preserve">HUANG J B. Analysis of reginal technological innovation capability using Bayesian hierarchy spatio-temporal model[D]. Shenzhen: Shenzhen University, 2020. </w:t>
      </w:r>
      <w:r>
        <w:rPr>
          <w:rFonts w:cs="Times New Roman"/>
          <w:sz w:val="18"/>
          <w:szCs w:val="18"/>
        </w:rPr>
        <w:t>(in Chinese)</w:t>
      </w:r>
    </w:p>
    <w:p w14:paraId="3368C7AE" w14:textId="77777777" w:rsidR="00D15E46" w:rsidRDefault="00000000">
      <w:pPr>
        <w:pStyle w:val="11"/>
        <w:numPr>
          <w:ilvl w:val="0"/>
          <w:numId w:val="1"/>
        </w:numPr>
        <w:ind w:left="425" w:firstLineChars="0"/>
        <w:rPr>
          <w:sz w:val="18"/>
          <w:szCs w:val="18"/>
        </w:rPr>
      </w:pPr>
      <w:bookmarkStart w:id="14" w:name="_Ref31061"/>
      <w:r>
        <w:rPr>
          <w:rFonts w:hint="eastAsia"/>
          <w:sz w:val="18"/>
          <w:szCs w:val="18"/>
        </w:rPr>
        <w:t>周丽莉</w:t>
      </w:r>
      <w:r>
        <w:rPr>
          <w:rFonts w:hint="eastAsia"/>
          <w:sz w:val="18"/>
          <w:szCs w:val="18"/>
        </w:rPr>
        <w:t xml:space="preserve">, </w:t>
      </w:r>
      <w:r>
        <w:rPr>
          <w:rFonts w:hint="eastAsia"/>
          <w:sz w:val="18"/>
          <w:szCs w:val="18"/>
        </w:rPr>
        <w:t>丁东洋</w:t>
      </w:r>
      <w:r>
        <w:rPr>
          <w:rFonts w:hint="eastAsia"/>
          <w:sz w:val="18"/>
          <w:szCs w:val="18"/>
        </w:rPr>
        <w:t xml:space="preserve">. </w:t>
      </w:r>
      <w:r>
        <w:rPr>
          <w:rFonts w:hint="eastAsia"/>
          <w:sz w:val="18"/>
          <w:szCs w:val="18"/>
        </w:rPr>
        <w:t>基于</w:t>
      </w:r>
      <w:r>
        <w:rPr>
          <w:rFonts w:hint="eastAsia"/>
          <w:sz w:val="18"/>
          <w:szCs w:val="18"/>
        </w:rPr>
        <w:t>MCMC</w:t>
      </w:r>
      <w:r>
        <w:rPr>
          <w:rFonts w:hint="eastAsia"/>
          <w:sz w:val="18"/>
          <w:szCs w:val="18"/>
        </w:rPr>
        <w:t>模拟的贝叶斯分层信用风险评估模型</w:t>
      </w:r>
      <w:r>
        <w:rPr>
          <w:rFonts w:hint="eastAsia"/>
          <w:sz w:val="18"/>
          <w:szCs w:val="18"/>
        </w:rPr>
        <w:t xml:space="preserve">[J]. </w:t>
      </w:r>
      <w:r>
        <w:rPr>
          <w:rFonts w:hint="eastAsia"/>
          <w:sz w:val="18"/>
          <w:szCs w:val="18"/>
        </w:rPr>
        <w:t>统计与信息论坛</w:t>
      </w:r>
      <w:r>
        <w:rPr>
          <w:rFonts w:hint="eastAsia"/>
          <w:sz w:val="18"/>
          <w:szCs w:val="18"/>
        </w:rPr>
        <w:t>, 2011, 26(12):26-31.</w:t>
      </w:r>
      <w:bookmarkEnd w:id="14"/>
    </w:p>
    <w:p w14:paraId="55C12278" w14:textId="77777777" w:rsidR="00D15E46" w:rsidRDefault="00000000">
      <w:pPr>
        <w:pStyle w:val="11"/>
        <w:ind w:left="425" w:firstLineChars="0" w:firstLine="0"/>
        <w:rPr>
          <w:sz w:val="18"/>
          <w:szCs w:val="18"/>
        </w:rPr>
      </w:pPr>
      <w:r>
        <w:rPr>
          <w:rFonts w:hint="eastAsia"/>
          <w:sz w:val="18"/>
          <w:szCs w:val="18"/>
        </w:rPr>
        <w:t xml:space="preserve">ZHOU L L, DING D Y. Bayesian hierarchical credit risk model based on MCMC method[J]. Statistics &amp; Information Forum, 2011, 26(12):26-31. </w:t>
      </w:r>
      <w:r>
        <w:rPr>
          <w:rFonts w:cs="Times New Roman"/>
          <w:sz w:val="18"/>
          <w:szCs w:val="18"/>
        </w:rPr>
        <w:t>(in Chinese)</w:t>
      </w:r>
    </w:p>
    <w:p w14:paraId="6D5441A3" w14:textId="77777777" w:rsidR="00D15E46" w:rsidRDefault="00000000">
      <w:pPr>
        <w:pStyle w:val="11"/>
        <w:numPr>
          <w:ilvl w:val="0"/>
          <w:numId w:val="1"/>
        </w:numPr>
        <w:ind w:left="425" w:firstLineChars="0"/>
        <w:rPr>
          <w:sz w:val="18"/>
          <w:szCs w:val="18"/>
        </w:rPr>
      </w:pPr>
      <w:bookmarkStart w:id="15" w:name="_Ref9524"/>
      <w:bookmarkStart w:id="16" w:name="_Ref31796"/>
      <w:r>
        <w:rPr>
          <w:rFonts w:hint="eastAsia"/>
          <w:sz w:val="18"/>
          <w:szCs w:val="18"/>
        </w:rPr>
        <w:t>陈长坤</w:t>
      </w:r>
      <w:r>
        <w:rPr>
          <w:rFonts w:hint="eastAsia"/>
          <w:sz w:val="18"/>
          <w:szCs w:val="18"/>
        </w:rPr>
        <w:t xml:space="preserve">, </w:t>
      </w:r>
      <w:r>
        <w:rPr>
          <w:rFonts w:hint="eastAsia"/>
          <w:sz w:val="18"/>
          <w:szCs w:val="18"/>
        </w:rPr>
        <w:t>孙凤琳</w:t>
      </w:r>
      <w:r>
        <w:rPr>
          <w:rFonts w:hint="eastAsia"/>
          <w:sz w:val="18"/>
          <w:szCs w:val="18"/>
        </w:rPr>
        <w:t xml:space="preserve">. </w:t>
      </w:r>
      <w:r>
        <w:rPr>
          <w:rFonts w:hint="eastAsia"/>
          <w:sz w:val="18"/>
          <w:szCs w:val="18"/>
        </w:rPr>
        <w:t>基于熵权</w:t>
      </w:r>
      <w:r>
        <w:rPr>
          <w:rFonts w:hint="eastAsia"/>
          <w:sz w:val="18"/>
          <w:szCs w:val="18"/>
        </w:rPr>
        <w:t>-</w:t>
      </w:r>
      <w:r>
        <w:rPr>
          <w:rFonts w:hint="eastAsia"/>
          <w:sz w:val="18"/>
          <w:szCs w:val="18"/>
        </w:rPr>
        <w:t>灰色关联度分析的暴雨洪涝灾情评估方法</w:t>
      </w:r>
      <w:r>
        <w:rPr>
          <w:rFonts w:hint="eastAsia"/>
          <w:sz w:val="18"/>
          <w:szCs w:val="18"/>
        </w:rPr>
        <w:t>[J].</w:t>
      </w:r>
      <w:r>
        <w:rPr>
          <w:rFonts w:hint="eastAsia"/>
          <w:sz w:val="18"/>
          <w:szCs w:val="18"/>
        </w:rPr>
        <w:t>清华大学学报</w:t>
      </w:r>
      <w:r>
        <w:rPr>
          <w:rFonts w:hint="eastAsia"/>
          <w:sz w:val="18"/>
          <w:szCs w:val="18"/>
        </w:rPr>
        <w:t>(</w:t>
      </w:r>
      <w:r>
        <w:rPr>
          <w:rFonts w:hint="eastAsia"/>
          <w:sz w:val="18"/>
          <w:szCs w:val="18"/>
        </w:rPr>
        <w:t>自然科学版</w:t>
      </w:r>
      <w:r>
        <w:rPr>
          <w:rFonts w:hint="eastAsia"/>
          <w:sz w:val="18"/>
          <w:szCs w:val="18"/>
        </w:rPr>
        <w:t>), 2022, 62(6):1067-1073.</w:t>
      </w:r>
      <w:bookmarkEnd w:id="15"/>
    </w:p>
    <w:p w14:paraId="54670792" w14:textId="77777777" w:rsidR="00D15E46" w:rsidRDefault="00000000">
      <w:pPr>
        <w:pStyle w:val="11"/>
        <w:ind w:left="425" w:firstLineChars="0" w:firstLine="0"/>
        <w:rPr>
          <w:sz w:val="18"/>
          <w:szCs w:val="18"/>
        </w:rPr>
      </w:pPr>
      <w:r>
        <w:rPr>
          <w:rFonts w:hint="eastAsia"/>
          <w:sz w:val="18"/>
          <w:szCs w:val="18"/>
        </w:rPr>
        <w:t xml:space="preserve">CHEN C K, SUN F L. Flood damage assessments based on entropy weight-grey relational analyses[J]. Journal of Tsinghua university(Science and Technology), 2022, 62(6):1067-1073. </w:t>
      </w:r>
      <w:r>
        <w:rPr>
          <w:rFonts w:cs="Times New Roman"/>
          <w:sz w:val="18"/>
          <w:szCs w:val="18"/>
        </w:rPr>
        <w:t>(in Chinese)</w:t>
      </w:r>
    </w:p>
    <w:p w14:paraId="0F9A4189" w14:textId="77777777" w:rsidR="00D15E46" w:rsidRDefault="00000000">
      <w:pPr>
        <w:pStyle w:val="11"/>
        <w:numPr>
          <w:ilvl w:val="0"/>
          <w:numId w:val="1"/>
        </w:numPr>
        <w:ind w:left="425" w:firstLineChars="0"/>
        <w:rPr>
          <w:sz w:val="18"/>
          <w:szCs w:val="18"/>
        </w:rPr>
      </w:pPr>
      <w:bookmarkStart w:id="17" w:name="_Ref9560"/>
      <w:r>
        <w:rPr>
          <w:rFonts w:hint="eastAsia"/>
          <w:sz w:val="18"/>
          <w:szCs w:val="18"/>
        </w:rPr>
        <w:t>魏盛宇</w:t>
      </w:r>
      <w:r>
        <w:rPr>
          <w:rFonts w:hint="eastAsia"/>
          <w:sz w:val="18"/>
          <w:szCs w:val="18"/>
        </w:rPr>
        <w:t xml:space="preserve">, </w:t>
      </w:r>
      <w:r>
        <w:rPr>
          <w:rFonts w:hint="eastAsia"/>
          <w:sz w:val="18"/>
          <w:szCs w:val="18"/>
        </w:rPr>
        <w:t>翟越</w:t>
      </w:r>
      <w:r>
        <w:rPr>
          <w:rFonts w:hint="eastAsia"/>
          <w:sz w:val="18"/>
          <w:szCs w:val="18"/>
        </w:rPr>
        <w:t xml:space="preserve">, </w:t>
      </w:r>
      <w:r>
        <w:rPr>
          <w:rFonts w:hint="eastAsia"/>
          <w:sz w:val="18"/>
          <w:szCs w:val="18"/>
        </w:rPr>
        <w:t>赵廿</w:t>
      </w:r>
      <w:r>
        <w:rPr>
          <w:rFonts w:hint="eastAsia"/>
          <w:sz w:val="18"/>
          <w:szCs w:val="18"/>
        </w:rPr>
        <w:t xml:space="preserve">. </w:t>
      </w:r>
      <w:r>
        <w:rPr>
          <w:rFonts w:hint="eastAsia"/>
          <w:sz w:val="18"/>
          <w:szCs w:val="18"/>
        </w:rPr>
        <w:t>基于多源数据的西安市暴雨洪涝脆弱性评估及其空间分异特性</w:t>
      </w:r>
      <w:r>
        <w:rPr>
          <w:rFonts w:hint="eastAsia"/>
          <w:sz w:val="18"/>
          <w:szCs w:val="18"/>
        </w:rPr>
        <w:t xml:space="preserve">[J]. </w:t>
      </w:r>
      <w:r>
        <w:rPr>
          <w:rFonts w:hint="eastAsia"/>
          <w:sz w:val="18"/>
          <w:szCs w:val="18"/>
        </w:rPr>
        <w:t>清华大学学报</w:t>
      </w:r>
      <w:r>
        <w:rPr>
          <w:rFonts w:hint="eastAsia"/>
          <w:sz w:val="18"/>
          <w:szCs w:val="18"/>
        </w:rPr>
        <w:t>(</w:t>
      </w:r>
      <w:r>
        <w:rPr>
          <w:rFonts w:hint="eastAsia"/>
          <w:sz w:val="18"/>
          <w:szCs w:val="18"/>
        </w:rPr>
        <w:t>自然科学版</w:t>
      </w:r>
      <w:r>
        <w:rPr>
          <w:rFonts w:hint="eastAsia"/>
          <w:sz w:val="18"/>
          <w:szCs w:val="18"/>
        </w:rPr>
        <w:t>), 2025, 65(01):174-185.</w:t>
      </w:r>
      <w:bookmarkEnd w:id="17"/>
    </w:p>
    <w:p w14:paraId="2BD0E1EA" w14:textId="77777777" w:rsidR="00D15E46" w:rsidRDefault="00000000">
      <w:pPr>
        <w:pStyle w:val="11"/>
        <w:ind w:left="425" w:firstLineChars="0" w:firstLine="0"/>
        <w:rPr>
          <w:sz w:val="18"/>
          <w:szCs w:val="18"/>
        </w:rPr>
      </w:pPr>
      <w:r>
        <w:rPr>
          <w:rFonts w:hint="eastAsia"/>
          <w:sz w:val="18"/>
          <w:szCs w:val="18"/>
        </w:rPr>
        <w:t xml:space="preserve">WEI S Y, ZHAI Y, ZHAO N. Urban storm waterlogging vulnerability assessment and spatial differentiation characteristics in Xi'an based on multisource data[J]. Journal of Tsinghua university(Science and Technology), 2025, 65(01):174-185. </w:t>
      </w:r>
      <w:r>
        <w:rPr>
          <w:rFonts w:cs="Times New Roman"/>
          <w:sz w:val="18"/>
          <w:szCs w:val="18"/>
        </w:rPr>
        <w:t>(in Chinese)</w:t>
      </w:r>
    </w:p>
    <w:p w14:paraId="077789E1" w14:textId="77777777" w:rsidR="00D15E46" w:rsidRDefault="00000000">
      <w:pPr>
        <w:pStyle w:val="11"/>
        <w:numPr>
          <w:ilvl w:val="0"/>
          <w:numId w:val="1"/>
        </w:numPr>
        <w:ind w:left="425" w:firstLineChars="0"/>
        <w:rPr>
          <w:sz w:val="18"/>
          <w:szCs w:val="18"/>
        </w:rPr>
      </w:pPr>
      <w:bookmarkStart w:id="18" w:name="_Ref9612"/>
      <w:r>
        <w:rPr>
          <w:rFonts w:hint="eastAsia"/>
          <w:sz w:val="18"/>
          <w:szCs w:val="18"/>
        </w:rPr>
        <w:t>WANG Y T, MENG F L, LIU H X, et al. Assessing catchment scale flood resilience of urban areas using a gridcell based metric[J]. Water Research, 2019, 163:DOI:10.1016/j.watres.2019.114852.</w:t>
      </w:r>
      <w:bookmarkEnd w:id="6"/>
      <w:bookmarkEnd w:id="16"/>
      <w:bookmarkEnd w:id="18"/>
    </w:p>
    <w:p w14:paraId="0FF1353D" w14:textId="77777777" w:rsidR="00D15E46" w:rsidRDefault="00000000">
      <w:pPr>
        <w:pStyle w:val="11"/>
        <w:numPr>
          <w:ilvl w:val="0"/>
          <w:numId w:val="1"/>
        </w:numPr>
        <w:ind w:left="425" w:firstLineChars="0"/>
        <w:rPr>
          <w:sz w:val="18"/>
          <w:szCs w:val="18"/>
        </w:rPr>
      </w:pPr>
      <w:bookmarkStart w:id="19" w:name="_Ref27787"/>
      <w:r>
        <w:rPr>
          <w:rFonts w:hint="eastAsia"/>
          <w:sz w:val="18"/>
          <w:szCs w:val="18"/>
        </w:rPr>
        <w:t>Moghadas M, Asadzadeh A, Vafeidis A, et al. A multi-criteria approach for assessing urban flood resilience in Tehran, Iran[J]. International Journal of Disaster Risk Reduction, 2019, 35:DOI:10.1016/j.ijdrr.2019.101069.</w:t>
      </w:r>
      <w:bookmarkEnd w:id="19"/>
    </w:p>
    <w:p w14:paraId="339416FD" w14:textId="77777777" w:rsidR="00D15E46" w:rsidRDefault="00000000">
      <w:pPr>
        <w:pStyle w:val="11"/>
        <w:numPr>
          <w:ilvl w:val="0"/>
          <w:numId w:val="1"/>
        </w:numPr>
        <w:ind w:left="425" w:firstLineChars="0"/>
        <w:rPr>
          <w:sz w:val="18"/>
          <w:szCs w:val="18"/>
        </w:rPr>
      </w:pPr>
      <w:bookmarkStart w:id="20" w:name="_Ref27813"/>
      <w:r>
        <w:rPr>
          <w:rFonts w:hint="eastAsia"/>
          <w:sz w:val="18"/>
          <w:szCs w:val="18"/>
        </w:rPr>
        <w:t>贺山峰</w:t>
      </w:r>
      <w:r>
        <w:rPr>
          <w:rFonts w:hint="eastAsia"/>
          <w:sz w:val="18"/>
          <w:szCs w:val="18"/>
        </w:rPr>
        <w:t xml:space="preserve">, </w:t>
      </w:r>
      <w:r>
        <w:rPr>
          <w:rFonts w:hint="eastAsia"/>
          <w:sz w:val="18"/>
          <w:szCs w:val="18"/>
        </w:rPr>
        <w:t>梁爽</w:t>
      </w:r>
      <w:r>
        <w:rPr>
          <w:rFonts w:hint="eastAsia"/>
          <w:sz w:val="18"/>
          <w:szCs w:val="18"/>
        </w:rPr>
        <w:t xml:space="preserve">, </w:t>
      </w:r>
      <w:r>
        <w:rPr>
          <w:rFonts w:hint="eastAsia"/>
          <w:sz w:val="18"/>
          <w:szCs w:val="18"/>
        </w:rPr>
        <w:t>吴绍洪</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长三角地区城市洪涝灾害韧性时空演变及其关联性分析</w:t>
      </w:r>
      <w:r>
        <w:rPr>
          <w:rFonts w:hint="eastAsia"/>
          <w:sz w:val="18"/>
          <w:szCs w:val="18"/>
        </w:rPr>
        <w:t xml:space="preserve">[J]. </w:t>
      </w:r>
      <w:r>
        <w:rPr>
          <w:rFonts w:hint="eastAsia"/>
          <w:sz w:val="18"/>
          <w:szCs w:val="18"/>
        </w:rPr>
        <w:t>长江流域资源与环境</w:t>
      </w:r>
      <w:r>
        <w:rPr>
          <w:rFonts w:hint="eastAsia"/>
          <w:sz w:val="18"/>
          <w:szCs w:val="18"/>
        </w:rPr>
        <w:t>, 2022, 31(9):1988-1999.</w:t>
      </w:r>
      <w:bookmarkEnd w:id="20"/>
    </w:p>
    <w:p w14:paraId="5342B9BB" w14:textId="77777777" w:rsidR="00D15E46" w:rsidRDefault="00000000">
      <w:pPr>
        <w:pStyle w:val="11"/>
        <w:ind w:left="425" w:firstLineChars="0" w:firstLine="0"/>
        <w:rPr>
          <w:sz w:val="18"/>
          <w:szCs w:val="18"/>
        </w:rPr>
      </w:pPr>
      <w:r>
        <w:rPr>
          <w:rFonts w:hint="eastAsia"/>
          <w:sz w:val="18"/>
          <w:szCs w:val="18"/>
        </w:rPr>
        <w:t xml:space="preserve">HE S F, LIANG S, WU S H, et al. Analysis on spatio-temporal evolution and relevance of urban flood disaster resilience in Yangtze River Delta[J]. Resources and Environment in the Yangtze River Basin, 2022, 31(9):1988-1999. </w:t>
      </w:r>
      <w:r>
        <w:rPr>
          <w:rFonts w:cs="Times New Roman"/>
          <w:sz w:val="18"/>
          <w:szCs w:val="18"/>
        </w:rPr>
        <w:t>(in Chinese)</w:t>
      </w:r>
    </w:p>
    <w:p w14:paraId="41DC2243" w14:textId="77777777" w:rsidR="00D15E46" w:rsidRDefault="00000000">
      <w:pPr>
        <w:pStyle w:val="11"/>
        <w:numPr>
          <w:ilvl w:val="0"/>
          <w:numId w:val="1"/>
        </w:numPr>
        <w:ind w:left="425" w:firstLineChars="0"/>
        <w:rPr>
          <w:sz w:val="18"/>
          <w:szCs w:val="18"/>
        </w:rPr>
      </w:pPr>
      <w:bookmarkStart w:id="21" w:name="_Ref27353"/>
      <w:r>
        <w:rPr>
          <w:rFonts w:hint="eastAsia"/>
          <w:sz w:val="18"/>
          <w:szCs w:val="18"/>
        </w:rPr>
        <w:t>Bertilsson L, Wiklund K, et al. Urban flood resilience- A multi-criteria index to integrate flood resilience into urban planning[J]. Journal of Hydrology, 2019,573:970-982.</w:t>
      </w:r>
      <w:bookmarkEnd w:id="21"/>
    </w:p>
    <w:p w14:paraId="351B2A53" w14:textId="77777777" w:rsidR="00D15E46" w:rsidRDefault="00000000">
      <w:pPr>
        <w:pStyle w:val="11"/>
        <w:numPr>
          <w:ilvl w:val="0"/>
          <w:numId w:val="1"/>
        </w:numPr>
        <w:ind w:left="425" w:firstLineChars="0"/>
        <w:rPr>
          <w:sz w:val="18"/>
          <w:szCs w:val="18"/>
        </w:rPr>
      </w:pPr>
      <w:bookmarkStart w:id="22" w:name="_Ref29815"/>
      <w:bookmarkStart w:id="23" w:name="_Ref31852"/>
      <w:bookmarkEnd w:id="22"/>
      <w:r>
        <w:rPr>
          <w:rFonts w:hint="eastAsia"/>
          <w:sz w:val="18"/>
          <w:szCs w:val="18"/>
        </w:rPr>
        <w:t>陈长坤</w:t>
      </w:r>
      <w:r>
        <w:rPr>
          <w:rFonts w:hint="eastAsia"/>
          <w:sz w:val="18"/>
          <w:szCs w:val="18"/>
        </w:rPr>
        <w:t xml:space="preserve">, </w:t>
      </w:r>
      <w:r>
        <w:rPr>
          <w:rFonts w:hint="eastAsia"/>
          <w:sz w:val="18"/>
          <w:szCs w:val="18"/>
        </w:rPr>
        <w:t>陈以琴</w:t>
      </w:r>
      <w:r>
        <w:rPr>
          <w:rFonts w:hint="eastAsia"/>
          <w:sz w:val="18"/>
          <w:szCs w:val="18"/>
        </w:rPr>
        <w:t xml:space="preserve">, </w:t>
      </w:r>
      <w:r>
        <w:rPr>
          <w:rFonts w:hint="eastAsia"/>
          <w:sz w:val="18"/>
          <w:szCs w:val="18"/>
        </w:rPr>
        <w:t>施波</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雨洪灾害情境下城市韧性评估模型</w:t>
      </w:r>
      <w:r>
        <w:rPr>
          <w:rFonts w:hint="eastAsia"/>
          <w:sz w:val="18"/>
          <w:szCs w:val="18"/>
        </w:rPr>
        <w:t xml:space="preserve">[J]. </w:t>
      </w:r>
      <w:r>
        <w:rPr>
          <w:rFonts w:hint="eastAsia"/>
          <w:sz w:val="18"/>
          <w:szCs w:val="18"/>
        </w:rPr>
        <w:t>中国安全科学学报</w:t>
      </w:r>
      <w:r>
        <w:rPr>
          <w:rFonts w:hint="eastAsia"/>
          <w:sz w:val="18"/>
          <w:szCs w:val="18"/>
        </w:rPr>
        <w:t>, 2018, 28(4):1-6.</w:t>
      </w:r>
      <w:bookmarkEnd w:id="23"/>
    </w:p>
    <w:p w14:paraId="6E337EA7" w14:textId="77777777" w:rsidR="00D15E46" w:rsidRDefault="00000000">
      <w:pPr>
        <w:pStyle w:val="11"/>
        <w:ind w:left="425" w:firstLineChars="0" w:firstLine="0"/>
        <w:rPr>
          <w:sz w:val="18"/>
          <w:szCs w:val="18"/>
        </w:rPr>
      </w:pPr>
      <w:r>
        <w:rPr>
          <w:rFonts w:hint="eastAsia"/>
          <w:sz w:val="18"/>
          <w:szCs w:val="18"/>
        </w:rPr>
        <w:t xml:space="preserve">CHEN C K, CHEN Y Q, SHI B, et al. An model for evaluating urban resilience to rainstorm flood disasters[J]. China Safety Science Journal, 2018, 28(4):1-6. </w:t>
      </w:r>
      <w:r>
        <w:rPr>
          <w:rFonts w:cs="Times New Roman"/>
          <w:sz w:val="18"/>
          <w:szCs w:val="18"/>
        </w:rPr>
        <w:t>(in Chinese)</w:t>
      </w:r>
    </w:p>
    <w:p w14:paraId="488EB7F7" w14:textId="77777777" w:rsidR="00D15E46" w:rsidRDefault="00000000">
      <w:pPr>
        <w:pStyle w:val="11"/>
        <w:numPr>
          <w:ilvl w:val="0"/>
          <w:numId w:val="1"/>
        </w:numPr>
        <w:wordWrap w:val="0"/>
        <w:ind w:left="425" w:firstLineChars="0"/>
        <w:rPr>
          <w:sz w:val="18"/>
          <w:szCs w:val="18"/>
        </w:rPr>
      </w:pPr>
      <w:bookmarkStart w:id="24" w:name="_Ref12170"/>
      <w:bookmarkStart w:id="25" w:name="_Ref22416"/>
      <w:bookmarkStart w:id="26" w:name="_Ref31914"/>
      <w:bookmarkEnd w:id="24"/>
      <w:bookmarkEnd w:id="25"/>
      <w:r>
        <w:rPr>
          <w:rFonts w:hint="eastAsia"/>
          <w:sz w:val="18"/>
          <w:szCs w:val="18"/>
        </w:rPr>
        <w:t>CAO F F, XU X F, ZHANG C L, et al. Evaluation of urban flood resilience and its space-time evolution: A case study of Zhejiang province, China[J]. Ecological Indicators, 2023, 154:DOI:10.1016/j.ecolind.2023.110643.</w:t>
      </w:r>
      <w:bookmarkEnd w:id="26"/>
    </w:p>
    <w:p w14:paraId="26345CC4" w14:textId="77777777" w:rsidR="00D15E46" w:rsidRDefault="00000000">
      <w:pPr>
        <w:pStyle w:val="11"/>
        <w:numPr>
          <w:ilvl w:val="0"/>
          <w:numId w:val="1"/>
        </w:numPr>
        <w:wordWrap w:val="0"/>
        <w:ind w:left="425" w:firstLineChars="0"/>
        <w:rPr>
          <w:sz w:val="18"/>
          <w:szCs w:val="18"/>
        </w:rPr>
      </w:pPr>
      <w:bookmarkStart w:id="27" w:name="_Ref24695"/>
      <w:r>
        <w:rPr>
          <w:rFonts w:hint="eastAsia"/>
          <w:sz w:val="18"/>
          <w:szCs w:val="18"/>
        </w:rPr>
        <w:t>WANG P, LI Y B, ZHANG Y H. An urban system perspective on urban flood resilience using SEM: evidence from Nanjing city, China[J]. Natural Hazards, 2021, 109(3):2575-2599.</w:t>
      </w:r>
      <w:bookmarkEnd w:id="27"/>
    </w:p>
    <w:p w14:paraId="41D7A378" w14:textId="77777777" w:rsidR="00D15E46" w:rsidRDefault="00000000">
      <w:pPr>
        <w:pStyle w:val="11"/>
        <w:numPr>
          <w:ilvl w:val="0"/>
          <w:numId w:val="1"/>
        </w:numPr>
        <w:wordWrap w:val="0"/>
        <w:ind w:left="425" w:firstLineChars="0"/>
        <w:rPr>
          <w:sz w:val="18"/>
          <w:szCs w:val="18"/>
        </w:rPr>
      </w:pPr>
      <w:bookmarkStart w:id="28" w:name="_Ref24731"/>
      <w:bookmarkStart w:id="29" w:name="_Ref31940"/>
      <w:bookmarkEnd w:id="28"/>
      <w:r>
        <w:rPr>
          <w:rFonts w:hint="eastAsia"/>
          <w:sz w:val="18"/>
          <w:szCs w:val="18"/>
        </w:rPr>
        <w:lastRenderedPageBreak/>
        <w:t>YU S Y, KONG X S, WANG Q, et al. A new approach of Robustness-Resistance-Recovery (3Rs) to assessing flood resilience: A case study in Dongting Lake Basin[J]. Landscape and Urban Planning, 2023, 230:DOI:10.1016/j.landurbplan.2022.104605.</w:t>
      </w:r>
      <w:bookmarkEnd w:id="29"/>
    </w:p>
    <w:p w14:paraId="08A70B63" w14:textId="77777777" w:rsidR="00D15E46" w:rsidRDefault="00000000">
      <w:pPr>
        <w:pStyle w:val="11"/>
        <w:numPr>
          <w:ilvl w:val="0"/>
          <w:numId w:val="1"/>
        </w:numPr>
        <w:wordWrap w:val="0"/>
        <w:ind w:left="425" w:firstLineChars="0"/>
        <w:rPr>
          <w:sz w:val="18"/>
          <w:szCs w:val="18"/>
        </w:rPr>
      </w:pPr>
      <w:bookmarkStart w:id="30" w:name="_Ref25557"/>
      <w:bookmarkStart w:id="31" w:name="_Ref32113"/>
      <w:bookmarkEnd w:id="30"/>
      <w:r>
        <w:rPr>
          <w:rFonts w:hint="eastAsia"/>
          <w:sz w:val="18"/>
          <w:szCs w:val="18"/>
        </w:rPr>
        <w:t>SONG K, YOU S, CHON J. Simulation modeling for a resilience improvement plan for natural disasters in a coastal area[J]. Environmental Pollution, 2018, 242:1970-1980.</w:t>
      </w:r>
      <w:bookmarkEnd w:id="31"/>
    </w:p>
    <w:p w14:paraId="0B6C91CF" w14:textId="77777777" w:rsidR="00D15E46" w:rsidRDefault="00000000">
      <w:pPr>
        <w:pStyle w:val="11"/>
        <w:numPr>
          <w:ilvl w:val="0"/>
          <w:numId w:val="1"/>
        </w:numPr>
        <w:wordWrap w:val="0"/>
        <w:ind w:left="425" w:firstLineChars="0"/>
        <w:rPr>
          <w:sz w:val="18"/>
          <w:szCs w:val="18"/>
        </w:rPr>
      </w:pPr>
      <w:bookmarkStart w:id="32" w:name="_Ref32126"/>
      <w:r>
        <w:rPr>
          <w:rFonts w:hint="eastAsia"/>
          <w:sz w:val="18"/>
          <w:szCs w:val="18"/>
        </w:rPr>
        <w:t>LIU D, FENG J P, LI H, et al. Spatiotemporal variation analysis of regional flood disaster resilience capability using an improved projection pursuit model based on the wind-driven optimization algorithm[J]. Journal of Cleaner Production, 2019, 241:DOI:10.1016/j.jclepro.2019.118406.</w:t>
      </w:r>
      <w:bookmarkEnd w:id="32"/>
    </w:p>
    <w:p w14:paraId="5F22788E" w14:textId="77777777" w:rsidR="00D15E46" w:rsidRDefault="00000000">
      <w:pPr>
        <w:pStyle w:val="11"/>
        <w:numPr>
          <w:ilvl w:val="0"/>
          <w:numId w:val="1"/>
        </w:numPr>
        <w:wordWrap w:val="0"/>
        <w:ind w:left="425" w:firstLineChars="0"/>
        <w:rPr>
          <w:sz w:val="18"/>
          <w:szCs w:val="18"/>
        </w:rPr>
      </w:pPr>
      <w:bookmarkStart w:id="33" w:name="_Ref27602"/>
      <w:bookmarkStart w:id="34" w:name="_Ref32142"/>
      <w:bookmarkEnd w:id="33"/>
      <w:r>
        <w:rPr>
          <w:sz w:val="18"/>
          <w:szCs w:val="18"/>
        </w:rPr>
        <w:t>嵇娟</w:t>
      </w:r>
      <w:r>
        <w:rPr>
          <w:sz w:val="18"/>
          <w:szCs w:val="18"/>
        </w:rPr>
        <w:t>,</w:t>
      </w:r>
      <w:r>
        <w:rPr>
          <w:rFonts w:hint="eastAsia"/>
          <w:sz w:val="18"/>
          <w:szCs w:val="18"/>
        </w:rPr>
        <w:t xml:space="preserve"> </w:t>
      </w:r>
      <w:r>
        <w:rPr>
          <w:sz w:val="18"/>
          <w:szCs w:val="18"/>
        </w:rPr>
        <w:t>陈军飞</w:t>
      </w:r>
      <w:r>
        <w:rPr>
          <w:sz w:val="18"/>
          <w:szCs w:val="18"/>
        </w:rPr>
        <w:t>,</w:t>
      </w:r>
      <w:r>
        <w:rPr>
          <w:rFonts w:hint="eastAsia"/>
          <w:sz w:val="18"/>
          <w:szCs w:val="18"/>
        </w:rPr>
        <w:t xml:space="preserve"> </w:t>
      </w:r>
      <w:r>
        <w:rPr>
          <w:sz w:val="18"/>
          <w:szCs w:val="18"/>
        </w:rPr>
        <w:t>周子月</w:t>
      </w:r>
      <w:r>
        <w:rPr>
          <w:sz w:val="18"/>
          <w:szCs w:val="18"/>
        </w:rPr>
        <w:t>.</w:t>
      </w:r>
      <w:r>
        <w:rPr>
          <w:rFonts w:hint="eastAsia"/>
          <w:sz w:val="18"/>
          <w:szCs w:val="18"/>
        </w:rPr>
        <w:t xml:space="preserve"> </w:t>
      </w:r>
      <w:r>
        <w:rPr>
          <w:sz w:val="18"/>
          <w:szCs w:val="18"/>
        </w:rPr>
        <w:t>江苏省城市洪涝韧性评价及影响因素研究</w:t>
      </w:r>
      <w:r>
        <w:rPr>
          <w:sz w:val="18"/>
          <w:szCs w:val="18"/>
        </w:rPr>
        <w:t>[J].</w:t>
      </w:r>
      <w:r>
        <w:rPr>
          <w:rFonts w:hint="eastAsia"/>
          <w:sz w:val="18"/>
          <w:szCs w:val="18"/>
        </w:rPr>
        <w:t xml:space="preserve"> </w:t>
      </w:r>
      <w:r>
        <w:rPr>
          <w:sz w:val="18"/>
          <w:szCs w:val="18"/>
        </w:rPr>
        <w:t>水利经济</w:t>
      </w:r>
      <w:r>
        <w:rPr>
          <w:sz w:val="18"/>
          <w:szCs w:val="18"/>
        </w:rPr>
        <w:t>,</w:t>
      </w:r>
      <w:r>
        <w:rPr>
          <w:rFonts w:hint="eastAsia"/>
          <w:sz w:val="18"/>
          <w:szCs w:val="18"/>
        </w:rPr>
        <w:t xml:space="preserve"> </w:t>
      </w:r>
      <w:r>
        <w:rPr>
          <w:sz w:val="18"/>
          <w:szCs w:val="18"/>
        </w:rPr>
        <w:t>2022,</w:t>
      </w:r>
      <w:r>
        <w:rPr>
          <w:rFonts w:hint="eastAsia"/>
          <w:sz w:val="18"/>
          <w:szCs w:val="18"/>
        </w:rPr>
        <w:t xml:space="preserve"> </w:t>
      </w:r>
      <w:r>
        <w:rPr>
          <w:sz w:val="18"/>
          <w:szCs w:val="18"/>
        </w:rPr>
        <w:t>40(4):48-54.</w:t>
      </w:r>
      <w:bookmarkEnd w:id="34"/>
    </w:p>
    <w:p w14:paraId="4877CEEE" w14:textId="77777777" w:rsidR="00D15E46" w:rsidRDefault="00000000">
      <w:pPr>
        <w:pStyle w:val="11"/>
        <w:wordWrap w:val="0"/>
        <w:ind w:left="425" w:firstLineChars="0" w:firstLine="0"/>
        <w:rPr>
          <w:sz w:val="18"/>
          <w:szCs w:val="18"/>
        </w:rPr>
      </w:pPr>
      <w:r>
        <w:rPr>
          <w:sz w:val="18"/>
          <w:szCs w:val="18"/>
        </w:rPr>
        <w:t>Juan</w:t>
      </w:r>
      <w:r>
        <w:rPr>
          <w:rFonts w:hint="eastAsia"/>
          <w:sz w:val="18"/>
          <w:szCs w:val="18"/>
        </w:rPr>
        <w:t xml:space="preserve"> J,</w:t>
      </w:r>
      <w:r>
        <w:rPr>
          <w:sz w:val="18"/>
          <w:szCs w:val="18"/>
        </w:rPr>
        <w:t xml:space="preserve"> CHEN J</w:t>
      </w:r>
      <w:r>
        <w:rPr>
          <w:rFonts w:hint="eastAsia"/>
          <w:sz w:val="18"/>
          <w:szCs w:val="18"/>
        </w:rPr>
        <w:t xml:space="preserve"> F</w:t>
      </w:r>
      <w:r>
        <w:rPr>
          <w:sz w:val="18"/>
          <w:szCs w:val="18"/>
        </w:rPr>
        <w:t>,</w:t>
      </w:r>
      <w:r>
        <w:rPr>
          <w:rFonts w:hint="eastAsia"/>
          <w:sz w:val="18"/>
          <w:szCs w:val="18"/>
        </w:rPr>
        <w:t xml:space="preserve"> </w:t>
      </w:r>
      <w:r>
        <w:rPr>
          <w:sz w:val="18"/>
          <w:szCs w:val="18"/>
        </w:rPr>
        <w:t>ZHOU Z</w:t>
      </w:r>
      <w:r>
        <w:rPr>
          <w:rFonts w:hint="eastAsia"/>
          <w:sz w:val="18"/>
          <w:szCs w:val="18"/>
        </w:rPr>
        <w:t xml:space="preserve"> Y</w:t>
      </w:r>
      <w:r>
        <w:rPr>
          <w:sz w:val="18"/>
          <w:szCs w:val="18"/>
        </w:rPr>
        <w:t>. Research on evaluation</w:t>
      </w:r>
      <w:r>
        <w:rPr>
          <w:rFonts w:hint="eastAsia"/>
          <w:sz w:val="18"/>
          <w:szCs w:val="18"/>
        </w:rPr>
        <w:t xml:space="preserve"> </w:t>
      </w:r>
      <w:r>
        <w:rPr>
          <w:sz w:val="18"/>
          <w:szCs w:val="18"/>
        </w:rPr>
        <w:t>and influencing factors of urban flood resilience in Jiangsu</w:t>
      </w:r>
      <w:r>
        <w:rPr>
          <w:rFonts w:hint="eastAsia"/>
          <w:sz w:val="18"/>
          <w:szCs w:val="18"/>
        </w:rPr>
        <w:t xml:space="preserve"> </w:t>
      </w:r>
      <w:r>
        <w:rPr>
          <w:sz w:val="18"/>
          <w:szCs w:val="18"/>
        </w:rPr>
        <w:t>Province</w:t>
      </w:r>
      <w:r>
        <w:rPr>
          <w:rFonts w:hint="eastAsia"/>
          <w:sz w:val="18"/>
          <w:szCs w:val="18"/>
        </w:rPr>
        <w:t>[</w:t>
      </w:r>
      <w:r>
        <w:rPr>
          <w:sz w:val="18"/>
          <w:szCs w:val="18"/>
        </w:rPr>
        <w:t>J]. Journal of Economics of Water Resources,</w:t>
      </w:r>
      <w:r>
        <w:rPr>
          <w:rFonts w:hint="eastAsia"/>
          <w:sz w:val="18"/>
          <w:szCs w:val="18"/>
        </w:rPr>
        <w:t xml:space="preserve"> </w:t>
      </w:r>
      <w:r>
        <w:rPr>
          <w:sz w:val="18"/>
          <w:szCs w:val="18"/>
        </w:rPr>
        <w:t>2022</w:t>
      </w:r>
      <w:r>
        <w:rPr>
          <w:rFonts w:hint="eastAsia"/>
          <w:sz w:val="18"/>
          <w:szCs w:val="18"/>
        </w:rPr>
        <w:t xml:space="preserve">, </w:t>
      </w:r>
      <w:r>
        <w:rPr>
          <w:sz w:val="18"/>
          <w:szCs w:val="18"/>
        </w:rPr>
        <w:t>40(4):48-54.</w:t>
      </w:r>
      <w:r>
        <w:rPr>
          <w:rFonts w:hint="eastAsia"/>
          <w:sz w:val="18"/>
          <w:szCs w:val="18"/>
        </w:rPr>
        <w:t xml:space="preserve"> </w:t>
      </w:r>
      <w:r>
        <w:rPr>
          <w:rFonts w:cs="Times New Roman"/>
          <w:sz w:val="18"/>
          <w:szCs w:val="18"/>
        </w:rPr>
        <w:t>(in Chinese)</w:t>
      </w:r>
    </w:p>
    <w:p w14:paraId="374A5727" w14:textId="77777777" w:rsidR="00D15E46" w:rsidRDefault="00000000">
      <w:pPr>
        <w:pStyle w:val="11"/>
        <w:numPr>
          <w:ilvl w:val="0"/>
          <w:numId w:val="1"/>
        </w:numPr>
        <w:ind w:left="425" w:firstLineChars="0"/>
        <w:rPr>
          <w:sz w:val="18"/>
          <w:szCs w:val="18"/>
        </w:rPr>
      </w:pPr>
      <w:bookmarkStart w:id="35" w:name="_Ref32159"/>
      <w:bookmarkStart w:id="36" w:name="_Ref25593"/>
      <w:r>
        <w:rPr>
          <w:rFonts w:hint="eastAsia"/>
          <w:sz w:val="18"/>
          <w:szCs w:val="18"/>
        </w:rPr>
        <w:t>李连刚</w:t>
      </w:r>
      <w:r>
        <w:rPr>
          <w:rFonts w:hint="eastAsia"/>
          <w:sz w:val="18"/>
          <w:szCs w:val="18"/>
        </w:rPr>
        <w:t xml:space="preserve">, </w:t>
      </w:r>
      <w:r>
        <w:rPr>
          <w:rFonts w:hint="eastAsia"/>
          <w:sz w:val="18"/>
          <w:szCs w:val="18"/>
        </w:rPr>
        <w:t>张平字</w:t>
      </w:r>
      <w:r>
        <w:rPr>
          <w:rFonts w:hint="eastAsia"/>
          <w:sz w:val="18"/>
          <w:szCs w:val="18"/>
        </w:rPr>
        <w:t xml:space="preserve">, </w:t>
      </w:r>
      <w:r>
        <w:rPr>
          <w:rFonts w:hint="eastAsia"/>
          <w:sz w:val="18"/>
          <w:szCs w:val="18"/>
        </w:rPr>
        <w:t>程钰</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黄河流域经济韧性时空演变与影响因素研究</w:t>
      </w:r>
      <w:r>
        <w:rPr>
          <w:rFonts w:hint="eastAsia"/>
          <w:sz w:val="18"/>
          <w:szCs w:val="18"/>
        </w:rPr>
        <w:t xml:space="preserve">[J]. </w:t>
      </w:r>
      <w:r>
        <w:rPr>
          <w:rFonts w:hint="eastAsia"/>
          <w:sz w:val="18"/>
          <w:szCs w:val="18"/>
        </w:rPr>
        <w:t>地理科学</w:t>
      </w:r>
      <w:r>
        <w:rPr>
          <w:rFonts w:hint="eastAsia"/>
          <w:sz w:val="18"/>
          <w:szCs w:val="18"/>
        </w:rPr>
        <w:t>, 2022, 42(4):557-567.</w:t>
      </w:r>
      <w:bookmarkEnd w:id="35"/>
    </w:p>
    <w:p w14:paraId="39FE5314" w14:textId="77777777" w:rsidR="00D15E46" w:rsidRDefault="00000000">
      <w:pPr>
        <w:pStyle w:val="11"/>
        <w:ind w:left="425" w:firstLineChars="0" w:firstLine="0"/>
        <w:rPr>
          <w:sz w:val="18"/>
          <w:szCs w:val="18"/>
        </w:rPr>
      </w:pPr>
      <w:r>
        <w:rPr>
          <w:rFonts w:hint="eastAsia"/>
          <w:sz w:val="18"/>
          <w:szCs w:val="18"/>
        </w:rPr>
        <w:t xml:space="preserve">LI L G, ZHANG P Y, CHENG Y, et al. Spatiotemporal evolution and influencing factors of economic resilience in the Yellow River Basin[J]. Scientia Geographica Sinica, 2022, 42(4):557-567. </w:t>
      </w:r>
      <w:r>
        <w:rPr>
          <w:rFonts w:cs="Times New Roman"/>
          <w:sz w:val="18"/>
          <w:szCs w:val="18"/>
        </w:rPr>
        <w:t>(in Chinese)</w:t>
      </w:r>
    </w:p>
    <w:p w14:paraId="6CC5ECEC" w14:textId="77777777" w:rsidR="00D15E46" w:rsidRDefault="00000000">
      <w:pPr>
        <w:pStyle w:val="11"/>
        <w:numPr>
          <w:ilvl w:val="0"/>
          <w:numId w:val="1"/>
        </w:numPr>
        <w:ind w:left="425" w:firstLineChars="0"/>
        <w:rPr>
          <w:sz w:val="18"/>
          <w:szCs w:val="18"/>
        </w:rPr>
      </w:pPr>
      <w:bookmarkStart w:id="37" w:name="_Ref10778"/>
      <w:bookmarkStart w:id="38" w:name="_Ref596"/>
      <w:bookmarkStart w:id="39" w:name="_Ref22639"/>
      <w:bookmarkStart w:id="40" w:name="_Ref29166"/>
      <w:r>
        <w:rPr>
          <w:rFonts w:hint="eastAsia"/>
          <w:sz w:val="18"/>
          <w:szCs w:val="18"/>
        </w:rPr>
        <w:t>苏伯尼</w:t>
      </w:r>
      <w:r>
        <w:rPr>
          <w:rFonts w:hint="eastAsia"/>
          <w:sz w:val="18"/>
          <w:szCs w:val="18"/>
        </w:rPr>
        <w:t xml:space="preserve">, </w:t>
      </w:r>
      <w:r>
        <w:rPr>
          <w:rFonts w:hint="eastAsia"/>
          <w:sz w:val="18"/>
          <w:szCs w:val="18"/>
        </w:rPr>
        <w:t>黄弘</w:t>
      </w:r>
      <w:r>
        <w:rPr>
          <w:rFonts w:hint="eastAsia"/>
          <w:sz w:val="18"/>
          <w:szCs w:val="18"/>
        </w:rPr>
        <w:t xml:space="preserve">, </w:t>
      </w:r>
      <w:r>
        <w:rPr>
          <w:rFonts w:hint="eastAsia"/>
          <w:sz w:val="18"/>
          <w:szCs w:val="18"/>
        </w:rPr>
        <w:t>张楠</w:t>
      </w:r>
      <w:r>
        <w:rPr>
          <w:rFonts w:hint="eastAsia"/>
          <w:sz w:val="18"/>
          <w:szCs w:val="18"/>
        </w:rPr>
        <w:t xml:space="preserve">. </w:t>
      </w:r>
      <w:r>
        <w:rPr>
          <w:rFonts w:hint="eastAsia"/>
          <w:sz w:val="18"/>
          <w:szCs w:val="18"/>
        </w:rPr>
        <w:t>基于情景模拟的城市内涝动态风险评估方法</w:t>
      </w:r>
      <w:r>
        <w:rPr>
          <w:rFonts w:hint="eastAsia"/>
          <w:sz w:val="18"/>
          <w:szCs w:val="18"/>
        </w:rPr>
        <w:t xml:space="preserve">[J]. </w:t>
      </w:r>
      <w:r>
        <w:rPr>
          <w:rFonts w:hint="eastAsia"/>
          <w:sz w:val="18"/>
          <w:szCs w:val="18"/>
        </w:rPr>
        <w:t>清华大学学报</w:t>
      </w:r>
      <w:r>
        <w:rPr>
          <w:rFonts w:hint="eastAsia"/>
          <w:sz w:val="18"/>
          <w:szCs w:val="18"/>
        </w:rPr>
        <w:t>(</w:t>
      </w:r>
      <w:r>
        <w:rPr>
          <w:rFonts w:hint="eastAsia"/>
          <w:sz w:val="18"/>
          <w:szCs w:val="18"/>
        </w:rPr>
        <w:t>自然科学版</w:t>
      </w:r>
      <w:r>
        <w:rPr>
          <w:rFonts w:hint="eastAsia"/>
          <w:sz w:val="18"/>
          <w:szCs w:val="18"/>
        </w:rPr>
        <w:t>), 2015, 55(06):684-690.</w:t>
      </w:r>
      <w:bookmarkEnd w:id="37"/>
    </w:p>
    <w:p w14:paraId="001EFE98" w14:textId="77777777" w:rsidR="00D15E46" w:rsidRDefault="00000000">
      <w:pPr>
        <w:pStyle w:val="11"/>
        <w:ind w:left="425" w:firstLineChars="0" w:firstLine="0"/>
        <w:rPr>
          <w:sz w:val="18"/>
          <w:szCs w:val="18"/>
        </w:rPr>
      </w:pPr>
      <w:r>
        <w:rPr>
          <w:rFonts w:hint="eastAsia"/>
          <w:sz w:val="18"/>
          <w:szCs w:val="18"/>
        </w:rPr>
        <w:t xml:space="preserve">SUN B N, HUANG H, ZAHNG N. Dynamic urban waterlogging risk assessment method based on scenario simulations[J]. Journal of Tsinghua university(Science and Technology), 2015, 55(06):684-690. </w:t>
      </w:r>
      <w:r>
        <w:rPr>
          <w:rFonts w:cs="Times New Roman"/>
          <w:sz w:val="18"/>
          <w:szCs w:val="18"/>
        </w:rPr>
        <w:t>(in Chinese)</w:t>
      </w:r>
    </w:p>
    <w:p w14:paraId="4019AD37" w14:textId="77777777" w:rsidR="00D15E46" w:rsidRDefault="00000000">
      <w:pPr>
        <w:pStyle w:val="11"/>
        <w:numPr>
          <w:ilvl w:val="0"/>
          <w:numId w:val="1"/>
        </w:numPr>
        <w:ind w:left="425" w:firstLineChars="0"/>
        <w:rPr>
          <w:sz w:val="18"/>
          <w:szCs w:val="18"/>
        </w:rPr>
      </w:pPr>
      <w:bookmarkStart w:id="41" w:name="_Ref10932"/>
      <w:r>
        <w:rPr>
          <w:rFonts w:hint="eastAsia"/>
          <w:sz w:val="18"/>
          <w:szCs w:val="18"/>
        </w:rPr>
        <w:t>张颖</w:t>
      </w:r>
      <w:r>
        <w:rPr>
          <w:rFonts w:hint="eastAsia"/>
          <w:sz w:val="18"/>
          <w:szCs w:val="18"/>
        </w:rPr>
        <w:t xml:space="preserve">, </w:t>
      </w:r>
      <w:r>
        <w:rPr>
          <w:rFonts w:hint="eastAsia"/>
          <w:sz w:val="18"/>
          <w:szCs w:val="18"/>
        </w:rPr>
        <w:t>傅强</w:t>
      </w:r>
      <w:r>
        <w:rPr>
          <w:rFonts w:hint="eastAsia"/>
          <w:sz w:val="18"/>
          <w:szCs w:val="18"/>
        </w:rPr>
        <w:t>. GJR-CAViaR</w:t>
      </w:r>
      <w:r>
        <w:rPr>
          <w:rFonts w:hint="eastAsia"/>
          <w:sz w:val="18"/>
          <w:szCs w:val="18"/>
        </w:rPr>
        <w:t>模型的贝叶斯分位数回归基于</w:t>
      </w:r>
      <w:r>
        <w:rPr>
          <w:rFonts w:hint="eastAsia"/>
          <w:sz w:val="18"/>
          <w:szCs w:val="18"/>
        </w:rPr>
        <w:t>Gibbs</w:t>
      </w:r>
      <w:r>
        <w:rPr>
          <w:rFonts w:hint="eastAsia"/>
          <w:sz w:val="18"/>
          <w:szCs w:val="18"/>
        </w:rPr>
        <w:t>抽样的</w:t>
      </w:r>
      <w:r>
        <w:rPr>
          <w:rFonts w:hint="eastAsia"/>
          <w:sz w:val="18"/>
          <w:szCs w:val="18"/>
        </w:rPr>
        <w:t>MCMC</w:t>
      </w:r>
      <w:r>
        <w:rPr>
          <w:rFonts w:hint="eastAsia"/>
          <w:sz w:val="18"/>
          <w:szCs w:val="18"/>
        </w:rPr>
        <w:t>算法实现</w:t>
      </w:r>
      <w:r>
        <w:rPr>
          <w:rFonts w:hint="eastAsia"/>
          <w:sz w:val="18"/>
          <w:szCs w:val="18"/>
        </w:rPr>
        <w:t>[J]. 2017, (7):87-95.</w:t>
      </w:r>
      <w:bookmarkEnd w:id="38"/>
      <w:bookmarkEnd w:id="41"/>
    </w:p>
    <w:p w14:paraId="3416DFF7" w14:textId="77777777" w:rsidR="00D15E46" w:rsidRDefault="00000000">
      <w:pPr>
        <w:pStyle w:val="11"/>
        <w:ind w:left="425" w:firstLineChars="0" w:firstLine="0"/>
        <w:rPr>
          <w:sz w:val="18"/>
          <w:szCs w:val="18"/>
        </w:rPr>
      </w:pPr>
      <w:r>
        <w:rPr>
          <w:rFonts w:hint="eastAsia"/>
          <w:sz w:val="18"/>
          <w:szCs w:val="18"/>
        </w:rPr>
        <w:t xml:space="preserve">ZHANG Y, FU Q. Bayesian Quantile Regression of GIR-CAViaR Model: An implementation of MCMC algorithm based on Gibbs sampling and its associated empirical analysis[J]. Journal of Central University of Finance &amp; Economics, 2017, (7):87-95. </w:t>
      </w:r>
      <w:r>
        <w:rPr>
          <w:rFonts w:cs="Times New Roman"/>
          <w:sz w:val="18"/>
          <w:szCs w:val="18"/>
        </w:rPr>
        <w:t>(in Chinese)</w:t>
      </w:r>
    </w:p>
    <w:p w14:paraId="6C9AC571" w14:textId="77777777" w:rsidR="00D15E46" w:rsidRDefault="00000000">
      <w:pPr>
        <w:pStyle w:val="11"/>
        <w:numPr>
          <w:ilvl w:val="0"/>
          <w:numId w:val="1"/>
        </w:numPr>
        <w:wordWrap w:val="0"/>
        <w:ind w:left="425" w:firstLineChars="0"/>
        <w:rPr>
          <w:sz w:val="18"/>
          <w:szCs w:val="18"/>
        </w:rPr>
      </w:pPr>
      <w:bookmarkStart w:id="42" w:name="_Ref425"/>
      <w:bookmarkEnd w:id="36"/>
      <w:bookmarkEnd w:id="39"/>
      <w:bookmarkEnd w:id="40"/>
      <w:r>
        <w:rPr>
          <w:rFonts w:hint="eastAsia"/>
          <w:sz w:val="18"/>
          <w:szCs w:val="18"/>
        </w:rPr>
        <w:t>陈文广</w:t>
      </w:r>
      <w:r>
        <w:rPr>
          <w:rFonts w:hint="eastAsia"/>
          <w:sz w:val="18"/>
          <w:szCs w:val="18"/>
        </w:rPr>
        <w:t xml:space="preserve">, </w:t>
      </w:r>
      <w:r>
        <w:rPr>
          <w:rFonts w:hint="eastAsia"/>
          <w:sz w:val="18"/>
          <w:szCs w:val="18"/>
        </w:rPr>
        <w:t>唐子鸣</w:t>
      </w:r>
      <w:r>
        <w:rPr>
          <w:rFonts w:hint="eastAsia"/>
          <w:sz w:val="18"/>
          <w:szCs w:val="18"/>
        </w:rPr>
        <w:t xml:space="preserve">, </w:t>
      </w:r>
      <w:r>
        <w:rPr>
          <w:rFonts w:hint="eastAsia"/>
          <w:sz w:val="18"/>
          <w:szCs w:val="18"/>
        </w:rPr>
        <w:t>杨程凯</w:t>
      </w:r>
      <w:r>
        <w:rPr>
          <w:rFonts w:hint="eastAsia"/>
          <w:sz w:val="18"/>
          <w:szCs w:val="18"/>
        </w:rPr>
        <w:t xml:space="preserve">, </w:t>
      </w:r>
      <w:r>
        <w:rPr>
          <w:rFonts w:hint="eastAsia"/>
          <w:sz w:val="18"/>
          <w:szCs w:val="18"/>
        </w:rPr>
        <w:t>等</w:t>
      </w:r>
      <w:r>
        <w:rPr>
          <w:rFonts w:hint="eastAsia"/>
          <w:sz w:val="18"/>
          <w:szCs w:val="18"/>
        </w:rPr>
        <w:t xml:space="preserve">. </w:t>
      </w:r>
      <w:r>
        <w:rPr>
          <w:rFonts w:hint="eastAsia"/>
          <w:sz w:val="18"/>
          <w:szCs w:val="18"/>
        </w:rPr>
        <w:t>基于贝叶斯理论的钢筋</w:t>
      </w:r>
      <w:r>
        <w:rPr>
          <w:rFonts w:hint="eastAsia"/>
          <w:sz w:val="18"/>
          <w:szCs w:val="18"/>
        </w:rPr>
        <w:t>UHPC</w:t>
      </w:r>
      <w:r>
        <w:rPr>
          <w:rFonts w:hint="eastAsia"/>
          <w:sz w:val="18"/>
          <w:szCs w:val="18"/>
        </w:rPr>
        <w:t>梁抗剪承载力概率模型</w:t>
      </w:r>
      <w:r>
        <w:rPr>
          <w:rFonts w:hint="eastAsia"/>
          <w:sz w:val="18"/>
          <w:szCs w:val="18"/>
        </w:rPr>
        <w:t xml:space="preserve">[J/OL]. </w:t>
      </w:r>
      <w:r>
        <w:rPr>
          <w:rFonts w:hint="eastAsia"/>
          <w:sz w:val="18"/>
          <w:szCs w:val="18"/>
        </w:rPr>
        <w:t>工程力学</w:t>
      </w:r>
      <w:r>
        <w:rPr>
          <w:rFonts w:hint="eastAsia"/>
          <w:sz w:val="18"/>
          <w:szCs w:val="18"/>
        </w:rPr>
        <w:t>:1-17.[2025-06-04].http://kns.cnki.net/kcms/detail/11.2595.o3.20240906.1103.004.html.</w:t>
      </w:r>
      <w:bookmarkEnd w:id="42"/>
    </w:p>
    <w:p w14:paraId="08958188" w14:textId="77777777" w:rsidR="00D15E46" w:rsidRDefault="00000000">
      <w:pPr>
        <w:pStyle w:val="11"/>
        <w:wordWrap w:val="0"/>
        <w:ind w:left="425" w:firstLineChars="0" w:firstLine="0"/>
        <w:rPr>
          <w:sz w:val="18"/>
          <w:szCs w:val="18"/>
        </w:rPr>
      </w:pPr>
      <w:r>
        <w:rPr>
          <w:rFonts w:hint="eastAsia"/>
          <w:sz w:val="18"/>
          <w:szCs w:val="18"/>
        </w:rPr>
        <w:t xml:space="preserve">CHEN W G, TANG Z M, YANG C K, et al. Probabilistic </w:t>
      </w:r>
      <w:r>
        <w:rPr>
          <w:rFonts w:hint="eastAsia"/>
          <w:sz w:val="18"/>
          <w:szCs w:val="18"/>
        </w:rPr>
        <w:t xml:space="preserve">model for shear capacity of reinforced uhpc beam upon bayesian theory[J/OL]. Engineering Mechanics:1-17.[2025-06-04].http://kns.cnki.net/kcms/detail/11.2595.o3.20240906.1103.004.html. </w:t>
      </w:r>
      <w:r>
        <w:rPr>
          <w:rFonts w:cs="Times New Roman"/>
          <w:sz w:val="18"/>
          <w:szCs w:val="18"/>
        </w:rPr>
        <w:t>(in Chinese)</w:t>
      </w:r>
    </w:p>
    <w:p w14:paraId="6A96ED16" w14:textId="77777777" w:rsidR="00D15E46" w:rsidRDefault="00000000">
      <w:pPr>
        <w:pStyle w:val="11"/>
        <w:numPr>
          <w:ilvl w:val="0"/>
          <w:numId w:val="1"/>
        </w:numPr>
        <w:ind w:left="425" w:firstLineChars="0"/>
        <w:rPr>
          <w:sz w:val="18"/>
          <w:szCs w:val="18"/>
        </w:rPr>
      </w:pPr>
      <w:bookmarkStart w:id="43" w:name="_Ref31985"/>
      <w:bookmarkStart w:id="44" w:name="_Ref5656"/>
      <w:bookmarkEnd w:id="43"/>
      <w:r>
        <w:rPr>
          <w:rFonts w:hint="eastAsia"/>
          <w:sz w:val="18"/>
          <w:szCs w:val="18"/>
        </w:rPr>
        <w:t>Richardson S, Thomson A, Best N, et al. Interpreting posterior relative risk estimates in disease mapping studies[J]. Environmental Health Perspectives, 2004, 112(9):1016-1025.</w:t>
      </w:r>
      <w:bookmarkEnd w:id="44"/>
    </w:p>
    <w:p w14:paraId="3B12450D" w14:textId="77777777" w:rsidR="00D15E46" w:rsidRDefault="00000000">
      <w:pPr>
        <w:pStyle w:val="11"/>
        <w:numPr>
          <w:ilvl w:val="0"/>
          <w:numId w:val="1"/>
        </w:numPr>
        <w:ind w:left="425" w:firstLineChars="0"/>
        <w:rPr>
          <w:sz w:val="18"/>
          <w:szCs w:val="18"/>
        </w:rPr>
      </w:pPr>
      <w:bookmarkStart w:id="45" w:name="_Ref3308"/>
      <w:r>
        <w:rPr>
          <w:rFonts w:hint="eastAsia"/>
          <w:sz w:val="18"/>
          <w:szCs w:val="18"/>
        </w:rPr>
        <w:t>韩秀兰</w:t>
      </w:r>
      <w:r>
        <w:rPr>
          <w:rFonts w:hint="eastAsia"/>
          <w:sz w:val="18"/>
          <w:szCs w:val="18"/>
        </w:rPr>
        <w:t xml:space="preserve">, </w:t>
      </w:r>
      <w:r>
        <w:rPr>
          <w:rFonts w:hint="eastAsia"/>
          <w:sz w:val="18"/>
          <w:szCs w:val="18"/>
        </w:rPr>
        <w:t>王思贤</w:t>
      </w:r>
      <w:r>
        <w:rPr>
          <w:rFonts w:hint="eastAsia"/>
          <w:sz w:val="18"/>
          <w:szCs w:val="18"/>
        </w:rPr>
        <w:t xml:space="preserve">, </w:t>
      </w:r>
      <w:r>
        <w:rPr>
          <w:rFonts w:hint="eastAsia"/>
          <w:sz w:val="18"/>
          <w:szCs w:val="18"/>
        </w:rPr>
        <w:t>李俊明</w:t>
      </w:r>
      <w:r>
        <w:rPr>
          <w:rFonts w:hint="eastAsia"/>
          <w:sz w:val="18"/>
          <w:szCs w:val="18"/>
        </w:rPr>
        <w:t xml:space="preserve">. </w:t>
      </w:r>
      <w:r>
        <w:rPr>
          <w:rFonts w:hint="eastAsia"/>
          <w:sz w:val="18"/>
          <w:szCs w:val="18"/>
        </w:rPr>
        <w:t>基于人口老龄化的中国医疗卫生人员配置充分性测度——贝叶斯时空演化分析实证</w:t>
      </w:r>
      <w:r>
        <w:rPr>
          <w:rFonts w:hint="eastAsia"/>
          <w:sz w:val="18"/>
          <w:szCs w:val="18"/>
        </w:rPr>
        <w:t xml:space="preserve">[J]. </w:t>
      </w:r>
      <w:r>
        <w:rPr>
          <w:rFonts w:hint="eastAsia"/>
          <w:sz w:val="18"/>
          <w:szCs w:val="18"/>
        </w:rPr>
        <w:t>数理统计与管理</w:t>
      </w:r>
      <w:r>
        <w:rPr>
          <w:rFonts w:hint="eastAsia"/>
          <w:sz w:val="18"/>
          <w:szCs w:val="18"/>
        </w:rPr>
        <w:t>, 2023, 42(3):381-390.</w:t>
      </w:r>
      <w:bookmarkEnd w:id="45"/>
    </w:p>
    <w:p w14:paraId="46EFD851" w14:textId="77777777" w:rsidR="00D15E46" w:rsidRDefault="00000000">
      <w:pPr>
        <w:pStyle w:val="11"/>
        <w:ind w:left="425" w:firstLineChars="0" w:firstLine="0"/>
        <w:rPr>
          <w:sz w:val="18"/>
          <w:szCs w:val="18"/>
        </w:rPr>
      </w:pPr>
      <w:r>
        <w:rPr>
          <w:rFonts w:hint="eastAsia"/>
          <w:sz w:val="18"/>
          <w:szCs w:val="18"/>
        </w:rPr>
        <w:t xml:space="preserve">HAN X L, WANG S X, LI J M. Research on the Sufficiency of China's medical staff resource allocation based on aging population: empirical analysis of Bayesian spatio-temporal evolution[J]. Journal of Applied Statistics and Management, 2023, 42(3):381-390. </w:t>
      </w:r>
      <w:r>
        <w:rPr>
          <w:rFonts w:cs="Times New Roman"/>
          <w:sz w:val="18"/>
          <w:szCs w:val="18"/>
        </w:rPr>
        <w:t>(in Chinese)</w:t>
      </w:r>
    </w:p>
    <w:p w14:paraId="7A4A7809" w14:textId="77777777" w:rsidR="00D15E46" w:rsidRDefault="00000000">
      <w:pPr>
        <w:pStyle w:val="11"/>
        <w:numPr>
          <w:ilvl w:val="0"/>
          <w:numId w:val="1"/>
        </w:numPr>
        <w:ind w:left="425" w:firstLineChars="0"/>
        <w:rPr>
          <w:sz w:val="18"/>
          <w:szCs w:val="18"/>
        </w:rPr>
      </w:pPr>
      <w:bookmarkStart w:id="46" w:name="_Ref32292"/>
      <w:bookmarkStart w:id="47" w:name="_Ref32125"/>
      <w:bookmarkStart w:id="48" w:name="_Ref5750"/>
      <w:bookmarkStart w:id="49" w:name="_Ref4585"/>
      <w:bookmarkEnd w:id="46"/>
      <w:bookmarkEnd w:id="47"/>
      <w:r>
        <w:rPr>
          <w:rFonts w:hint="eastAsia"/>
          <w:sz w:val="18"/>
          <w:szCs w:val="18"/>
        </w:rPr>
        <w:t>HUANG H, SONG B, XU P, et al. Macro and micro models for zonal crash prediction with application in hot zones identification[J]. Journal of Transport Geography, 2016,54:248-256.</w:t>
      </w:r>
      <w:bookmarkEnd w:id="48"/>
    </w:p>
    <w:p w14:paraId="15EBDE98" w14:textId="77777777" w:rsidR="00D15E46" w:rsidRDefault="00000000">
      <w:pPr>
        <w:pStyle w:val="11"/>
        <w:numPr>
          <w:ilvl w:val="0"/>
          <w:numId w:val="1"/>
        </w:numPr>
        <w:ind w:left="425" w:firstLineChars="0"/>
        <w:rPr>
          <w:sz w:val="18"/>
          <w:szCs w:val="18"/>
        </w:rPr>
      </w:pPr>
      <w:bookmarkStart w:id="50" w:name="_Ref32521"/>
      <w:r>
        <w:rPr>
          <w:sz w:val="18"/>
          <w:szCs w:val="18"/>
        </w:rPr>
        <w:t>刘喜</w:t>
      </w:r>
      <w:r>
        <w:rPr>
          <w:sz w:val="18"/>
          <w:szCs w:val="18"/>
        </w:rPr>
        <w:t xml:space="preserve">, </w:t>
      </w:r>
      <w:r>
        <w:rPr>
          <w:sz w:val="18"/>
          <w:szCs w:val="18"/>
        </w:rPr>
        <w:t>吴涛</w:t>
      </w:r>
      <w:r>
        <w:rPr>
          <w:sz w:val="18"/>
          <w:szCs w:val="18"/>
        </w:rPr>
        <w:t xml:space="preserve">, </w:t>
      </w:r>
      <w:r>
        <w:rPr>
          <w:sz w:val="18"/>
          <w:szCs w:val="18"/>
        </w:rPr>
        <w:t>刘毅斌</w:t>
      </w:r>
      <w:r>
        <w:rPr>
          <w:sz w:val="18"/>
          <w:szCs w:val="18"/>
        </w:rPr>
        <w:t xml:space="preserve">. </w:t>
      </w:r>
      <w:r>
        <w:rPr>
          <w:sz w:val="18"/>
          <w:szCs w:val="18"/>
        </w:rPr>
        <w:t>基于</w:t>
      </w:r>
      <w:r>
        <w:rPr>
          <w:sz w:val="18"/>
          <w:szCs w:val="18"/>
        </w:rPr>
        <w:t>Bayesian-MCMC</w:t>
      </w:r>
      <w:r>
        <w:rPr>
          <w:sz w:val="18"/>
          <w:szCs w:val="18"/>
        </w:rPr>
        <w:t>方法的深受弯构件受剪概率模型研究</w:t>
      </w:r>
      <w:r>
        <w:rPr>
          <w:sz w:val="18"/>
          <w:szCs w:val="18"/>
        </w:rPr>
        <w:t xml:space="preserve">[J]. </w:t>
      </w:r>
      <w:r>
        <w:rPr>
          <w:sz w:val="18"/>
          <w:szCs w:val="18"/>
        </w:rPr>
        <w:t>工程力学</w:t>
      </w:r>
      <w:r>
        <w:rPr>
          <w:sz w:val="18"/>
          <w:szCs w:val="18"/>
        </w:rPr>
        <w:t>, 2019, 36(11):130-138.</w:t>
      </w:r>
      <w:bookmarkEnd w:id="50"/>
    </w:p>
    <w:p w14:paraId="14C7214C" w14:textId="77777777" w:rsidR="00D15E46" w:rsidRDefault="00000000">
      <w:pPr>
        <w:pStyle w:val="11"/>
        <w:ind w:left="425" w:firstLineChars="0" w:firstLine="0"/>
        <w:rPr>
          <w:sz w:val="18"/>
          <w:szCs w:val="18"/>
        </w:rPr>
      </w:pPr>
      <w:r>
        <w:rPr>
          <w:sz w:val="18"/>
          <w:szCs w:val="18"/>
        </w:rPr>
        <w:t>LIU X, WU T, LIU Y</w:t>
      </w:r>
      <w:r>
        <w:rPr>
          <w:rFonts w:hint="eastAsia"/>
          <w:sz w:val="18"/>
          <w:szCs w:val="18"/>
        </w:rPr>
        <w:t xml:space="preserve"> B</w:t>
      </w:r>
      <w:r>
        <w:rPr>
          <w:sz w:val="18"/>
          <w:szCs w:val="18"/>
        </w:rPr>
        <w:t>. Study on probabilistic shear strength model for deep flexural members based on Bayesian-MCMC[J]. Engineering Mechanics, 2019, 36(11):130-138.</w:t>
      </w:r>
      <w:r>
        <w:rPr>
          <w:rFonts w:hint="eastAsia"/>
          <w:sz w:val="18"/>
          <w:szCs w:val="18"/>
        </w:rPr>
        <w:t xml:space="preserve"> </w:t>
      </w:r>
      <w:r>
        <w:rPr>
          <w:rFonts w:cs="Times New Roman"/>
          <w:sz w:val="18"/>
          <w:szCs w:val="18"/>
        </w:rPr>
        <w:t>(in Chinese)</w:t>
      </w:r>
    </w:p>
    <w:p w14:paraId="36551D4D" w14:textId="77777777" w:rsidR="00D15E46" w:rsidRDefault="00000000">
      <w:pPr>
        <w:pStyle w:val="11"/>
        <w:numPr>
          <w:ilvl w:val="0"/>
          <w:numId w:val="1"/>
        </w:numPr>
        <w:ind w:left="425" w:firstLineChars="0"/>
        <w:rPr>
          <w:sz w:val="18"/>
          <w:szCs w:val="18"/>
        </w:rPr>
      </w:pPr>
      <w:bookmarkStart w:id="51" w:name="_Ref32426"/>
      <w:bookmarkStart w:id="52" w:name="_Ref32517"/>
      <w:bookmarkEnd w:id="49"/>
      <w:bookmarkEnd w:id="51"/>
      <w:r>
        <w:rPr>
          <w:rFonts w:hint="eastAsia"/>
          <w:sz w:val="18"/>
          <w:szCs w:val="18"/>
        </w:rPr>
        <w:t>龚光鲁</w:t>
      </w:r>
      <w:r>
        <w:rPr>
          <w:rFonts w:hint="eastAsia"/>
          <w:sz w:val="18"/>
          <w:szCs w:val="18"/>
        </w:rPr>
        <w:t xml:space="preserve">, </w:t>
      </w:r>
      <w:r>
        <w:rPr>
          <w:rFonts w:hint="eastAsia"/>
          <w:sz w:val="18"/>
          <w:szCs w:val="18"/>
        </w:rPr>
        <w:t>钱敏平</w:t>
      </w:r>
      <w:r>
        <w:rPr>
          <w:rFonts w:hint="eastAsia"/>
          <w:sz w:val="18"/>
          <w:szCs w:val="18"/>
        </w:rPr>
        <w:t xml:space="preserve">. </w:t>
      </w:r>
      <w:r>
        <w:rPr>
          <w:rFonts w:hint="eastAsia"/>
          <w:sz w:val="18"/>
          <w:szCs w:val="18"/>
        </w:rPr>
        <w:t>应用随机过程教程</w:t>
      </w:r>
      <w:r>
        <w:rPr>
          <w:rFonts w:hint="eastAsia"/>
          <w:sz w:val="18"/>
          <w:szCs w:val="18"/>
        </w:rPr>
        <w:t xml:space="preserve">[M]. </w:t>
      </w:r>
      <w:r>
        <w:rPr>
          <w:rFonts w:hint="eastAsia"/>
          <w:sz w:val="18"/>
          <w:szCs w:val="18"/>
        </w:rPr>
        <w:t>北京</w:t>
      </w:r>
      <w:r>
        <w:rPr>
          <w:rFonts w:hint="eastAsia"/>
          <w:sz w:val="18"/>
          <w:szCs w:val="18"/>
        </w:rPr>
        <w:t>:</w:t>
      </w:r>
      <w:r>
        <w:rPr>
          <w:rFonts w:hint="eastAsia"/>
          <w:sz w:val="18"/>
          <w:szCs w:val="18"/>
        </w:rPr>
        <w:t>清华大学出版社</w:t>
      </w:r>
      <w:r>
        <w:rPr>
          <w:rFonts w:hint="eastAsia"/>
          <w:sz w:val="18"/>
          <w:szCs w:val="18"/>
        </w:rPr>
        <w:t>, 2004:15-30.</w:t>
      </w:r>
      <w:bookmarkEnd w:id="52"/>
    </w:p>
    <w:p w14:paraId="7A51F1C1" w14:textId="77777777" w:rsidR="00D15E46" w:rsidRDefault="00000000">
      <w:pPr>
        <w:pStyle w:val="11"/>
        <w:ind w:left="425" w:firstLineChars="0" w:firstLine="0"/>
        <w:rPr>
          <w:sz w:val="18"/>
          <w:szCs w:val="18"/>
        </w:rPr>
      </w:pPr>
      <w:r>
        <w:rPr>
          <w:rFonts w:hint="eastAsia"/>
          <w:sz w:val="18"/>
          <w:szCs w:val="18"/>
        </w:rPr>
        <w:t xml:space="preserve">GONG G L, QIAN M P. Applying the random process tutorial[M]. Beijing: Tsinghua University Press, 2004:15-30. </w:t>
      </w:r>
      <w:r>
        <w:rPr>
          <w:rFonts w:cs="Times New Roman"/>
          <w:sz w:val="18"/>
          <w:szCs w:val="18"/>
        </w:rPr>
        <w:t>(in Chinese)</w:t>
      </w:r>
    </w:p>
    <w:p w14:paraId="34B470B3" w14:textId="77777777" w:rsidR="00D15E46" w:rsidRDefault="00000000">
      <w:pPr>
        <w:pStyle w:val="11"/>
        <w:numPr>
          <w:ilvl w:val="0"/>
          <w:numId w:val="1"/>
        </w:numPr>
        <w:ind w:left="425" w:firstLineChars="0"/>
        <w:rPr>
          <w:sz w:val="18"/>
          <w:szCs w:val="18"/>
        </w:rPr>
      </w:pPr>
      <w:bookmarkStart w:id="53" w:name="_Ref203"/>
      <w:r>
        <w:rPr>
          <w:rFonts w:hint="eastAsia"/>
          <w:sz w:val="18"/>
          <w:szCs w:val="18"/>
        </w:rPr>
        <w:t>Harvey G, William B, Jon R. Partitioning variation in multilevel models[J]. Understanding Statistics, 2002, 1(4):223-231.</w:t>
      </w:r>
      <w:bookmarkEnd w:id="53"/>
    </w:p>
    <w:p w14:paraId="095458F9" w14:textId="77777777" w:rsidR="00D15E46" w:rsidRDefault="00000000">
      <w:pPr>
        <w:pStyle w:val="11"/>
        <w:numPr>
          <w:ilvl w:val="0"/>
          <w:numId w:val="1"/>
        </w:numPr>
        <w:ind w:left="425" w:firstLineChars="0"/>
        <w:rPr>
          <w:sz w:val="18"/>
          <w:szCs w:val="18"/>
        </w:rPr>
      </w:pPr>
      <w:bookmarkStart w:id="54" w:name="_Ref236"/>
      <w:r>
        <w:rPr>
          <w:sz w:val="18"/>
          <w:szCs w:val="18"/>
        </w:rPr>
        <w:t>赵佳慧</w:t>
      </w:r>
      <w:r>
        <w:rPr>
          <w:sz w:val="18"/>
          <w:szCs w:val="18"/>
        </w:rPr>
        <w:t>,</w:t>
      </w:r>
      <w:r>
        <w:rPr>
          <w:sz w:val="18"/>
          <w:szCs w:val="18"/>
        </w:rPr>
        <w:t>许红师</w:t>
      </w:r>
      <w:r>
        <w:rPr>
          <w:sz w:val="18"/>
          <w:szCs w:val="18"/>
        </w:rPr>
        <w:t>,</w:t>
      </w:r>
      <w:r>
        <w:rPr>
          <w:sz w:val="18"/>
          <w:szCs w:val="18"/>
        </w:rPr>
        <w:t>王田野</w:t>
      </w:r>
      <w:r>
        <w:rPr>
          <w:sz w:val="18"/>
          <w:szCs w:val="18"/>
        </w:rPr>
        <w:t>,</w:t>
      </w:r>
      <w:r>
        <w:rPr>
          <w:sz w:val="18"/>
          <w:szCs w:val="18"/>
        </w:rPr>
        <w:t>等</w:t>
      </w:r>
      <w:r>
        <w:rPr>
          <w:sz w:val="18"/>
          <w:szCs w:val="18"/>
        </w:rPr>
        <w:t>.</w:t>
      </w:r>
      <w:r>
        <w:rPr>
          <w:sz w:val="18"/>
          <w:szCs w:val="18"/>
        </w:rPr>
        <w:t>基于改进熵权</w:t>
      </w:r>
      <w:r>
        <w:rPr>
          <w:sz w:val="18"/>
          <w:szCs w:val="18"/>
        </w:rPr>
        <w:t>-TOPSIS</w:t>
      </w:r>
      <w:r>
        <w:rPr>
          <w:sz w:val="18"/>
          <w:szCs w:val="18"/>
        </w:rPr>
        <w:t>灰色关联方法的城市洪涝风险评估</w:t>
      </w:r>
      <w:r>
        <w:rPr>
          <w:sz w:val="18"/>
          <w:szCs w:val="18"/>
        </w:rPr>
        <w:t>[J</w:t>
      </w:r>
      <w:r>
        <w:rPr>
          <w:rFonts w:hint="eastAsia"/>
          <w:sz w:val="18"/>
          <w:szCs w:val="18"/>
        </w:rPr>
        <w:t>]</w:t>
      </w:r>
      <w:r>
        <w:rPr>
          <w:sz w:val="18"/>
          <w:szCs w:val="18"/>
        </w:rPr>
        <w:t>.</w:t>
      </w:r>
      <w:r>
        <w:rPr>
          <w:sz w:val="18"/>
          <w:szCs w:val="18"/>
        </w:rPr>
        <w:t>水利水电技术中英文</w:t>
      </w:r>
      <w:r>
        <w:rPr>
          <w:sz w:val="18"/>
          <w:szCs w:val="18"/>
        </w:rPr>
        <w:t>),</w:t>
      </w:r>
      <w:r>
        <w:rPr>
          <w:rFonts w:hint="eastAsia"/>
          <w:sz w:val="18"/>
          <w:szCs w:val="18"/>
        </w:rPr>
        <w:t xml:space="preserve"> </w:t>
      </w:r>
      <w:r>
        <w:rPr>
          <w:sz w:val="18"/>
          <w:szCs w:val="18"/>
        </w:rPr>
        <w:t>2022,</w:t>
      </w:r>
      <w:r>
        <w:rPr>
          <w:rFonts w:hint="eastAsia"/>
          <w:sz w:val="18"/>
          <w:szCs w:val="18"/>
        </w:rPr>
        <w:t xml:space="preserve"> </w:t>
      </w:r>
      <w:r>
        <w:rPr>
          <w:sz w:val="18"/>
          <w:szCs w:val="18"/>
        </w:rPr>
        <w:t>53(10):58-73.</w:t>
      </w:r>
      <w:bookmarkEnd w:id="54"/>
    </w:p>
    <w:p w14:paraId="03E6090D" w14:textId="77777777" w:rsidR="00D15E46" w:rsidRDefault="00000000">
      <w:pPr>
        <w:pStyle w:val="11"/>
        <w:ind w:left="425" w:firstLineChars="0" w:firstLine="0"/>
        <w:rPr>
          <w:rFonts w:cs="Times New Roman"/>
          <w:b/>
          <w:sz w:val="18"/>
          <w:szCs w:val="18"/>
        </w:rPr>
      </w:pPr>
      <w:r>
        <w:rPr>
          <w:rFonts w:hint="eastAsia"/>
          <w:sz w:val="18"/>
          <w:szCs w:val="18"/>
        </w:rPr>
        <w:t xml:space="preserve">ZHAO Jiahui, XU Hongshi, WANG Siye, et al. Improved entropy weight-TOPSIS-grey correlation method-based urban flood-waterlogging risk assessment[J]. Water Resources and Hydropower Engineering, 2022, 53(10): 58-73. </w:t>
      </w:r>
      <w:r>
        <w:rPr>
          <w:rFonts w:cs="Times New Roman"/>
          <w:sz w:val="18"/>
          <w:szCs w:val="18"/>
        </w:rPr>
        <w:t>(in Chinese)</w:t>
      </w:r>
    </w:p>
    <w:p w14:paraId="2AF5DADE" w14:textId="77777777" w:rsidR="00D15E46" w:rsidRDefault="00D15E46">
      <w:pPr>
        <w:autoSpaceDE w:val="0"/>
        <w:autoSpaceDN w:val="0"/>
        <w:adjustRightInd w:val="0"/>
        <w:spacing w:line="240" w:lineRule="atLeast"/>
        <w:ind w:left="420" w:hanging="420"/>
        <w:rPr>
          <w:rFonts w:ascii="Times New Roman" w:hAnsi="Times New Roman" w:cs="Times New Roman"/>
          <w:szCs w:val="21"/>
        </w:rPr>
        <w:sectPr w:rsidR="00D15E46">
          <w:type w:val="continuous"/>
          <w:pgSz w:w="11906" w:h="16838"/>
          <w:pgMar w:top="1440" w:right="1106" w:bottom="1440" w:left="1106" w:header="851" w:footer="992" w:gutter="0"/>
          <w:cols w:num="2" w:space="720" w:equalWidth="0">
            <w:col w:w="4634" w:space="425"/>
            <w:col w:w="4634"/>
          </w:cols>
          <w:titlePg/>
          <w:docGrid w:type="linesAndChars" w:linePitch="312"/>
        </w:sectPr>
      </w:pPr>
    </w:p>
    <w:p w14:paraId="34DA3165" w14:textId="77777777" w:rsidR="00D15E46" w:rsidRDefault="00D15E46">
      <w:pPr>
        <w:autoSpaceDE w:val="0"/>
        <w:autoSpaceDN w:val="0"/>
        <w:adjustRightInd w:val="0"/>
        <w:spacing w:line="240" w:lineRule="atLeast"/>
        <w:ind w:left="420" w:hanging="420"/>
        <w:rPr>
          <w:rFonts w:ascii="Times New Roman" w:hAnsi="Times New Roman" w:cs="Times New Roman"/>
          <w:szCs w:val="21"/>
        </w:rPr>
      </w:pPr>
    </w:p>
    <w:p w14:paraId="31A5B2C1" w14:textId="77777777" w:rsidR="00D15E46"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Study on Bayesian space-time interaction flood resilience assessment based on MCMC simulation</w:t>
      </w:r>
    </w:p>
    <w:p w14:paraId="64552D9D" w14:textId="77777777" w:rsidR="00D15E46"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hint="eastAsia"/>
          <w:kern w:val="0"/>
          <w:szCs w:val="21"/>
        </w:rPr>
        <w:t>Against the backdrop of accelerated urbanization and climate change, achieving a precise assessment of flood resilience is of great significance for the sustainable development of cities. Most previous studies on flood resilience assessment have employed classical statistical methods, which are sensitive to small-sample data and fail to account for the impact of space correlation on urban flood resilience. This paper used a Bayesian space-time interaction model (BSTIM) based on the Markov chain Monte Carlo (MCMC) method, incorporated the space information of adjacent cities into the space-time evolution process, deeply revealed the coupling process of flood resilience in time and space, and finally applied it to the flood resilience assessment of the Yangtze River Delta region. The research shows that the BSTIM model's space-time interpretation of urban flood resilience reaches over 93%, shows a good fit for space-time data, and enables accurate assessment of the space-time characteristics of flood resilience. The flood resilience in the Yangtze River Delta region showed an upward trend in the study period. The spatial layout of flood resilience has generally formed a "low-high-medium" spatial pattern, and the local change trend shows the characteristics of "high in the east, low in the west, and medium in the north". The difference in the cold-hot agglomeration of the spatial pattern of urban flood resilience is significant, and the cold-hot agglomeration of local changes forms a pattern of "cold in the west and hot in the east". Half of the regions show the agglomeration characteristics of "hot-hot" and "cold-hot", illustrating that the future trend of urban flood control in the Yangtze River Delta region is improving.</w:t>
      </w:r>
    </w:p>
    <w:p w14:paraId="32C3CE8E" w14:textId="77777777" w:rsidR="00D15E46"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Bayesian theory; Markov chain Monte Carlo method; Bayesian space-time interaction model; urban flood resilience</w:t>
      </w:r>
    </w:p>
    <w:sectPr w:rsidR="00D15E46">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F9A974" w14:textId="77777777" w:rsidR="00660E0E" w:rsidRDefault="00660E0E">
      <w:r>
        <w:separator/>
      </w:r>
    </w:p>
  </w:endnote>
  <w:endnote w:type="continuationSeparator" w:id="0">
    <w:p w14:paraId="11E4D372" w14:textId="77777777" w:rsidR="00660E0E" w:rsidRDefault="00660E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1F5AE" w14:textId="77777777" w:rsidR="00D15E46" w:rsidRDefault="00D15E46">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19B204" w14:textId="77777777" w:rsidR="00660E0E" w:rsidRDefault="00660E0E">
      <w:r>
        <w:separator/>
      </w:r>
    </w:p>
  </w:footnote>
  <w:footnote w:type="continuationSeparator" w:id="0">
    <w:p w14:paraId="05526D94" w14:textId="77777777" w:rsidR="00660E0E" w:rsidRDefault="00660E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05D920C"/>
    <w:multiLevelType w:val="singleLevel"/>
    <w:tmpl w:val="D05D920C"/>
    <w:lvl w:ilvl="0">
      <w:start w:val="1"/>
      <w:numFmt w:val="decimal"/>
      <w:lvlText w:val="[%1]"/>
      <w:lvlJc w:val="left"/>
      <w:pPr>
        <w:tabs>
          <w:tab w:val="left" w:pos="420"/>
        </w:tabs>
        <w:ind w:left="845" w:hanging="425"/>
      </w:pPr>
      <w:rPr>
        <w:rFonts w:hint="default"/>
        <w:b w:val="0"/>
        <w:bCs w:val="0"/>
      </w:rPr>
    </w:lvl>
  </w:abstractNum>
  <w:num w:numId="1" w16cid:durableId="4169009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0B81"/>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0E0E"/>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11F"/>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15E46"/>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121"/>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1A112EB"/>
    <w:rsid w:val="02EB35EE"/>
    <w:rsid w:val="03354F15"/>
    <w:rsid w:val="04342FEA"/>
    <w:rsid w:val="05E54421"/>
    <w:rsid w:val="06E91411"/>
    <w:rsid w:val="09137F54"/>
    <w:rsid w:val="091D0DD3"/>
    <w:rsid w:val="0966105E"/>
    <w:rsid w:val="09D50760"/>
    <w:rsid w:val="0A5A6691"/>
    <w:rsid w:val="0A6E2C05"/>
    <w:rsid w:val="0AD11E75"/>
    <w:rsid w:val="0CDE5239"/>
    <w:rsid w:val="0DBE7DCD"/>
    <w:rsid w:val="0F4F3EEE"/>
    <w:rsid w:val="0FAE55CB"/>
    <w:rsid w:val="11615CE5"/>
    <w:rsid w:val="13733A1B"/>
    <w:rsid w:val="1652445E"/>
    <w:rsid w:val="16EC56CC"/>
    <w:rsid w:val="172C5BE5"/>
    <w:rsid w:val="182608ED"/>
    <w:rsid w:val="1B770443"/>
    <w:rsid w:val="1D9561A8"/>
    <w:rsid w:val="1DCF4833"/>
    <w:rsid w:val="1DD55681"/>
    <w:rsid w:val="1E6F3F54"/>
    <w:rsid w:val="1E9769A7"/>
    <w:rsid w:val="20830A31"/>
    <w:rsid w:val="225C42C2"/>
    <w:rsid w:val="25746027"/>
    <w:rsid w:val="258C7EDC"/>
    <w:rsid w:val="25B55ACA"/>
    <w:rsid w:val="270B5D72"/>
    <w:rsid w:val="271F47BB"/>
    <w:rsid w:val="27795561"/>
    <w:rsid w:val="27E959AF"/>
    <w:rsid w:val="28A075FF"/>
    <w:rsid w:val="2BFD2672"/>
    <w:rsid w:val="2ECF4E3D"/>
    <w:rsid w:val="300C11F2"/>
    <w:rsid w:val="30D44173"/>
    <w:rsid w:val="325F576F"/>
    <w:rsid w:val="34E56399"/>
    <w:rsid w:val="380F26AF"/>
    <w:rsid w:val="38262F51"/>
    <w:rsid w:val="3865417B"/>
    <w:rsid w:val="38C37F7A"/>
    <w:rsid w:val="397D6E8E"/>
    <w:rsid w:val="39C76E9C"/>
    <w:rsid w:val="3A3052A6"/>
    <w:rsid w:val="3ACE07FD"/>
    <w:rsid w:val="3D0A5D91"/>
    <w:rsid w:val="3E0C32E7"/>
    <w:rsid w:val="3EAF3AEA"/>
    <w:rsid w:val="40835C11"/>
    <w:rsid w:val="40952C78"/>
    <w:rsid w:val="40976A38"/>
    <w:rsid w:val="40ED1C06"/>
    <w:rsid w:val="40F30060"/>
    <w:rsid w:val="46BD592B"/>
    <w:rsid w:val="46CD209A"/>
    <w:rsid w:val="47613FA5"/>
    <w:rsid w:val="47702FED"/>
    <w:rsid w:val="4970624E"/>
    <w:rsid w:val="4A13321F"/>
    <w:rsid w:val="4B6775A1"/>
    <w:rsid w:val="4B6C2A28"/>
    <w:rsid w:val="4BCD5A46"/>
    <w:rsid w:val="4DB82445"/>
    <w:rsid w:val="50391C79"/>
    <w:rsid w:val="51393DD8"/>
    <w:rsid w:val="51644DBE"/>
    <w:rsid w:val="51F17F8C"/>
    <w:rsid w:val="535914C6"/>
    <w:rsid w:val="53C20C9F"/>
    <w:rsid w:val="54382CF7"/>
    <w:rsid w:val="55480552"/>
    <w:rsid w:val="55E00330"/>
    <w:rsid w:val="56F16B7E"/>
    <w:rsid w:val="5842136F"/>
    <w:rsid w:val="59330810"/>
    <w:rsid w:val="59CB01FF"/>
    <w:rsid w:val="5AD2022C"/>
    <w:rsid w:val="5AE15F27"/>
    <w:rsid w:val="5DA60D36"/>
    <w:rsid w:val="5E3478C6"/>
    <w:rsid w:val="5F347E58"/>
    <w:rsid w:val="5FC81A52"/>
    <w:rsid w:val="60E614CB"/>
    <w:rsid w:val="62D74E62"/>
    <w:rsid w:val="633A3E19"/>
    <w:rsid w:val="68202BC4"/>
    <w:rsid w:val="691050A2"/>
    <w:rsid w:val="69765236"/>
    <w:rsid w:val="6A6E0A29"/>
    <w:rsid w:val="6A8112EB"/>
    <w:rsid w:val="6AFB1E97"/>
    <w:rsid w:val="6C060AF4"/>
    <w:rsid w:val="6C8B1DEE"/>
    <w:rsid w:val="6CC5505F"/>
    <w:rsid w:val="6CFC2B46"/>
    <w:rsid w:val="6D822933"/>
    <w:rsid w:val="6EDE624F"/>
    <w:rsid w:val="6F1B644C"/>
    <w:rsid w:val="6FD90DDB"/>
    <w:rsid w:val="70F058CE"/>
    <w:rsid w:val="71210248"/>
    <w:rsid w:val="71557E27"/>
    <w:rsid w:val="74411D8B"/>
    <w:rsid w:val="74B87FBF"/>
    <w:rsid w:val="75731B0F"/>
    <w:rsid w:val="76F57EC4"/>
    <w:rsid w:val="77F328D5"/>
    <w:rsid w:val="785A3476"/>
    <w:rsid w:val="7AF7257D"/>
    <w:rsid w:val="7B41521A"/>
    <w:rsid w:val="7CCC3693"/>
    <w:rsid w:val="7E277227"/>
    <w:rsid w:val="7E7F75D1"/>
    <w:rsid w:val="7F621E96"/>
    <w:rsid w:val="7FE621E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D3DBAE"/>
  <w15:docId w15:val="{689546A9-15DD-46E7-A445-DCBE7666B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24"/>
      <w:szCs w:val="32"/>
    </w:rPr>
  </w:style>
  <w:style w:type="paragraph" w:styleId="3">
    <w:name w:val="heading 3"/>
    <w:basedOn w:val="a"/>
    <w:next w:val="a"/>
    <w:uiPriority w:val="9"/>
    <w:qFormat/>
    <w:pPr>
      <w:keepNext/>
      <w:keepLines/>
      <w:spacing w:before="140" w:after="140"/>
      <w:outlineLvl w:val="2"/>
    </w:pPr>
    <w:rPr>
      <w:b/>
      <w:bCs/>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annotation subject"/>
    <w:basedOn w:val="a4"/>
    <w:next w:val="a4"/>
    <w:link w:val="af"/>
    <w:uiPriority w:val="99"/>
    <w:semiHidden/>
    <w:unhideWhenUsed/>
    <w:qFormat/>
    <w:rPr>
      <w:b/>
      <w:bCs/>
    </w:rPr>
  </w:style>
  <w:style w:type="table" w:styleId="af0">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qFormat/>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annotation reference"/>
    <w:basedOn w:val="a0"/>
    <w:uiPriority w:val="99"/>
    <w:semiHidden/>
    <w:unhideWhenUsed/>
    <w:qFormat/>
    <w:rPr>
      <w:sz w:val="21"/>
      <w:szCs w:val="21"/>
    </w:rPr>
  </w:style>
  <w:style w:type="character" w:styleId="af6">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7">
    <w:name w:val="List Paragraph"/>
    <w:basedOn w:val="a"/>
    <w:uiPriority w:val="34"/>
    <w:qFormat/>
    <w:pPr>
      <w:ind w:firstLineChars="200" w:firstLine="420"/>
    </w:pPr>
  </w:style>
  <w:style w:type="paragraph" w:styleId="af8">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24"/>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9">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
    <w:name w:val="批注主题 字符"/>
    <w:basedOn w:val="a5"/>
    <w:link w:val="ae"/>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a">
    <w:name w:val="表"/>
    <w:basedOn w:val="a3"/>
    <w:qFormat/>
    <w:pPr>
      <w:spacing w:before="240" w:after="120"/>
      <w:jc w:val="center"/>
    </w:pPr>
    <w:rPr>
      <w:rFonts w:ascii="Times New Roman" w:eastAsia="宋体" w:hAnsi="Times New Roman" w:cs="Times New Roman"/>
      <w:sz w:val="22"/>
      <w:lang w:val="zh-CN"/>
    </w:rPr>
  </w:style>
  <w:style w:type="paragraph" w:customStyle="1" w:styleId="afb">
    <w:name w:val="表格样式"/>
    <w:qFormat/>
    <w:pPr>
      <w:jc w:val="both"/>
    </w:pPr>
    <w:rPr>
      <w:rFonts w:ascii="宋体" w:hAnsi="宋体"/>
      <w:kern w:val="2"/>
      <w:sz w:val="18"/>
      <w:szCs w:val="21"/>
    </w:rPr>
  </w:style>
  <w:style w:type="paragraph" w:customStyle="1" w:styleId="afc">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qFormat/>
    <w:rPr>
      <w:rFonts w:ascii="Times New Roman" w:eastAsia="宋体" w:hAnsi="Times New Roman" w:cs="Times New Roman"/>
      <w:b/>
      <w:sz w:val="18"/>
      <w:szCs w:val="18"/>
    </w:rPr>
  </w:style>
  <w:style w:type="character" w:customStyle="1" w:styleId="30">
    <w:name w:val="未处理的提及3"/>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oleObject" Target="embeddings/oleObject5.bin"/><Relationship Id="rId21" Type="http://schemas.openxmlformats.org/officeDocument/2006/relationships/image" Target="media/image3.wmf"/><Relationship Id="rId42" Type="http://schemas.openxmlformats.org/officeDocument/2006/relationships/oleObject" Target="embeddings/oleObject13.bin"/><Relationship Id="rId47" Type="http://schemas.openxmlformats.org/officeDocument/2006/relationships/image" Target="media/image16.wmf"/><Relationship Id="rId63" Type="http://schemas.openxmlformats.org/officeDocument/2006/relationships/image" Target="media/image28.png"/><Relationship Id="rId68" Type="http://schemas.openxmlformats.org/officeDocument/2006/relationships/oleObject" Target="embeddings/oleObject20.bin"/><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7.wmf"/><Relationship Id="rId11" Type="http://schemas.openxmlformats.org/officeDocument/2006/relationships/styles" Target="styles.xml"/><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11.wmf"/><Relationship Id="rId40" Type="http://schemas.openxmlformats.org/officeDocument/2006/relationships/oleObject" Target="embeddings/oleObject12.bin"/><Relationship Id="rId45" Type="http://schemas.openxmlformats.org/officeDocument/2006/relationships/image" Target="media/image15.wmf"/><Relationship Id="rId53" Type="http://schemas.openxmlformats.org/officeDocument/2006/relationships/image" Target="media/image19.emf"/><Relationship Id="rId58" Type="http://schemas.openxmlformats.org/officeDocument/2006/relationships/image" Target="media/image23.png"/><Relationship Id="rId66" Type="http://schemas.openxmlformats.org/officeDocument/2006/relationships/image" Target="media/image31.png"/><Relationship Id="rId74"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6.png"/><Relationship Id="rId19" Type="http://schemas.openxmlformats.org/officeDocument/2006/relationships/image" Target="media/image2.wmf"/><Relationship Id="rId14" Type="http://schemas.openxmlformats.org/officeDocument/2006/relationships/footnotes" Target="footnotes.xml"/><Relationship Id="rId22" Type="http://schemas.openxmlformats.org/officeDocument/2006/relationships/oleObject" Target="embeddings/oleObject3.bin"/><Relationship Id="rId27" Type="http://schemas.openxmlformats.org/officeDocument/2006/relationships/image" Target="media/image6.wmf"/><Relationship Id="rId30" Type="http://schemas.openxmlformats.org/officeDocument/2006/relationships/oleObject" Target="embeddings/oleObject7.bin"/><Relationship Id="rId35" Type="http://schemas.openxmlformats.org/officeDocument/2006/relationships/image" Target="media/image10.wmf"/><Relationship Id="rId43" Type="http://schemas.openxmlformats.org/officeDocument/2006/relationships/image" Target="media/image14.wmf"/><Relationship Id="rId48" Type="http://schemas.openxmlformats.org/officeDocument/2006/relationships/oleObject" Target="embeddings/oleObject16.bin"/><Relationship Id="rId56" Type="http://schemas.openxmlformats.org/officeDocument/2006/relationships/image" Target="media/image21.png"/><Relationship Id="rId64" Type="http://schemas.openxmlformats.org/officeDocument/2006/relationships/image" Target="media/image29.png"/><Relationship Id="rId69" Type="http://schemas.openxmlformats.org/officeDocument/2006/relationships/image" Target="media/image33.png"/><Relationship Id="rId8" Type="http://schemas.openxmlformats.org/officeDocument/2006/relationships/customXml" Target="../customXml/item8.xml"/><Relationship Id="rId51" Type="http://schemas.openxmlformats.org/officeDocument/2006/relationships/image" Target="media/image18.wmf"/><Relationship Id="rId72" Type="http://schemas.openxmlformats.org/officeDocument/2006/relationships/image" Target="media/image36.png"/><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image" Target="media/image1.wmf"/><Relationship Id="rId25" Type="http://schemas.openxmlformats.org/officeDocument/2006/relationships/image" Target="media/image5.emf"/><Relationship Id="rId33" Type="http://schemas.openxmlformats.org/officeDocument/2006/relationships/image" Target="media/image9.wmf"/><Relationship Id="rId38" Type="http://schemas.openxmlformats.org/officeDocument/2006/relationships/oleObject" Target="embeddings/oleObject11.bin"/><Relationship Id="rId46" Type="http://schemas.openxmlformats.org/officeDocument/2006/relationships/oleObject" Target="embeddings/oleObject15.bin"/><Relationship Id="rId59" Type="http://schemas.openxmlformats.org/officeDocument/2006/relationships/image" Target="media/image24.png"/><Relationship Id="rId67" Type="http://schemas.openxmlformats.org/officeDocument/2006/relationships/image" Target="media/image32.emf"/><Relationship Id="rId20" Type="http://schemas.openxmlformats.org/officeDocument/2006/relationships/oleObject" Target="embeddings/oleObject2.bin"/><Relationship Id="rId41" Type="http://schemas.openxmlformats.org/officeDocument/2006/relationships/image" Target="media/image13.wmf"/><Relationship Id="rId54" Type="http://schemas.openxmlformats.org/officeDocument/2006/relationships/oleObject" Target="embeddings/oleObject19.bin"/><Relationship Id="rId62" Type="http://schemas.openxmlformats.org/officeDocument/2006/relationships/image" Target="media/image27.png"/><Relationship Id="rId70"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endnotes" Target="endnotes.xml"/><Relationship Id="rId23" Type="http://schemas.openxmlformats.org/officeDocument/2006/relationships/image" Target="media/image4.wmf"/><Relationship Id="rId28" Type="http://schemas.openxmlformats.org/officeDocument/2006/relationships/oleObject" Target="embeddings/oleObject6.bin"/><Relationship Id="rId36" Type="http://schemas.openxmlformats.org/officeDocument/2006/relationships/oleObject" Target="embeddings/oleObject10.bin"/><Relationship Id="rId49" Type="http://schemas.openxmlformats.org/officeDocument/2006/relationships/image" Target="media/image17.wmf"/><Relationship Id="rId57" Type="http://schemas.openxmlformats.org/officeDocument/2006/relationships/image" Target="media/image22.png"/><Relationship Id="rId10" Type="http://schemas.openxmlformats.org/officeDocument/2006/relationships/numbering" Target="numbering.xml"/><Relationship Id="rId31" Type="http://schemas.openxmlformats.org/officeDocument/2006/relationships/image" Target="media/image8.wmf"/><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image" Target="media/image25.png"/><Relationship Id="rId65" Type="http://schemas.openxmlformats.org/officeDocument/2006/relationships/image" Target="media/image30.png"/><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webSettings" Target="webSettings.xml"/><Relationship Id="rId18" Type="http://schemas.openxmlformats.org/officeDocument/2006/relationships/oleObject" Target="embeddings/oleObject1.bin"/><Relationship Id="rId39" Type="http://schemas.openxmlformats.org/officeDocument/2006/relationships/image" Target="media/image12.wmf"/><Relationship Id="rId34" Type="http://schemas.openxmlformats.org/officeDocument/2006/relationships/oleObject" Target="embeddings/oleObject9.bin"/><Relationship Id="rId50" Type="http://schemas.openxmlformats.org/officeDocument/2006/relationships/oleObject" Target="embeddings/oleObject17.bin"/><Relationship Id="rId55" Type="http://schemas.openxmlformats.org/officeDocument/2006/relationships/image" Target="media/image20.png"/><Relationship Id="rId7" Type="http://schemas.openxmlformats.org/officeDocument/2006/relationships/customXml" Target="../customXml/item7.xml"/><Relationship Id="rId71" Type="http://schemas.openxmlformats.org/officeDocument/2006/relationships/image" Target="media/image3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290044E2-0BA4-467E-9E53-FFCB639A368E}">
  <ds:schemaRefs>
    <ds:schemaRef ds:uri="http://www.w3.org/2003/InkML"/>
  </ds:schemaRefs>
</ds:datastoreItem>
</file>

<file path=customXml/itemProps2.xml><?xml version="1.0" encoding="utf-8"?>
<ds:datastoreItem xmlns:ds="http://schemas.openxmlformats.org/officeDocument/2006/customXml" ds:itemID="{A24CD530-54B2-4D4C-A1F1-FF10573DFF46}">
  <ds:schemaRefs>
    <ds:schemaRef ds:uri="http://www.w3.org/2003/InkML"/>
  </ds:schemaRefs>
</ds:datastoreItem>
</file>

<file path=customXml/itemProps3.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4.xml><?xml version="1.0" encoding="utf-8"?>
<ds:datastoreItem xmlns:ds="http://schemas.openxmlformats.org/officeDocument/2006/customXml" ds:itemID="{2CF8A7BC-A6C9-488E-AE21-F47F958DEE91}">
  <ds:schemaRefs>
    <ds:schemaRef ds:uri="http://www.w3.org/2003/InkML"/>
  </ds:schemaRefs>
</ds:datastoreItem>
</file>

<file path=customXml/itemProps5.xml><?xml version="1.0" encoding="utf-8"?>
<ds:datastoreItem xmlns:ds="http://schemas.openxmlformats.org/officeDocument/2006/customXml" ds:itemID="{C4632F00-5510-4446-BFC6-AFD51E328A87}">
  <ds:schemaRefs>
    <ds:schemaRef ds:uri="http://www.w3.org/2003/InkML"/>
  </ds:schemaRefs>
</ds:datastoreItem>
</file>

<file path=customXml/itemProps6.xml><?xml version="1.0" encoding="utf-8"?>
<ds:datastoreItem xmlns:ds="http://schemas.openxmlformats.org/officeDocument/2006/customXml" ds:itemID="{4EAB2A64-D528-4499-9246-6390C4E52F7A}">
  <ds:schemaRefs>
    <ds:schemaRef ds:uri="http://www.w3.org/2003/InkML"/>
  </ds:schemaRefs>
</ds:datastoreItem>
</file>

<file path=customXml/itemProps7.xml><?xml version="1.0" encoding="utf-8"?>
<ds:datastoreItem xmlns:ds="http://schemas.openxmlformats.org/officeDocument/2006/customXml" ds:itemID="{C3CB785B-7851-45EB-A695-18D06BBAF8F4}">
  <ds:schemaRefs>
    <ds:schemaRef ds:uri="http://www.w3.org/2003/InkML"/>
  </ds:schemaRefs>
</ds:datastoreItem>
</file>

<file path=customXml/itemProps8.xml><?xml version="1.0" encoding="utf-8"?>
<ds:datastoreItem xmlns:ds="http://schemas.openxmlformats.org/officeDocument/2006/customXml" ds:itemID="{92508B80-DB3B-412D-8990-6D42959CC3CB}">
  <ds:schemaRefs>
    <ds:schemaRef ds:uri="http://www.w3.org/2003/InkML"/>
  </ds:schemaRefs>
</ds:datastoreItem>
</file>

<file path=customXml/itemProps9.xml><?xml version="1.0" encoding="utf-8"?>
<ds:datastoreItem xmlns:ds="http://schemas.openxmlformats.org/officeDocument/2006/customXml" ds:itemID="{DF7E2C67-A2F6-4770-A022-CC6D6CEBEFC9}">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10</Pages>
  <Words>3122</Words>
  <Characters>17801</Characters>
  <Application>Microsoft Office Word</Application>
  <DocSecurity>0</DocSecurity>
  <Lines>148</Lines>
  <Paragraphs>41</Paragraphs>
  <ScaleCrop>false</ScaleCrop>
  <Company>siom</Company>
  <LinksUpToDate>false</LinksUpToDate>
  <CharactersWithSpaces>20882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5</cp:revision>
  <dcterms:created xsi:type="dcterms:W3CDTF">2022-07-03T11:46:00Z</dcterms:created>
  <dcterms:modified xsi:type="dcterms:W3CDTF">2026-03-18T08:36:00Z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eyJoZGlkIjoiOTE1YjA5ZTM1YjMyODg1OTc4YTRmYzM2YTZmYTUyMTIiLCJ1c2VySWQiOiI3MjkyNDkwMjYifQ==</vt:lpwstr>
  </property>
  <property fmtid="{D5CDD505-2E9C-101B-9397-08002B2CF9AE}" pid="3" name="KSOProductBuildVer">
    <vt:lpwstr>2052-12.1.0.21171</vt:lpwstr>
  </property>
  <property fmtid="{D5CDD505-2E9C-101B-9397-08002B2CF9AE}" pid="4" name="ICV">
    <vt:lpwstr>6665ABBAA6B6434682CDE255AA1BF429_12</vt:lpwstr>
  </property>
</Properties>
</file>