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7A949B">
      <w:pPr>
        <w:widowControl/>
        <w:spacing w:line="240" w:lineRule="atLeast"/>
        <w:jc w:val="center"/>
        <w:rPr>
          <w:rFonts w:hint="eastAsia" w:ascii="Times New Roman" w:hAnsi="Times New Roman" w:cs="Times New Roman" w:eastAsiaTheme="majorEastAsia"/>
          <w:b/>
          <w:bCs/>
          <w:kern w:val="0"/>
          <w:sz w:val="44"/>
          <w:szCs w:val="44"/>
        </w:rPr>
      </w:pPr>
      <w:bookmarkStart w:id="0" w:name="_Hlk201310799"/>
      <w:bookmarkStart w:id="1" w:name="OLE_LINK5"/>
      <w:r>
        <w:rPr>
          <w:rFonts w:hint="eastAsia" w:ascii="Times New Roman" w:hAnsi="Times New Roman" w:cs="Times New Roman" w:eastAsiaTheme="majorEastAsia"/>
          <w:b/>
          <w:bCs/>
          <w:kern w:val="0"/>
          <w:sz w:val="44"/>
          <w:szCs w:val="44"/>
        </w:rPr>
        <w:t>大型液氢库区泄漏</w:t>
      </w:r>
      <w:r>
        <w:rPr>
          <w:rFonts w:hint="eastAsia" w:ascii="Times New Roman" w:hAnsi="Times New Roman" w:cs="Times New Roman" w:eastAsiaTheme="majorEastAsia"/>
          <w:b/>
          <w:bCs/>
          <w:kern w:val="0"/>
          <w:sz w:val="44"/>
          <w:szCs w:val="44"/>
          <w:lang w:val="en-US" w:eastAsia="zh-CN"/>
        </w:rPr>
        <w:t>扩散全尺度模拟及</w:t>
      </w:r>
      <w:r>
        <w:rPr>
          <w:rFonts w:hint="eastAsia" w:ascii="Times New Roman" w:hAnsi="Times New Roman" w:cs="Times New Roman" w:eastAsiaTheme="majorEastAsia"/>
          <w:b/>
          <w:bCs/>
          <w:kern w:val="0"/>
          <w:sz w:val="44"/>
          <w:szCs w:val="44"/>
        </w:rPr>
        <w:t>安全分析</w:t>
      </w:r>
      <w:bookmarkEnd w:id="0"/>
    </w:p>
    <w:p w14:paraId="2570D8CA">
      <w:pPr>
        <w:widowControl/>
        <w:spacing w:line="240" w:lineRule="atLeast"/>
        <w:jc w:val="center"/>
        <w:rPr>
          <w:rFonts w:hint="eastAsia" w:ascii="Times New Roman" w:hAnsi="Times New Roman" w:cs="Times New Roman" w:eastAsiaTheme="majorEastAsia"/>
          <w:b/>
          <w:bCs/>
          <w:kern w:val="0"/>
          <w:sz w:val="44"/>
          <w:szCs w:val="44"/>
        </w:rPr>
      </w:pPr>
    </w:p>
    <w:bookmarkEnd w:id="1"/>
    <w:p w14:paraId="11D108D7">
      <w:pPr>
        <w:widowControl/>
        <w:spacing w:line="240" w:lineRule="atLeast"/>
        <w:jc w:val="both"/>
        <w:rPr>
          <w:rFonts w:hint="default" w:ascii="Times New Roman" w:hAnsi="Times New Roman" w:cs="Times New Roman" w:eastAsiaTheme="minorEastAsia"/>
          <w:color w:val="auto"/>
          <w:kern w:val="0"/>
          <w:szCs w:val="21"/>
          <w:lang w:val="en-US" w:eastAsia="zh-CN"/>
        </w:rPr>
      </w:pPr>
      <w:r>
        <w:rPr>
          <w:rFonts w:ascii="Times New Roman" w:hAnsi="Times New Roman" w:eastAsia="黑体" w:cs="Times New Roman"/>
          <w:kern w:val="0"/>
          <w:szCs w:val="21"/>
        </w:rPr>
        <w:t>摘 要</w:t>
      </w:r>
      <w:r>
        <w:rPr>
          <w:rFonts w:ascii="Times New Roman" w:hAnsi="Times New Roman" w:eastAsia="宋体" w:cs="Times New Roman"/>
          <w:kern w:val="0"/>
          <w:szCs w:val="21"/>
        </w:rPr>
        <w:t>：</w:t>
      </w:r>
      <w:bookmarkStart w:id="2" w:name="OLE_LINK4"/>
      <w:r>
        <w:rPr>
          <w:rFonts w:hint="eastAsia" w:ascii="Times New Roman" w:hAnsi="Times New Roman" w:eastAsia="宋体" w:cs="Times New Roman"/>
          <w:kern w:val="0"/>
          <w:szCs w:val="21"/>
          <w:lang w:val="en-US" w:eastAsia="zh-CN"/>
        </w:rPr>
        <w:t>研究大型液氢库区发生大规模液氢泄漏安全，对于实现发射场全生命周期风险可控具有重要的实际意义。本文构建</w:t>
      </w:r>
      <w:r>
        <w:rPr>
          <w:rFonts w:hint="eastAsia" w:ascii="Times New Roman" w:hAnsi="Times New Roman" w:cs="Times New Roman"/>
          <w:szCs w:val="21"/>
          <w:lang w:val="en-US" w:eastAsia="zh-CN"/>
        </w:rPr>
        <w:t>FDS（</w:t>
      </w:r>
      <w:r>
        <w:rPr>
          <w:rFonts w:hint="eastAsia" w:ascii="Times New Roman" w:hAnsi="Times New Roman" w:cs="Times New Roman"/>
          <w:szCs w:val="21"/>
        </w:rPr>
        <w:t>Fire Dynamics Simulat</w:t>
      </w:r>
      <w:r>
        <w:rPr>
          <w:rFonts w:hint="eastAsia" w:ascii="Times New Roman" w:hAnsi="Times New Roman" w:cs="Times New Roman"/>
          <w:szCs w:val="21"/>
          <w:lang w:val="en-US" w:eastAsia="zh-CN"/>
        </w:rPr>
        <w:t>or）仿真模型</w:t>
      </w:r>
      <w:r>
        <w:rPr>
          <w:rFonts w:hint="eastAsia" w:ascii="Times New Roman" w:hAnsi="Times New Roman" w:eastAsia="宋体" w:cs="Times New Roman"/>
          <w:kern w:val="0"/>
          <w:szCs w:val="21"/>
          <w:lang w:val="en-US" w:eastAsia="zh-CN"/>
        </w:rPr>
        <w:t>对泄漏发生后的氢扩散及意外火灾进行了模拟，引入</w:t>
      </w:r>
      <w:bookmarkStart w:id="3" w:name="OLE_LINK6"/>
      <w:r>
        <w:rPr>
          <w:rFonts w:hint="eastAsia" w:ascii="Times New Roman" w:hAnsi="Times New Roman" w:eastAsia="宋体" w:cs="Times New Roman"/>
          <w:kern w:val="0"/>
          <w:szCs w:val="21"/>
          <w:lang w:val="en-US" w:eastAsia="zh-CN"/>
        </w:rPr>
        <w:t>顶部受限、太阳辐照等因素</w:t>
      </w:r>
      <w:bookmarkEnd w:id="3"/>
      <w:r>
        <w:rPr>
          <w:rFonts w:hint="eastAsia" w:ascii="Times New Roman" w:hAnsi="Times New Roman" w:eastAsia="宋体" w:cs="Times New Roman"/>
          <w:kern w:val="0"/>
          <w:szCs w:val="21"/>
          <w:lang w:val="en-US" w:eastAsia="zh-CN"/>
        </w:rPr>
        <w:t>分析了氢云的横向扩散尺度以及对发射场安全性的影响，并</w:t>
      </w:r>
      <w:r>
        <w:rPr>
          <w:rFonts w:hint="eastAsia" w:ascii="Times New Roman" w:hAnsi="Times New Roman" w:cs="Times New Roman"/>
          <w:color w:val="auto"/>
          <w:kern w:val="0"/>
          <w:szCs w:val="21"/>
        </w:rPr>
        <w:t>探究了意外着火后库区附近的火势及危险范围。可燃氢云的空间分布变化证实，</w:t>
      </w:r>
      <w:r>
        <w:rPr>
          <w:rFonts w:hint="eastAsia" w:ascii="Times New Roman" w:hAnsi="Times New Roman" w:cs="Times New Roman"/>
          <w:color w:val="auto"/>
          <w:kern w:val="0"/>
          <w:szCs w:val="21"/>
          <w:lang w:val="en-US" w:eastAsia="zh-CN"/>
        </w:rPr>
        <w:t>当建筑设施偏离风向时，氢</w:t>
      </w:r>
      <w:r>
        <w:rPr>
          <w:rFonts w:hint="eastAsia" w:ascii="Times New Roman" w:hAnsi="Times New Roman" w:cs="Times New Roman"/>
          <w:color w:val="auto"/>
          <w:kern w:val="0"/>
          <w:szCs w:val="21"/>
        </w:rPr>
        <w:t>云的横向扩散不足以对</w:t>
      </w:r>
      <w:r>
        <w:rPr>
          <w:rFonts w:hint="eastAsia" w:ascii="Times New Roman" w:hAnsi="Times New Roman" w:cs="Times New Roman"/>
          <w:color w:val="auto"/>
          <w:kern w:val="0"/>
          <w:szCs w:val="21"/>
          <w:lang w:val="en-US" w:eastAsia="zh-CN"/>
        </w:rPr>
        <w:t>其造成影响</w:t>
      </w:r>
      <w:r>
        <w:rPr>
          <w:rFonts w:hint="eastAsia" w:ascii="Times New Roman" w:hAnsi="Times New Roman" w:cs="Times New Roman"/>
          <w:color w:val="auto"/>
          <w:kern w:val="0"/>
          <w:szCs w:val="21"/>
          <w:lang w:eastAsia="zh-CN"/>
        </w:rPr>
        <w:t>。</w:t>
      </w:r>
      <w:r>
        <w:rPr>
          <w:rFonts w:hint="eastAsia" w:ascii="Times New Roman" w:hAnsi="Times New Roman" w:cs="Times New Roman"/>
          <w:color w:val="auto"/>
          <w:kern w:val="0"/>
          <w:szCs w:val="21"/>
          <w:lang w:val="en-US" w:eastAsia="zh-CN"/>
        </w:rPr>
        <w:t>天花板结构会</w:t>
      </w:r>
      <w:r>
        <w:rPr>
          <w:rFonts w:hint="eastAsia" w:ascii="Times New Roman" w:hAnsi="Times New Roman" w:cs="Times New Roman"/>
          <w:color w:val="auto"/>
          <w:kern w:val="0"/>
          <w:szCs w:val="21"/>
        </w:rPr>
        <w:t>抑制泄漏初期垂直方向的扩散而增强水平输运</w:t>
      </w:r>
      <w:r>
        <w:rPr>
          <w:rFonts w:hint="eastAsia" w:ascii="Times New Roman" w:hAnsi="Times New Roman" w:cs="Times New Roman"/>
          <w:color w:val="auto"/>
          <w:kern w:val="0"/>
          <w:szCs w:val="21"/>
          <w:lang w:eastAsia="zh-CN"/>
        </w:rPr>
        <w:t>，</w:t>
      </w:r>
      <w:r>
        <w:rPr>
          <w:rFonts w:hint="eastAsia" w:ascii="Times New Roman" w:hAnsi="Times New Roman" w:cs="Times New Roman"/>
          <w:color w:val="auto"/>
          <w:kern w:val="0"/>
          <w:szCs w:val="21"/>
          <w:lang w:val="en-US" w:eastAsia="zh-CN"/>
        </w:rPr>
        <w:t>导致近场区域危险暴露时间延长。太阳辐照带来的</w:t>
      </w:r>
      <w:r>
        <w:rPr>
          <w:rFonts w:hint="eastAsia" w:ascii="Times New Roman" w:hAnsi="Times New Roman" w:cs="Times New Roman"/>
          <w:color w:val="auto"/>
          <w:kern w:val="0"/>
          <w:szCs w:val="21"/>
        </w:rPr>
        <w:t>热效应加速了初期液氢</w:t>
      </w:r>
      <w:r>
        <w:rPr>
          <w:rFonts w:hint="eastAsia" w:ascii="Times New Roman" w:hAnsi="Times New Roman" w:cs="Times New Roman"/>
          <w:color w:val="auto"/>
          <w:kern w:val="0"/>
          <w:szCs w:val="21"/>
          <w:lang w:val="en-US" w:eastAsia="zh-CN"/>
        </w:rPr>
        <w:t>的</w:t>
      </w:r>
      <w:r>
        <w:rPr>
          <w:rFonts w:hint="eastAsia" w:ascii="Times New Roman" w:hAnsi="Times New Roman" w:cs="Times New Roman"/>
          <w:color w:val="auto"/>
          <w:kern w:val="0"/>
          <w:szCs w:val="21"/>
        </w:rPr>
        <w:t>蒸发扩散，</w:t>
      </w:r>
      <w:r>
        <w:rPr>
          <w:rFonts w:hint="eastAsia" w:ascii="Times New Roman" w:hAnsi="Times New Roman" w:cs="Times New Roman"/>
          <w:color w:val="auto"/>
          <w:kern w:val="0"/>
          <w:szCs w:val="21"/>
          <w:lang w:val="en-US" w:eastAsia="zh-CN"/>
        </w:rPr>
        <w:t>导致近场区域危险暴露时间延长</w:t>
      </w:r>
      <w:r>
        <w:rPr>
          <w:rFonts w:hint="eastAsia" w:ascii="Times New Roman" w:hAnsi="Times New Roman" w:cs="Times New Roman"/>
          <w:color w:val="auto"/>
          <w:kern w:val="0"/>
          <w:szCs w:val="21"/>
          <w:lang w:eastAsia="zh-CN"/>
        </w:rPr>
        <w:t>，</w:t>
      </w:r>
      <w:r>
        <w:rPr>
          <w:rFonts w:hint="eastAsia" w:ascii="Times New Roman" w:hAnsi="Times New Roman" w:cs="Times New Roman"/>
          <w:color w:val="auto"/>
          <w:kern w:val="0"/>
          <w:szCs w:val="21"/>
        </w:rPr>
        <w:t>与此同时，热量交换增加促使后期气云</w:t>
      </w:r>
      <w:r>
        <w:rPr>
          <w:rFonts w:hint="eastAsia" w:ascii="Times New Roman" w:hAnsi="Times New Roman" w:cs="Times New Roman"/>
          <w:color w:val="auto"/>
          <w:kern w:val="0"/>
          <w:szCs w:val="21"/>
          <w:lang w:val="en-US" w:eastAsia="zh-CN"/>
        </w:rPr>
        <w:t>表现出更稀薄的特征</w:t>
      </w:r>
      <w:r>
        <w:rPr>
          <w:rFonts w:hint="eastAsia" w:ascii="Times New Roman" w:hAnsi="Times New Roman" w:cs="Times New Roman"/>
          <w:color w:val="auto"/>
          <w:kern w:val="0"/>
          <w:szCs w:val="21"/>
        </w:rPr>
        <w:t>，</w:t>
      </w:r>
      <w:r>
        <w:rPr>
          <w:rFonts w:hint="eastAsia" w:ascii="Times New Roman" w:hAnsi="Times New Roman" w:cs="Times New Roman"/>
          <w:color w:val="auto"/>
          <w:kern w:val="0"/>
          <w:szCs w:val="21"/>
          <w:lang w:val="en-US" w:eastAsia="zh-CN"/>
        </w:rPr>
        <w:t>致使</w:t>
      </w:r>
      <w:r>
        <w:rPr>
          <w:rFonts w:hint="eastAsia" w:ascii="Times New Roman" w:hAnsi="Times New Roman" w:cs="Times New Roman"/>
          <w:color w:val="auto"/>
          <w:kern w:val="0"/>
          <w:szCs w:val="21"/>
        </w:rPr>
        <w:t>氢云到达远场建筑延迟。模拟结果表明，液氢火灾具有快速蔓延特性（火焰高度迅速增长，横向扩展达15</w:t>
      </w:r>
      <w:r>
        <w:rPr>
          <w:rFonts w:hint="eastAsia" w:ascii="Times New Roman" w:hAnsi="Times New Roman" w:cs="Times New Roman"/>
          <w:color w:val="auto"/>
          <w:kern w:val="0"/>
          <w:szCs w:val="21"/>
          <w:lang w:val="en-US" w:eastAsia="zh-CN"/>
        </w:rPr>
        <w:t xml:space="preserve"> </w:t>
      </w:r>
      <w:r>
        <w:rPr>
          <w:rFonts w:hint="eastAsia" w:ascii="Times New Roman" w:hAnsi="Times New Roman" w:cs="Times New Roman"/>
          <w:color w:val="auto"/>
          <w:kern w:val="0"/>
          <w:szCs w:val="21"/>
        </w:rPr>
        <w:t>m）及高温危害性（核心温度＞700℃），可导致建筑结构材料性能显著退化，</w:t>
      </w:r>
      <w:r>
        <w:rPr>
          <w:rFonts w:hint="eastAsia" w:ascii="Times New Roman" w:hAnsi="Times New Roman" w:cs="Times New Roman"/>
          <w:color w:val="auto"/>
          <w:kern w:val="0"/>
          <w:szCs w:val="21"/>
          <w:lang w:val="en-US" w:eastAsia="zh-CN"/>
        </w:rPr>
        <w:t>极大</w:t>
      </w:r>
      <w:r>
        <w:rPr>
          <w:rFonts w:hint="eastAsia" w:ascii="Times New Roman" w:hAnsi="Times New Roman" w:cs="Times New Roman"/>
          <w:color w:val="auto"/>
          <w:kern w:val="0"/>
          <w:szCs w:val="21"/>
        </w:rPr>
        <w:t>增加次生灾害风险。</w:t>
      </w:r>
      <w:r>
        <w:rPr>
          <w:rFonts w:hint="eastAsia" w:ascii="Times New Roman" w:hAnsi="Times New Roman" w:cs="Times New Roman"/>
          <w:color w:val="auto"/>
          <w:kern w:val="0"/>
          <w:szCs w:val="21"/>
          <w:lang w:val="en-US" w:eastAsia="zh-CN"/>
        </w:rPr>
        <w:t>本研究可为</w:t>
      </w:r>
      <w:r>
        <w:rPr>
          <w:rFonts w:hint="eastAsia" w:ascii="Times New Roman" w:hAnsi="Times New Roman" w:eastAsia="宋体" w:cs="Times New Roman"/>
          <w:kern w:val="0"/>
          <w:szCs w:val="21"/>
          <w:lang w:val="en-US" w:eastAsia="zh-CN"/>
        </w:rPr>
        <w:t>大型液氢库区</w:t>
      </w:r>
      <w:r>
        <w:rPr>
          <w:rFonts w:hint="eastAsia" w:ascii="Times New Roman" w:hAnsi="Times New Roman" w:cs="Times New Roman"/>
          <w:color w:val="auto"/>
          <w:kern w:val="0"/>
          <w:szCs w:val="21"/>
          <w:lang w:val="en-US" w:eastAsia="zh-CN"/>
        </w:rPr>
        <w:t>安全设计以及危险应急响应提供技术支撑。</w:t>
      </w:r>
      <w:bookmarkEnd w:id="2"/>
    </w:p>
    <w:p w14:paraId="37C82578">
      <w:pPr>
        <w:widowControl/>
        <w:spacing w:line="240" w:lineRule="atLeast"/>
        <w:rPr>
          <w:rFonts w:hint="eastAsia" w:ascii="Times New Roman" w:hAnsi="Times New Roman" w:eastAsia="宋体" w:cs="Times New Roman"/>
          <w:bCs/>
          <w:color w:val="FF0000"/>
          <w:kern w:val="0"/>
          <w:szCs w:val="21"/>
          <w:lang w:val="en-US" w:eastAsia="zh-CN"/>
        </w:rPr>
      </w:pPr>
      <w:r>
        <w:rPr>
          <w:rFonts w:ascii="Times New Roman" w:hAnsi="Times New Roman" w:eastAsia="黑体" w:cs="Times New Roman"/>
          <w:kern w:val="0"/>
          <w:szCs w:val="21"/>
        </w:rPr>
        <w:t>关键词：</w:t>
      </w:r>
      <w:r>
        <w:rPr>
          <w:rFonts w:hint="eastAsia" w:ascii="Times New Roman" w:hAnsi="Times New Roman" w:eastAsia="宋体" w:cs="Times New Roman"/>
          <w:kern w:val="0"/>
          <w:szCs w:val="21"/>
          <w:lang w:val="en-US" w:eastAsia="zh-CN"/>
        </w:rPr>
        <w:t>氢安全</w:t>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液氢；泄漏扩散</w:t>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火灾</w:t>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数值模拟</w:t>
      </w:r>
    </w:p>
    <w:p w14:paraId="145243AA">
      <w:pPr>
        <w:widowControl/>
        <w:spacing w:line="240" w:lineRule="atLeast"/>
        <w:rPr>
          <w:rFonts w:ascii="Times New Roman" w:hAnsi="Times New Roman" w:eastAsia="宋体" w:cs="Times New Roman"/>
          <w:color w:val="FF0000"/>
          <w:kern w:val="0"/>
          <w:szCs w:val="21"/>
          <w:highlight w:val="none"/>
        </w:rPr>
      </w:pPr>
      <w:r>
        <w:rPr>
          <w:rFonts w:ascii="Times New Roman" w:hAnsi="Times New Roman" w:eastAsia="黑体" w:cs="Times New Roman"/>
          <w:kern w:val="0"/>
          <w:szCs w:val="21"/>
          <w:highlight w:val="none"/>
        </w:rPr>
        <w:t>中图分类号：</w:t>
      </w:r>
      <w:r>
        <w:rPr>
          <w:rFonts w:hint="eastAsia" w:ascii="Times New Roman" w:hAnsi="Times New Roman" w:eastAsia="宋体" w:cs="Times New Roman"/>
          <w:kern w:val="0"/>
          <w:szCs w:val="21"/>
          <w:highlight w:val="none"/>
          <w:lang w:val="en-US" w:eastAsia="zh-CN"/>
        </w:rPr>
        <w:t>V19</w:t>
      </w:r>
      <w:r>
        <w:rPr>
          <w:rFonts w:ascii="Times New Roman" w:hAnsi="Times New Roman" w:eastAsia="宋体" w:cs="Times New Roman"/>
          <w:kern w:val="0"/>
          <w:szCs w:val="21"/>
          <w:highlight w:val="none"/>
        </w:rPr>
        <w:t xml:space="preserve">    </w:t>
      </w:r>
      <w:r>
        <w:rPr>
          <w:rFonts w:ascii="Times New Roman" w:hAnsi="Times New Roman" w:eastAsia="黑体" w:cs="Times New Roman"/>
          <w:kern w:val="0"/>
          <w:szCs w:val="21"/>
          <w:highlight w:val="none"/>
        </w:rPr>
        <w:t>文献标志码：</w:t>
      </w:r>
      <w:r>
        <w:rPr>
          <w:rFonts w:ascii="Times New Roman" w:hAnsi="Times New Roman" w:eastAsia="宋体" w:cs="Times New Roman"/>
          <w:kern w:val="0"/>
          <w:szCs w:val="21"/>
          <w:highlight w:val="none"/>
        </w:rPr>
        <w:t>A</w:t>
      </w:r>
    </w:p>
    <w:p w14:paraId="32FA86C8">
      <w:pPr>
        <w:widowControl/>
        <w:spacing w:line="240" w:lineRule="atLeast"/>
        <w:rPr>
          <w:rFonts w:ascii="Times New Roman" w:hAnsi="Times New Roman" w:eastAsia="宋体" w:cs="Times New Roman"/>
          <w:color w:val="FF0000"/>
          <w:kern w:val="0"/>
          <w:szCs w:val="21"/>
        </w:rPr>
      </w:pPr>
    </w:p>
    <w:p w14:paraId="045D00AB">
      <w:pPr>
        <w:widowControl/>
        <w:spacing w:line="240" w:lineRule="atLeast"/>
        <w:rPr>
          <w:rFonts w:ascii="Times New Roman" w:hAnsi="Times New Roman" w:cs="Times New Roman" w:eastAsiaTheme="majorEastAsia"/>
          <w:color w:val="FF0000"/>
          <w:kern w:val="0"/>
          <w:szCs w:val="21"/>
        </w:rPr>
        <w:sectPr>
          <w:footerReference r:id="rId3" w:type="first"/>
          <w:type w:val="continuous"/>
          <w:pgSz w:w="11906" w:h="16838"/>
          <w:pgMar w:top="1440" w:right="1106" w:bottom="1440" w:left="1106" w:header="851" w:footer="992" w:gutter="0"/>
          <w:cols w:space="425" w:num="1"/>
          <w:titlePg/>
          <w:docGrid w:type="linesAndChars" w:linePitch="312" w:charSpace="0"/>
        </w:sectPr>
      </w:pPr>
    </w:p>
    <w:p w14:paraId="58372EE4">
      <w:pPr>
        <w:widowControl/>
        <w:spacing w:line="240" w:lineRule="atLeast"/>
        <w:ind w:firstLine="420" w:firstLineChars="200"/>
        <w:rPr>
          <w:rFonts w:hint="eastAsia" w:ascii="Times New Roman" w:hAnsi="Times New Roman" w:cs="Times New Roman"/>
          <w:szCs w:val="21"/>
          <w:highlight w:val="none"/>
          <w:lang w:val="en-US" w:eastAsia="zh-CN"/>
        </w:rPr>
      </w:pPr>
      <w:bookmarkStart w:id="4" w:name="_Hlk201310928"/>
      <w:bookmarkStart w:id="5" w:name="_Hlk201310855"/>
      <w:bookmarkStart w:id="6" w:name="_Hlk201311585"/>
      <w:r>
        <w:rPr>
          <w:rFonts w:hint="eastAsia" w:ascii="Times New Roman" w:hAnsi="Times New Roman" w:cs="Times New Roman"/>
          <w:szCs w:val="21"/>
          <w:highlight w:val="none"/>
        </w:rPr>
        <w:t>液氢因其高能量密度和清洁特性，已成为</w:t>
      </w:r>
      <w:r>
        <w:rPr>
          <w:rFonts w:hint="eastAsia" w:ascii="Times New Roman" w:hAnsi="Times New Roman" w:cs="Times New Roman"/>
          <w:szCs w:val="21"/>
          <w:highlight w:val="none"/>
          <w:lang w:val="en-US" w:eastAsia="zh-CN"/>
        </w:rPr>
        <w:t>新一代</w:t>
      </w:r>
      <w:r>
        <w:rPr>
          <w:rFonts w:hint="eastAsia" w:ascii="Times New Roman" w:hAnsi="Times New Roman" w:cs="Times New Roman"/>
          <w:szCs w:val="21"/>
          <w:highlight w:val="none"/>
        </w:rPr>
        <w:t>航天推进剂的重要选择</w:t>
      </w:r>
      <w:r>
        <w:rPr>
          <w:rFonts w:hint="eastAsia" w:ascii="Times New Roman" w:hAnsi="Times New Roman" w:cs="Times New Roman"/>
          <w:szCs w:val="21"/>
          <w:highlight w:val="none"/>
        </w:rPr>
        <w:fldChar w:fldCharType="begin"/>
      </w:r>
      <w:r>
        <w:rPr>
          <w:rFonts w:hint="eastAsia" w:ascii="Times New Roman" w:hAnsi="Times New Roman" w:cs="Times New Roman"/>
          <w:szCs w:val="21"/>
          <w:highlight w:val="none"/>
          <w:lang w:eastAsia="zh-CN"/>
        </w:rPr>
        <w:instrText xml:space="preserve"> ADDIN ZOTERO_ITEM CSL_CITATION {"citationID":"1xIYKpCg","properties":{"formattedCitation":"\\super [1]\\nosupersub{}","plainCitation":"[1]","noteIndex":0},"citationItems":[{"id":202,"uris":["http://zotero.org/users/local/qCNt7I6D/items/N5ZFJ7SJ"],"itemData":{"id":202,"type":"article-journal","abstract":"Hydrogen energy is recognized as a clean energy with the characteristics of convenient storage and transportation, diverse utilization ways, and a high utilization rate. It can help to solve the energy crisis, global warming, and environmental pollution. At present, many countries have listed hydrogen energy as an important part of the national energy system. This paper comprehensively considers the application of hydrogen energy in the field of energy and chemical industry, and summarizes the utilization status of hydrogen energy in the country and abroad as a clean renewable energy carrier in fuel cell vehicles and fuel cell forklifts. The utilization of hydrogen clean energy as an energy carrier is conducive to the collaborative development of renewable energy. It is pointed out that hydrogen production, storage and transportation, and fuel cell technology are still the key factors restricting the development of hydrogen energy.","container-title":"Scientific and Social Research","DOI":"10.26689/ssr.v6i4.6552","ISSN":"2981-9946","issue":"4","language":"en","license":"Copyright (c) 2024 Author(s)","note":"number: 4","page":"92-96","source":"ojs.bbwpublisher.com","title":"Analysis of Current Utilization of Hydrogen Energy","volume":"6","author":[{"family":"Liu","given":"Zhe Feng"}],"issued":{"date-parts":[["2024",4,29]]}}}],"schema":"https://github.com/citation-style-language/schema/raw/master/csl-citation.json"} </w:instrText>
      </w:r>
      <w:r>
        <w:rPr>
          <w:rFonts w:hint="eastAsia" w:ascii="Times New Roman" w:hAnsi="Times New Roman" w:cs="Times New Roman"/>
          <w:szCs w:val="21"/>
          <w:highlight w:val="none"/>
        </w:rPr>
        <w:fldChar w:fldCharType="separate"/>
      </w:r>
      <w:r>
        <w:rPr>
          <w:rFonts w:hint="default" w:ascii="Times New Roman" w:hAnsi="Times New Roman" w:cs="Times New Roman"/>
          <w:sz w:val="21"/>
          <w:szCs w:val="24"/>
          <w:vertAlign w:val="superscript"/>
        </w:rPr>
        <w:t>[1]</w:t>
      </w:r>
      <w:r>
        <w:rPr>
          <w:rFonts w:hint="eastAsia" w:ascii="Times New Roman" w:hAnsi="Times New Roman" w:cs="Times New Roman"/>
          <w:szCs w:val="21"/>
          <w:highlight w:val="none"/>
        </w:rPr>
        <w:fldChar w:fldCharType="end"/>
      </w:r>
      <w:r>
        <w:rPr>
          <w:rFonts w:hint="eastAsia" w:ascii="Times New Roman" w:hAnsi="Times New Roman" w:cs="Times New Roman"/>
          <w:szCs w:val="21"/>
          <w:highlight w:val="none"/>
        </w:rPr>
        <w:t>。其液态储存方式显著提升了储氢效率（密度为气态氢的845倍）</w:t>
      </w:r>
      <w:r>
        <w:rPr>
          <w:rFonts w:hint="eastAsia" w:ascii="Times New Roman" w:hAnsi="Times New Roman" w:cs="Times New Roman"/>
          <w:szCs w:val="21"/>
          <w:highlight w:val="none"/>
        </w:rPr>
        <w:fldChar w:fldCharType="begin"/>
      </w:r>
      <w:r>
        <w:rPr>
          <w:rFonts w:hint="eastAsia" w:ascii="Times New Roman" w:hAnsi="Times New Roman" w:cs="Times New Roman"/>
          <w:szCs w:val="21"/>
          <w:highlight w:val="none"/>
          <w:lang w:eastAsia="zh-CN"/>
        </w:rPr>
        <w:instrText xml:space="preserve"> ADDIN ZOTERO_ITEM CSL_CITATION {"citationID":"LpmoQ1rr","properties":{"formattedCitation":"\\super [2]\\nosupersub{}","plainCitation":"[2]","noteIndex":0},"citationItems":[{"id":287,"uris":["http://zotero.org/users/local/qCNt7I6D/items/GBWYQ7JL"],"itemData":{"id":287,"type":"article-journal","abstract":"The current study investigates suitable hydrogen storage technologies for hydrogen produced by renewable energy resources in a green manner. Type-I, III, and IV high-pressure tanks, adsorbent storage, metal hydride storage and chemical storage options are investigated and compared based on their hydrogen storage capacities, costs, masses and greenhouse gas (GHG) emissions. The results of this study show that in a Type-IV hydrogen storage tank (i.e., composite material tank of carbon fiber with thermoplastic polymer liners), increasing the tank pressure from 100 bar to 800 bar increases the hydrogen holding capacity by 457.7%. Regarding the environmental impact, the lowest GHG emissions appear to be the lowest for liquid hydrogen storage with an average of 3.5 CO2eq/kg-H2 while the respective emissions become the highest in metal hydride storage tanks as 113.6 CO2eq/kg-H2. Furthermore, hydrogen storage capacity for Type-IV tanks varies from 1.94 kg at 100 bar to 15.69 kg at 1500 bar in a 250 L tank. In chemical hydride storage tanks, the stored H2 mass will be 40.75 kg for 100 L, 128.39 kg for 200 L, 216.03 kg for 300 L, 303.67 kg for 400 L, 391.31 kg for 500 L and 478.96 kg for 600 L, respectively. Moreover, hydrogen storage, distribution and dispensing are considered critically important in hydrogen logistics and the results of this study will help better guide policymakers to establish effective policies and increase renewable energy penetration in the energy market.","container-title":"Energy Conversion and Management","DOI":"10.1016/j.enconman.2023.117311","ISSN":"0196-8904","journalAbbreviation":"Energy Conversion and Management","language":"en","page":"117311","source":"ScienceDirect","title":"A comprehensive assessment of energy storage options for green hydrogen","volume":"291","author":[{"family":"Kubilay Karayel","given":"G."},{"family":"Javani","given":"Nader"},{"family":"Dincer","given":"Ibrahim"}],"issued":{"date-parts":[["2023",9,1]]}}}],"schema":"https://github.com/citation-style-language/schema/raw/master/csl-citation.json"} </w:instrText>
      </w:r>
      <w:r>
        <w:rPr>
          <w:rFonts w:hint="eastAsia" w:ascii="Times New Roman" w:hAnsi="Times New Roman" w:cs="Times New Roman"/>
          <w:szCs w:val="21"/>
          <w:highlight w:val="none"/>
        </w:rPr>
        <w:fldChar w:fldCharType="separate"/>
      </w:r>
      <w:r>
        <w:rPr>
          <w:rFonts w:hint="default" w:ascii="Times New Roman" w:hAnsi="Times New Roman" w:cs="Times New Roman"/>
          <w:sz w:val="21"/>
          <w:szCs w:val="24"/>
          <w:vertAlign w:val="superscript"/>
        </w:rPr>
        <w:t>[2]</w:t>
      </w:r>
      <w:r>
        <w:rPr>
          <w:rFonts w:hint="eastAsia" w:ascii="Times New Roman" w:hAnsi="Times New Roman" w:cs="Times New Roman"/>
          <w:szCs w:val="21"/>
          <w:highlight w:val="none"/>
        </w:rPr>
        <w:fldChar w:fldCharType="end"/>
      </w:r>
      <w:r>
        <w:rPr>
          <w:rFonts w:hint="eastAsia" w:ascii="Times New Roman" w:hAnsi="Times New Roman" w:cs="Times New Roman"/>
          <w:szCs w:val="21"/>
          <w:highlight w:val="none"/>
        </w:rPr>
        <w:t>。然而，液氢泄漏</w:t>
      </w:r>
      <w:r>
        <w:rPr>
          <w:rFonts w:hint="eastAsia" w:ascii="Times New Roman" w:hAnsi="Times New Roman" w:cs="Times New Roman"/>
          <w:szCs w:val="21"/>
          <w:highlight w:val="none"/>
          <w:lang w:val="en-US" w:eastAsia="zh-CN"/>
        </w:rPr>
        <w:t>后</w:t>
      </w:r>
      <w:r>
        <w:rPr>
          <w:rFonts w:hint="eastAsia" w:ascii="Times New Roman" w:hAnsi="Times New Roman" w:cs="Times New Roman"/>
          <w:szCs w:val="21"/>
          <w:highlight w:val="none"/>
        </w:rPr>
        <w:t>会快速气化形成</w:t>
      </w:r>
      <w:r>
        <w:rPr>
          <w:rFonts w:hint="eastAsia" w:ascii="Times New Roman" w:hAnsi="Times New Roman" w:cs="Times New Roman"/>
          <w:szCs w:val="21"/>
          <w:highlight w:val="none"/>
          <w:lang w:val="en-US" w:eastAsia="zh-CN"/>
        </w:rPr>
        <w:t>大量</w:t>
      </w:r>
      <w:r>
        <w:rPr>
          <w:rFonts w:hint="eastAsia" w:ascii="Times New Roman" w:hAnsi="Times New Roman" w:cs="Times New Roman"/>
          <w:szCs w:val="21"/>
          <w:highlight w:val="none"/>
        </w:rPr>
        <w:t>可燃氢气（爆炸极限4%</w:t>
      </w:r>
      <w:r>
        <w:rPr>
          <w:rFonts w:hint="eastAsia" w:ascii="Times New Roman" w:hAnsi="Times New Roman" w:cs="Times New Roman"/>
          <w:szCs w:val="21"/>
          <w:highlight w:val="none"/>
          <w:lang w:val="en-US" w:eastAsia="zh-CN"/>
        </w:rPr>
        <w:t>~</w:t>
      </w:r>
      <w:r>
        <w:rPr>
          <w:rFonts w:hint="eastAsia" w:ascii="Times New Roman" w:hAnsi="Times New Roman" w:cs="Times New Roman"/>
          <w:szCs w:val="21"/>
          <w:highlight w:val="none"/>
        </w:rPr>
        <w:t>75%），且其超低温特性（-253℃）易引发冻伤和金属脆裂，存在显著的安全风险</w:t>
      </w:r>
      <w:r>
        <w:rPr>
          <w:rFonts w:hint="eastAsia" w:ascii="Times New Roman" w:hAnsi="Times New Roman" w:cs="Times New Roman"/>
          <w:szCs w:val="21"/>
          <w:highlight w:val="none"/>
        </w:rPr>
        <w:fldChar w:fldCharType="begin"/>
      </w:r>
      <w:r>
        <w:rPr>
          <w:rFonts w:hint="eastAsia" w:ascii="Times New Roman" w:hAnsi="Times New Roman" w:cs="Times New Roman"/>
          <w:szCs w:val="21"/>
          <w:highlight w:val="none"/>
          <w:lang w:eastAsia="zh-CN"/>
        </w:rPr>
        <w:instrText xml:space="preserve"> ADDIN ZOTERO_ITEM CSL_CITATION {"citationID":"DfbVdgOh","properties":{"formattedCitation":"\\super [3-4]\\nosupersub{}","plainCitation":"[3-4]","noteIndex":0},"citationItems":[{"id":283,"uris":["http://zotero.org/users/local/qCNt7I6D/items/LC7WNEMC"],"itemData":{"id":283,"type":"article-journal","abstract":"高压氢气泄漏射流是氢安全研究的重要内容,而在一定实验测量的基础上进行数值模拟是该领域的重要研究手段。目前高压氢气射流完整数值模拟存在计算效率低、不稳定和难收敛的问题,而现有的简化模拟方法存在模型假设不合理和计算结果不准确的问题。本文在定量激波结构测量的基础上,结合气体状态方程和守恒方程构建了分层流动模型,综合考虑了实际的射流核心区和边界层内不同的流动情况,且无需计算气流参数变化剧烈的激波区,从而简化了数值模拟计算。采用分层流动模型模拟的速度场和浓度场计算结果与完整模拟的计算值和实验测量值一致,优于采用传统虚喷管模型模拟的结果。该研究为高压氢气泄漏研究提供了一种在保证计算结果准确性基础上提高计算效率的模拟方法,对进一步推动氢安全研究具有一定意义。","container-title":"清华大学学报（自然科学版）","DOI":"10.16511/j.cnki.qhdxxb.2018.21.021","issue":"12","language":"zh-CN","note":"foundation: 国家自然科学基金面上项目(51706125、51476091)； 山东省自然科学基金博士项目(ZR2017BEE003)；\ndownload: 952\nalbum: 工程科技Ⅱ辑;工程科技Ⅰ辑\nCLC: TQ116.2\ndbcode: CJFQ\ndbname: CJFDLAST2019\nfilename: QHXB201812007","page":"1095-1100","source":"CNKI","title":"高压氢气小孔泄漏射流分层流动模型与验证","volume":"58","author":[{"literal":"李雪芳"},{"literal":"何倩"},{"literal":"柯道友"},{"literal":"程林"}],"issued":{"date-parts":[["2018"]]}}},{"id":285,"uris":["http://zotero.org/users/local/qCNt7I6D/items/3NIABED4"],"itemData":{"id":285,"type":"article-journal","abstract":"该文针对一种自主设计的氢燃料微预混燃烧器，开展了常压下掺氢甲烷燃料微预混火焰燃烧不稳定性实验研究。从纯甲烷到纯氢气，研究了不同氢含量下NO&lt;sub&gt;x&lt;/sub&gt;排放、动态压力、火焰结构等燃烧特性，结果表明：该预混燃烧器具有较优异的低排放燃烧性能，可适应较宽氢含量燃料并实现稳定燃烧，其中纯氢燃料在绝热火焰温度1 850 K时NO&lt;sub&gt;x&lt;/sub&gt;不高于5μmol/mol（干基，15%O&lt;sub&gt;2&lt;/sub&gt;摩尔浓度）;在氢含量为10%和20%时，氢燃料微预混火焰出现振荡燃烧现象，且激发更高阶的谐波；在更高氢含量下微混火焰出现高频脉动，但幅值较低。利用本征正交分解（proper orthogonal decomposition, POD）方法对振荡工况进行分析，提取其模态的时间系数和空间分布特征，发现一阶模态都表现为与整体脉动主频相同的体积振荡，二阶模态都表现为轴向脉动，脉动频率是主频的2倍。随着氢含量进一步升高，轴向模态渐渐转变为火焰间相互作用。","container-title":"清华大学学报（自然科学版）","DOI":"10.16511/j.cnki.qhdxxb.2023.25.027","issue":"4","language":"zh-CN","note":"foundation: 航空发动机及燃气轮机基础科学中心重大项目(P2022-A-II-006-003)； 中国科学院青年创新促进会项目(Y2021054)；\ndownload: 880\nalbum: 工程科技Ⅱ辑\nCLC: TK471\ndbcode: CJFQ\ndbname: CJFDLAST2023\nfilename: QHXB202304009","page":"572-584","source":"CNKI","title":"氢燃料微预混火焰燃烧不稳定性实验研究","volume":"63","author":[{"literal":"扈学超"},{"literal":"毕笑天"},{"literal":"刘策"},{"literal":"邵卫卫"}],"issued":{"date-parts":[["2023"]]}}}],"schema":"https://github.com/citation-style-language/schema/raw/master/csl-citation.json"} </w:instrText>
      </w:r>
      <w:r>
        <w:rPr>
          <w:rFonts w:hint="eastAsia" w:ascii="Times New Roman" w:hAnsi="Times New Roman" w:cs="Times New Roman"/>
          <w:szCs w:val="21"/>
          <w:highlight w:val="none"/>
        </w:rPr>
        <w:fldChar w:fldCharType="separate"/>
      </w:r>
      <w:r>
        <w:rPr>
          <w:rFonts w:hint="default" w:ascii="Times New Roman" w:hAnsi="Times New Roman" w:cs="Times New Roman"/>
          <w:sz w:val="21"/>
          <w:szCs w:val="24"/>
          <w:vertAlign w:val="superscript"/>
        </w:rPr>
        <w:t>[3-4]</w:t>
      </w:r>
      <w:r>
        <w:rPr>
          <w:rFonts w:hint="eastAsia" w:ascii="Times New Roman" w:hAnsi="Times New Roman" w:cs="Times New Roman"/>
          <w:szCs w:val="21"/>
          <w:highlight w:val="none"/>
        </w:rPr>
        <w:fldChar w:fldCharType="end"/>
      </w:r>
      <w:r>
        <w:rPr>
          <w:rFonts w:hint="eastAsia" w:ascii="Times New Roman" w:hAnsi="Times New Roman" w:cs="Times New Roman"/>
          <w:szCs w:val="21"/>
          <w:highlight w:val="none"/>
        </w:rPr>
        <w:t>。</w:t>
      </w:r>
      <w:r>
        <w:rPr>
          <w:rFonts w:hint="eastAsia" w:ascii="Times New Roman" w:hAnsi="Times New Roman" w:cs="Times New Roman"/>
          <w:szCs w:val="21"/>
          <w:highlight w:val="none"/>
          <w:lang w:val="en-US" w:eastAsia="zh-CN"/>
        </w:rPr>
        <w:t>因此，开展面对大型液氢库区的液氢扩散行为研究对促进其安全开发和利用至关重要。</w:t>
      </w:r>
    </w:p>
    <w:p w14:paraId="5BC0D8A8">
      <w:pPr>
        <w:widowControl/>
        <w:spacing w:line="240" w:lineRule="atLeast"/>
        <w:ind w:firstLine="420" w:firstLineChars="200"/>
        <w:rPr>
          <w:rFonts w:hint="default" w:ascii="Times New Roman" w:hAnsi="Times New Roman" w:cs="Times New Roman"/>
          <w:szCs w:val="21"/>
          <w:highlight w:val="none"/>
          <w:lang w:val="en-US" w:eastAsia="zh-CN"/>
        </w:rPr>
      </w:pPr>
      <w:r>
        <w:rPr>
          <w:rFonts w:hint="eastAsia" w:ascii="Times New Roman" w:hAnsi="Times New Roman" w:cs="Times New Roman"/>
          <w:szCs w:val="21"/>
          <w:highlight w:val="none"/>
          <w:lang w:val="en-US" w:eastAsia="zh-CN"/>
        </w:rPr>
        <w:t>考虑到经济性和安全性，许多学者应用了常见的计算流体动力学（CFD）工具，如Ansys Fluent</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{"citationID":"QwVRcZxd","properties":{"formattedCitation":"\\super [5-7]\\nosupersub{}","plainCitation":"[5-7]","noteIndex":0},"citationItems":[{"id":230,"uris":["http://zotero.org/users/local/qCNt7I6D/items/BNKDRJDM"],"itemData":{"id":230,"type":"article-journal","abstract":"Hydrogen energy has emerged as one of the most promising types of future energy. Accurately predicting the diffusion behavior of liquid hydrogen after an accidental release is one of the most important aspects of promoting the safe use of hydrogen energy. Considering the condensation and freezing of air, a three-dimensional unsteady leakage and diffusion model of liquid hydrogen is developed to predict the distribution of hydrogen vapor cloud and evaporation of liquid hydrogen pool in a large liquid hydrogen release experiment conducted by NASA. During the release of liquid hydrogen, the volume fractions of liquid air and solid air are quite small due to turbulence, and there is almost no liquid air and solid air present in the space directly opposite the leakage source. After the termination of the release, the flow field is more stable and the volume fractions of liquid air and solid air tend to increase, which on the ground can exceed 0.05 and 0.005 respectively at 50 s. This indicates that the ice layer observed in the former experiments may mainly be generated after the release. The evaporation coefficient of hydrogen has a significant effect on the hydrogen flammable volume, as the hydrogen evaporation coefficient increases from 0.006 to 0.06, the flammable volume increases from 1003.3 m3 to 7656.3 m3. As the evaporation coefficient continues to increase from 0.06, the volume growth rate of flammable hydrogen cloud tends to decrease. The flammable volume is not sensitive to the air condensation coefficient in the range of 1–1000, which increases from 6858.8 m3 to 7656.3 m3 as the air condensation coefficient increases from 1 to 1000. This study helps to refine the model for predicting the dispersion characteristics of accidental liquid hydrogen release considering the phase change of the air.","container-title":"International Journal of Hydrogen Energy","DOI":"10.1016/j.ijhydene.2023.06.201","ISSN":"0360-3199","journalAbbreviation":"International Journal of Hydrogen Energy","language":"en","page":"717-731","source":"ScienceDirect","title":"Phase change modeling of air at the liquid hydrogen release","volume":"50","author":[{"family":"Sun","given":"Ruo Fan"},{"family":"Pu","given":"Liang"},{"family":"He","given":"Yong Chen"},{"family":"Wang","given":"Tian Xiang"},{"family":"Tan","given":"Hongbo"}],"issued":{"date-parts":[["2024",1,2]]}}},{"id":290,"uris":["http://zotero.org/users/local/qCNt7I6D/items/K5JQMEUL"],"itemData":{"id":290,"type":"article-journal","abstract":"This study investigates the mitigation effects of an improved dike-and-fence structure on the vapor dispersion of liquid hydrogen leakage. Utilizing three-dimensional computational fluid dynamics (CFD) simulations, the research evaluates the effectiveness of the structure in controlling the dispersion and hazards of flammable hydrogen vapor clouds. From the perspective of controlling the liquid and gas phases, a multiple-structure consisting of a dike and a fence was proposed. The structure can effectively control the size of the liquid pool, providing sufficient heat exchange space for low-temperature hydrogen. Research results show that the structure can significantly reduce the impact range and the duration of the flammable cloud and the low-temperature area without prolonging the dilution time of the flammable cloud. These findings underscore the effectiveness of the improved structure in improving safety during LH2 storage, offering a practical solution for mitigating risks in hydrogen energy applications.","container-title":"International Journal of Hydrogen Energy","DOI":"10.1016/j.ijhydene.2025.02.344","ISSN":"0360-3199","journalAbbreviation":"International Journal of Hydrogen Energy","language":"en","page":"667-680","source":"ScienceDirect","title":"Numerical study on mitigation effect of fence on the vapor dispersion of liquid hydrogen leak in a dike","volume":"111","author":[{"family":"Sun","given":"Zhiwei"},{"family":"Wang","given":"Zhi"},{"family":"Fei","given":"Zhongbin"},{"family":"Luan","given":"Xiaoyang"},{"family":"Duan","given":"Yiling"},{"family":"Zhang","given":"Bin"}],"issued":{"date-parts":[["2025",3,20]]}}},{"id":280,"uris":["http://zotero.org/users/local/qCNt7I6D/items/X7T4B4P8"],"itemData":{"id":280,"type":"article-journal","abstract":"This study presents a method to simulate hydrogen jet fire using the Fire Dynamics Simulator (FDS). To avoid modeling an actual nozzle, high-speed Lagrangian particles released from a virtual nozzle are introduced to simulate released hydrogen. The capability of this FDS model to predict gas temperature is validated by comparing simulation results with five existing experiments in a rectangular steel compartment with an open end. The effects of relevant parameters prescribed in the FDS model on the gas temperature are also analyzed, including numerical parameters (auto-ignition exclusion zone, offset, particle count, and grid) and physical parameters (particle velocity, spray angle, and auto-ignition temperature). The results show that gas temperatures near the nozzle are sensitive to these parameters. Based on the grey relational analysis, the auto-ignition temperature is the least important parameter to predict gas temperatures, while the grid is the most significant parameter for gas temperatures near the ceiling.","container-title":"International Journal of Hydrogen Energy","DOI":"10.1016/j.ijhydene.2023.11.306","ISSN":"0360-3199","journalAbbreviation":"International Journal of Hydrogen Energy","language":"en-US","page":"1097-1106","source":"ScienceDirect","title":"Analyzing the gas temperature of a hydrogen jet fire in a compartment with the Fire Dynamics Simulator","volume":"53","author":[{"family":"Liu","given":"Wenqian"},{"family":"Markert","given":"Frank"},{"family":"Giuliani","given":"Luisa"},{"family":"Hostikka","given":"Simo"}],"issued":{"date-parts":[["2024",1,31]]}}}],"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[5-7]</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highlight w:val="none"/>
          <w:lang w:val="en-US" w:eastAsia="zh-CN"/>
        </w:rPr>
        <w:t>、FLACS</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{"citationID":"Kue9Gh5a","properties":{"formattedCitation":"\\super [8]\\nosupersub{}","plainCitation":"[8]","noteIndex":0},"citationItems":[{"id":293,"uris":["http://zotero.org/users/local/qCNt7I6D/items/8YWKQWWQ"],"itemData":{"id":293,"type":"article-journal","abstract":"This study employs the FLACS code to analyze hydrogen leakage, vapor dispersion, and subsequent explosions. Utilizing pseudo-source models, a liquid pool model, and a hybrid model combining both, we investigate dispersion processes for varying leak mass flow rates (0.225 kg/s and 0.73 kg/s) in a large open space. We also evaluate explosion hazards based on overpressure and impulse effects on humans. The computational results, compared with experimental data, demonstrated reasonable hydrogen vapor cloud concentration predictions, especially aligned with the wind direction. For higher mass flow rate of 0.73 kg/s, the pseudo-source model exhibited the most reasonable predictive performance for locations near the leak source despite the hybrid model yielded similar results to the pseudo-source model, while the liquid pool model was more suitable for lower mass flow rate of 0.225 kg/s. Regarding explosion analyses using overpressure-impulse diagram, higher mass flow rates leaded to potentially fatal overpressure and impulse effects on humans. However, lower mass flow rates may cause severe eardrum damage at the maximum overpressure point.","container-title":"Applied Sciences","DOI":"10.3390/app132312838","ISSN":"2076-3417","issue":"23","language":"en","license":"http://creativecommons.org/licenses/by/3.0/","note":"number: 23\npublisher: Multidisciplinary Digital Publishing Institute","page":"12838","source":"www.mdpi.com","title":"A Computational Study of Hydrogen Dispersion and Explosion after Large-Scale Leakage of Liquid Hydrogen","volume":"13","author":[{"family":"Choi","given":"Seong Yong"},{"family":"Oh","given":"Chang Bo"},{"family":"Do","given":"Kyu Hyung"},{"family":"Choi","given":"Byung-Il"}],"issued":{"date-parts":[["2023",1]]}}}],"schema":"https://github.com/citation-style-language/schema/raw/master/csl-citation.json"}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[8]</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highlight w:val="none"/>
          <w:lang w:val="en-US" w:eastAsia="zh-CN"/>
        </w:rPr>
        <w:t>、CFX</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{"citationID":"1fsyhHel","properties":{"formattedCitation":"\\super [9]\\nosupersub{}","plainCitation":"[9]","noteIndex":0},"citationItems":[{"id":295,"uris":["http://zotero.org/users/local/qCNt7I6D/items/YPY6ZK9D"],"itemData":{"id":295,"type":"article-journal","abstract":"Hydrogen is a promising environmentally friendly fuel with the potential for zero-carbon emissions, particularly in maritime applications. However, owing to its wide flammability range (4–75%), significant safety concerns persist. In confined spaces, hydrogen leaks can lead to explosions, posing a risk to both lives and assets. This study conducts a numerical analysis to investigate hydrogen flow within hydrogen storage rooms aboard ships, with the goal of developing efficient ventilation strategies. Through simulations performed using ANSYS-CFX, this research evaluates hydrogen diffusion, stratification, and ventilation performance. A vertex angle of 120° at the ceiling demonstrated superior ventilation efficiency compared to that at 177°, while air inlets positioned on side-wall floors or mid-sections proved more effective than those located near the ceiling. The most efficient ventilation occurred at a velocity of 1.82 m/s, achieving 20 air exchanges per hour. These findings provide valuable insights for the design of safer hydrogen vessel operations.","container-title":"Energies","DOI":"10.3390/en18020448","ISSN":"1996-1073","issue":"2","language":"en","license":"http://creativecommons.org/licenses/by/3.0/","note":"number: 2\npublisher: Multidisciplinary Digital Publishing Institute","page":"448","source":"www.mdpi.com","title":"Numerical Study on the Characteristics of Hydrogen Leakage, Diffusion and Ventilation in Ships","volume":"18","author":[{"family":"Lee","given":"Chang-Yong"},{"family":"Park","given":"Sang-Kyun"}],"issued":{"date-parts":[["2025",1]]}}}],"schema":"https://github.com/citation-style-language/schema/raw/master/csl-citation.json"}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[9]</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highlight w:val="none"/>
          <w:lang w:val="en-US" w:eastAsia="zh-CN"/>
        </w:rPr>
        <w:t>、ARDEA-HF</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{"citationID":"txl7EDCD","properties":{"formattedCitation":"\\super [10]\\nosupersub{}","plainCitation":"[10]","noteIndex":0},"citationItems":[{"id":208,"uris":["http://zotero.org/users/local/qCNt7I6D/items/LKRWN73B"],"itemData":{"id":208,"type":"article-journal","abstract":"Application of the CFD methodology for risk assessment of hydrogen applications and associated support of regulation, codes and standards has been growing its momentum during the last years. The CFD tools applied should prove to be “adequately” validated for hydrogen applications. This contribution focuses on the hydrogen related validation work performed with the CFD code ADREA-HF. The code is a three dimensional transient fully compressible flow and dispersion CFD solver, able to treat highly complex geometries using the porosity formulation on Cartesian grids. The ADREA-HF validation effort was performed within various EC co-funded projects (EIHP, EIHP-2, HyApproval, HyPer, HySafe). Various types of hydrogen release scenarios were considered, including gaseous and liquefied releases, open, semi-confined and confined environments, sonic (under-expanded) and low momentum releases. In parallel to its validation the ADREA-HF code has been extensively used for regulations, codes and standards support.","container-title":"International Journal of Hydrogen Energy","DOI":"10.1016/j.ijhydene.2010.01.002","ISSN":"0360-3199","issue":"8","journalAbbreviation":"International Journal of Hydrogen Energy","language":"en","page":"3908-3918","source":"ScienceDirect","title":"The ADREA-HF CFD code for consequence assessment of hydrogen applications","volume":"35","author":[{"family":"Venetsanos","given":"A. G."},{"family":"Papanikolaou","given":"E."},{"family":"Bartzis","given":"J. G."}],"issued":{"date-parts":[["2010",4,1]]}}}],"schema":"https://github.com/citation-style-language/schema/raw/master/csl-citation.json"}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[10]</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highlight w:val="none"/>
          <w:lang w:val="en-US" w:eastAsia="zh-CN"/>
        </w:rPr>
        <w:t>、CHAMPAGNE</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{"citationID":"YR1EhXdl","properties":{"formattedCitation":"\\super [11]\\nosupersub{}","plainCitation":"[11]","noteIndex":0},"citationItems":[{"id":237,"uris":["http://zotero.org/users/local/qCNt7I6D/items/UZACDH6V"],"itemData":{"id":237,"type":"article-journal","abstract":"Abstract. It is planned to use hydrogen extensively as a source of clean energy in the next century. As part of our investigation for an International Clean Energy Network Using Hydrogen Conversion (WE-NET), we have been studying to establish a safety scheme to ensure that both existing and new hydrogen technologies are implemented without endangering public safety. In this plan, we consider the transport and storage of a large quantity of hydrogen in a large tank. First we must evaluate the consequence of the postulated accident of liquid hydrogen. Since we have developed the multi-phase hydrodynamics analysis code (CHAMPAGNE), we apply the code to simulate the formation and dispersion of hydrogen vapor clouds.In the present paper we have improved the calculation model in two ways. We added a function to CHAMPANGE for solving evaporation phenomena realistically, made many parametric calculations and planned the small-scale hydrogen dispersion experiments for the validation of this model. Another improvement is the turbulent mixing of evaporated liquid hydrogen.Now we have completed the basic functions of our simulation code. And these models of CHAMPANGE code must be verified by the experimental data.","container-title":"Journal of Energy Resources Technology","DOI":"10.1115/1.1514216","issue":"4","language":"en-US","page":"283-289","source":"asmedigitalcollection.asme.org","title":"Analysis of a Large Scale Liquid Hydrogen Dispersion Using the Multi-Phase Hydrodynamics Analysis Code (CHAMPAGNE)","volume":"124","author":[{"family":"Chitose","given":"K"},{"family":"Okamoto","given":"M"},{"family":"Takeno","given":"K"},{"family":"Hayashi","given":"K"},{"family":"Hishida","given":"M"}],"issued":{"date-parts":[["2002",11,20]]}}}],"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[11]</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highlight w:val="none"/>
          <w:lang w:val="en-US" w:eastAsia="zh-CN"/>
        </w:rPr>
        <w:t>等来模拟液氢泄漏后的氢云扩散。以上仿真一般是基于单一物理场或者单一影响因素的液氢扩散研究。而FDS（</w:t>
      </w:r>
      <w:r>
        <w:rPr>
          <w:rFonts w:hint="eastAsia" w:ascii="Times New Roman" w:hAnsi="Times New Roman" w:cs="Times New Roman"/>
          <w:szCs w:val="21"/>
          <w:highlight w:val="none"/>
        </w:rPr>
        <w:t>Fire Dynamics Simulat</w:t>
      </w:r>
      <w:r>
        <w:rPr>
          <w:rFonts w:hint="eastAsia" w:ascii="Times New Roman" w:hAnsi="Times New Roman" w:cs="Times New Roman"/>
          <w:szCs w:val="21"/>
          <w:highlight w:val="none"/>
          <w:lang w:val="en-US" w:eastAsia="zh-CN"/>
        </w:rPr>
        <w:t>or）因具有经过验证的多物理场耦合能力（相变-湍流-燃烧）、复杂场景建模精度以及专业的火灾仿真功能，已被一些学者用于氢的扩散行为及储罐意外火灾的仿真</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{"citationID":"4H3QAOcJ","properties":{"formattedCitation":"\\super [12]\\nosupersub{}","plainCitation":"[12]","noteIndex":0},"citationItems":[{"id":296,"uris":["http://zotero.org/users/local/qCNt7I6D/items/3I9JCFZ3"],"itemData":{"id":296,"type":"article-journal","abstract":"Ensuring firefighter safety during oil tank fires is paramount, given the substantial risks posed by thermal radiation. This study employs both the Fire Dynamics Simulator (FDS) and Areal Locations of Hazardous Atmospheres (ALOHA) software to simulate a severe oil tank fire scenario at the Zhushan Branch Power Plant, where two heavy oil tanks and multiple light oil tanks are located. The simulation framework divides the combustion scenario into 22.4 million grids with a grid size of 0.5 m, allowing a fine-resolution assessment of thermal radiation. Assuming a worst-case scenario involving n-Heptane combustion, the FDS simulation calculates essential parameters, including temperature, velocity, and soot distribution fields, and suggests a minimum safe firefighting distance of 22 m (equivalent to one tank diameter, 1D) for those equipped with personal protective equipment when exposed to a 5 kW/m2 heat flux. Meanwhile, ALOHA modeling extends the safety assessment, recommending a downwind safety distance of 62 m (approximately 2D) to establish a preliminary exclusion zone, crucial in early emergency response when data may be incomplete. Additionally, a grid sensitivity analysis was conducted to validate the accuracy of the numerical results. This study underscores the importance of coupling FDS and ALOHA outputs to develop a balanced, adaptive approach to firefighter safety, optimizing response protocols for high-risk environments. The results provide essential guidance for establishing safety zones, advancing standards within fire protection and emergency response, and supporting strategy development for large-scale oil and petrochemical storage facilities.","container-title":"Fire","DOI":"10.3390/fire7120445","ISSN":"2571-6255","issue":"12","language":"en","license":"http://creativecommons.org/licenses/by/3.0/","note":"number: 12\npublisher: Multidisciplinary Digital Publishing Institute","page":"445","source":"www.mdpi.com","title":"Safe Firefighting Distances Using FDS and ALOHA for Oil Tank Fires","volume":"7","author":[{"family":"Hung","given":"Ming-Chuan"},{"family":"Lin","given":"Ching-Yuan"},{"family":"Hsiao","given":"Gary Li-Kai"}],"issued":{"date-parts":[["2024",12]]}}}],"schema":"https://github.com/citation-style-language/schema/raw/master/csl-citation.json"}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[12]</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highlight w:val="none"/>
          <w:lang w:val="en-US" w:eastAsia="zh-CN"/>
        </w:rPr>
        <w:t>。并且，FDS与Smokeview集成使其在结果呈现上具有直观强大的可视能力，能够满足对氢云多尺度扩散的演化过程的捕捉。在此基础上，结合FDS的开源性引入梯度风场和太阳辐照优化现有仿真模型。</w:t>
      </w:r>
    </w:p>
    <w:p w14:paraId="508AE6D2">
      <w:pPr>
        <w:widowControl/>
        <w:spacing w:line="240" w:lineRule="atLeast"/>
        <w:ind w:firstLine="420" w:firstLineChars="200"/>
        <w:rPr>
          <w:rFonts w:ascii="Times New Roman" w:hAnsi="Times New Roman" w:cs="Times New Roman"/>
          <w:szCs w:val="21"/>
        </w:rPr>
      </w:pPr>
      <w:r>
        <w:rPr>
          <w:rFonts w:hint="eastAsia" w:ascii="Times New Roman" w:hAnsi="Times New Roman" w:cs="Times New Roman"/>
          <w:szCs w:val="21"/>
          <w:highlight w:val="none"/>
        </w:rPr>
        <w:t>美国国家航空航天局（NASA）</w:t>
      </w:r>
      <w:r>
        <w:rPr>
          <w:rFonts w:hint="eastAsia" w:ascii="Times New Roman" w:hAnsi="Times New Roman" w:cs="Times New Roman"/>
          <w:szCs w:val="21"/>
          <w:highlight w:val="none"/>
          <w:lang w:val="en-US" w:eastAsia="zh-CN"/>
        </w:rPr>
        <w:t>开展的</w:t>
      </w:r>
      <w:r>
        <w:rPr>
          <w:rFonts w:hint="eastAsia" w:ascii="Times New Roman" w:hAnsi="Times New Roman" w:cs="Times New Roman"/>
          <w:szCs w:val="21"/>
          <w:highlight w:val="none"/>
        </w:rPr>
        <w:t>开放空间大规模液氢泄漏</w:t>
      </w:r>
      <w:r>
        <w:rPr>
          <w:rFonts w:hint="eastAsia" w:ascii="Times New Roman" w:hAnsi="Times New Roman" w:cs="Times New Roman"/>
          <w:szCs w:val="21"/>
          <w:highlight w:val="none"/>
          <w:lang w:val="en-US" w:eastAsia="zh-CN"/>
        </w:rPr>
        <w:t>实验</w:t>
      </w:r>
      <w:r>
        <w:rPr>
          <w:rFonts w:hint="eastAsia" w:ascii="Times New Roman" w:hAnsi="Times New Roman" w:cs="Times New Roman"/>
          <w:szCs w:val="21"/>
          <w:highlight w:val="none"/>
          <w:vertAlign w:val="superscript"/>
        </w:rPr>
        <w:fldChar w:fldCharType="begin"/>
      </w:r>
      <w:r>
        <w:rPr>
          <w:rFonts w:hint="eastAsia" w:ascii="Times New Roman" w:hAnsi="Times New Roman" w:cs="Times New Roman"/>
          <w:szCs w:val="21"/>
          <w:highlight w:val="none"/>
          <w:vertAlign w:val="superscript"/>
          <w:lang w:eastAsia="zh-CN"/>
        </w:rPr>
        <w:instrText xml:space="preserve"> ADDIN ZOTERO_ITEM CSL_CITATION {"citationID":"ovzPJU5x","properties":{"formattedCitation":"\\super [13]\\nosupersub{}","plainCitation":"[13]","noteIndex":0},"citationItems":[{"id":198,"uris":["http://zotero.org/users/local/qCNt7I6D/items/ZELDTS5R"],"itemData":{"id":198,"type":"article-journal","abstract":"This paper presents the initial findings of hydrogen vapor cloud dispersion experiments conducted by NASA. The experiments were performed to obtain basic information regarding the physical phenomena governing the dispersion of flammable clouds formed as the result of spills of large quantities of liquid hydrogen. The experiments consisted of ground spills of up to 5.7 m3 (1500 gal) of liquid hydrogen, with spill durations of approx. 35 s. Instrumented towers, located downwind of the spill site, gathered data on the temperature, hydrogen concentration and turbulence levels as the hydrogen vapor cloud drifted downwind. Visual phenomena were recorded by motion picture and still cameras. Preliminary results of the experiments indicate that, for rapid spills, thermal and momentum-induced turbulences cause the cloud to disperse to safe concentration levels and become positively buoyant long before mixing due to normal atmospheric turbulence becomes a major factor. An adiabatic mixing model has been developed to deduce hydrogen-air mixture ratios for temperature measurements obtained within the cloud formed by liquid hydrogen spills. The model appears to be a most useful tool for describing the hydrogen concentration within the cloud.","container-title":"International Journal of Hydrogen Energy","DOI":"10.1016/0360-3199(84)90064-8","ISSN":"0360-3199","issue":"5","journalAbbreviation":"International Journal of Hydrogen Energy","language":"en","page":"425-435","source":"ScienceDirect","title":"Experimental and analytical analyses of the mechanisms governing the dispersion of flammable clouds formed by liquid hydrogen spills","volume":"9","author":[{"family":"Witcofski","given":"R. D."},{"family":"Chirivella","given":"J. E."}],"issued":{"date-parts":[["1984",1,1]]}}}],"schema":"https://github.com/citation-style-language/schema/raw/master/csl-citation.json"} </w:instrText>
      </w:r>
      <w:r>
        <w:rPr>
          <w:rFonts w:hint="eastAsia" w:ascii="Times New Roman" w:hAnsi="Times New Roman" w:cs="Times New Roman"/>
          <w:szCs w:val="21"/>
          <w:highlight w:val="none"/>
          <w:vertAlign w:val="superscript"/>
        </w:rPr>
        <w:fldChar w:fldCharType="separate"/>
      </w:r>
      <w:r>
        <w:rPr>
          <w:rFonts w:hint="default" w:ascii="Times New Roman" w:hAnsi="Times New Roman" w:cs="Times New Roman"/>
          <w:sz w:val="21"/>
          <w:szCs w:val="24"/>
          <w:vertAlign w:val="superscript"/>
        </w:rPr>
        <w:t>[13]</w:t>
      </w:r>
      <w:r>
        <w:rPr>
          <w:rFonts w:hint="eastAsia" w:ascii="Times New Roman" w:hAnsi="Times New Roman" w:cs="Times New Roman"/>
          <w:szCs w:val="21"/>
          <w:highlight w:val="none"/>
          <w:vertAlign w:val="superscript"/>
        </w:rPr>
        <w:fldChar w:fldCharType="end"/>
      </w:r>
      <w:r>
        <w:rPr>
          <w:rFonts w:hint="eastAsia" w:ascii="Times New Roman" w:hAnsi="Times New Roman" w:cs="Times New Roman"/>
          <w:szCs w:val="21"/>
          <w:highlight w:val="none"/>
          <w:lang w:eastAsia="zh-CN"/>
        </w:rPr>
        <w:t>、</w:t>
      </w:r>
      <w:r>
        <w:rPr>
          <w:rFonts w:hint="default" w:ascii="Times New Roman" w:hAnsi="Times New Roman" w:cs="Times New Roman"/>
          <w:szCs w:val="21"/>
          <w:highlight w:val="none"/>
          <w:lang w:val="en-US" w:eastAsia="zh-CN"/>
        </w:rPr>
        <w:t>德国材料监测协会（BAM）进行</w:t>
      </w:r>
      <w:r>
        <w:rPr>
          <w:rFonts w:hint="eastAsia" w:ascii="Times New Roman" w:hAnsi="Times New Roman" w:cs="Times New Roman"/>
          <w:szCs w:val="21"/>
          <w:highlight w:val="none"/>
          <w:lang w:val="en-US" w:eastAsia="zh-CN"/>
        </w:rPr>
        <w:t>的建筑物间</w:t>
      </w:r>
      <w:r>
        <w:rPr>
          <w:rFonts w:hint="default" w:ascii="Times New Roman" w:hAnsi="Times New Roman" w:cs="Times New Roman"/>
          <w:szCs w:val="21"/>
          <w:highlight w:val="none"/>
          <w:lang w:val="en-US" w:eastAsia="zh-CN"/>
        </w:rPr>
        <w:t>液氢倾倒实验</w:t>
      </w:r>
      <w:r>
        <w:rPr>
          <w:rFonts w:hint="default" w:ascii="Times New Roman" w:hAnsi="Times New Roman" w:cs="Times New Roman"/>
          <w:szCs w:val="21"/>
          <w:highlight w:val="none"/>
          <w:vertAlign w:val="superscript"/>
          <w:lang w:val="en-US" w:eastAsia="zh-CN"/>
        </w:rPr>
        <w:fldChar w:fldCharType="begin"/>
      </w:r>
      <w:r>
        <w:rPr>
          <w:rFonts w:hint="eastAsia" w:ascii="Times New Roman" w:hAnsi="Times New Roman" w:cs="Times New Roman"/>
          <w:szCs w:val="21"/>
          <w:highlight w:val="none"/>
          <w:vertAlign w:val="superscript"/>
          <w:lang w:val="en-US" w:eastAsia="zh-CN"/>
        </w:rPr>
        <w:instrText xml:space="preserve"> ADDIN ZOTERO_ITEM CSL_CITATION {"citationID":"PqJM1Ar1","properties":{"formattedCitation":"\\super [14]\\nosupersub{}","plainCitation":"[14]","noteIndex":0},"citationItems":[{"id":241,"uris":["http://zotero.org/users/local/qCNt7I6D/items/Y32874YT"],"itemData":{"id":241,"type":"article-journal","abstract":"This work describes the modelling of liquid hydrogen release experiments using the ADREA-HF 3-D time dependent finite volume code for cloud dispersion, jointly developed by DEMOKRITOS and JRC-Ispra. The experiments were performed by Batelle Ingenieurtechnik for BAM (Bundesanstalt fur Materialforschung und Prufung), Berlin, in the frame of the Euro-Quebec-Hydro-Hydrogen-Pilot-Project and they mainly deal with LH2 near ground releases between buildings. In the present study, the experimental trial #5 was assumed for simulation due to the fact that in this release the largest number of sensor readings were obtained. The simulations illustrated the complex behaviour of LH2 dispersion in presence of buildings, characterized by complicated wind patterns, plume back flow near the source, dense gas behaviour at near range and significant buoyant behaviour at the far range. The simulations showed the strong effect of ground heating in the LH2 dispersion. The model also revealed major features of the dispersion that had to do with the “dense” behaviour of the cold hydrogen and the buoyant behaviour of the “warming-up” gas as well as the interaction of the building and the release wake. Such a behaviour was in qualitative and even quantitative agreement with the experiment. The results are given in terms of concentration time series, scatter plots, contour plots, wind field vector plots and 3-D concentration wireframes. Given all experiment uncertainties, the model gives reasonable results on concentrations levels.","container-title":"Journal of Hazardous Materials","DOI":"10.1016/S0304-3894(00)00252-1","ISSN":"0304-3894","issue":"1","journalAbbreviation":"Journal of Hazardous Materials","language":"en","page":"57-75","source":"ScienceDirect","title":"Analysis of data from spilling experiments performed with liquid hydrogen","volume":"77","author":[{"family":"Statharas","given":"J. C."},{"family":"Venetsanos","given":"A. G."},{"family":"Bartzis","given":"J. G."},{"family":"Würtz","given":"J."},{"family":"Schmidtchen","given":"U."}],"issued":{"date-parts":[["2000",10,2]]}}}],"schema":"https://github.com/citation-style-language/schema/raw/master/csl-citation.json"} </w:instrText>
      </w:r>
      <w:r>
        <w:rPr>
          <w:rFonts w:hint="default" w:ascii="Times New Roman" w:hAnsi="Times New Roman" w:cs="Times New Roman"/>
          <w:szCs w:val="21"/>
          <w:highlight w:val="none"/>
          <w:vertAlign w:val="superscript"/>
          <w:lang w:val="en-US" w:eastAsia="zh-CN"/>
        </w:rPr>
        <w:fldChar w:fldCharType="separate"/>
      </w:r>
      <w:r>
        <w:rPr>
          <w:rFonts w:hint="default" w:ascii="Times New Roman" w:hAnsi="Times New Roman" w:cs="Times New Roman"/>
          <w:sz w:val="21"/>
          <w:szCs w:val="24"/>
          <w:vertAlign w:val="superscript"/>
        </w:rPr>
        <w:t>[14]</w:t>
      </w:r>
      <w:r>
        <w:rPr>
          <w:rFonts w:hint="default" w:ascii="Times New Roman" w:hAnsi="Times New Roman" w:cs="Times New Roman"/>
          <w:szCs w:val="21"/>
          <w:highlight w:val="none"/>
          <w:vertAlign w:val="superscript"/>
          <w:lang w:val="en-US" w:eastAsia="zh-CN"/>
        </w:rPr>
        <w:fldChar w:fldCharType="end"/>
      </w:r>
      <w:r>
        <w:rPr>
          <w:rFonts w:hint="eastAsia" w:ascii="Times New Roman" w:hAnsi="Times New Roman" w:cs="Times New Roman"/>
          <w:szCs w:val="21"/>
          <w:highlight w:val="none"/>
          <w:lang w:val="en-US" w:eastAsia="zh-CN"/>
        </w:rPr>
        <w:t>以及</w:t>
      </w:r>
      <w:r>
        <w:rPr>
          <w:rFonts w:hint="eastAsia" w:ascii="Times New Roman" w:hAnsi="Times New Roman" w:cs="Times New Roman"/>
          <w:szCs w:val="21"/>
          <w:highlight w:val="none"/>
        </w:rPr>
        <w:t>英国健康与安全实验室（HSL）</w:t>
      </w:r>
      <w:r>
        <w:rPr>
          <w:rFonts w:hint="eastAsia" w:ascii="Times New Roman" w:hAnsi="Times New Roman" w:cs="Times New Roman"/>
          <w:szCs w:val="21"/>
          <w:highlight w:val="none"/>
          <w:lang w:val="en-US" w:eastAsia="zh-CN"/>
        </w:rPr>
        <w:t>对</w:t>
      </w:r>
      <w:r>
        <w:rPr>
          <w:rFonts w:hint="eastAsia" w:ascii="Times New Roman" w:hAnsi="Times New Roman" w:cs="Times New Roman"/>
          <w:szCs w:val="21"/>
          <w:highlight w:val="none"/>
        </w:rPr>
        <w:t>垂直与水平释放后氢云扩散速率及浓度分布</w:t>
      </w:r>
      <w:r>
        <w:rPr>
          <w:rFonts w:hint="eastAsia" w:ascii="Times New Roman" w:hAnsi="Times New Roman" w:cs="Times New Roman"/>
          <w:szCs w:val="21"/>
          <w:highlight w:val="none"/>
          <w:lang w:val="en-US" w:eastAsia="zh-CN"/>
        </w:rPr>
        <w:t>的</w:t>
      </w:r>
      <w:r>
        <w:rPr>
          <w:rFonts w:hint="eastAsia" w:ascii="Times New Roman" w:hAnsi="Times New Roman" w:cs="Times New Roman"/>
          <w:szCs w:val="21"/>
          <w:highlight w:val="none"/>
        </w:rPr>
        <w:t>研究</w:t>
      </w:r>
      <w:r>
        <w:rPr>
          <w:rFonts w:hint="eastAsia" w:ascii="Times New Roman" w:hAnsi="Times New Roman" w:cs="Times New Roman"/>
          <w:szCs w:val="21"/>
          <w:highlight w:val="none"/>
          <w:vertAlign w:val="superscript"/>
        </w:rPr>
        <w:fldChar w:fldCharType="begin"/>
      </w:r>
      <w:r>
        <w:rPr>
          <w:rFonts w:hint="eastAsia" w:ascii="Times New Roman" w:hAnsi="Times New Roman" w:cs="Times New Roman"/>
          <w:szCs w:val="21"/>
          <w:highlight w:val="none"/>
          <w:vertAlign w:val="superscript"/>
          <w:lang w:eastAsia="zh-CN"/>
        </w:rPr>
        <w:instrText xml:space="preserve"> ADDIN ZOTERO_ITEM CSL_CITATION {"citationID":"o8Zc32zY","properties":{"formattedCitation":"\\super [15]\\nosupersub{}","plainCitation":"[15]","noteIndex":0},"citationItems":[{"id":210,"uris":["http://zotero.org/users/local/qCNt7I6D/items/7VXXDS3S"],"itemData":{"id":210,"type":"article-journal","abstract":"This paper describes the investigation of a passive ventilation solution to manage the hydrogen concentration within a large ullage space (0.9–3 m deep) above a liquid (free surface area of ∼40 m2) containing a hydrogen source. The aim of the ventilation is to maintain the hydrogen concentration within the ullage space below 25% of the Lower Explosive Limit (LEL). The programme of tests involved examination of the ventilation performance in terms of sensitivity to chimney position, hydrogen release rate, hydrogen release point, ullage height and chimney diameter. The tests carried out lasted many hours, and the hydrogen concentration was monitored at a number of points within the ullage space. Pairs of ventilation chimneys with associated instrumentation systems were used to control and monitor the hydrogen concentration within the ullage space. This paper describes the approach to the testing, the results obtained and their analysis.","container-title":"International Journal of Hydrogen Energy","DOI":"10.1016/j.ijhydene.2014.05.120","ISSN":"0360-3199","issue":"35","journalAbbreviation":"International Journal of Hydrogen Energy","language":"en","page":"20325-20330","source":"ScienceDirect","title":"Large scale passive ventilation trials of hydrogen","volume":"39","author":[{"family":"Hedley","given":"D."},{"family":"Hawksworth","given":"S. J."},{"family":"Rattigan","given":"W."},{"family":"Brentnall","given":"R."},{"family":"Allen","given":"J."}],"issued":{"date-parts":[["2014",12,3]]}}}],"schema":"https://github.com/citation-style-language/schema/raw/master/csl-citation.json"} </w:instrText>
      </w:r>
      <w:r>
        <w:rPr>
          <w:rFonts w:hint="eastAsia" w:ascii="Times New Roman" w:hAnsi="Times New Roman" w:cs="Times New Roman"/>
          <w:szCs w:val="21"/>
          <w:highlight w:val="none"/>
          <w:vertAlign w:val="superscript"/>
        </w:rPr>
        <w:fldChar w:fldCharType="separate"/>
      </w:r>
      <w:r>
        <w:rPr>
          <w:rFonts w:hint="default" w:ascii="Times New Roman" w:hAnsi="Times New Roman" w:cs="Times New Roman"/>
          <w:sz w:val="21"/>
          <w:szCs w:val="24"/>
          <w:vertAlign w:val="superscript"/>
        </w:rPr>
        <w:t>[15]</w:t>
      </w:r>
      <w:r>
        <w:rPr>
          <w:rFonts w:hint="eastAsia" w:ascii="Times New Roman" w:hAnsi="Times New Roman" w:cs="Times New Roman"/>
          <w:szCs w:val="21"/>
          <w:highlight w:val="none"/>
          <w:vertAlign w:val="superscript"/>
        </w:rPr>
        <w:fldChar w:fldCharType="end"/>
      </w:r>
      <w:r>
        <w:rPr>
          <w:rFonts w:hint="eastAsia" w:ascii="Times New Roman" w:hAnsi="Times New Roman" w:cs="Times New Roman"/>
          <w:szCs w:val="21"/>
          <w:highlight w:val="none"/>
          <w:lang w:eastAsia="zh-CN"/>
        </w:rPr>
        <w:t>，</w:t>
      </w:r>
      <w:r>
        <w:rPr>
          <w:rFonts w:hint="eastAsia" w:ascii="Times New Roman" w:hAnsi="Times New Roman" w:cs="Times New Roman"/>
          <w:szCs w:val="21"/>
          <w:highlight w:val="none"/>
          <w:lang w:val="en-US" w:eastAsia="zh-CN"/>
        </w:rPr>
        <w:t>为模拟的开展提供了宝贵的数据。Shu等</w:t>
      </w:r>
      <w:r>
        <w:rPr>
          <w:rFonts w:hint="eastAsia" w:ascii="Times New Roman" w:hAnsi="Times New Roman" w:cs="Times New Roman"/>
          <w:szCs w:val="21"/>
          <w:highlight w:val="none"/>
          <w:vertAlign w:val="superscript"/>
          <w:lang w:val="en-US" w:eastAsia="zh-CN"/>
        </w:rPr>
        <w:fldChar w:fldCharType="begin"/>
      </w:r>
      <w:r>
        <w:rPr>
          <w:rFonts w:hint="eastAsia" w:ascii="Times New Roman" w:hAnsi="Times New Roman" w:cs="Times New Roman"/>
          <w:szCs w:val="21"/>
          <w:highlight w:val="none"/>
          <w:vertAlign w:val="superscript"/>
          <w:lang w:val="en-US" w:eastAsia="zh-CN"/>
        </w:rPr>
        <w:instrText xml:space="preserve"> ADDIN ZOTERO_ITEM CSL_CITATION {"citationID":"jr1pEn3J","properties":{"formattedCitation":"\\super [16-17]\\nosupersub{}","plainCitation":"[16-17]","noteIndex":0},"citationItems":[{"id":244,"uris":["http://zotero.org/users/local/qCNt7I6D/items/PVNHJY2R"],"itemData":{"id":244,"type":"article-journal","abstract":"As green energy, Liquid hydrogen promises to be widely used in the future. However, its security issue has become a great concern because liquid hydrogen will quickly form a low-temperature, flammable, and explosive vapor cloud when leaking or spilling occurs. In this work, liquid helium spilling experiments were designed and performed to predict the dispersion characteristics of liquid hydrogen in confined space with controlled and comparable boundary conditions. The concentration cloud and the infrared cloud images near the liquid helium pool were obtained at the same time. Results show that the air humidity has an impact on the vapor cloud temperature change, i.e., every 10% increase in air humidity will lead to a 5 ℃-temperature increase. The presence of high air humidity increases the vapor cloud buoyancy and promotes the cloud's dispersion in the vertical direction. The visible range of the helium vapor cloud is much smaller than the measured combustible concentration range with air humidity of 50–70%. The helium vapor concentration range at different vertical heights and horizontal distances also increases with the air humidity. The experimental data fits the cloud concentration decay curve under different ambient humidity satisfying the exponential function. The work is expected to provide a technical basis for safety studies of liquid hydrogen and liquid helium spilling.","container-title":"Process Safety and Environmental Protection","DOI":"10.1016/j.psep.2022.04.066","ISSN":"0957-5820","journalAbbreviation":"Process Safety and Environmental Protection","language":"en","page":"923-931","source":"ScienceDirect","title":"Experimental investigation of hydrogen dispersion characteristics with liquid helium spills in moist air","volume":"162","author":[{"family":"Shu","given":"Z Y"},{"family":"Lei","given":"G"},{"family":"Liang","given":"W Q"},{"family":"Dai","given":"W X"},{"family":"Lu","given":"F M"},{"family":"Zheng","given":"X H"},{"family":"Qian","given":"H"}],"issued":{"date-parts":[["2022",6,1]]}}},{"id":245,"uris":["http://zotero.org/users/local/qCNt7I6D/items/QVT4K75L"],"itemData":{"id":245,"type":"article-journal","abstract":"Liquid hydrogen is an important way for hydrogen energy storage and transportation in the future. However, the safety issue should be a concern because it will quickly form a low- temperature, flammable and explosive vapor cloud when liquid hydrogen leaks. A new liquid helium spill experiment method was used to predict the dispersion characteristics of liquid hydrogen in confined space at this work. The concentration cloud and the infrared cloud images near the liquid helium pool were obtained at the same time. Results show it is a safe and reliable way to study the leakage and diffusion characteristics of liquid hydrogen instead of liquid helium. After the liquid helium leaks and diffuses, a white cloud cluster will quickly form, and the vapor cloud cluster has a clear temperature boundary observed by infrared thermal imaging equipment. The concentration decay rate of the helium concentration near the leakage port along the vertical height is less than the concentration decay rate of the horizontal distance, which are 0.098%/mm and 0.118%/mm, respectively. The research results have certain technical guidance for the application and safety protection of liquid hydrogen.","container-title":"Journal of Physics: Conference Series","DOI":"10.1088/1742-6596/2208/1/012020","ISSN":"1742-6596","issue":"1","journalAbbreviation":"J. Phys.: Conf. Ser.","language":"en","note":"publisher: IOP Publishing","page":"012020","source":"Institute of Physics","title":"Investigation of Hydrogen Dispersion Characteristics with Liquid Helium Spills","volume":"2208","author":[{"family":"Shu","given":"Z Y"},{"family":"Lei","given":"G"},{"family":"Liang","given":"W Q"},{"family":"Wang","given":"T X"},{"family":"Qian","given":"H"}],"issued":{"date-parts":[["2022",3]]}}}],"schema":"https://github.com/citation-style-language/schema/raw/master/csl-citation.json"} </w:instrText>
      </w:r>
      <w:r>
        <w:rPr>
          <w:rFonts w:hint="eastAsia" w:ascii="Times New Roman" w:hAnsi="Times New Roman" w:cs="Times New Roman"/>
          <w:szCs w:val="21"/>
          <w:highlight w:val="none"/>
          <w:vertAlign w:val="superscript"/>
          <w:lang w:val="en-US" w:eastAsia="zh-CN"/>
        </w:rPr>
        <w:fldChar w:fldCharType="separate"/>
      </w:r>
      <w:r>
        <w:rPr>
          <w:rFonts w:hint="default" w:ascii="Times New Roman" w:hAnsi="Times New Roman" w:cs="Times New Roman"/>
          <w:sz w:val="21"/>
          <w:szCs w:val="24"/>
          <w:vertAlign w:val="superscript"/>
        </w:rPr>
        <w:t>[16-17]</w:t>
      </w:r>
      <w:r>
        <w:rPr>
          <w:rFonts w:hint="eastAsia" w:ascii="Times New Roman" w:hAnsi="Times New Roman" w:cs="Times New Roman"/>
          <w:szCs w:val="21"/>
          <w:highlight w:val="none"/>
          <w:vertAlign w:val="superscript"/>
          <w:lang w:val="en-US" w:eastAsia="zh-CN"/>
        </w:rPr>
        <w:fldChar w:fldCharType="end"/>
      </w:r>
      <w:r>
        <w:rPr>
          <w:rFonts w:hint="eastAsia" w:ascii="Times New Roman" w:hAnsi="Times New Roman" w:cs="Times New Roman"/>
          <w:szCs w:val="21"/>
          <w:highlight w:val="none"/>
          <w:lang w:val="en-US" w:eastAsia="zh-CN"/>
        </w:rPr>
        <w:t>通过开展液氦代替液氢的泄漏实验，研究了不同环境参数对液氢在狭窄空间内的分散特性的影响。</w:t>
      </w:r>
      <w:r>
        <w:rPr>
          <w:rFonts w:hint="eastAsia" w:ascii="Times New Roman" w:hAnsi="Times New Roman" w:cs="Times New Roman"/>
          <w:szCs w:val="21"/>
          <w:highlight w:val="none"/>
        </w:rPr>
        <w:t>Tang等</w:t>
      </w:r>
      <w:r>
        <w:rPr>
          <w:rFonts w:hint="eastAsia" w:ascii="Times New Roman" w:hAnsi="Times New Roman" w:cs="Times New Roman"/>
          <w:szCs w:val="21"/>
          <w:highlight w:val="none"/>
          <w:vertAlign w:val="superscript"/>
        </w:rPr>
        <w:fldChar w:fldCharType="begin"/>
      </w:r>
      <w:r>
        <w:rPr>
          <w:rFonts w:hint="eastAsia" w:ascii="Times New Roman" w:hAnsi="Times New Roman" w:cs="Times New Roman"/>
          <w:szCs w:val="21"/>
          <w:highlight w:val="none"/>
          <w:vertAlign w:val="superscript"/>
          <w:lang w:eastAsia="zh-CN"/>
        </w:rPr>
        <w:instrText xml:space="preserve"> ADDIN ZOTERO_ITEM CSL_CITATION {"citationID":"qiqvQNY7","properties":{"formattedCitation":"\\super [18]\\nosupersub{}","plainCitation":"[18]","noteIndex":0},"citationItems":[{"id":206,"uris":["http://zotero.org/users/local/qCNt7I6D/items/J4T6RWXL"],"itemData":{"id":206,"type":"article-journal","abstract":"The potential hazard of liquid hydrogen is still a problem for hydrogen-energy-driven automobile application. Based on the previous multicomponent-phase-change modeling of cryogenic and combustible liquids leakage. This paper has developed three different physical models to simulate the evaporation and dispersion processes of the liquid hydrogen (as vehicle fuel) that is leaking in open area, garage and tunnel scenarios. The leakage liquid hydrogen is 5.6 kg with a horizontal release direction on the ground. Cloud shape, duration time and hazard ranges are analyzed during the period of hydrogen cloud growing and shrinking in different environments. The results indicate that the case in open area displays the greatest flammable cloud volume among these three scenarios with 1133 m3 in ignition hazard and 356 m3 in detonation hazard, but the cloud mainly disperses above the height of 1.5 m, and it lasts for the shortest duration. Therefore, it would relatively safer than other two scenarios. The garage scenario has the longest dispersion duration time of 83.4 s for ignition and 30 s for detonation, and the widespread hazard ranges can put threat to all cars in the garage. The tunnel case shows the maximum downwind hazard distances below the height of 1.5 m. The corresponding ignition and detonation distances are 26.8 m and 24.4 m.","container-title":"International Journal of Hydrogen Energy","DOI":"10.1016/j.ijhydene.2020.08.031","ISSN":"0360-3199","issue":"55","journalAbbreviation":"International Journal of Hydrogen Energy","language":"en","page":"31278-31288","source":"ScienceDirect","title":"Dispersion behavior and safety study of liquid hydrogen leakage under different application situations","volume":"45","author":[{"family":"Tang","given":"Xin"},{"family":"Pu","given":"Liang"},{"family":"Shao","given":"Xiang Yu"},{"family":"Lei","given":"Gang"},{"family":"Li","given":"Yan Zhong"},{"family":"Wang","given":"Xin Ke"}],"issued":{"date-parts":[["2020",11,6]]}}}],"schema":"https://github.com/citation-style-language/schema/raw/master/csl-citation.json"} </w:instrText>
      </w:r>
      <w:r>
        <w:rPr>
          <w:rFonts w:hint="eastAsia" w:ascii="Times New Roman" w:hAnsi="Times New Roman" w:cs="Times New Roman"/>
          <w:szCs w:val="21"/>
          <w:highlight w:val="none"/>
          <w:vertAlign w:val="superscript"/>
        </w:rPr>
        <w:fldChar w:fldCharType="separate"/>
      </w:r>
      <w:r>
        <w:rPr>
          <w:rFonts w:hint="default" w:ascii="Times New Roman" w:hAnsi="Times New Roman" w:cs="Times New Roman"/>
          <w:sz w:val="21"/>
          <w:szCs w:val="24"/>
          <w:vertAlign w:val="superscript"/>
        </w:rPr>
        <w:t>[18]</w:t>
      </w:r>
      <w:r>
        <w:rPr>
          <w:rFonts w:hint="eastAsia" w:ascii="Times New Roman" w:hAnsi="Times New Roman" w:cs="Times New Roman"/>
          <w:szCs w:val="21"/>
          <w:highlight w:val="none"/>
          <w:vertAlign w:val="superscript"/>
        </w:rPr>
        <w:fldChar w:fldCharType="end"/>
      </w:r>
      <w:r>
        <w:rPr>
          <w:rFonts w:hint="eastAsia" w:ascii="Times New Roman" w:hAnsi="Times New Roman" w:cs="Times New Roman"/>
          <w:szCs w:val="21"/>
          <w:highlight w:val="none"/>
        </w:rPr>
        <w:t>研究了开放区域、车库和隧道场景下的氢分散特性，对点火</w:t>
      </w:r>
      <w:r>
        <w:rPr>
          <w:rFonts w:hint="eastAsia" w:ascii="Times New Roman" w:hAnsi="Times New Roman" w:cs="Times New Roman"/>
          <w:szCs w:val="21"/>
          <w:highlight w:val="none"/>
          <w:lang w:val="en-US" w:eastAsia="zh-CN"/>
        </w:rPr>
        <w:t>与</w:t>
      </w:r>
      <w:r>
        <w:rPr>
          <w:rFonts w:hint="eastAsia" w:ascii="Times New Roman" w:hAnsi="Times New Roman" w:cs="Times New Roman"/>
          <w:szCs w:val="21"/>
          <w:highlight w:val="none"/>
        </w:rPr>
        <w:t>爆震云的安全性进行了比较分析，并提出了安全建议。Fu等</w:t>
      </w:r>
      <w:r>
        <w:rPr>
          <w:rFonts w:hint="eastAsia" w:ascii="Times New Roman" w:hAnsi="Times New Roman" w:cs="Times New Roman"/>
          <w:szCs w:val="21"/>
          <w:highlight w:val="none"/>
          <w:vertAlign w:val="superscript"/>
        </w:rPr>
        <w:fldChar w:fldCharType="begin"/>
      </w:r>
      <w:r>
        <w:rPr>
          <w:rFonts w:hint="eastAsia" w:ascii="Times New Roman" w:hAnsi="Times New Roman" w:cs="Times New Roman"/>
          <w:szCs w:val="21"/>
          <w:highlight w:val="none"/>
          <w:vertAlign w:val="superscript"/>
          <w:lang w:eastAsia="zh-CN"/>
        </w:rPr>
        <w:instrText xml:space="preserve"> ADDIN ZOTERO_ITEM CSL_CITATION {"citationID":"ZiZB7Wue","properties":{"formattedCitation":"\\super [19]\\nosupersub{}","plainCitation":"[19]","noteIndex":0},"citationItems":[{"id":214,"uris":["http://zotero.org/users/local/qCNt7I6D/items/BMMIAHEX"],"itemData":{"id":214,"type":"article-journal","abstract":"Liquid hydrogen storage is an important way of hydrogen storage and transportation, which greatly improves the storage and transportation efficiency due to the high energy density but at the same time brings new safety hazards. In this study, the liquid hydrogen leakage in the storage area of a hydrogen production station is numerically simulated. The effects of ambient wind direction, wind speed, leakage mass flow rate, and the mass fraction of gas phase at the leakage port on the diffusion behavior of the liquid hydrogen leakage were investigated. The results show that the ambient wind direction directly determines the direction of liquid hydrogen leakage diffusion. The wind speed significantly affects the diffusion distance. When the wind speed is 6 m/s, the diffusion distance of the flammable hydrogen cloud reaches 40.08 m, which is 2.63 times that under windless conditions. The liquid hydrogen leakage mass flow rate and the mass fraction of the gas phase have a greater effect on the volume of the flammable hydrogen cloud. As the leakage mass flow rate increased from 5.15 kg/s to 10 kg/s, the flammable hydrogen cloud volume increased from 5734.31 m3 to 10,305.5 m3. The installation of a barrier wall in front of the leakage port can limit the horizontal diffusion of the flammable hydrogen cloud, elevate the diffusion height, and effectively reduce the volume of the flammable hydrogen cloud. This study can provide theoretical support for the construction and operation of hydrogen production stations.","container-title":"Fire","DOI":"10.3390/fire7070217","ISSN":"2571-6255","issue":"7","language":"en","license":"http://creativecommons.org/licenses/by/3.0/","note":"number: 7\npublisher: Multidisciplinary Digital Publishing Institute","page":"217","source":"www.mdpi.com","title":"Study on Liquid Hydrogen Leakage and Diffusion Behavior in a Hydrogen Production Station","volume":"7","author":[{"family":"Fu","given":"Xiang"},{"family":"Li","given":"Guo Dong"},{"family":"Chen","given":"Shi Yu"},{"family":"Song","given":"Chun Yan"},{"family":"Xiao","given":"Zhi Li"},{"family":"Luo","given":"Hao"},{"family":"Wan","given":"Jiaqi"},{"family":"Yang","given":"Tianqi"},{"family":"Xu","given":"Nianfeng"},{"family":"Xiao","given":"Jinsheng"}],"issued":{"date-parts":[["2024",7]]}}}],"schema":"https://github.com/citation-style-language/schema/raw/master/csl-citation.json"} </w:instrText>
      </w:r>
      <w:r>
        <w:rPr>
          <w:rFonts w:hint="eastAsia" w:ascii="Times New Roman" w:hAnsi="Times New Roman" w:cs="Times New Roman"/>
          <w:szCs w:val="21"/>
          <w:highlight w:val="none"/>
          <w:vertAlign w:val="superscript"/>
        </w:rPr>
        <w:fldChar w:fldCharType="separate"/>
      </w:r>
      <w:r>
        <w:rPr>
          <w:rFonts w:hint="default" w:ascii="Times New Roman" w:hAnsi="Times New Roman" w:cs="Times New Roman"/>
          <w:sz w:val="21"/>
          <w:szCs w:val="24"/>
          <w:vertAlign w:val="superscript"/>
        </w:rPr>
        <w:t>[19]</w:t>
      </w:r>
      <w:r>
        <w:rPr>
          <w:rFonts w:hint="eastAsia" w:ascii="Times New Roman" w:hAnsi="Times New Roman" w:cs="Times New Roman"/>
          <w:szCs w:val="21"/>
          <w:highlight w:val="none"/>
          <w:vertAlign w:val="superscript"/>
        </w:rPr>
        <w:fldChar w:fldCharType="end"/>
      </w:r>
      <w:r>
        <w:rPr>
          <w:rFonts w:hint="eastAsia" w:ascii="Times New Roman" w:hAnsi="Times New Roman" w:cs="Times New Roman"/>
          <w:szCs w:val="21"/>
          <w:highlight w:val="none"/>
        </w:rPr>
        <w:t>对制氢站中液氢泄漏的扩散行为</w:t>
      </w:r>
      <w:r>
        <w:rPr>
          <w:rFonts w:hint="eastAsia" w:ascii="Times New Roman" w:hAnsi="Times New Roman" w:cs="Times New Roman"/>
          <w:szCs w:val="21"/>
          <w:highlight w:val="none"/>
          <w:lang w:val="en-US" w:eastAsia="zh-CN"/>
        </w:rPr>
        <w:t>的</w:t>
      </w:r>
      <w:r>
        <w:rPr>
          <w:rFonts w:hint="eastAsia" w:ascii="Times New Roman" w:hAnsi="Times New Roman" w:cs="Times New Roman"/>
          <w:szCs w:val="21"/>
          <w:highlight w:val="none"/>
        </w:rPr>
        <w:t>分析表明</w:t>
      </w:r>
      <w:r>
        <w:rPr>
          <w:rFonts w:hint="eastAsia" w:ascii="Times New Roman" w:hAnsi="Times New Roman" w:cs="Times New Roman"/>
          <w:szCs w:val="21"/>
          <w:highlight w:val="none"/>
          <w:lang w:eastAsia="zh-CN"/>
        </w:rPr>
        <w:t>，</w:t>
      </w:r>
      <w:r>
        <w:rPr>
          <w:rFonts w:hint="eastAsia" w:ascii="Times New Roman" w:hAnsi="Times New Roman" w:cs="Times New Roman"/>
          <w:szCs w:val="21"/>
          <w:highlight w:val="none"/>
        </w:rPr>
        <w:t>周围风决定了扩散方向，安装屏障墙有助于限制水平扩散并减少易燃云体积。Li等</w:t>
      </w:r>
      <w:r>
        <w:rPr>
          <w:rFonts w:hint="eastAsia" w:ascii="Times New Roman" w:hAnsi="Times New Roman" w:cs="Times New Roman"/>
          <w:szCs w:val="21"/>
          <w:highlight w:val="none"/>
          <w:vertAlign w:val="superscript"/>
        </w:rPr>
        <w:fldChar w:fldCharType="begin"/>
      </w:r>
      <w:r>
        <w:rPr>
          <w:rFonts w:hint="eastAsia" w:ascii="Times New Roman" w:hAnsi="Times New Roman" w:cs="Times New Roman"/>
          <w:szCs w:val="21"/>
          <w:highlight w:val="none"/>
          <w:vertAlign w:val="superscript"/>
          <w:lang w:eastAsia="zh-CN"/>
        </w:rPr>
        <w:instrText xml:space="preserve"> ADDIN ZOTERO_ITEM CSL_CITATION {"citationID":"zMD8VSUQ","properties":{"formattedCitation":"\\super [20]\\nosupersub{}","plainCitation":"[20]","noteIndex":0},"citationItems":[{"id":216,"uris":["http://zotero.org/users/local/qCNt7I6D/items/NM2UASFK"],"itemData":{"id":216,"type":"article-journal","abstract":"The operation of mobile hydrogen refueling stations will be popular for hydrogen energy supply in the future, and the investigation includes the hydrogen diffusion behavior of hydrogen leakage and the potential risk of explosion is pivotal to commercializing the mobile hydrogen refueling station. The dispersion of hydrogen leakage and the minimum safe distance of explosion of the mobile hydrogen refueling station are studied by simulation. The 3D full-scale geometry is established. Experimental data verifies the numerical models. The effects of the ventilation scenarios of the truck container and the ambient wind (wind speeds and wind directions) on hydrogen volume and diffusion distance are analyzed. By calculating the severe working conditions results, the hydrogen volume in the open space and the hydrogen concentration in the four 3-way corners of the ceiling in the truck container are obtained. Finally, the overpressure caused by hydrogen explosion is evaluated, and the minimum safe distance under different damage effects is predicted. The obtained results reveal that the conditions included that the side door and side window are open, low ambient wind speed, and wind direction from front to rear of the mobile hydrogen refueling station increase the risk of hydrogen leakage and diffusion. Based on severe working conditions, the average hydrogen volume is 87.9 m3 in the air in stable status. In the case of a hydrogen explosion, the minimum safe distance is 313.2 m. The investigation provided a valuable reference for evaluating and preventing hydrogen leakage accidents of the mobile hydrogen refueling station.","container-title":"Process Safety and Environmental Protection","DOI":"10.1016/j.psep.2023.01.051","ISSN":"0957-5820","journalAbbreviation":"Process Safety and Environmental Protection","language":"en","page":"619-629","source":"ScienceDirect","title":"Safety analysis of hydrogen leakage accident with a mobile hydrogen refueling station","volume":"171","author":[{"family":"Li","given":"Yong Jun"},{"family":"Wang","given":"Zhi Rong"},{"family":"Shi","given":"Xue Meng"},{"family":"Fan","given":"Ru Jia"}],"issued":{"date-parts":[["2023",3,1]]}}}],"schema":"https://github.com/citation-style-language/schema/raw/master/csl-citation.json"} </w:instrText>
      </w:r>
      <w:r>
        <w:rPr>
          <w:rFonts w:hint="eastAsia" w:ascii="Times New Roman" w:hAnsi="Times New Roman" w:cs="Times New Roman"/>
          <w:szCs w:val="21"/>
          <w:highlight w:val="none"/>
          <w:vertAlign w:val="superscript"/>
        </w:rPr>
        <w:fldChar w:fldCharType="separate"/>
      </w:r>
      <w:r>
        <w:rPr>
          <w:rFonts w:hint="default" w:ascii="Times New Roman" w:hAnsi="Times New Roman" w:cs="Times New Roman"/>
          <w:sz w:val="21"/>
          <w:szCs w:val="24"/>
          <w:vertAlign w:val="superscript"/>
        </w:rPr>
        <w:t>[20]</w:t>
      </w:r>
      <w:r>
        <w:rPr>
          <w:rFonts w:hint="eastAsia" w:ascii="Times New Roman" w:hAnsi="Times New Roman" w:cs="Times New Roman"/>
          <w:szCs w:val="21"/>
          <w:highlight w:val="none"/>
          <w:vertAlign w:val="superscript"/>
        </w:rPr>
        <w:fldChar w:fldCharType="end"/>
      </w:r>
      <w:r>
        <w:rPr>
          <w:rFonts w:hint="eastAsia" w:ascii="Times New Roman" w:hAnsi="Times New Roman" w:cs="Times New Roman"/>
          <w:szCs w:val="21"/>
          <w:highlight w:val="none"/>
        </w:rPr>
        <w:t>分析了移动式加氢站相关的氢气泄漏和爆炸风险。</w:t>
      </w:r>
      <w:r>
        <w:rPr>
          <w:rFonts w:hint="eastAsia" w:ascii="Times New Roman" w:hAnsi="Times New Roman" w:cs="Times New Roman"/>
          <w:szCs w:val="21"/>
          <w:highlight w:val="none"/>
          <w:lang w:val="en-US" w:eastAsia="zh-CN"/>
        </w:rPr>
        <w:t>前</w:t>
      </w:r>
      <w:bookmarkEnd w:id="4"/>
      <w:r>
        <w:rPr>
          <w:rFonts w:hint="eastAsia" w:ascii="Times New Roman" w:hAnsi="Times New Roman" w:cs="Times New Roman"/>
          <w:szCs w:val="21"/>
          <w:highlight w:val="none"/>
          <w:lang w:val="en-US" w:eastAsia="zh-CN"/>
        </w:rPr>
        <w:t>述分析表明，已有的研究因实验或是仿真需求均设定为开放空间或受限空间场景，缺乏对于</w:t>
      </w:r>
      <w:r>
        <w:rPr>
          <w:rFonts w:hint="eastAsia" w:ascii="Times New Roman" w:hAnsi="Times New Roman" w:cs="Times New Roman"/>
          <w:szCs w:val="21"/>
          <w:highlight w:val="none"/>
        </w:rPr>
        <w:t>存放大量液氢</w:t>
      </w:r>
      <w:r>
        <w:rPr>
          <w:rFonts w:hint="eastAsia" w:ascii="Times New Roman" w:hAnsi="Times New Roman" w:cs="Times New Roman"/>
          <w:szCs w:val="21"/>
          <w:highlight w:val="none"/>
          <w:lang w:val="en-US" w:eastAsia="zh-CN"/>
        </w:rPr>
        <w:t>的</w:t>
      </w:r>
      <w:r>
        <w:rPr>
          <w:rFonts w:hint="eastAsia" w:ascii="Times New Roman" w:hAnsi="Times New Roman" w:eastAsia="宋体" w:cs="Times New Roman"/>
          <w:kern w:val="0"/>
          <w:szCs w:val="21"/>
          <w:lang w:val="en-US" w:eastAsia="zh-CN"/>
        </w:rPr>
        <w:t>大型液氢库区</w:t>
      </w:r>
      <w:r>
        <w:rPr>
          <w:rFonts w:hint="eastAsia" w:ascii="Times New Roman" w:hAnsi="Times New Roman" w:cs="Times New Roman"/>
          <w:szCs w:val="21"/>
          <w:highlight w:val="none"/>
          <w:lang w:val="en-US" w:eastAsia="zh-CN"/>
        </w:rPr>
        <w:t>的泄漏全尺度模拟及安全性分析。</w:t>
      </w:r>
    </w:p>
    <w:bookmarkEnd w:id="5"/>
    <w:p w14:paraId="6A300F90">
      <w:pPr>
        <w:widowControl/>
        <w:spacing w:line="240" w:lineRule="atLeast"/>
        <w:ind w:firstLine="420"/>
        <w:rPr>
          <w:rFonts w:hint="eastAsia" w:ascii="Times New Roman" w:hAnsi="Times New Roman" w:cs="Times New Roman"/>
          <w:szCs w:val="21"/>
        </w:rPr>
        <w:sectPr>
          <w:type w:val="continuous"/>
          <w:pgSz w:w="11906" w:h="16838"/>
          <w:pgMar w:top="1440" w:right="1106" w:bottom="1440" w:left="1106" w:header="851" w:footer="992" w:gutter="0"/>
          <w:cols w:space="425" w:num="2"/>
          <w:titlePg/>
          <w:docGrid w:type="linesAndChars" w:linePitch="312" w:charSpace="0"/>
        </w:sectPr>
      </w:pPr>
    </w:p>
    <w:p w14:paraId="096081B8">
      <w:pPr>
        <w:tabs>
          <w:tab w:val="left" w:pos="735"/>
        </w:tabs>
        <w:spacing w:line="360" w:lineRule="exact"/>
        <w:rPr>
          <w:rFonts w:ascii="Times New Roman" w:hAnsi="Times New Roman" w:eastAsia="黑体"/>
          <w:sz w:val="18"/>
          <w:szCs w:val="18"/>
          <w:highlight w:val="none"/>
        </w:rPr>
      </w:pPr>
      <w:r>
        <w:rPr>
          <w:rFonts w:hint="eastAsia" w:ascii="Times New Roman" w:hAnsi="Times New Roman" w:eastAsia="黑体"/>
          <w:sz w:val="18"/>
          <w:szCs w:val="18"/>
          <w:highlight w:val="none"/>
        </w:rPr>
        <w:t>————————</w:t>
      </w:r>
    </w:p>
    <w:p w14:paraId="0F5F325A">
      <w:pPr>
        <w:widowControl/>
        <w:spacing w:line="240" w:lineRule="atLeast"/>
        <w:ind w:firstLine="420" w:firstLineChars="200"/>
        <w:rPr>
          <w:rFonts w:hint="eastAsia" w:ascii="Times New Roman" w:hAnsi="Times New Roman" w:cs="Times New Roman"/>
          <w:szCs w:val="21"/>
          <w:highlight w:val="none"/>
          <w:lang w:val="en-US" w:eastAsia="zh-CN"/>
        </w:rPr>
      </w:pPr>
      <w:r>
        <w:rPr>
          <w:rFonts w:hint="eastAsia" w:ascii="Times New Roman" w:hAnsi="Times New Roman" w:cs="Times New Roman"/>
          <w:szCs w:val="21"/>
          <w:highlight w:val="none"/>
        </w:rPr>
        <w:t>研究</w:t>
      </w:r>
      <w:r>
        <w:rPr>
          <w:rFonts w:hint="eastAsia" w:ascii="Times New Roman" w:hAnsi="Times New Roman" w:eastAsia="宋体" w:cs="Times New Roman"/>
          <w:kern w:val="0"/>
          <w:szCs w:val="21"/>
          <w:lang w:val="en-US" w:eastAsia="zh-CN"/>
        </w:rPr>
        <w:t>大型液氢库区</w:t>
      </w:r>
      <w:r>
        <w:rPr>
          <w:rFonts w:hint="eastAsia" w:ascii="Times New Roman" w:hAnsi="Times New Roman" w:cs="Times New Roman"/>
          <w:szCs w:val="21"/>
          <w:highlight w:val="none"/>
        </w:rPr>
        <w:t>发生液氢大规模泄漏后，氢扩散、火灾以及场区的安全性，对于</w:t>
      </w:r>
      <w:r>
        <w:rPr>
          <w:rFonts w:hint="eastAsia" w:ascii="Times New Roman" w:hAnsi="Times New Roman" w:cs="Times New Roman"/>
          <w:szCs w:val="21"/>
          <w:highlight w:val="none"/>
          <w:lang w:val="en-US" w:eastAsia="zh-CN"/>
        </w:rPr>
        <w:t>保障</w:t>
      </w:r>
      <w:r>
        <w:rPr>
          <w:rFonts w:hint="eastAsia" w:ascii="Times New Roman" w:hAnsi="Times New Roman" w:cs="Times New Roman"/>
          <w:szCs w:val="21"/>
          <w:highlight w:val="none"/>
        </w:rPr>
        <w:t>发射场的安全和正常运行具有重要的实际意义。本文</w:t>
      </w:r>
      <w:r>
        <w:rPr>
          <w:rFonts w:hint="eastAsia" w:ascii="Times New Roman" w:hAnsi="Times New Roman" w:cs="Times New Roman"/>
          <w:szCs w:val="21"/>
          <w:highlight w:val="none"/>
          <w:lang w:val="en-US" w:eastAsia="zh-CN"/>
        </w:rPr>
        <w:t>将构建FDS液氢泄漏仿真模型框架</w:t>
      </w:r>
      <w:r>
        <w:rPr>
          <w:rFonts w:hint="eastAsia" w:ascii="Times New Roman" w:hAnsi="Times New Roman" w:cs="Times New Roman"/>
          <w:szCs w:val="21"/>
          <w:highlight w:val="none"/>
        </w:rPr>
        <w:t>，</w:t>
      </w:r>
      <w:r>
        <w:rPr>
          <w:rFonts w:hint="eastAsia" w:ascii="Times New Roman" w:hAnsi="Times New Roman" w:cs="Times New Roman"/>
          <w:szCs w:val="21"/>
          <w:highlight w:val="none"/>
          <w:lang w:val="en-US" w:eastAsia="zh-CN"/>
        </w:rPr>
        <w:t>综合</w:t>
      </w:r>
      <w:r>
        <w:rPr>
          <w:rFonts w:hint="eastAsia" w:ascii="Times New Roman" w:hAnsi="Times New Roman" w:cs="Times New Roman"/>
          <w:szCs w:val="21"/>
          <w:highlight w:val="none"/>
        </w:rPr>
        <w:t>考虑液氢相变，</w:t>
      </w:r>
      <w:r>
        <w:rPr>
          <w:rFonts w:hint="eastAsia" w:ascii="Times New Roman" w:hAnsi="Times New Roman" w:eastAsia="宋体" w:cs="Times New Roman"/>
          <w:kern w:val="0"/>
          <w:szCs w:val="21"/>
          <w:lang w:val="en-US" w:eastAsia="zh-CN"/>
        </w:rPr>
        <w:t>顶部受限、太阳辐照等因素，</w:t>
      </w:r>
      <w:r>
        <w:rPr>
          <w:rFonts w:hint="eastAsia" w:ascii="Times New Roman" w:hAnsi="Times New Roman" w:cs="Times New Roman"/>
          <w:szCs w:val="21"/>
          <w:highlight w:val="none"/>
        </w:rPr>
        <w:t>对液氢泄漏后可能</w:t>
      </w:r>
      <w:r>
        <w:rPr>
          <w:rFonts w:hint="eastAsia" w:ascii="Times New Roman" w:hAnsi="Times New Roman" w:cs="Times New Roman"/>
          <w:szCs w:val="21"/>
          <w:highlight w:val="none"/>
          <w:lang w:val="en-US" w:eastAsia="zh-CN"/>
        </w:rPr>
        <w:t>存在</w:t>
      </w:r>
      <w:r>
        <w:rPr>
          <w:rFonts w:hint="eastAsia" w:ascii="Times New Roman" w:hAnsi="Times New Roman" w:cs="Times New Roman"/>
          <w:szCs w:val="21"/>
          <w:highlight w:val="none"/>
        </w:rPr>
        <w:t>的安全风险进行评估</w:t>
      </w:r>
      <w:r>
        <w:rPr>
          <w:rFonts w:hint="eastAsia" w:ascii="Times New Roman" w:hAnsi="Times New Roman" w:cs="Times New Roman"/>
          <w:szCs w:val="21"/>
          <w:highlight w:val="none"/>
          <w:lang w:eastAsia="zh-CN"/>
        </w:rPr>
        <w:t>，</w:t>
      </w:r>
      <w:r>
        <w:rPr>
          <w:rFonts w:hint="eastAsia" w:ascii="Times New Roman" w:hAnsi="Times New Roman" w:cs="Times New Roman"/>
          <w:szCs w:val="21"/>
          <w:highlight w:val="none"/>
          <w:lang w:val="en-US" w:eastAsia="zh-CN"/>
        </w:rPr>
        <w:t>并探究意外火灾发生后的火势发展及危险范围</w:t>
      </w:r>
      <w:r>
        <w:rPr>
          <w:rFonts w:hint="eastAsia" w:ascii="Times New Roman" w:hAnsi="Times New Roman" w:cs="Times New Roman"/>
          <w:szCs w:val="21"/>
          <w:highlight w:val="none"/>
        </w:rPr>
        <w:t>。</w:t>
      </w:r>
    </w:p>
    <w:p w14:paraId="42010E22">
      <w:pPr>
        <w:widowControl/>
        <w:spacing w:line="240" w:lineRule="atLeast"/>
        <w:outlineLvl w:val="0"/>
        <w:rPr>
          <w:rFonts w:hint="default" w:ascii="Times New Roman" w:hAnsi="Times New Roman" w:eastAsia="宋体" w:cs="Times New Roman"/>
          <w:b/>
          <w:bCs/>
          <w:kern w:val="0"/>
          <w:sz w:val="24"/>
          <w:szCs w:val="24"/>
          <w:lang w:val="en-US" w:eastAsia="zh-CN"/>
        </w:rPr>
      </w:pPr>
      <w:r>
        <w:rPr>
          <w:rFonts w:hint="eastAsia" w:ascii="Times New Roman" w:hAnsi="Times New Roman" w:eastAsia="宋体" w:cs="Times New Roman"/>
          <w:b/>
          <w:bCs/>
          <w:kern w:val="0"/>
          <w:sz w:val="24"/>
          <w:szCs w:val="24"/>
          <w:lang w:val="en-US" w:eastAsia="zh-CN"/>
        </w:rPr>
        <w:t>1 数值模拟</w:t>
      </w:r>
    </w:p>
    <w:p w14:paraId="546019AD">
      <w:pPr>
        <w:widowControl/>
        <w:numPr>
          <w:ilvl w:val="1"/>
          <w:numId w:val="1"/>
        </w:numPr>
        <w:spacing w:line="240" w:lineRule="atLeast"/>
        <w:outlineLvl w:val="1"/>
        <w:rPr>
          <w:rFonts w:ascii="Times New Roman" w:hAnsi="Times New Roman" w:eastAsia="宋体" w:cs="Times New Roman"/>
          <w:b/>
          <w:kern w:val="0"/>
          <w:szCs w:val="21"/>
        </w:rPr>
      </w:pPr>
      <w:r>
        <w:rPr>
          <w:rFonts w:ascii="Times New Roman" w:hAnsi="Times New Roman" w:eastAsia="宋体" w:cs="Times New Roman"/>
          <w:b/>
          <w:kern w:val="0"/>
          <w:szCs w:val="21"/>
        </w:rPr>
        <w:t xml:space="preserve"> </w:t>
      </w:r>
      <w:r>
        <w:rPr>
          <w:rFonts w:hint="eastAsia" w:ascii="Times New Roman" w:hAnsi="Times New Roman" w:eastAsia="宋体" w:cs="Times New Roman"/>
          <w:b/>
          <w:kern w:val="0"/>
          <w:szCs w:val="21"/>
          <w:lang w:val="en-US" w:eastAsia="zh-CN"/>
        </w:rPr>
        <w:t>国际大型液氢库区</w:t>
      </w:r>
      <w:r>
        <w:rPr>
          <w:rFonts w:hint="eastAsia" w:ascii="Times New Roman" w:hAnsi="Times New Roman" w:eastAsia="宋体" w:cs="Times New Roman"/>
          <w:b/>
          <w:kern w:val="0"/>
          <w:szCs w:val="21"/>
        </w:rPr>
        <w:t>简述</w:t>
      </w:r>
    </w:p>
    <w:p w14:paraId="74633589">
      <w:pPr>
        <w:widowControl/>
        <w:numPr>
          <w:ilvl w:val="-1"/>
          <w:numId w:val="0"/>
        </w:numPr>
        <w:spacing w:line="240" w:lineRule="atLeast"/>
        <w:ind w:firstLine="420"/>
        <w:outlineLvl w:val="9"/>
        <w:rPr>
          <w:rFonts w:hint="eastAsia" w:ascii="Times New Roman" w:hAnsi="Times New Roman" w:cs="Times New Roman"/>
          <w:szCs w:val="21"/>
        </w:rPr>
      </w:pPr>
      <w:r>
        <w:rPr>
          <w:rFonts w:hint="eastAsia" w:ascii="Times New Roman" w:hAnsi="Times New Roman" w:cs="Times New Roman"/>
          <w:szCs w:val="21"/>
        </w:rPr>
        <w:t>如表1所示，通过对</w:t>
      </w:r>
      <w:r>
        <w:rPr>
          <w:rFonts w:hint="eastAsia" w:ascii="Times New Roman" w:hAnsi="Times New Roman" w:cs="Times New Roman" w:eastAsiaTheme="minorEastAsia"/>
          <w:b w:val="0"/>
          <w:kern w:val="2"/>
          <w:szCs w:val="21"/>
          <w:lang w:val="en-US" w:eastAsia="zh-CN"/>
        </w:rPr>
        <w:t>公开的国际</w:t>
      </w:r>
      <w:r>
        <w:rPr>
          <w:rFonts w:hint="eastAsia" w:ascii="Times New Roman" w:hAnsi="Times New Roman" w:cs="Times New Roman"/>
          <w:szCs w:val="21"/>
        </w:rPr>
        <w:t>运载火箭发射场加注系统的调研分析可</w:t>
      </w:r>
      <w:r>
        <w:rPr>
          <w:rFonts w:hint="eastAsia" w:ascii="Times New Roman" w:hAnsi="Times New Roman" w:cs="Times New Roman"/>
          <w:szCs w:val="21"/>
          <w:lang w:val="en-US" w:eastAsia="zh-CN"/>
        </w:rPr>
        <w:t>知</w:t>
      </w:r>
      <w:r>
        <w:rPr>
          <w:rFonts w:hint="eastAsia" w:ascii="Times New Roman" w:hAnsi="Times New Roman" w:cs="Times New Roman"/>
          <w:szCs w:val="21"/>
        </w:rPr>
        <w:t>，</w:t>
      </w:r>
      <w:r>
        <w:rPr>
          <w:rFonts w:hint="eastAsia" w:ascii="Times New Roman" w:hAnsi="Times New Roman" w:cs="Times New Roman"/>
          <w:sz w:val="21"/>
          <w:szCs w:val="21"/>
          <w:lang w:val="en-US" w:eastAsia="zh-CN"/>
        </w:rPr>
        <w:t>出于场地条件限制以及对推进剂储存设施安全性问题的充分考虑，各国推进剂库区与塔台的距离</w:t>
      </w:r>
      <w:r>
        <w:rPr>
          <w:rFonts w:hint="eastAsia" w:ascii="Times New Roman" w:hAnsi="Times New Roman" w:cs="Times New Roman"/>
          <w:szCs w:val="21"/>
        </w:rPr>
        <w:t>区间为</w:t>
      </w:r>
      <w:r>
        <w:rPr>
          <w:rFonts w:hint="eastAsia" w:ascii="Times New Roman" w:hAnsi="Times New Roman" w:cs="Times New Roman"/>
          <w:sz w:val="21"/>
          <w:szCs w:val="21"/>
          <w:lang w:val="en-US" w:eastAsia="zh-CN"/>
        </w:rPr>
        <w:t>60 m~450 m</w:t>
      </w:r>
      <w:r>
        <w:rPr>
          <w:rFonts w:hint="eastAsia" w:ascii="Times New Roman" w:hAnsi="Times New Roman" w:cs="Times New Roman"/>
          <w:sz w:val="21"/>
          <w:szCs w:val="21"/>
          <w:lang w:val="en-US" w:eastAsia="zh-CN"/>
        </w:rPr>
        <w:fldChar w:fldCharType="begin"/>
      </w:r>
      <w:r>
        <w:rPr>
          <w:rFonts w:hint="eastAsia" w:ascii="Times New Roman" w:hAnsi="Times New Roman" w:cs="Times New Roman"/>
          <w:sz w:val="21"/>
          <w:szCs w:val="21"/>
          <w:lang w:val="en-US" w:eastAsia="zh-CN"/>
        </w:rPr>
        <w:instrText xml:space="preserve"> ADDIN ZOTERO_ITEM CSL_CITATION {"citationID":"4ajWLZES","properties":{"formattedCitation":"\\super [21]\\nosupersub{}","plainCitation":"[21]","noteIndex":0},"citationItems":[{"id":307,"uris":["http://zotero.org/users/local/qCNt7I6D/items/MN72IJ24"],"itemData":{"id":307,"type":"paper-conference","abstract":"运载火箭海上发射是一种任务适应性强、经济性好的新型火箭发射模式,具有灵活、机动、高效等特点。推进剂加注是低温液体运载火箭发射流程中十分重要也是危险性最高的环节之一,必须确保加注过程的安全性和可靠性。目前陆基低温推进剂加注系统应用较为成熟,但国内对于低温加注系统在海上发射平台的应用尚属空白。本文介绍了国内外典型低温液体运载火箭加注系统,对低温加注系统在海上应用的难点和关键技术进行了分析,为我国海基低温加注系统的发展提供参考。 更多 还原 AbstractFilter('ChDivSummary', 'ChDivSummaryMore', 'ChDivSummaryReset');","DOI":"10.26914/c.cnkihy.2024.070022","event-place":"中国上海","event-title":"第十九届上海航天科技论坛暨上海市宇航学会2024学术年会","language":"zh-CN","note":"download: 67\nalbum: 工程科技Ⅱ辑\nCLC: V554.4\ndbcode: CPFD\ndbname: CPFDLAST2025\nfilename: SHYH202411001015","page":"136-144","publisher-place":"中国上海","source":"CNKI","title":"低温运载火箭加注技术研究进展及海上发射应用展望","URL":"https://doi.org/10.26914/c.cnkihy.2024.070022","author":[{"literal":"李文然"},{"literal":"雷亚彤"},{"literal":"李春晓"},{"literal":"杜海浪"},{"literal":"张亮"}],"accessed":{"date-parts":[["2025",7,16]]},"issued":{"date-parts":[["2024",11,27]]}}}],"schema":"https://github.com/citation-style-language/schema/raw/master/csl-citation.json"} </w:instrText>
      </w:r>
      <w:r>
        <w:rPr>
          <w:rFonts w:hint="eastAsia" w:ascii="Times New Roman" w:hAnsi="Times New Roman" w:cs="Times New Roman"/>
          <w:sz w:val="21"/>
          <w:szCs w:val="21"/>
          <w:lang w:val="en-US" w:eastAsia="zh-CN"/>
        </w:rPr>
        <w:fldChar w:fldCharType="separate"/>
      </w:r>
      <w:r>
        <w:rPr>
          <w:rFonts w:hint="default" w:ascii="Times New Roman" w:hAnsi="Times New Roman" w:cs="Times New Roman"/>
          <w:sz w:val="21"/>
          <w:szCs w:val="24"/>
          <w:vertAlign w:val="superscript"/>
        </w:rPr>
        <w:t>[21]</w:t>
      </w:r>
      <w:r>
        <w:rPr>
          <w:rFonts w:hint="eastAsia" w:ascii="Times New Roman" w:hAnsi="Times New Roman" w:cs="Times New Roman"/>
          <w:sz w:val="21"/>
          <w:szCs w:val="21"/>
          <w:lang w:val="en-US" w:eastAsia="zh-CN"/>
        </w:rPr>
        <w:fldChar w:fldCharType="end"/>
      </w:r>
      <w:r>
        <w:rPr>
          <w:rFonts w:hint="eastAsia" w:ascii="Times New Roman" w:hAnsi="Times New Roman" w:cs="Times New Roman"/>
          <w:sz w:val="21"/>
          <w:szCs w:val="21"/>
          <w:lang w:val="en-US" w:eastAsia="zh-CN"/>
        </w:rPr>
        <w:t>。</w:t>
      </w:r>
      <w:r>
        <w:rPr>
          <w:rFonts w:hint="eastAsia" w:ascii="Times New Roman" w:hAnsi="Times New Roman" w:cs="Times New Roman"/>
          <w:szCs w:val="21"/>
        </w:rPr>
        <w:t>本研究</w:t>
      </w:r>
      <w:r>
        <w:rPr>
          <w:rFonts w:hint="eastAsia" w:ascii="Times New Roman" w:hAnsi="Times New Roman" w:cs="Times New Roman"/>
          <w:szCs w:val="21"/>
          <w:lang w:val="en-US" w:eastAsia="zh-CN"/>
        </w:rPr>
        <w:t>中目标</w:t>
      </w:r>
      <w:r>
        <w:rPr>
          <w:rFonts w:hint="eastAsia" w:ascii="Times New Roman" w:hAnsi="Times New Roman" w:cs="Times New Roman"/>
          <w:szCs w:val="21"/>
        </w:rPr>
        <w:t>液氢库区与发射台</w:t>
      </w:r>
      <w:r>
        <w:rPr>
          <w:rFonts w:hint="eastAsia" w:ascii="Times New Roman" w:hAnsi="Times New Roman" w:cs="Times New Roman"/>
          <w:szCs w:val="21"/>
          <w:lang w:val="en-US" w:eastAsia="zh-CN"/>
        </w:rPr>
        <w:t>间的</w:t>
      </w:r>
      <w:r>
        <w:rPr>
          <w:rFonts w:hint="eastAsia" w:ascii="Times New Roman" w:hAnsi="Times New Roman" w:cs="Times New Roman"/>
          <w:szCs w:val="21"/>
        </w:rPr>
        <w:t>间距（200 m）处于国际通用范围内，符合安全规范。</w:t>
      </w:r>
    </w:p>
    <w:p w14:paraId="78426E3D">
      <w:pPr>
        <w:pStyle w:val="41"/>
        <w:spacing w:line="240" w:lineRule="atLeast"/>
        <w:jc w:val="center"/>
        <w:rPr>
          <w:rFonts w:hint="default" w:ascii="Times New Roman" w:hAnsi="Times New Roman" w:eastAsia="宋体"/>
          <w:sz w:val="21"/>
          <w:lang w:val="en-US" w:eastAsia="zh-CN"/>
        </w:rPr>
      </w:pPr>
      <w:r>
        <w:rPr>
          <w:rFonts w:ascii="Times New Roman" w:hAnsi="Times New Roman"/>
          <w:sz w:val="21"/>
        </w:rPr>
        <w:t xml:space="preserve">表1 </w:t>
      </w:r>
      <w:r>
        <w:rPr>
          <w:rFonts w:hint="eastAsia" w:ascii="Times New Roman" w:hAnsi="Times New Roman"/>
          <w:sz w:val="21"/>
          <w:lang w:val="en-US" w:eastAsia="zh-CN"/>
        </w:rPr>
        <w:t>国际运载火箭发射场加注系统特征</w:t>
      </w:r>
    </w:p>
    <w:tbl>
      <w:tblPr>
        <w:tblStyle w:val="14"/>
        <w:tblW w:w="4987" w:type="pct"/>
        <w:jc w:val="center"/>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500"/>
        <w:gridCol w:w="719"/>
        <w:gridCol w:w="1074"/>
        <w:gridCol w:w="1544"/>
      </w:tblGrid>
      <w:tr w14:paraId="24FF934D">
        <w:trPr>
          <w:tblHeader/>
          <w:jc w:val="center"/>
        </w:trPr>
        <w:tc>
          <w:tcPr>
            <w:tcW w:w="1550" w:type="pct"/>
            <w:tcBorders>
              <w:top w:val="single" w:color="auto" w:sz="12" w:space="0"/>
              <w:bottom w:val="single" w:color="auto" w:sz="4" w:space="0"/>
            </w:tcBorders>
            <w:vAlign w:val="center"/>
          </w:tcPr>
          <w:p w14:paraId="43804C9C">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发射场/工位</w:t>
            </w:r>
          </w:p>
        </w:tc>
        <w:tc>
          <w:tcPr>
            <w:tcW w:w="743" w:type="pct"/>
            <w:tcBorders>
              <w:top w:val="single" w:color="auto" w:sz="12" w:space="0"/>
              <w:bottom w:val="single" w:color="auto" w:sz="4" w:space="0"/>
            </w:tcBorders>
            <w:vAlign w:val="center"/>
          </w:tcPr>
          <w:p w14:paraId="57AD9E4D">
            <w:pPr>
              <w:pStyle w:val="41"/>
              <w:spacing w:line="240" w:lineRule="atLeast"/>
              <w:jc w:val="center"/>
              <w:rPr>
                <w:rFonts w:hint="eastAsia" w:ascii="Times New Roman" w:hAnsi="Times New Roman" w:eastAsia="宋体"/>
                <w:sz w:val="21"/>
                <w:lang w:eastAsia="zh-CN"/>
              </w:rPr>
            </w:pPr>
            <w:r>
              <w:rPr>
                <w:rFonts w:hint="eastAsia" w:ascii="Times New Roman" w:hAnsi="Times New Roman"/>
                <w:sz w:val="21"/>
                <w:lang w:val="en-US" w:eastAsia="zh-CN"/>
              </w:rPr>
              <w:t>国别</w:t>
            </w:r>
          </w:p>
        </w:tc>
        <w:tc>
          <w:tcPr>
            <w:tcW w:w="1110" w:type="pct"/>
            <w:tcBorders>
              <w:top w:val="single" w:color="auto" w:sz="12" w:space="0"/>
              <w:bottom w:val="single" w:color="auto" w:sz="4" w:space="0"/>
            </w:tcBorders>
            <w:vAlign w:val="center"/>
          </w:tcPr>
          <w:p w14:paraId="7578F293">
            <w:pPr>
              <w:pStyle w:val="41"/>
              <w:spacing w:line="240" w:lineRule="atLeast"/>
              <w:jc w:val="center"/>
              <w:rPr>
                <w:rFonts w:hint="eastAsia" w:ascii="Times New Roman" w:hAnsi="Times New Roman" w:eastAsia="宋体"/>
                <w:sz w:val="21"/>
                <w:lang w:eastAsia="zh-CN"/>
              </w:rPr>
            </w:pPr>
            <w:r>
              <w:rPr>
                <w:rFonts w:hint="eastAsia" w:ascii="Times New Roman" w:hAnsi="Times New Roman"/>
                <w:sz w:val="21"/>
                <w:lang w:val="en-US" w:eastAsia="zh-CN"/>
              </w:rPr>
              <w:t>推进剂</w:t>
            </w:r>
          </w:p>
        </w:tc>
        <w:tc>
          <w:tcPr>
            <w:tcW w:w="1595" w:type="pct"/>
            <w:tcBorders>
              <w:top w:val="single" w:color="auto" w:sz="12" w:space="0"/>
              <w:bottom w:val="single" w:color="auto" w:sz="4" w:space="0"/>
            </w:tcBorders>
            <w:vAlign w:val="center"/>
          </w:tcPr>
          <w:p w14:paraId="32804E52">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库区距塔台/m</w:t>
            </w:r>
          </w:p>
        </w:tc>
      </w:tr>
      <w:tr w14:paraId="00431553">
        <w:trPr>
          <w:jc w:val="center"/>
        </w:trPr>
        <w:tc>
          <w:tcPr>
            <w:tcW w:w="1550" w:type="pct"/>
            <w:vMerge w:val="restart"/>
            <w:tcBorders>
              <w:top w:val="single" w:color="auto" w:sz="4" w:space="0"/>
              <w:right w:val="nil"/>
            </w:tcBorders>
            <w:vAlign w:val="center"/>
          </w:tcPr>
          <w:p w14:paraId="1A39312B">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卡角LC-37B</w:t>
            </w:r>
          </w:p>
        </w:tc>
        <w:tc>
          <w:tcPr>
            <w:tcW w:w="743" w:type="pct"/>
            <w:vMerge w:val="restart"/>
            <w:tcBorders>
              <w:top w:val="single" w:color="auto" w:sz="4" w:space="0"/>
              <w:left w:val="nil"/>
              <w:right w:val="nil"/>
            </w:tcBorders>
            <w:vAlign w:val="center"/>
          </w:tcPr>
          <w:p w14:paraId="203F7387">
            <w:pPr>
              <w:pStyle w:val="41"/>
              <w:spacing w:line="240" w:lineRule="atLeast"/>
              <w:jc w:val="center"/>
              <w:rPr>
                <w:rFonts w:hint="eastAsia" w:ascii="Times New Roman" w:hAnsi="Times New Roman" w:eastAsia="宋体"/>
                <w:sz w:val="21"/>
                <w:lang w:eastAsia="zh-CN"/>
              </w:rPr>
            </w:pPr>
            <w:r>
              <w:rPr>
                <w:rFonts w:hint="eastAsia" w:ascii="Times New Roman" w:hAnsi="Times New Roman"/>
                <w:sz w:val="21"/>
                <w:lang w:val="en-US" w:eastAsia="zh-CN"/>
              </w:rPr>
              <w:t>美</w:t>
            </w:r>
          </w:p>
        </w:tc>
        <w:tc>
          <w:tcPr>
            <w:tcW w:w="1110" w:type="pct"/>
            <w:tcBorders>
              <w:top w:val="single" w:color="auto" w:sz="4" w:space="0"/>
              <w:left w:val="nil"/>
              <w:bottom w:val="nil"/>
              <w:right w:val="nil"/>
            </w:tcBorders>
            <w:vAlign w:val="center"/>
          </w:tcPr>
          <w:p w14:paraId="6BBA7A65">
            <w:pPr>
              <w:pStyle w:val="41"/>
              <w:spacing w:line="240" w:lineRule="atLeast"/>
              <w:jc w:val="center"/>
              <w:rPr>
                <w:rFonts w:hint="eastAsia" w:ascii="Times New Roman" w:hAnsi="Times New Roman" w:eastAsia="宋体"/>
                <w:sz w:val="21"/>
                <w:lang w:eastAsia="zh-CN"/>
              </w:rPr>
            </w:pPr>
            <w:r>
              <w:rPr>
                <w:rFonts w:hint="eastAsia" w:ascii="Times New Roman" w:hAnsi="Times New Roman"/>
                <w:sz w:val="21"/>
                <w:lang w:val="en-US" w:eastAsia="zh-CN"/>
              </w:rPr>
              <w:t>液氢</w:t>
            </w:r>
          </w:p>
        </w:tc>
        <w:tc>
          <w:tcPr>
            <w:tcW w:w="1595" w:type="pct"/>
            <w:tcBorders>
              <w:top w:val="single" w:color="auto" w:sz="4" w:space="0"/>
              <w:left w:val="nil"/>
              <w:bottom w:val="nil"/>
              <w:right w:val="nil"/>
            </w:tcBorders>
            <w:vAlign w:val="center"/>
          </w:tcPr>
          <w:p w14:paraId="3BF3DBD9">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200</w:t>
            </w:r>
          </w:p>
        </w:tc>
      </w:tr>
      <w:tr w14:paraId="27E9FF0E">
        <w:trPr>
          <w:jc w:val="center"/>
        </w:trPr>
        <w:tc>
          <w:tcPr>
            <w:tcW w:w="1550" w:type="pct"/>
            <w:vMerge w:val="continue"/>
            <w:tcBorders>
              <w:bottom w:val="nil"/>
              <w:right w:val="nil"/>
            </w:tcBorders>
            <w:vAlign w:val="center"/>
          </w:tcPr>
          <w:p w14:paraId="44F7177A">
            <w:pPr>
              <w:pStyle w:val="41"/>
              <w:spacing w:line="240" w:lineRule="atLeast"/>
              <w:jc w:val="center"/>
              <w:rPr>
                <w:rFonts w:hint="eastAsia" w:ascii="Times New Roman" w:hAnsi="Times New Roman"/>
                <w:sz w:val="21"/>
                <w:lang w:val="en-US" w:eastAsia="zh-CN"/>
              </w:rPr>
            </w:pPr>
          </w:p>
        </w:tc>
        <w:tc>
          <w:tcPr>
            <w:tcW w:w="743" w:type="pct"/>
            <w:vMerge w:val="continue"/>
            <w:tcBorders>
              <w:left w:val="nil"/>
              <w:bottom w:val="nil"/>
              <w:right w:val="nil"/>
            </w:tcBorders>
            <w:vAlign w:val="center"/>
          </w:tcPr>
          <w:p w14:paraId="0B1571E9">
            <w:pPr>
              <w:pStyle w:val="41"/>
              <w:spacing w:line="240" w:lineRule="atLeast"/>
              <w:jc w:val="center"/>
              <w:rPr>
                <w:rFonts w:hint="eastAsia" w:ascii="Times New Roman" w:hAnsi="Times New Roman"/>
                <w:sz w:val="21"/>
                <w:lang w:val="en-US" w:eastAsia="zh-CN"/>
              </w:rPr>
            </w:pPr>
          </w:p>
        </w:tc>
        <w:tc>
          <w:tcPr>
            <w:tcW w:w="1110" w:type="pct"/>
            <w:tcBorders>
              <w:top w:val="nil"/>
              <w:left w:val="nil"/>
              <w:bottom w:val="nil"/>
              <w:right w:val="nil"/>
            </w:tcBorders>
            <w:vAlign w:val="center"/>
          </w:tcPr>
          <w:p w14:paraId="1CCB80CA">
            <w:pPr>
              <w:pStyle w:val="41"/>
              <w:spacing w:line="240" w:lineRule="atLeast"/>
              <w:jc w:val="center"/>
              <w:rPr>
                <w:rFonts w:hint="eastAsia" w:ascii="Times New Roman" w:hAnsi="Times New Roman"/>
                <w:sz w:val="21"/>
                <w:lang w:val="en-US" w:eastAsia="zh-CN"/>
              </w:rPr>
            </w:pPr>
            <w:r>
              <w:rPr>
                <w:rFonts w:hint="eastAsia" w:ascii="Times New Roman" w:hAnsi="Times New Roman"/>
                <w:sz w:val="21"/>
                <w:lang w:val="en-US" w:eastAsia="zh-CN"/>
              </w:rPr>
              <w:t>液氧</w:t>
            </w:r>
          </w:p>
        </w:tc>
        <w:tc>
          <w:tcPr>
            <w:tcW w:w="1595" w:type="pct"/>
            <w:tcBorders>
              <w:top w:val="nil"/>
              <w:left w:val="nil"/>
              <w:bottom w:val="nil"/>
              <w:right w:val="nil"/>
            </w:tcBorders>
            <w:vAlign w:val="center"/>
          </w:tcPr>
          <w:p w14:paraId="6250D196">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200</w:t>
            </w:r>
          </w:p>
        </w:tc>
      </w:tr>
      <w:tr w14:paraId="681667BE">
        <w:trPr>
          <w:jc w:val="center"/>
        </w:trPr>
        <w:tc>
          <w:tcPr>
            <w:tcW w:w="1550" w:type="pct"/>
            <w:vMerge w:val="restart"/>
            <w:tcBorders>
              <w:top w:val="nil"/>
              <w:right w:val="nil"/>
            </w:tcBorders>
            <w:vAlign w:val="center"/>
          </w:tcPr>
          <w:p w14:paraId="360975D0">
            <w:pPr>
              <w:spacing w:line="240" w:lineRule="atLeast"/>
              <w:jc w:val="center"/>
              <w:rPr>
                <w:rFonts w:ascii="Times New Roman" w:hAnsi="Times New Roman" w:eastAsia="宋体" w:cs="Times New Roman"/>
                <w:szCs w:val="21"/>
              </w:rPr>
            </w:pPr>
            <w:r>
              <w:rPr>
                <w:rFonts w:hint="eastAsia" w:ascii="Times New Roman" w:hAnsi="Times New Roman"/>
                <w:sz w:val="21"/>
                <w:lang w:val="en-US" w:eastAsia="zh-CN"/>
              </w:rPr>
              <w:t>卡角LC-39A</w:t>
            </w:r>
          </w:p>
        </w:tc>
        <w:tc>
          <w:tcPr>
            <w:tcW w:w="743" w:type="pct"/>
            <w:vMerge w:val="restart"/>
            <w:tcBorders>
              <w:top w:val="nil"/>
              <w:left w:val="nil"/>
              <w:right w:val="nil"/>
            </w:tcBorders>
            <w:vAlign w:val="center"/>
          </w:tcPr>
          <w:p w14:paraId="3C0CFC50">
            <w:pPr>
              <w:spacing w:line="240" w:lineRule="atLeast"/>
              <w:jc w:val="center"/>
              <w:rPr>
                <w:rFonts w:hint="eastAsia" w:ascii="Times New Roman" w:hAnsi="Times New Roman" w:eastAsia="宋体" w:cs="Times New Roman"/>
                <w:szCs w:val="21"/>
                <w:lang w:eastAsia="zh-CN"/>
              </w:rPr>
            </w:pPr>
            <w:r>
              <w:rPr>
                <w:rFonts w:hint="eastAsia" w:ascii="Times New Roman" w:hAnsi="Times New Roman" w:eastAsia="宋体"/>
                <w:lang w:val="en-US" w:eastAsia="zh-CN"/>
              </w:rPr>
              <w:t>美</w:t>
            </w:r>
          </w:p>
        </w:tc>
        <w:tc>
          <w:tcPr>
            <w:tcW w:w="1110" w:type="pct"/>
            <w:tcBorders>
              <w:top w:val="nil"/>
              <w:left w:val="nil"/>
              <w:bottom w:val="nil"/>
              <w:right w:val="nil"/>
            </w:tcBorders>
            <w:vAlign w:val="center"/>
          </w:tcPr>
          <w:p w14:paraId="09D4E2C8">
            <w:pPr>
              <w:pStyle w:val="41"/>
              <w:spacing w:line="240" w:lineRule="atLeast"/>
              <w:jc w:val="center"/>
              <w:rPr>
                <w:rFonts w:hint="eastAsia" w:ascii="Times New Roman" w:hAnsi="Times New Roman" w:eastAsia="宋体"/>
                <w:sz w:val="21"/>
                <w:lang w:eastAsia="zh-CN"/>
              </w:rPr>
            </w:pPr>
            <w:r>
              <w:rPr>
                <w:rFonts w:hint="eastAsia" w:ascii="Times New Roman" w:hAnsi="Times New Roman"/>
                <w:sz w:val="21"/>
                <w:lang w:val="en-US" w:eastAsia="zh-CN"/>
              </w:rPr>
              <w:t>液氢</w:t>
            </w:r>
          </w:p>
        </w:tc>
        <w:tc>
          <w:tcPr>
            <w:tcW w:w="1595" w:type="pct"/>
            <w:tcBorders>
              <w:top w:val="nil"/>
              <w:left w:val="nil"/>
              <w:bottom w:val="nil"/>
              <w:right w:val="nil"/>
            </w:tcBorders>
            <w:vAlign w:val="center"/>
          </w:tcPr>
          <w:p w14:paraId="1F16799F">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440</w:t>
            </w:r>
          </w:p>
        </w:tc>
      </w:tr>
      <w:tr w14:paraId="1EC8D7B0">
        <w:trPr>
          <w:trHeight w:val="250" w:hRule="atLeast"/>
          <w:jc w:val="center"/>
        </w:trPr>
        <w:tc>
          <w:tcPr>
            <w:tcW w:w="1550" w:type="pct"/>
            <w:vMerge w:val="continue"/>
            <w:tcBorders>
              <w:bottom w:val="nil"/>
              <w:right w:val="nil"/>
            </w:tcBorders>
            <w:vAlign w:val="center"/>
          </w:tcPr>
          <w:p w14:paraId="27C92A82">
            <w:pPr>
              <w:spacing w:line="240" w:lineRule="atLeast"/>
              <w:jc w:val="center"/>
              <w:rPr>
                <w:rFonts w:hint="eastAsia" w:ascii="Times New Roman" w:hAnsi="Times New Roman"/>
                <w:sz w:val="21"/>
                <w:lang w:val="en-US" w:eastAsia="zh-CN"/>
              </w:rPr>
            </w:pPr>
          </w:p>
        </w:tc>
        <w:tc>
          <w:tcPr>
            <w:tcW w:w="743" w:type="pct"/>
            <w:vMerge w:val="continue"/>
            <w:tcBorders>
              <w:left w:val="nil"/>
              <w:bottom w:val="nil"/>
              <w:right w:val="nil"/>
            </w:tcBorders>
            <w:vAlign w:val="center"/>
          </w:tcPr>
          <w:p w14:paraId="42DF163A">
            <w:pPr>
              <w:spacing w:line="240" w:lineRule="atLeast"/>
              <w:jc w:val="center"/>
              <w:rPr>
                <w:rFonts w:hint="eastAsia" w:ascii="Times New Roman" w:hAnsi="Times New Roman" w:eastAsia="宋体"/>
                <w:lang w:val="en-US" w:eastAsia="zh-CN"/>
              </w:rPr>
            </w:pPr>
          </w:p>
        </w:tc>
        <w:tc>
          <w:tcPr>
            <w:tcW w:w="1110" w:type="pct"/>
            <w:tcBorders>
              <w:top w:val="nil"/>
              <w:left w:val="nil"/>
              <w:bottom w:val="nil"/>
              <w:right w:val="nil"/>
            </w:tcBorders>
            <w:vAlign w:val="center"/>
          </w:tcPr>
          <w:p w14:paraId="68A54C39">
            <w:pPr>
              <w:pStyle w:val="41"/>
              <w:spacing w:line="240" w:lineRule="atLeast"/>
              <w:jc w:val="center"/>
              <w:rPr>
                <w:rFonts w:hint="eastAsia" w:ascii="Times New Roman" w:hAnsi="Times New Roman"/>
                <w:sz w:val="21"/>
                <w:lang w:val="en-US" w:eastAsia="zh-CN"/>
              </w:rPr>
            </w:pPr>
            <w:r>
              <w:rPr>
                <w:rFonts w:hint="eastAsia" w:ascii="Times New Roman" w:hAnsi="Times New Roman"/>
                <w:sz w:val="21"/>
                <w:lang w:val="en-US" w:eastAsia="zh-CN"/>
              </w:rPr>
              <w:t>液氧</w:t>
            </w:r>
          </w:p>
        </w:tc>
        <w:tc>
          <w:tcPr>
            <w:tcW w:w="1595" w:type="pct"/>
            <w:tcBorders>
              <w:top w:val="nil"/>
              <w:left w:val="nil"/>
              <w:bottom w:val="nil"/>
              <w:right w:val="nil"/>
            </w:tcBorders>
            <w:vAlign w:val="center"/>
          </w:tcPr>
          <w:p w14:paraId="169B730A">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450</w:t>
            </w:r>
          </w:p>
        </w:tc>
      </w:tr>
      <w:tr w14:paraId="0C4C7A4E">
        <w:trPr>
          <w:trHeight w:val="90" w:hRule="atLeast"/>
          <w:jc w:val="center"/>
        </w:trPr>
        <w:tc>
          <w:tcPr>
            <w:tcW w:w="1550" w:type="pct"/>
            <w:vMerge w:val="restart"/>
            <w:tcBorders>
              <w:top w:val="nil"/>
              <w:right w:val="nil"/>
            </w:tcBorders>
            <w:vAlign w:val="center"/>
          </w:tcPr>
          <w:p w14:paraId="1CC7C31D">
            <w:pPr>
              <w:spacing w:line="240" w:lineRule="atLeast"/>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博卡奇卡</w:t>
            </w:r>
          </w:p>
        </w:tc>
        <w:tc>
          <w:tcPr>
            <w:tcW w:w="743" w:type="pct"/>
            <w:vMerge w:val="restart"/>
            <w:tcBorders>
              <w:top w:val="nil"/>
              <w:left w:val="nil"/>
              <w:right w:val="nil"/>
            </w:tcBorders>
            <w:vAlign w:val="center"/>
          </w:tcPr>
          <w:p w14:paraId="74F97836">
            <w:pPr>
              <w:spacing w:line="240" w:lineRule="atLeast"/>
              <w:jc w:val="center"/>
              <w:rPr>
                <w:rFonts w:hint="eastAsia" w:ascii="Times New Roman" w:hAnsi="Times New Roman" w:eastAsia="宋体" w:cs="Times New Roman"/>
                <w:szCs w:val="21"/>
                <w:lang w:eastAsia="zh-CN"/>
              </w:rPr>
            </w:pPr>
            <w:r>
              <w:rPr>
                <w:rFonts w:hint="eastAsia" w:ascii="Times New Roman" w:hAnsi="Times New Roman" w:eastAsia="宋体"/>
                <w:lang w:val="en-US" w:eastAsia="zh-CN"/>
              </w:rPr>
              <w:t>美</w:t>
            </w:r>
          </w:p>
        </w:tc>
        <w:tc>
          <w:tcPr>
            <w:tcW w:w="1110" w:type="pct"/>
            <w:tcBorders>
              <w:top w:val="nil"/>
              <w:left w:val="nil"/>
              <w:bottom w:val="nil"/>
              <w:right w:val="nil"/>
            </w:tcBorders>
            <w:vAlign w:val="center"/>
          </w:tcPr>
          <w:p w14:paraId="56D2B365">
            <w:pPr>
              <w:pStyle w:val="41"/>
              <w:spacing w:line="240" w:lineRule="atLeast"/>
              <w:jc w:val="center"/>
              <w:rPr>
                <w:rFonts w:hint="eastAsia" w:ascii="Times New Roman" w:hAnsi="Times New Roman" w:eastAsia="宋体"/>
                <w:sz w:val="21"/>
                <w:lang w:eastAsia="zh-CN"/>
              </w:rPr>
            </w:pPr>
            <w:r>
              <w:rPr>
                <w:rFonts w:hint="eastAsia" w:ascii="Times New Roman" w:hAnsi="Times New Roman"/>
                <w:sz w:val="21"/>
                <w:lang w:val="en-US" w:eastAsia="zh-CN"/>
              </w:rPr>
              <w:t>液氧</w:t>
            </w:r>
          </w:p>
        </w:tc>
        <w:tc>
          <w:tcPr>
            <w:tcW w:w="1595" w:type="pct"/>
            <w:tcBorders>
              <w:top w:val="nil"/>
              <w:left w:val="nil"/>
              <w:bottom w:val="nil"/>
              <w:right w:val="nil"/>
            </w:tcBorders>
            <w:vAlign w:val="center"/>
          </w:tcPr>
          <w:p w14:paraId="782A4425">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60</w:t>
            </w:r>
          </w:p>
        </w:tc>
      </w:tr>
      <w:tr w14:paraId="3A1BD61F">
        <w:trPr>
          <w:jc w:val="center"/>
        </w:trPr>
        <w:tc>
          <w:tcPr>
            <w:tcW w:w="1550" w:type="pct"/>
            <w:vMerge w:val="continue"/>
            <w:tcBorders>
              <w:bottom w:val="nil"/>
              <w:right w:val="nil"/>
            </w:tcBorders>
            <w:vAlign w:val="center"/>
          </w:tcPr>
          <w:p w14:paraId="6FB70217">
            <w:pPr>
              <w:spacing w:line="240" w:lineRule="atLeast"/>
              <w:jc w:val="center"/>
              <w:rPr>
                <w:rFonts w:hint="eastAsia" w:ascii="Times New Roman" w:hAnsi="Times New Roman" w:eastAsia="宋体" w:cs="Times New Roman"/>
                <w:szCs w:val="21"/>
                <w:lang w:val="en-US" w:eastAsia="zh-CN"/>
              </w:rPr>
            </w:pPr>
          </w:p>
        </w:tc>
        <w:tc>
          <w:tcPr>
            <w:tcW w:w="743" w:type="pct"/>
            <w:vMerge w:val="continue"/>
            <w:tcBorders>
              <w:left w:val="nil"/>
              <w:bottom w:val="nil"/>
              <w:right w:val="nil"/>
            </w:tcBorders>
            <w:vAlign w:val="center"/>
          </w:tcPr>
          <w:p w14:paraId="13A2555B">
            <w:pPr>
              <w:spacing w:line="240" w:lineRule="atLeast"/>
              <w:jc w:val="center"/>
              <w:rPr>
                <w:rFonts w:hint="eastAsia" w:ascii="Times New Roman" w:hAnsi="Times New Roman" w:eastAsia="宋体"/>
                <w:lang w:val="en-US" w:eastAsia="zh-CN"/>
              </w:rPr>
            </w:pPr>
          </w:p>
        </w:tc>
        <w:tc>
          <w:tcPr>
            <w:tcW w:w="1110" w:type="pct"/>
            <w:tcBorders>
              <w:top w:val="nil"/>
              <w:left w:val="nil"/>
              <w:bottom w:val="nil"/>
              <w:right w:val="nil"/>
            </w:tcBorders>
            <w:vAlign w:val="center"/>
          </w:tcPr>
          <w:p w14:paraId="7139F6FA">
            <w:pPr>
              <w:pStyle w:val="41"/>
              <w:spacing w:line="240" w:lineRule="atLeast"/>
              <w:jc w:val="center"/>
              <w:rPr>
                <w:rFonts w:hint="default" w:ascii="Times New Roman" w:hAnsi="Times New Roman"/>
                <w:sz w:val="21"/>
                <w:lang w:val="en-US" w:eastAsia="zh-CN"/>
              </w:rPr>
            </w:pPr>
            <w:r>
              <w:rPr>
                <w:rFonts w:hint="eastAsia" w:ascii="Times New Roman" w:hAnsi="Times New Roman"/>
                <w:sz w:val="21"/>
                <w:lang w:val="en-US" w:eastAsia="zh-CN"/>
              </w:rPr>
              <w:t>液甲烷</w:t>
            </w:r>
          </w:p>
        </w:tc>
        <w:tc>
          <w:tcPr>
            <w:tcW w:w="1595" w:type="pct"/>
            <w:tcBorders>
              <w:top w:val="nil"/>
              <w:left w:val="nil"/>
              <w:bottom w:val="nil"/>
              <w:right w:val="nil"/>
            </w:tcBorders>
            <w:vAlign w:val="center"/>
          </w:tcPr>
          <w:p w14:paraId="498607CA">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60</w:t>
            </w:r>
          </w:p>
        </w:tc>
      </w:tr>
      <w:tr w14:paraId="716CCB2E">
        <w:trPr>
          <w:trHeight w:val="253" w:hRule="atLeast"/>
          <w:jc w:val="center"/>
        </w:trPr>
        <w:tc>
          <w:tcPr>
            <w:tcW w:w="1550" w:type="pct"/>
            <w:tcBorders>
              <w:top w:val="nil"/>
              <w:bottom w:val="nil"/>
              <w:right w:val="nil"/>
            </w:tcBorders>
            <w:vAlign w:val="center"/>
          </w:tcPr>
          <w:p w14:paraId="14B0C281">
            <w:pPr>
              <w:spacing w:line="240" w:lineRule="atLeast"/>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库鲁发射场</w:t>
            </w:r>
          </w:p>
        </w:tc>
        <w:tc>
          <w:tcPr>
            <w:tcW w:w="743" w:type="pct"/>
            <w:tcBorders>
              <w:top w:val="nil"/>
              <w:left w:val="nil"/>
              <w:bottom w:val="nil"/>
              <w:right w:val="nil"/>
            </w:tcBorders>
            <w:vAlign w:val="center"/>
          </w:tcPr>
          <w:p w14:paraId="5758B481">
            <w:pPr>
              <w:spacing w:line="240" w:lineRule="atLeast"/>
              <w:jc w:val="center"/>
              <w:rPr>
                <w:rFonts w:hint="eastAsia" w:ascii="Times New Roman" w:hAnsi="Times New Roman" w:eastAsia="宋体" w:cs="Times New Roman"/>
                <w:szCs w:val="21"/>
                <w:lang w:eastAsia="zh-CN"/>
              </w:rPr>
            </w:pPr>
            <w:r>
              <w:rPr>
                <w:rFonts w:hint="eastAsia" w:ascii="Times New Roman" w:hAnsi="Times New Roman" w:eastAsia="宋体"/>
                <w:lang w:val="en-US" w:eastAsia="zh-CN"/>
              </w:rPr>
              <w:t>欧</w:t>
            </w:r>
          </w:p>
        </w:tc>
        <w:tc>
          <w:tcPr>
            <w:tcW w:w="1110" w:type="pct"/>
            <w:tcBorders>
              <w:top w:val="nil"/>
              <w:left w:val="nil"/>
              <w:bottom w:val="nil"/>
              <w:right w:val="nil"/>
            </w:tcBorders>
            <w:vAlign w:val="center"/>
          </w:tcPr>
          <w:p w14:paraId="4E5DD9CA">
            <w:pPr>
              <w:pStyle w:val="41"/>
              <w:spacing w:line="240" w:lineRule="atLeast"/>
              <w:jc w:val="center"/>
              <w:rPr>
                <w:rFonts w:ascii="Times New Roman" w:hAnsi="Times New Roman" w:eastAsia="Times New Roman"/>
                <w:sz w:val="21"/>
              </w:rPr>
            </w:pPr>
            <w:r>
              <w:rPr>
                <w:rFonts w:hint="eastAsia" w:ascii="Times New Roman" w:hAnsi="Times New Roman"/>
                <w:sz w:val="21"/>
                <w:lang w:val="en-US" w:eastAsia="zh-CN"/>
              </w:rPr>
              <w:t>液氢</w:t>
            </w:r>
          </w:p>
        </w:tc>
        <w:tc>
          <w:tcPr>
            <w:tcW w:w="1595" w:type="pct"/>
            <w:tcBorders>
              <w:top w:val="nil"/>
              <w:left w:val="nil"/>
              <w:bottom w:val="nil"/>
              <w:right w:val="nil"/>
            </w:tcBorders>
            <w:vAlign w:val="center"/>
          </w:tcPr>
          <w:p w14:paraId="5FF8ADFF">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400</w:t>
            </w:r>
          </w:p>
        </w:tc>
      </w:tr>
      <w:tr w14:paraId="797B91CE">
        <w:trPr>
          <w:trHeight w:val="253" w:hRule="atLeast"/>
          <w:jc w:val="center"/>
        </w:trPr>
        <w:tc>
          <w:tcPr>
            <w:tcW w:w="1550" w:type="pct"/>
            <w:vMerge w:val="restart"/>
            <w:tcBorders>
              <w:top w:val="nil"/>
              <w:right w:val="nil"/>
            </w:tcBorders>
            <w:vAlign w:val="center"/>
          </w:tcPr>
          <w:p w14:paraId="506AEF62">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lang w:val="en-US" w:eastAsia="zh-CN"/>
              </w:rPr>
              <w:t>吉信发射场</w:t>
            </w:r>
          </w:p>
        </w:tc>
        <w:tc>
          <w:tcPr>
            <w:tcW w:w="743" w:type="pct"/>
            <w:vMerge w:val="restart"/>
            <w:tcBorders>
              <w:top w:val="nil"/>
              <w:left w:val="nil"/>
              <w:right w:val="nil"/>
            </w:tcBorders>
            <w:vAlign w:val="center"/>
          </w:tcPr>
          <w:p w14:paraId="289B3924">
            <w:pPr>
              <w:spacing w:line="240" w:lineRule="atLeast"/>
              <w:jc w:val="center"/>
              <w:rPr>
                <w:rFonts w:ascii="Times New Roman" w:hAnsi="Times New Roman" w:eastAsia="宋体" w:cs="Times New Roman"/>
                <w:szCs w:val="21"/>
              </w:rPr>
            </w:pPr>
            <w:r>
              <w:rPr>
                <w:rFonts w:hint="eastAsia" w:ascii="Times New Roman" w:hAnsi="Times New Roman" w:eastAsia="宋体"/>
                <w:lang w:val="en-US" w:eastAsia="zh-CN"/>
              </w:rPr>
              <w:t>日</w:t>
            </w:r>
          </w:p>
        </w:tc>
        <w:tc>
          <w:tcPr>
            <w:tcW w:w="1110" w:type="pct"/>
            <w:tcBorders>
              <w:top w:val="nil"/>
              <w:left w:val="nil"/>
              <w:bottom w:val="nil"/>
              <w:right w:val="nil"/>
            </w:tcBorders>
            <w:vAlign w:val="center"/>
          </w:tcPr>
          <w:p w14:paraId="10EDC987">
            <w:pPr>
              <w:pStyle w:val="41"/>
              <w:spacing w:line="240" w:lineRule="atLeast"/>
              <w:jc w:val="center"/>
              <w:rPr>
                <w:rFonts w:hint="eastAsia" w:ascii="Times New Roman" w:hAnsi="Times New Roman" w:eastAsia="Times New Roman"/>
                <w:sz w:val="21"/>
              </w:rPr>
            </w:pPr>
            <w:r>
              <w:rPr>
                <w:rFonts w:hint="eastAsia" w:ascii="Times New Roman" w:hAnsi="Times New Roman"/>
                <w:sz w:val="21"/>
                <w:lang w:val="en-US" w:eastAsia="zh-CN"/>
              </w:rPr>
              <w:t>液氢</w:t>
            </w:r>
          </w:p>
        </w:tc>
        <w:tc>
          <w:tcPr>
            <w:tcW w:w="1595" w:type="pct"/>
            <w:tcBorders>
              <w:top w:val="nil"/>
              <w:left w:val="nil"/>
              <w:bottom w:val="nil"/>
              <w:right w:val="nil"/>
            </w:tcBorders>
            <w:vAlign w:val="center"/>
          </w:tcPr>
          <w:p w14:paraId="42557124">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250</w:t>
            </w:r>
          </w:p>
        </w:tc>
      </w:tr>
      <w:tr w14:paraId="698D716B">
        <w:trPr>
          <w:jc w:val="center"/>
        </w:trPr>
        <w:tc>
          <w:tcPr>
            <w:tcW w:w="1550" w:type="pct"/>
            <w:vMerge w:val="continue"/>
            <w:tcBorders>
              <w:bottom w:val="single" w:color="auto" w:sz="12" w:space="0"/>
              <w:right w:val="nil"/>
            </w:tcBorders>
            <w:vAlign w:val="center"/>
          </w:tcPr>
          <w:p w14:paraId="720BB5C9">
            <w:pPr>
              <w:spacing w:line="240" w:lineRule="atLeast"/>
              <w:jc w:val="center"/>
              <w:rPr>
                <w:rFonts w:ascii="Times New Roman" w:hAnsi="Times New Roman" w:eastAsia="宋体" w:cs="Times New Roman"/>
                <w:szCs w:val="21"/>
              </w:rPr>
            </w:pPr>
          </w:p>
        </w:tc>
        <w:tc>
          <w:tcPr>
            <w:tcW w:w="743" w:type="pct"/>
            <w:vMerge w:val="continue"/>
            <w:tcBorders>
              <w:left w:val="nil"/>
              <w:bottom w:val="single" w:color="auto" w:sz="12" w:space="0"/>
              <w:right w:val="nil"/>
            </w:tcBorders>
            <w:vAlign w:val="center"/>
          </w:tcPr>
          <w:p w14:paraId="12E1A8B6">
            <w:pPr>
              <w:spacing w:line="240" w:lineRule="atLeast"/>
              <w:jc w:val="center"/>
              <w:rPr>
                <w:rFonts w:ascii="Times New Roman" w:hAnsi="Times New Roman" w:eastAsia="宋体" w:cs="Times New Roman"/>
                <w:szCs w:val="21"/>
              </w:rPr>
            </w:pPr>
          </w:p>
        </w:tc>
        <w:tc>
          <w:tcPr>
            <w:tcW w:w="1110" w:type="pct"/>
            <w:tcBorders>
              <w:top w:val="nil"/>
              <w:left w:val="nil"/>
              <w:bottom w:val="single" w:color="auto" w:sz="12" w:space="0"/>
              <w:right w:val="nil"/>
            </w:tcBorders>
            <w:vAlign w:val="center"/>
          </w:tcPr>
          <w:p w14:paraId="0C41B958">
            <w:pPr>
              <w:pStyle w:val="41"/>
              <w:spacing w:line="240" w:lineRule="atLeast"/>
              <w:jc w:val="center"/>
              <w:rPr>
                <w:rFonts w:ascii="Times New Roman" w:hAnsi="Times New Roman" w:eastAsia="Times New Roman"/>
                <w:sz w:val="21"/>
              </w:rPr>
            </w:pPr>
            <w:r>
              <w:rPr>
                <w:rFonts w:hint="eastAsia" w:ascii="Times New Roman" w:hAnsi="Times New Roman"/>
                <w:sz w:val="21"/>
                <w:lang w:val="en-US" w:eastAsia="zh-CN"/>
              </w:rPr>
              <w:t>液氧</w:t>
            </w:r>
          </w:p>
        </w:tc>
        <w:tc>
          <w:tcPr>
            <w:tcW w:w="1595" w:type="pct"/>
            <w:tcBorders>
              <w:top w:val="nil"/>
              <w:left w:val="nil"/>
              <w:bottom w:val="single" w:color="auto" w:sz="12" w:space="0"/>
              <w:right w:val="nil"/>
            </w:tcBorders>
            <w:vAlign w:val="center"/>
          </w:tcPr>
          <w:p w14:paraId="684AB4A4">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sz w:val="21"/>
                <w:lang w:val="en-US" w:eastAsia="zh-CN"/>
              </w:rPr>
              <w:t>250</w:t>
            </w:r>
          </w:p>
        </w:tc>
      </w:tr>
    </w:tbl>
    <w:p w14:paraId="05C5F205">
      <w:pPr>
        <w:widowControl/>
        <w:spacing w:line="240" w:lineRule="atLeast"/>
        <w:ind w:firstLine="420"/>
        <w:rPr>
          <w:rFonts w:ascii="Times New Roman" w:hAnsi="Times New Roman" w:cs="Times New Roman"/>
          <w:szCs w:val="21"/>
        </w:rPr>
      </w:pPr>
      <w:r>
        <w:rPr>
          <w:rFonts w:hint="eastAsia" w:ascii="Times New Roman" w:hAnsi="Times New Roman" w:cs="Times New Roman"/>
          <w:szCs w:val="21"/>
        </w:rPr>
        <w:t>图1为</w:t>
      </w:r>
      <w:r>
        <w:rPr>
          <w:rFonts w:hint="eastAsia" w:ascii="Times New Roman" w:hAnsi="Times New Roman" w:cs="Times New Roman"/>
          <w:szCs w:val="21"/>
          <w:lang w:val="en-US" w:eastAsia="zh-CN"/>
        </w:rPr>
        <w:t>某国际大型液氢库区</w:t>
      </w:r>
      <w:r>
        <w:rPr>
          <w:rFonts w:hint="eastAsia" w:ascii="Times New Roman" w:hAnsi="Times New Roman" w:cs="Times New Roman"/>
          <w:szCs w:val="21"/>
        </w:rPr>
        <w:t>周围建筑分布示意图，库区周围分布有重要的航天发射设施，能源供应系统以及人员办公场所等关键基础设施。其中建筑设施1为目标</w:t>
      </w:r>
      <w:r>
        <w:rPr>
          <w:rFonts w:hint="eastAsia" w:ascii="Times New Roman" w:hAnsi="Times New Roman" w:cs="Times New Roman"/>
          <w:szCs w:val="21"/>
          <w:lang w:val="en-US" w:eastAsia="zh-CN"/>
        </w:rPr>
        <w:t>液氢</w:t>
      </w:r>
      <w:r>
        <w:rPr>
          <w:rFonts w:hint="eastAsia" w:ascii="Times New Roman" w:hAnsi="Times New Roman" w:cs="Times New Roman"/>
          <w:szCs w:val="21"/>
          <w:lang w:eastAsia="zh-CN"/>
        </w:rPr>
        <w:t>库区</w:t>
      </w:r>
      <w:r>
        <w:rPr>
          <w:rFonts w:hint="eastAsia" w:ascii="Times New Roman" w:hAnsi="Times New Roman" w:cs="Times New Roman"/>
          <w:szCs w:val="21"/>
        </w:rPr>
        <w:t>，位于图中西南角，存放着大量低温推进剂。各建筑设施</w:t>
      </w:r>
      <w:r>
        <w:rPr>
          <w:rFonts w:hint="eastAsia" w:ascii="Times New Roman" w:hAnsi="Times New Roman" w:cs="Times New Roman"/>
          <w:szCs w:val="21"/>
          <w:lang w:val="en-US" w:eastAsia="zh-CN"/>
        </w:rPr>
        <w:t>基础</w:t>
      </w:r>
      <w:r>
        <w:rPr>
          <w:rFonts w:hint="eastAsia" w:ascii="Times New Roman" w:hAnsi="Times New Roman" w:cs="Times New Roman"/>
          <w:szCs w:val="21"/>
        </w:rPr>
        <w:t>信息列于表</w:t>
      </w:r>
      <w:r>
        <w:rPr>
          <w:rFonts w:hint="eastAsia" w:ascii="Times New Roman" w:hAnsi="Times New Roman" w:cs="Times New Roman"/>
          <w:szCs w:val="21"/>
          <w:lang w:val="en-US" w:eastAsia="zh-CN"/>
        </w:rPr>
        <w:t>2</w:t>
      </w:r>
      <w:r>
        <w:rPr>
          <w:rFonts w:ascii="Times New Roman" w:hAnsi="Times New Roman" w:cs="Times New Roman"/>
          <w:szCs w:val="21"/>
        </w:rPr>
        <w:t>。</w:t>
      </w:r>
    </w:p>
    <w:p w14:paraId="15E25A13">
      <w:pPr>
        <w:spacing w:line="240" w:lineRule="atLeast"/>
        <w:jc w:val="center"/>
        <w:rPr>
          <w:rFonts w:ascii="Times New Roman" w:hAnsi="Times New Roman" w:cs="Times New Roman"/>
          <w:szCs w:val="21"/>
        </w:rPr>
      </w:pPr>
      <w:r>
        <w:rPr>
          <w:rFonts w:hint="eastAsia" w:ascii="Times New Roman" w:hAnsi="Times New Roman" w:cs="Times New Roman"/>
          <w:szCs w:val="21"/>
        </w:rPr>
        <w:drawing>
          <wp:inline distT="0" distB="0" distL="114300" distR="114300">
            <wp:extent cx="2936240" cy="829310"/>
            <wp:effectExtent l="0" t="0" r="5080" b="8890"/>
            <wp:docPr id="24" name="图片 24" descr="f47b0f9d4427511ace221fc05ea70f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f47b0f9d4427511ace221fc05ea70f2"/>
                    <pic:cNvPicPr>
                      <a:picLocks noChangeAspect="1"/>
                    </pic:cNvPicPr>
                  </pic:nvPicPr>
                  <pic:blipFill>
                    <a:blip r:embed="rId5"/>
                    <a:stretch>
                      <a:fillRect/>
                    </a:stretch>
                  </pic:blipFill>
                  <pic:spPr>
                    <a:xfrm>
                      <a:off x="0" y="0"/>
                      <a:ext cx="2936240" cy="829310"/>
                    </a:xfrm>
                    <a:prstGeom prst="rect">
                      <a:avLst/>
                    </a:prstGeom>
                  </pic:spPr>
                </pic:pic>
              </a:graphicData>
            </a:graphic>
          </wp:inline>
        </w:drawing>
      </w:r>
    </w:p>
    <w:p w14:paraId="27A63D7B">
      <w:pPr>
        <w:snapToGrid w:val="0"/>
        <w:spacing w:line="240" w:lineRule="atLeast"/>
        <w:jc w:val="center"/>
        <w:rPr>
          <w:rFonts w:ascii="Times New Roman" w:hAnsi="Times New Roman" w:cs="Times New Roman"/>
          <w:szCs w:val="21"/>
        </w:rPr>
      </w:pPr>
      <w:r>
        <w:rPr>
          <w:rFonts w:hint="eastAsia" w:ascii="Times New Roman" w:hAnsi="Times New Roman" w:cs="Times New Roman"/>
          <w:szCs w:val="21"/>
        </w:rPr>
        <w:t>图1</w:t>
      </w:r>
      <w:r>
        <w:rPr>
          <w:rFonts w:ascii="Times New Roman" w:hAnsi="Times New Roman" w:cs="Times New Roman"/>
          <w:szCs w:val="21"/>
        </w:rPr>
        <w:t xml:space="preserve"> </w:t>
      </w:r>
      <w:r>
        <w:rPr>
          <w:rFonts w:hint="eastAsia" w:ascii="Times New Roman" w:hAnsi="Times New Roman" w:cs="Times New Roman"/>
          <w:szCs w:val="21"/>
          <w:lang w:val="en-US" w:eastAsia="zh-CN"/>
        </w:rPr>
        <w:t>某国际大型液氢库区</w:t>
      </w:r>
      <w:r>
        <w:rPr>
          <w:rFonts w:hint="eastAsia" w:ascii="Times New Roman" w:hAnsi="Times New Roman" w:cs="Times New Roman"/>
          <w:szCs w:val="21"/>
        </w:rPr>
        <w:t>周围建筑分布示意图</w:t>
      </w:r>
    </w:p>
    <w:p w14:paraId="2F916277">
      <w:pPr>
        <w:pStyle w:val="41"/>
        <w:spacing w:line="240" w:lineRule="atLeast"/>
        <w:jc w:val="center"/>
        <w:rPr>
          <w:rFonts w:ascii="Times New Roman" w:hAnsi="Times New Roman"/>
          <w:sz w:val="21"/>
        </w:rPr>
      </w:pPr>
      <w:r>
        <w:rPr>
          <w:rFonts w:ascii="Times New Roman" w:hAnsi="Times New Roman"/>
          <w:sz w:val="21"/>
        </w:rPr>
        <w:t>表</w:t>
      </w:r>
      <w:r>
        <w:rPr>
          <w:rFonts w:hint="eastAsia" w:ascii="Times New Roman" w:hAnsi="Times New Roman"/>
          <w:sz w:val="21"/>
          <w:lang w:val="en-US" w:eastAsia="zh-CN"/>
        </w:rPr>
        <w:t>2</w:t>
      </w:r>
      <w:r>
        <w:rPr>
          <w:rFonts w:ascii="Times New Roman" w:hAnsi="Times New Roman"/>
          <w:sz w:val="21"/>
        </w:rPr>
        <w:t xml:space="preserve"> </w:t>
      </w:r>
      <w:r>
        <w:rPr>
          <w:rFonts w:hint="eastAsia" w:ascii="Times New Roman" w:hAnsi="Times New Roman"/>
          <w:sz w:val="21"/>
        </w:rPr>
        <w:t>各建筑设施基础信息</w:t>
      </w:r>
    </w:p>
    <w:tbl>
      <w:tblPr>
        <w:tblStyle w:val="14"/>
        <w:tblW w:w="0" w:type="auto"/>
        <w:jc w:val="center"/>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636"/>
        <w:gridCol w:w="636"/>
        <w:gridCol w:w="1039"/>
        <w:gridCol w:w="1346"/>
        <w:gridCol w:w="858"/>
      </w:tblGrid>
      <w:tr w14:paraId="1C971F4A">
        <w:trPr>
          <w:tblHeader/>
          <w:jc w:val="center"/>
        </w:trPr>
        <w:tc>
          <w:tcPr>
            <w:tcW w:w="0" w:type="auto"/>
            <w:tcBorders>
              <w:top w:val="single" w:color="auto" w:sz="12" w:space="0"/>
              <w:bottom w:val="single" w:color="auto" w:sz="4" w:space="0"/>
            </w:tcBorders>
            <w:vAlign w:val="center"/>
          </w:tcPr>
          <w:p w14:paraId="777B2D58">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序号</w:t>
            </w:r>
          </w:p>
        </w:tc>
        <w:tc>
          <w:tcPr>
            <w:tcW w:w="0" w:type="auto"/>
            <w:tcBorders>
              <w:top w:val="single" w:color="auto" w:sz="12" w:space="0"/>
              <w:bottom w:val="single" w:color="auto" w:sz="4" w:space="0"/>
            </w:tcBorders>
            <w:vAlign w:val="center"/>
          </w:tcPr>
          <w:p w14:paraId="4B877910">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类目</w:t>
            </w:r>
          </w:p>
        </w:tc>
        <w:tc>
          <w:tcPr>
            <w:tcW w:w="0" w:type="auto"/>
            <w:tcBorders>
              <w:top w:val="single" w:color="auto" w:sz="12" w:space="0"/>
              <w:bottom w:val="single" w:color="auto" w:sz="4" w:space="0"/>
            </w:tcBorders>
            <w:vAlign w:val="center"/>
          </w:tcPr>
          <w:p w14:paraId="273C2A77">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坐标/m</w:t>
            </w:r>
          </w:p>
        </w:tc>
        <w:tc>
          <w:tcPr>
            <w:tcW w:w="0" w:type="auto"/>
            <w:tcBorders>
              <w:top w:val="single" w:color="auto" w:sz="12" w:space="0"/>
              <w:bottom w:val="single" w:color="auto" w:sz="4" w:space="0"/>
            </w:tcBorders>
            <w:vAlign w:val="center"/>
          </w:tcPr>
          <w:p w14:paraId="4A35CDEE">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建筑面积/m</w:t>
            </w:r>
            <w:r>
              <w:rPr>
                <w:rFonts w:hint="eastAsia" w:ascii="Times New Roman" w:hAnsi="Times New Roman" w:eastAsia="Times New Roman"/>
                <w:sz w:val="21"/>
                <w:vertAlign w:val="superscript"/>
              </w:rPr>
              <w:t>2</w:t>
            </w:r>
          </w:p>
        </w:tc>
        <w:tc>
          <w:tcPr>
            <w:tcW w:w="0" w:type="auto"/>
            <w:tcBorders>
              <w:top w:val="single" w:color="auto" w:sz="12" w:space="0"/>
              <w:bottom w:val="single" w:color="auto" w:sz="4" w:space="0"/>
            </w:tcBorders>
            <w:vAlign w:val="center"/>
          </w:tcPr>
          <w:p w14:paraId="0D29EDDE">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高度/m</w:t>
            </w:r>
          </w:p>
        </w:tc>
      </w:tr>
      <w:tr w14:paraId="7F0DF1B5">
        <w:trPr>
          <w:jc w:val="center"/>
        </w:trPr>
        <w:tc>
          <w:tcPr>
            <w:tcW w:w="0" w:type="auto"/>
            <w:tcBorders>
              <w:top w:val="single" w:color="auto" w:sz="4" w:space="0"/>
              <w:bottom w:val="nil"/>
              <w:right w:val="nil"/>
            </w:tcBorders>
            <w:vAlign w:val="center"/>
          </w:tcPr>
          <w:p w14:paraId="6C9811DA">
            <w:pPr>
              <w:pStyle w:val="41"/>
              <w:spacing w:line="240" w:lineRule="atLeast"/>
              <w:jc w:val="center"/>
              <w:rPr>
                <w:rFonts w:ascii="Times New Roman" w:hAnsi="Times New Roman" w:eastAsia="Times New Roman"/>
                <w:sz w:val="21"/>
              </w:rPr>
            </w:pPr>
            <w:r>
              <w:rPr>
                <w:rFonts w:ascii="Times New Roman" w:hAnsi="Times New Roman" w:eastAsia="Times New Roman"/>
                <w:sz w:val="21"/>
              </w:rPr>
              <w:t>1</w:t>
            </w:r>
          </w:p>
        </w:tc>
        <w:tc>
          <w:tcPr>
            <w:tcW w:w="0" w:type="auto"/>
            <w:tcBorders>
              <w:top w:val="single" w:color="auto" w:sz="4" w:space="0"/>
              <w:left w:val="nil"/>
              <w:bottom w:val="nil"/>
              <w:right w:val="nil"/>
            </w:tcBorders>
            <w:vAlign w:val="center"/>
          </w:tcPr>
          <w:p w14:paraId="20F1CC56">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罩棚</w:t>
            </w:r>
          </w:p>
        </w:tc>
        <w:tc>
          <w:tcPr>
            <w:tcW w:w="0" w:type="auto"/>
            <w:tcBorders>
              <w:top w:val="single" w:color="auto" w:sz="4" w:space="0"/>
              <w:left w:val="nil"/>
              <w:bottom w:val="nil"/>
              <w:right w:val="nil"/>
            </w:tcBorders>
            <w:vAlign w:val="center"/>
          </w:tcPr>
          <w:p w14:paraId="7738C7B2">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(0,0)</w:t>
            </w:r>
          </w:p>
        </w:tc>
        <w:tc>
          <w:tcPr>
            <w:tcW w:w="0" w:type="auto"/>
            <w:tcBorders>
              <w:top w:val="single" w:color="auto" w:sz="4" w:space="0"/>
              <w:left w:val="nil"/>
              <w:bottom w:val="nil"/>
              <w:right w:val="nil"/>
            </w:tcBorders>
            <w:vAlign w:val="center"/>
          </w:tcPr>
          <w:p w14:paraId="5851EA4E">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eastAsia="Times New Roman"/>
                <w:sz w:val="21"/>
              </w:rPr>
              <w:t>~</w:t>
            </w:r>
            <w:r>
              <w:rPr>
                <w:rFonts w:hint="eastAsia" w:ascii="Times New Roman" w:hAnsi="Times New Roman"/>
                <w:sz w:val="21"/>
                <w:lang w:val="en-US" w:eastAsia="zh-CN"/>
              </w:rPr>
              <w:t>700</w:t>
            </w:r>
          </w:p>
        </w:tc>
        <w:tc>
          <w:tcPr>
            <w:tcW w:w="0" w:type="auto"/>
            <w:tcBorders>
              <w:top w:val="single" w:color="auto" w:sz="4" w:space="0"/>
              <w:left w:val="nil"/>
              <w:bottom w:val="nil"/>
            </w:tcBorders>
            <w:vAlign w:val="center"/>
          </w:tcPr>
          <w:p w14:paraId="599688E0">
            <w:pPr>
              <w:pStyle w:val="41"/>
              <w:spacing w:line="240" w:lineRule="atLeast"/>
              <w:jc w:val="center"/>
              <w:rPr>
                <w:rFonts w:ascii="Times New Roman" w:hAnsi="Times New Roman" w:eastAsia="Times New Roman"/>
                <w:sz w:val="21"/>
              </w:rPr>
            </w:pPr>
            <w:r>
              <w:rPr>
                <w:rFonts w:ascii="Times New Roman" w:hAnsi="Times New Roman" w:eastAsia="Times New Roman"/>
                <w:sz w:val="21"/>
              </w:rPr>
              <w:t>10</w:t>
            </w:r>
          </w:p>
        </w:tc>
      </w:tr>
      <w:tr w14:paraId="13FAAEDA">
        <w:trPr>
          <w:jc w:val="center"/>
        </w:trPr>
        <w:tc>
          <w:tcPr>
            <w:tcW w:w="0" w:type="auto"/>
            <w:tcBorders>
              <w:top w:val="nil"/>
              <w:bottom w:val="nil"/>
              <w:right w:val="nil"/>
            </w:tcBorders>
            <w:vAlign w:val="center"/>
          </w:tcPr>
          <w:p w14:paraId="54FEA204">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0" w:type="auto"/>
            <w:tcBorders>
              <w:top w:val="nil"/>
              <w:left w:val="nil"/>
              <w:bottom w:val="nil"/>
              <w:right w:val="nil"/>
            </w:tcBorders>
          </w:tcPr>
          <w:p w14:paraId="479A57A2">
            <w:pPr>
              <w:spacing w:line="240" w:lineRule="atLeast"/>
              <w:jc w:val="center"/>
              <w:rPr>
                <w:rFonts w:ascii="Times New Roman" w:hAnsi="Times New Roman" w:eastAsia="宋体" w:cs="Times New Roman"/>
                <w:szCs w:val="21"/>
              </w:rPr>
            </w:pPr>
            <w:r>
              <w:rPr>
                <w:rFonts w:hint="eastAsia" w:ascii="Times New Roman" w:hAnsi="Times New Roman"/>
              </w:rPr>
              <w:t>池子</w:t>
            </w:r>
          </w:p>
        </w:tc>
        <w:tc>
          <w:tcPr>
            <w:tcW w:w="0" w:type="auto"/>
            <w:tcBorders>
              <w:top w:val="nil"/>
              <w:left w:val="nil"/>
              <w:bottom w:val="nil"/>
              <w:right w:val="nil"/>
            </w:tcBorders>
          </w:tcPr>
          <w:p w14:paraId="0720B613">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(1</w:t>
            </w:r>
            <w:r>
              <w:rPr>
                <w:rFonts w:hint="eastAsia" w:ascii="Times New Roman" w:hAnsi="Times New Roman"/>
                <w:sz w:val="21"/>
                <w:lang w:val="en-US" w:eastAsia="zh-CN"/>
              </w:rPr>
              <w:t>05</w:t>
            </w:r>
            <w:r>
              <w:rPr>
                <w:rFonts w:hint="eastAsia" w:ascii="Times New Roman" w:hAnsi="Times New Roman" w:eastAsia="Times New Roman"/>
                <w:sz w:val="21"/>
              </w:rPr>
              <w:t>,0)</w:t>
            </w:r>
          </w:p>
        </w:tc>
        <w:tc>
          <w:tcPr>
            <w:tcW w:w="0" w:type="auto"/>
            <w:tcBorders>
              <w:top w:val="nil"/>
              <w:left w:val="nil"/>
              <w:bottom w:val="nil"/>
              <w:right w:val="nil"/>
            </w:tcBorders>
            <w:vAlign w:val="center"/>
          </w:tcPr>
          <w:p w14:paraId="0CF5B0AD">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eastAsia="Times New Roman"/>
                <w:sz w:val="21"/>
              </w:rPr>
              <w:t>~</w:t>
            </w:r>
            <w:r>
              <w:rPr>
                <w:rFonts w:hint="eastAsia" w:ascii="Times New Roman" w:hAnsi="Times New Roman"/>
                <w:sz w:val="21"/>
                <w:lang w:val="en-US" w:eastAsia="zh-CN"/>
              </w:rPr>
              <w:t>300</w:t>
            </w:r>
          </w:p>
        </w:tc>
        <w:tc>
          <w:tcPr>
            <w:tcW w:w="0" w:type="auto"/>
            <w:tcBorders>
              <w:top w:val="nil"/>
              <w:left w:val="nil"/>
              <w:bottom w:val="nil"/>
            </w:tcBorders>
            <w:vAlign w:val="center"/>
          </w:tcPr>
          <w:p w14:paraId="4887920C">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2</w:t>
            </w:r>
          </w:p>
        </w:tc>
      </w:tr>
      <w:tr w14:paraId="55840A51">
        <w:trPr>
          <w:jc w:val="center"/>
        </w:trPr>
        <w:tc>
          <w:tcPr>
            <w:tcW w:w="0" w:type="auto"/>
            <w:tcBorders>
              <w:top w:val="nil"/>
              <w:bottom w:val="nil"/>
              <w:right w:val="nil"/>
            </w:tcBorders>
          </w:tcPr>
          <w:p w14:paraId="1312A888">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0" w:type="auto"/>
            <w:tcBorders>
              <w:top w:val="nil"/>
              <w:left w:val="nil"/>
              <w:bottom w:val="nil"/>
              <w:right w:val="nil"/>
            </w:tcBorders>
          </w:tcPr>
          <w:p w14:paraId="4DD819E2">
            <w:pPr>
              <w:spacing w:line="240" w:lineRule="atLeast"/>
              <w:jc w:val="center"/>
              <w:rPr>
                <w:rFonts w:ascii="Times New Roman" w:hAnsi="Times New Roman" w:eastAsia="宋体" w:cs="Times New Roman"/>
                <w:szCs w:val="21"/>
              </w:rPr>
            </w:pPr>
            <w:r>
              <w:rPr>
                <w:rFonts w:hint="eastAsia" w:ascii="Times New Roman" w:hAnsi="Times New Roman"/>
              </w:rPr>
              <w:t>塔</w:t>
            </w:r>
          </w:p>
        </w:tc>
        <w:tc>
          <w:tcPr>
            <w:tcW w:w="0" w:type="auto"/>
            <w:tcBorders>
              <w:top w:val="nil"/>
              <w:left w:val="nil"/>
              <w:bottom w:val="nil"/>
              <w:right w:val="nil"/>
            </w:tcBorders>
          </w:tcPr>
          <w:p w14:paraId="7665E0F2">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w:t>
            </w:r>
            <w:r>
              <w:rPr>
                <w:rFonts w:hint="eastAsia" w:ascii="Times New Roman" w:hAnsi="Times New Roman"/>
                <w:sz w:val="21"/>
                <w:lang w:val="en-US" w:eastAsia="zh-CN"/>
              </w:rPr>
              <w:t>175</w:t>
            </w:r>
            <w:r>
              <w:rPr>
                <w:rFonts w:hint="eastAsia" w:ascii="Times New Roman" w:hAnsi="Times New Roman" w:eastAsia="Times New Roman"/>
                <w:sz w:val="21"/>
              </w:rPr>
              <w:t>,</w:t>
            </w:r>
            <w:r>
              <w:rPr>
                <w:rFonts w:hint="eastAsia" w:ascii="Times New Roman" w:hAnsi="Times New Roman"/>
                <w:sz w:val="21"/>
                <w:lang w:val="en-US" w:eastAsia="zh-CN"/>
              </w:rPr>
              <w:t>100</w:t>
            </w:r>
            <w:r>
              <w:rPr>
                <w:rFonts w:hint="eastAsia" w:ascii="Times New Roman" w:hAnsi="Times New Roman" w:eastAsia="Times New Roman"/>
                <w:sz w:val="21"/>
              </w:rPr>
              <w:t>)</w:t>
            </w:r>
          </w:p>
        </w:tc>
        <w:tc>
          <w:tcPr>
            <w:tcW w:w="0" w:type="auto"/>
            <w:tcBorders>
              <w:top w:val="nil"/>
              <w:left w:val="nil"/>
              <w:bottom w:val="nil"/>
              <w:right w:val="nil"/>
            </w:tcBorders>
            <w:vAlign w:val="center"/>
          </w:tcPr>
          <w:p w14:paraId="3D7388B1">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w:t>
            </w:r>
            <w:r>
              <w:rPr>
                <w:rFonts w:hint="eastAsia" w:ascii="Times New Roman" w:hAnsi="Times New Roman"/>
                <w:sz w:val="21"/>
                <w:lang w:val="en-US" w:eastAsia="zh-CN"/>
              </w:rPr>
              <w:t>400</w:t>
            </w:r>
          </w:p>
        </w:tc>
        <w:tc>
          <w:tcPr>
            <w:tcW w:w="0" w:type="auto"/>
            <w:tcBorders>
              <w:top w:val="nil"/>
              <w:left w:val="nil"/>
              <w:bottom w:val="nil"/>
            </w:tcBorders>
            <w:vAlign w:val="center"/>
          </w:tcPr>
          <w:p w14:paraId="144FD3FB">
            <w:pPr>
              <w:pStyle w:val="41"/>
              <w:spacing w:line="240" w:lineRule="atLeast"/>
              <w:jc w:val="center"/>
              <w:rPr>
                <w:rFonts w:ascii="Times New Roman" w:hAnsi="Times New Roman" w:eastAsia="Times New Roman"/>
                <w:sz w:val="21"/>
              </w:rPr>
            </w:pPr>
            <w:r>
              <w:rPr>
                <w:rFonts w:hint="eastAsia" w:ascii="Times New Roman" w:hAnsi="Times New Roman"/>
                <w:sz w:val="21"/>
                <w:lang w:val="en-US" w:eastAsia="zh-CN"/>
              </w:rPr>
              <w:t>50</w:t>
            </w:r>
          </w:p>
        </w:tc>
      </w:tr>
      <w:tr w14:paraId="4CEB6E35">
        <w:trPr>
          <w:jc w:val="center"/>
        </w:trPr>
        <w:tc>
          <w:tcPr>
            <w:tcW w:w="0" w:type="auto"/>
            <w:tcBorders>
              <w:top w:val="nil"/>
              <w:bottom w:val="nil"/>
              <w:right w:val="nil"/>
            </w:tcBorders>
          </w:tcPr>
          <w:p w14:paraId="458C9FDD">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0" w:type="auto"/>
            <w:tcBorders>
              <w:top w:val="nil"/>
              <w:left w:val="nil"/>
              <w:bottom w:val="nil"/>
              <w:right w:val="nil"/>
            </w:tcBorders>
          </w:tcPr>
          <w:p w14:paraId="3EDDC457">
            <w:pPr>
              <w:spacing w:line="240" w:lineRule="atLeast"/>
              <w:jc w:val="center"/>
              <w:rPr>
                <w:rFonts w:ascii="Times New Roman" w:hAnsi="Times New Roman" w:eastAsia="宋体" w:cs="Times New Roman"/>
                <w:szCs w:val="21"/>
              </w:rPr>
            </w:pPr>
            <w:r>
              <w:rPr>
                <w:rFonts w:hint="eastAsia" w:ascii="Times New Roman" w:hAnsi="Times New Roman"/>
              </w:rPr>
              <w:t>库房</w:t>
            </w:r>
          </w:p>
        </w:tc>
        <w:tc>
          <w:tcPr>
            <w:tcW w:w="0" w:type="auto"/>
            <w:tcBorders>
              <w:top w:val="nil"/>
              <w:left w:val="nil"/>
              <w:bottom w:val="nil"/>
              <w:right w:val="nil"/>
            </w:tcBorders>
          </w:tcPr>
          <w:p w14:paraId="5CC21C63">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w:t>
            </w:r>
            <w:r>
              <w:rPr>
                <w:rFonts w:hint="eastAsia" w:ascii="Times New Roman" w:hAnsi="Times New Roman"/>
                <w:sz w:val="21"/>
                <w:lang w:val="en-US" w:eastAsia="zh-CN"/>
              </w:rPr>
              <w:t>350</w:t>
            </w:r>
            <w:r>
              <w:rPr>
                <w:rFonts w:hint="eastAsia" w:ascii="Times New Roman" w:hAnsi="Times New Roman" w:eastAsia="Times New Roman"/>
                <w:sz w:val="21"/>
              </w:rPr>
              <w:t>,</w:t>
            </w:r>
            <w:r>
              <w:rPr>
                <w:rFonts w:hint="eastAsia" w:ascii="Times New Roman" w:hAnsi="Times New Roman"/>
                <w:sz w:val="21"/>
                <w:lang w:val="en-US" w:eastAsia="zh-CN"/>
              </w:rPr>
              <w:t>200</w:t>
            </w:r>
            <w:r>
              <w:rPr>
                <w:rFonts w:hint="eastAsia" w:ascii="Times New Roman" w:hAnsi="Times New Roman" w:eastAsia="Times New Roman"/>
                <w:sz w:val="21"/>
              </w:rPr>
              <w:t>)</w:t>
            </w:r>
          </w:p>
        </w:tc>
        <w:tc>
          <w:tcPr>
            <w:tcW w:w="0" w:type="auto"/>
            <w:tcBorders>
              <w:top w:val="nil"/>
              <w:left w:val="nil"/>
              <w:bottom w:val="nil"/>
              <w:right w:val="nil"/>
            </w:tcBorders>
            <w:vAlign w:val="center"/>
          </w:tcPr>
          <w:p w14:paraId="1DC7F98E">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eastAsia="Times New Roman"/>
                <w:sz w:val="21"/>
              </w:rPr>
              <w:t>~</w:t>
            </w:r>
            <w:r>
              <w:rPr>
                <w:rFonts w:hint="eastAsia" w:ascii="Times New Roman" w:hAnsi="Times New Roman"/>
                <w:sz w:val="21"/>
                <w:lang w:val="en-US" w:eastAsia="zh-CN"/>
              </w:rPr>
              <w:t>500</w:t>
            </w:r>
          </w:p>
        </w:tc>
        <w:tc>
          <w:tcPr>
            <w:tcW w:w="0" w:type="auto"/>
            <w:tcBorders>
              <w:top w:val="nil"/>
              <w:left w:val="nil"/>
              <w:bottom w:val="nil"/>
            </w:tcBorders>
            <w:vAlign w:val="center"/>
          </w:tcPr>
          <w:p w14:paraId="1BBD6C2B">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8</w:t>
            </w:r>
          </w:p>
        </w:tc>
      </w:tr>
      <w:tr w14:paraId="6EE02EB7">
        <w:trPr>
          <w:jc w:val="center"/>
        </w:trPr>
        <w:tc>
          <w:tcPr>
            <w:tcW w:w="0" w:type="auto"/>
            <w:tcBorders>
              <w:top w:val="nil"/>
              <w:bottom w:val="nil"/>
              <w:right w:val="nil"/>
            </w:tcBorders>
          </w:tcPr>
          <w:p w14:paraId="7EEFD71E">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5</w:t>
            </w:r>
          </w:p>
        </w:tc>
        <w:tc>
          <w:tcPr>
            <w:tcW w:w="0" w:type="auto"/>
            <w:tcBorders>
              <w:top w:val="nil"/>
              <w:left w:val="nil"/>
              <w:bottom w:val="nil"/>
              <w:right w:val="nil"/>
            </w:tcBorders>
          </w:tcPr>
          <w:p w14:paraId="521CA15E">
            <w:pPr>
              <w:spacing w:line="240" w:lineRule="atLeast"/>
              <w:jc w:val="center"/>
              <w:rPr>
                <w:rFonts w:ascii="Times New Roman" w:hAnsi="Times New Roman" w:eastAsia="宋体" w:cs="Times New Roman"/>
                <w:szCs w:val="21"/>
              </w:rPr>
            </w:pPr>
            <w:r>
              <w:rPr>
                <w:rFonts w:hint="eastAsia" w:ascii="Times New Roman" w:hAnsi="Times New Roman"/>
              </w:rPr>
              <w:t>罩棚</w:t>
            </w:r>
          </w:p>
        </w:tc>
        <w:tc>
          <w:tcPr>
            <w:tcW w:w="0" w:type="auto"/>
            <w:tcBorders>
              <w:top w:val="nil"/>
              <w:left w:val="nil"/>
              <w:bottom w:val="nil"/>
              <w:right w:val="nil"/>
            </w:tcBorders>
          </w:tcPr>
          <w:p w14:paraId="2F677C93">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(3</w:t>
            </w:r>
            <w:r>
              <w:rPr>
                <w:rFonts w:hint="eastAsia" w:ascii="Times New Roman" w:hAnsi="Times New Roman"/>
                <w:sz w:val="21"/>
                <w:lang w:val="en-US" w:eastAsia="zh-CN"/>
              </w:rPr>
              <w:t>00</w:t>
            </w:r>
            <w:r>
              <w:rPr>
                <w:rFonts w:hint="eastAsia" w:ascii="Times New Roman" w:hAnsi="Times New Roman" w:eastAsia="Times New Roman"/>
                <w:sz w:val="21"/>
              </w:rPr>
              <w:t>,</w:t>
            </w:r>
            <w:r>
              <w:rPr>
                <w:rFonts w:hint="eastAsia" w:ascii="Times New Roman" w:hAnsi="Times New Roman"/>
                <w:sz w:val="21"/>
                <w:lang w:val="en-US" w:eastAsia="zh-CN"/>
              </w:rPr>
              <w:t>3</w:t>
            </w:r>
            <w:r>
              <w:rPr>
                <w:rFonts w:hint="eastAsia" w:ascii="Times New Roman" w:hAnsi="Times New Roman" w:eastAsia="Times New Roman"/>
                <w:sz w:val="21"/>
              </w:rPr>
              <w:t>00)</w:t>
            </w:r>
          </w:p>
        </w:tc>
        <w:tc>
          <w:tcPr>
            <w:tcW w:w="0" w:type="auto"/>
            <w:tcBorders>
              <w:top w:val="nil"/>
              <w:left w:val="nil"/>
              <w:bottom w:val="nil"/>
              <w:right w:val="nil"/>
            </w:tcBorders>
            <w:vAlign w:val="center"/>
          </w:tcPr>
          <w:p w14:paraId="3022DCAF">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w:t>
            </w:r>
            <w:r>
              <w:rPr>
                <w:rFonts w:hint="eastAsia" w:ascii="Times New Roman" w:hAnsi="Times New Roman"/>
                <w:sz w:val="21"/>
                <w:lang w:val="en-US" w:eastAsia="zh-CN"/>
              </w:rPr>
              <w:t>700</w:t>
            </w:r>
          </w:p>
        </w:tc>
        <w:tc>
          <w:tcPr>
            <w:tcW w:w="0" w:type="auto"/>
            <w:tcBorders>
              <w:top w:val="nil"/>
              <w:left w:val="nil"/>
              <w:bottom w:val="nil"/>
            </w:tcBorders>
            <w:vAlign w:val="center"/>
          </w:tcPr>
          <w:p w14:paraId="4478F1C7">
            <w:pPr>
              <w:pStyle w:val="41"/>
              <w:spacing w:line="240" w:lineRule="atLeast"/>
              <w:jc w:val="center"/>
              <w:rPr>
                <w:rFonts w:ascii="Times New Roman" w:hAnsi="Times New Roman" w:eastAsia="Times New Roman"/>
                <w:sz w:val="21"/>
              </w:rPr>
            </w:pPr>
            <w:r>
              <w:rPr>
                <w:rFonts w:hint="eastAsia" w:ascii="Times New Roman" w:hAnsi="Times New Roman"/>
                <w:sz w:val="21"/>
                <w:lang w:val="en-US" w:eastAsia="zh-CN"/>
              </w:rPr>
              <w:t>8</w:t>
            </w:r>
          </w:p>
        </w:tc>
      </w:tr>
      <w:tr w14:paraId="272ABE78">
        <w:trPr>
          <w:jc w:val="center"/>
        </w:trPr>
        <w:tc>
          <w:tcPr>
            <w:tcW w:w="0" w:type="auto"/>
            <w:tcBorders>
              <w:top w:val="nil"/>
              <w:bottom w:val="nil"/>
              <w:right w:val="nil"/>
            </w:tcBorders>
          </w:tcPr>
          <w:p w14:paraId="296D1100">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6</w:t>
            </w:r>
          </w:p>
        </w:tc>
        <w:tc>
          <w:tcPr>
            <w:tcW w:w="0" w:type="auto"/>
            <w:tcBorders>
              <w:top w:val="nil"/>
              <w:left w:val="nil"/>
              <w:bottom w:val="nil"/>
              <w:right w:val="nil"/>
            </w:tcBorders>
          </w:tcPr>
          <w:p w14:paraId="583203D7">
            <w:pPr>
              <w:spacing w:line="240" w:lineRule="atLeast"/>
              <w:jc w:val="center"/>
              <w:rPr>
                <w:rFonts w:ascii="Times New Roman" w:hAnsi="Times New Roman" w:eastAsia="宋体" w:cs="Times New Roman"/>
                <w:szCs w:val="21"/>
              </w:rPr>
            </w:pPr>
            <w:r>
              <w:rPr>
                <w:rFonts w:hint="eastAsia" w:ascii="Times New Roman" w:hAnsi="Times New Roman"/>
              </w:rPr>
              <w:t>塔</w:t>
            </w:r>
          </w:p>
        </w:tc>
        <w:tc>
          <w:tcPr>
            <w:tcW w:w="0" w:type="auto"/>
            <w:tcBorders>
              <w:top w:val="nil"/>
              <w:left w:val="nil"/>
              <w:bottom w:val="nil"/>
              <w:right w:val="nil"/>
            </w:tcBorders>
          </w:tcPr>
          <w:p w14:paraId="11CA3CF4">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w:t>
            </w:r>
            <w:r>
              <w:rPr>
                <w:rFonts w:hint="eastAsia" w:ascii="Times New Roman" w:hAnsi="Times New Roman"/>
                <w:sz w:val="21"/>
                <w:lang w:val="en-US" w:eastAsia="zh-CN"/>
              </w:rPr>
              <w:t>340</w:t>
            </w:r>
            <w:r>
              <w:rPr>
                <w:rFonts w:hint="eastAsia" w:ascii="Times New Roman" w:hAnsi="Times New Roman" w:eastAsia="Times New Roman"/>
                <w:sz w:val="21"/>
              </w:rPr>
              <w:t>,</w:t>
            </w:r>
            <w:r>
              <w:rPr>
                <w:rFonts w:hint="eastAsia" w:ascii="Times New Roman" w:hAnsi="Times New Roman"/>
                <w:sz w:val="21"/>
                <w:lang w:val="en-US" w:eastAsia="zh-CN"/>
              </w:rPr>
              <w:t>340</w:t>
            </w:r>
            <w:r>
              <w:rPr>
                <w:rFonts w:hint="eastAsia" w:ascii="Times New Roman" w:hAnsi="Times New Roman" w:eastAsia="Times New Roman"/>
                <w:sz w:val="21"/>
              </w:rPr>
              <w:t>)</w:t>
            </w:r>
          </w:p>
        </w:tc>
        <w:tc>
          <w:tcPr>
            <w:tcW w:w="0" w:type="auto"/>
            <w:tcBorders>
              <w:top w:val="nil"/>
              <w:left w:val="nil"/>
              <w:bottom w:val="nil"/>
              <w:right w:val="nil"/>
            </w:tcBorders>
            <w:vAlign w:val="center"/>
          </w:tcPr>
          <w:p w14:paraId="16911B0F">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eastAsia="Times New Roman"/>
                <w:sz w:val="21"/>
              </w:rPr>
              <w:t>~</w:t>
            </w:r>
            <w:r>
              <w:rPr>
                <w:rFonts w:hint="eastAsia" w:ascii="Times New Roman" w:hAnsi="Times New Roman"/>
                <w:sz w:val="21"/>
                <w:lang w:val="en-US" w:eastAsia="zh-CN"/>
              </w:rPr>
              <w:t>400</w:t>
            </w:r>
          </w:p>
        </w:tc>
        <w:tc>
          <w:tcPr>
            <w:tcW w:w="0" w:type="auto"/>
            <w:tcBorders>
              <w:top w:val="nil"/>
              <w:left w:val="nil"/>
              <w:bottom w:val="nil"/>
            </w:tcBorders>
            <w:vAlign w:val="center"/>
          </w:tcPr>
          <w:p w14:paraId="57C7CDB0">
            <w:pPr>
              <w:pStyle w:val="41"/>
              <w:spacing w:line="240" w:lineRule="atLeast"/>
              <w:jc w:val="center"/>
              <w:rPr>
                <w:rFonts w:ascii="Times New Roman" w:hAnsi="Times New Roman" w:eastAsia="Times New Roman"/>
                <w:sz w:val="21"/>
              </w:rPr>
            </w:pPr>
            <w:r>
              <w:rPr>
                <w:rFonts w:hint="eastAsia" w:ascii="Times New Roman" w:hAnsi="Times New Roman"/>
                <w:sz w:val="21"/>
                <w:lang w:val="en-US" w:eastAsia="zh-CN"/>
              </w:rPr>
              <w:t>50</w:t>
            </w:r>
          </w:p>
        </w:tc>
      </w:tr>
      <w:tr w14:paraId="264845C7">
        <w:trPr>
          <w:jc w:val="center"/>
        </w:trPr>
        <w:tc>
          <w:tcPr>
            <w:tcW w:w="0" w:type="auto"/>
            <w:tcBorders>
              <w:top w:val="nil"/>
              <w:bottom w:val="single" w:color="auto" w:sz="12" w:space="0"/>
              <w:right w:val="nil"/>
            </w:tcBorders>
          </w:tcPr>
          <w:p w14:paraId="2DD9B9CB">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7</w:t>
            </w:r>
          </w:p>
        </w:tc>
        <w:tc>
          <w:tcPr>
            <w:tcW w:w="0" w:type="auto"/>
            <w:tcBorders>
              <w:top w:val="nil"/>
              <w:left w:val="nil"/>
              <w:bottom w:val="single" w:color="auto" w:sz="12" w:space="0"/>
              <w:right w:val="nil"/>
            </w:tcBorders>
          </w:tcPr>
          <w:p w14:paraId="14B95D11">
            <w:pPr>
              <w:spacing w:line="240" w:lineRule="atLeast"/>
              <w:jc w:val="center"/>
              <w:rPr>
                <w:rFonts w:ascii="Times New Roman" w:hAnsi="Times New Roman" w:eastAsia="宋体" w:cs="Times New Roman"/>
                <w:szCs w:val="21"/>
              </w:rPr>
            </w:pPr>
            <w:r>
              <w:rPr>
                <w:rFonts w:hint="eastAsia" w:ascii="Times New Roman" w:hAnsi="Times New Roman"/>
              </w:rPr>
              <w:t>罩棚</w:t>
            </w:r>
          </w:p>
        </w:tc>
        <w:tc>
          <w:tcPr>
            <w:tcW w:w="0" w:type="auto"/>
            <w:tcBorders>
              <w:top w:val="nil"/>
              <w:left w:val="nil"/>
              <w:bottom w:val="single" w:color="auto" w:sz="12" w:space="0"/>
              <w:right w:val="nil"/>
            </w:tcBorders>
          </w:tcPr>
          <w:p w14:paraId="2634111F">
            <w:pPr>
              <w:pStyle w:val="41"/>
              <w:spacing w:line="240" w:lineRule="atLeast"/>
              <w:jc w:val="center"/>
              <w:rPr>
                <w:rFonts w:ascii="Times New Roman" w:hAnsi="Times New Roman" w:eastAsia="Times New Roman"/>
                <w:sz w:val="21"/>
              </w:rPr>
            </w:pPr>
            <w:r>
              <w:rPr>
                <w:rFonts w:hint="eastAsia" w:ascii="Times New Roman" w:hAnsi="Times New Roman" w:eastAsia="Times New Roman"/>
                <w:sz w:val="21"/>
              </w:rPr>
              <w:t>(</w:t>
            </w:r>
            <w:r>
              <w:rPr>
                <w:rFonts w:hint="eastAsia" w:ascii="Times New Roman" w:hAnsi="Times New Roman"/>
                <w:sz w:val="21"/>
                <w:lang w:val="en-US" w:eastAsia="zh-CN"/>
              </w:rPr>
              <w:t>0</w:t>
            </w:r>
            <w:r>
              <w:rPr>
                <w:rFonts w:hint="eastAsia" w:ascii="Times New Roman" w:hAnsi="Times New Roman" w:eastAsia="Times New Roman"/>
                <w:sz w:val="21"/>
              </w:rPr>
              <w:t>,3</w:t>
            </w:r>
            <w:r>
              <w:rPr>
                <w:rFonts w:hint="eastAsia" w:ascii="Times New Roman" w:hAnsi="Times New Roman"/>
                <w:sz w:val="21"/>
                <w:lang w:val="en-US" w:eastAsia="zh-CN"/>
              </w:rPr>
              <w:t>00</w:t>
            </w:r>
            <w:r>
              <w:rPr>
                <w:rFonts w:hint="eastAsia" w:ascii="Times New Roman" w:hAnsi="Times New Roman" w:eastAsia="Times New Roman"/>
                <w:sz w:val="21"/>
              </w:rPr>
              <w:t>)</w:t>
            </w:r>
          </w:p>
        </w:tc>
        <w:tc>
          <w:tcPr>
            <w:tcW w:w="0" w:type="auto"/>
            <w:tcBorders>
              <w:top w:val="nil"/>
              <w:left w:val="nil"/>
              <w:bottom w:val="single" w:color="auto" w:sz="12" w:space="0"/>
              <w:right w:val="nil"/>
            </w:tcBorders>
            <w:vAlign w:val="center"/>
          </w:tcPr>
          <w:p w14:paraId="368191BA">
            <w:pPr>
              <w:pStyle w:val="41"/>
              <w:spacing w:line="240" w:lineRule="atLeast"/>
              <w:jc w:val="center"/>
              <w:rPr>
                <w:rFonts w:hint="default" w:ascii="Times New Roman" w:hAnsi="Times New Roman" w:eastAsia="宋体"/>
                <w:sz w:val="21"/>
                <w:lang w:val="en-US" w:eastAsia="zh-CN"/>
              </w:rPr>
            </w:pPr>
            <w:r>
              <w:rPr>
                <w:rFonts w:hint="eastAsia" w:ascii="Times New Roman" w:hAnsi="Times New Roman" w:eastAsia="Times New Roman"/>
                <w:sz w:val="21"/>
              </w:rPr>
              <w:t>~</w:t>
            </w:r>
            <w:r>
              <w:rPr>
                <w:rFonts w:hint="eastAsia" w:ascii="Times New Roman" w:hAnsi="Times New Roman"/>
                <w:sz w:val="21"/>
                <w:lang w:val="en-US" w:eastAsia="zh-CN"/>
              </w:rPr>
              <w:t>800</w:t>
            </w:r>
          </w:p>
        </w:tc>
        <w:tc>
          <w:tcPr>
            <w:tcW w:w="0" w:type="auto"/>
            <w:tcBorders>
              <w:top w:val="nil"/>
              <w:left w:val="nil"/>
              <w:bottom w:val="single" w:color="auto" w:sz="12" w:space="0"/>
            </w:tcBorders>
            <w:vAlign w:val="center"/>
          </w:tcPr>
          <w:p w14:paraId="23C060A4">
            <w:pPr>
              <w:pStyle w:val="41"/>
              <w:spacing w:line="240" w:lineRule="atLeast"/>
              <w:jc w:val="center"/>
              <w:rPr>
                <w:rFonts w:ascii="Times New Roman" w:hAnsi="Times New Roman" w:eastAsia="Times New Roman"/>
                <w:sz w:val="21"/>
              </w:rPr>
            </w:pPr>
            <w:r>
              <w:rPr>
                <w:rFonts w:hint="eastAsia" w:ascii="Times New Roman" w:hAnsi="Times New Roman"/>
                <w:sz w:val="21"/>
                <w:lang w:val="en-US" w:eastAsia="zh-CN"/>
              </w:rPr>
              <w:t>8</w:t>
            </w:r>
          </w:p>
        </w:tc>
      </w:tr>
    </w:tbl>
    <w:p w14:paraId="3DA9A0BC">
      <w:pPr>
        <w:widowControl/>
        <w:numPr>
          <w:ilvl w:val="1"/>
          <w:numId w:val="1"/>
        </w:numPr>
        <w:spacing w:line="240" w:lineRule="atLeast"/>
        <w:outlineLvl w:val="1"/>
        <w:rPr>
          <w:rFonts w:ascii="Times New Roman" w:hAnsi="Times New Roman" w:eastAsia="宋体" w:cs="Times New Roman"/>
          <w:b/>
          <w:kern w:val="0"/>
          <w:szCs w:val="21"/>
        </w:rPr>
      </w:pPr>
      <w:r>
        <w:rPr>
          <w:rFonts w:hint="eastAsia" w:ascii="Times New Roman" w:hAnsi="Times New Roman" w:eastAsia="宋体" w:cs="Times New Roman"/>
          <w:b/>
          <w:kern w:val="0"/>
          <w:szCs w:val="21"/>
          <w:lang w:val="en-US" w:eastAsia="zh-CN"/>
        </w:rPr>
        <w:t xml:space="preserve"> </w:t>
      </w:r>
      <w:r>
        <w:rPr>
          <w:rFonts w:hint="eastAsia" w:ascii="Times New Roman" w:hAnsi="Times New Roman" w:eastAsia="宋体" w:cs="Times New Roman"/>
          <w:b/>
          <w:kern w:val="0"/>
          <w:szCs w:val="21"/>
        </w:rPr>
        <w:t>物理模型</w:t>
      </w:r>
    </w:p>
    <w:p w14:paraId="2F88240A">
      <w:pPr>
        <w:widowControl/>
        <w:spacing w:line="240" w:lineRule="atLeast"/>
        <w:ind w:firstLine="420"/>
        <w:rPr>
          <w:rFonts w:ascii="Times New Roman" w:hAnsi="Times New Roman" w:cs="Times New Roman"/>
          <w:szCs w:val="21"/>
        </w:rPr>
      </w:pPr>
      <w:r>
        <w:rPr>
          <w:rFonts w:hint="eastAsia" w:ascii="Times New Roman" w:hAnsi="Times New Roman" w:cs="Times New Roman"/>
          <w:szCs w:val="21"/>
        </w:rPr>
        <w:t>泄漏对象被确定为</w:t>
      </w:r>
      <w:r>
        <w:rPr>
          <w:rFonts w:hint="eastAsia" w:ascii="Times New Roman" w:hAnsi="Times New Roman" w:cs="Times New Roman"/>
          <w:szCs w:val="21"/>
          <w:lang w:val="en-US" w:eastAsia="zh-CN"/>
        </w:rPr>
        <w:t>大型液氢库区中心处</w:t>
      </w:r>
      <w:r>
        <w:rPr>
          <w:rFonts w:ascii="Times New Roman" w:hAnsi="Times New Roman" w:eastAsia="宋体" w:cs="Times New Roman"/>
          <w:bCs/>
          <w:szCs w:val="21"/>
        </w:rPr>
        <w:t>360 m</w:t>
      </w:r>
      <w:r>
        <w:rPr>
          <w:rFonts w:hint="eastAsia" w:ascii="Times New Roman" w:hAnsi="Times New Roman" w:eastAsia="宋体" w:cs="Times New Roman"/>
          <w:bCs/>
          <w:szCs w:val="21"/>
          <w:vertAlign w:val="superscript"/>
          <w:lang w:val="en-US" w:eastAsia="zh-CN"/>
        </w:rPr>
        <w:t>3</w:t>
      </w:r>
      <w:r>
        <w:rPr>
          <w:rFonts w:ascii="Times New Roman" w:hAnsi="Times New Roman" w:eastAsia="宋体" w:cs="Times New Roman"/>
          <w:bCs/>
          <w:szCs w:val="21"/>
        </w:rPr>
        <w:t>/0.6 MPa满装液氢的储存罐</w:t>
      </w:r>
      <w:r>
        <w:rPr>
          <w:rFonts w:hint="eastAsia" w:ascii="Times New Roman" w:hAnsi="Times New Roman" w:eastAsia="宋体" w:cs="Times New Roman"/>
          <w:bCs/>
          <w:szCs w:val="21"/>
        </w:rPr>
        <w:t>，液氢泄漏方向为</w:t>
      </w:r>
      <w:r>
        <w:rPr>
          <w:rFonts w:hint="eastAsia" w:ascii="Times New Roman" w:hAnsi="Times New Roman" w:eastAsia="宋体" w:cs="Times New Roman"/>
          <w:bCs/>
          <w:i/>
          <w:iCs/>
          <w:szCs w:val="21"/>
        </w:rPr>
        <w:t>y</w:t>
      </w:r>
      <w:r>
        <w:rPr>
          <w:rFonts w:hint="eastAsia" w:ascii="Times New Roman" w:hAnsi="Times New Roman" w:eastAsia="宋体" w:cs="Times New Roman"/>
          <w:bCs/>
          <w:szCs w:val="21"/>
        </w:rPr>
        <w:t>方向，</w:t>
      </w:r>
      <w:r>
        <w:rPr>
          <w:rFonts w:hint="eastAsia" w:ascii="Times New Roman" w:hAnsi="Times New Roman" w:eastAsia="宋体" w:cs="Times New Roman"/>
          <w:bCs/>
          <w:szCs w:val="21"/>
          <w:lang w:val="en-US" w:eastAsia="zh-CN"/>
        </w:rPr>
        <w:t>泄漏初期</w:t>
      </w:r>
      <w:r>
        <w:rPr>
          <w:rFonts w:hint="eastAsia" w:ascii="Times New Roman" w:hAnsi="Times New Roman" w:eastAsia="宋体" w:cs="Times New Roman"/>
          <w:bCs/>
          <w:szCs w:val="21"/>
        </w:rPr>
        <w:t>氢蒸气受罐压影响，将向</w:t>
      </w:r>
      <w:r>
        <w:rPr>
          <w:rFonts w:hint="eastAsia" w:ascii="Times New Roman" w:hAnsi="Times New Roman" w:eastAsia="宋体" w:cs="Times New Roman"/>
          <w:bCs/>
          <w:i/>
          <w:iCs/>
          <w:szCs w:val="21"/>
        </w:rPr>
        <w:t>y</w:t>
      </w:r>
      <w:r>
        <w:rPr>
          <w:rFonts w:hint="eastAsia" w:ascii="Times New Roman" w:hAnsi="Times New Roman" w:eastAsia="宋体" w:cs="Times New Roman"/>
          <w:bCs/>
          <w:szCs w:val="21"/>
        </w:rPr>
        <w:t>方向喷射。为研究这一</w:t>
      </w:r>
      <w:r>
        <w:rPr>
          <w:rFonts w:hint="eastAsia" w:ascii="Times New Roman" w:hAnsi="Times New Roman" w:cs="Times New Roman"/>
          <w:szCs w:val="21"/>
        </w:rPr>
        <w:t>横向扩散</w:t>
      </w:r>
      <w:r>
        <w:rPr>
          <w:rFonts w:hint="eastAsia" w:ascii="Times New Roman" w:hAnsi="Times New Roman" w:eastAsia="宋体" w:cs="Times New Roman"/>
          <w:bCs/>
          <w:szCs w:val="21"/>
        </w:rPr>
        <w:t>对周围建筑设施的影响能力，选取</w:t>
      </w:r>
      <w:r>
        <w:rPr>
          <w:rFonts w:hint="eastAsia" w:ascii="Times New Roman" w:hAnsi="Times New Roman" w:eastAsia="宋体" w:cs="Times New Roman"/>
          <w:bCs/>
          <w:szCs w:val="21"/>
          <w:lang w:val="en-US" w:eastAsia="zh-CN"/>
        </w:rPr>
        <w:t>近场</w:t>
      </w:r>
      <w:r>
        <w:rPr>
          <w:rFonts w:hint="eastAsia" w:ascii="Times New Roman" w:hAnsi="Times New Roman" w:eastAsia="宋体" w:cs="Times New Roman"/>
          <w:bCs/>
          <w:szCs w:val="21"/>
        </w:rPr>
        <w:t>建筑2、3为研究对象，建立了如图2所示的</w:t>
      </w:r>
      <w:r>
        <w:rPr>
          <w:rFonts w:hint="eastAsia" w:ascii="Times New Roman" w:hAnsi="Times New Roman" w:eastAsia="宋体" w:cs="Times New Roman"/>
          <w:bCs/>
          <w:szCs w:val="21"/>
          <w:lang w:val="en-US" w:eastAsia="zh-CN"/>
        </w:rPr>
        <w:t>关注</w:t>
      </w:r>
      <w:r>
        <w:rPr>
          <w:rFonts w:hint="eastAsia" w:ascii="Times New Roman" w:hAnsi="Times New Roman" w:cs="Times New Roman"/>
          <w:szCs w:val="21"/>
        </w:rPr>
        <w:t>横向扩散的物理模型。模型将风向设置为自液氢储存罐吹向3</w:t>
      </w:r>
      <w:r>
        <w:rPr>
          <w:rFonts w:hint="eastAsia" w:ascii="Times New Roman" w:hAnsi="Times New Roman" w:cs="Times New Roman"/>
          <w:szCs w:val="21"/>
          <w:lang w:eastAsia="zh-CN"/>
        </w:rPr>
        <w:t>发射塔</w:t>
      </w:r>
      <w:r>
        <w:rPr>
          <w:rFonts w:hint="eastAsia" w:ascii="Times New Roman" w:hAnsi="Times New Roman" w:cs="Times New Roman"/>
          <w:szCs w:val="21"/>
        </w:rPr>
        <w:t>中心，也即</w:t>
      </w:r>
      <w:r>
        <w:rPr>
          <w:rFonts w:hint="eastAsia" w:ascii="Times New Roman" w:hAnsi="Times New Roman" w:cs="Times New Roman"/>
          <w:i/>
          <w:iCs/>
          <w:szCs w:val="21"/>
        </w:rPr>
        <w:t>x</w:t>
      </w:r>
      <w:r>
        <w:rPr>
          <w:rFonts w:hint="eastAsia" w:ascii="Times New Roman" w:hAnsi="Times New Roman" w:cs="Times New Roman"/>
          <w:szCs w:val="21"/>
        </w:rPr>
        <w:t>轴正方向，由此确定了</w:t>
      </w:r>
      <w:r>
        <w:rPr>
          <w:rFonts w:hint="eastAsia" w:ascii="Times New Roman" w:hAnsi="Times New Roman" w:cs="Times New Roman"/>
          <w:i/>
          <w:iCs/>
          <w:szCs w:val="21"/>
        </w:rPr>
        <w:t>x</w:t>
      </w:r>
      <w:r>
        <w:rPr>
          <w:rFonts w:ascii="Times New Roman" w:hAnsi="Times New Roman" w:cs="Arial"/>
          <w:szCs w:val="21"/>
        </w:rPr>
        <w:t>×</w:t>
      </w:r>
      <w:r>
        <w:rPr>
          <w:rFonts w:hint="eastAsia" w:ascii="Times New Roman" w:hAnsi="Times New Roman" w:cs="Times New Roman"/>
          <w:i/>
          <w:iCs/>
          <w:szCs w:val="21"/>
        </w:rPr>
        <w:t>y</w:t>
      </w:r>
      <w:r>
        <w:rPr>
          <w:rFonts w:ascii="Times New Roman" w:hAnsi="Times New Roman" w:cs="Arial"/>
          <w:szCs w:val="21"/>
        </w:rPr>
        <w:t>×</w:t>
      </w:r>
      <w:r>
        <w:rPr>
          <w:rFonts w:hint="eastAsia" w:ascii="Times New Roman" w:hAnsi="Times New Roman" w:cs="Times New Roman"/>
          <w:i/>
          <w:iCs/>
          <w:szCs w:val="21"/>
        </w:rPr>
        <w:t>z</w:t>
      </w:r>
      <w:r>
        <w:rPr>
          <w:rFonts w:hint="eastAsia" w:ascii="Times New Roman" w:hAnsi="Times New Roman" w:cs="Times New Roman"/>
          <w:szCs w:val="21"/>
        </w:rPr>
        <w:t>方向上</w:t>
      </w:r>
      <w:r>
        <w:rPr>
          <w:rFonts w:hint="eastAsia" w:ascii="Times New Roman" w:hAnsi="Times New Roman" w:cs="Times New Roman"/>
          <w:szCs w:val="21"/>
          <w:lang w:val="en-US" w:eastAsia="zh-CN"/>
        </w:rPr>
        <w:t>230</w:t>
      </w:r>
      <w:r>
        <w:rPr>
          <w:rFonts w:hint="eastAsia" w:ascii="Times New Roman" w:hAnsi="Times New Roman" w:cs="Times New Roman"/>
          <w:szCs w:val="21"/>
        </w:rPr>
        <w:t xml:space="preserve"> m</w:t>
      </w:r>
      <w:r>
        <w:rPr>
          <w:rFonts w:ascii="Times New Roman" w:hAnsi="Times New Roman" w:cs="Arial"/>
          <w:szCs w:val="21"/>
        </w:rPr>
        <w:t>×</w:t>
      </w:r>
      <w:r>
        <w:rPr>
          <w:rFonts w:hint="eastAsia" w:ascii="Times New Roman" w:hAnsi="Times New Roman" w:cs="Times New Roman"/>
          <w:szCs w:val="21"/>
          <w:lang w:val="en-US" w:eastAsia="zh-CN"/>
        </w:rPr>
        <w:t>102</w:t>
      </w:r>
      <w:r>
        <w:rPr>
          <w:rFonts w:hint="eastAsia" w:ascii="Times New Roman" w:hAnsi="Times New Roman" w:cs="Times New Roman"/>
          <w:szCs w:val="21"/>
        </w:rPr>
        <w:t xml:space="preserve"> m</w:t>
      </w:r>
      <w:r>
        <w:rPr>
          <w:rFonts w:ascii="Times New Roman" w:hAnsi="Times New Roman" w:cs="Arial"/>
          <w:szCs w:val="21"/>
        </w:rPr>
        <w:t>×</w:t>
      </w:r>
      <w:r>
        <w:rPr>
          <w:rFonts w:hint="eastAsia" w:ascii="Times New Roman" w:hAnsi="Times New Roman" w:cs="Times New Roman"/>
          <w:szCs w:val="21"/>
          <w:lang w:val="en-US" w:eastAsia="zh-CN"/>
        </w:rPr>
        <w:t>52</w:t>
      </w:r>
      <w:r>
        <w:rPr>
          <w:rFonts w:hint="eastAsia" w:ascii="Times New Roman" w:hAnsi="Times New Roman" w:cs="Times New Roman"/>
          <w:szCs w:val="21"/>
        </w:rPr>
        <w:t xml:space="preserve"> m的计算域。罐身及建筑设施2、3被简化为等尺寸立方体，泄漏口坐标为</w:t>
      </w:r>
      <w:r>
        <w:rPr>
          <w:rFonts w:hint="eastAsia" w:ascii="Times New Roman" w:hAnsi="Times New Roman" w:eastAsia="宋体" w:cs="Times New Roman"/>
          <w:bCs/>
          <w:szCs w:val="21"/>
        </w:rPr>
        <w:t>(0,0,3)，面积为</w:t>
      </w:r>
      <w:r>
        <w:rPr>
          <w:rFonts w:hint="eastAsia" w:ascii="Times New Roman" w:hAnsi="Times New Roman" w:eastAsia="宋体" w:cs="Times New Roman"/>
          <w:bCs/>
          <w:szCs w:val="21"/>
          <w:highlight w:val="none"/>
        </w:rPr>
        <w:t>0.1 m</w:t>
      </w:r>
      <w:r>
        <w:rPr>
          <w:rFonts w:hint="eastAsia" w:ascii="Times New Roman" w:hAnsi="Times New Roman" w:eastAsia="宋体" w:cs="Times New Roman"/>
          <w:bCs/>
          <w:szCs w:val="21"/>
          <w:highlight w:val="none"/>
          <w:vertAlign w:val="superscript"/>
        </w:rPr>
        <w:t>2</w:t>
      </w:r>
      <w:r>
        <w:rPr>
          <w:rFonts w:hint="eastAsia" w:ascii="Times New Roman" w:hAnsi="Times New Roman" w:eastAsia="宋体" w:cs="Times New Roman"/>
          <w:bCs/>
          <w:szCs w:val="21"/>
          <w:highlight w:val="none"/>
        </w:rPr>
        <w:t>，</w:t>
      </w:r>
      <w:r>
        <w:rPr>
          <w:rFonts w:hint="eastAsia" w:ascii="Times New Roman" w:hAnsi="Times New Roman" w:cs="Times New Roman"/>
          <w:szCs w:val="21"/>
        </w:rPr>
        <w:t>平均泄漏流量为5 kg/s，温度为</w:t>
      </w:r>
      <w:r>
        <w:rPr>
          <w:rFonts w:hint="eastAsia" w:ascii="Times New Roman" w:hAnsi="Times New Roman" w:cs="Times New Roman"/>
          <w:szCs w:val="21"/>
          <w:lang w:val="en-US" w:eastAsia="zh-CN"/>
        </w:rPr>
        <w:t>20</w:t>
      </w:r>
      <w:r>
        <w:rPr>
          <w:rFonts w:hint="eastAsia" w:ascii="Times New Roman" w:hAnsi="Times New Roman" w:cs="Times New Roman"/>
          <w:szCs w:val="21"/>
        </w:rPr>
        <w:t xml:space="preserve"> K。环境温度设置为293.15 K，相对湿度设置为29%，风场依据</w:t>
      </w:r>
      <w:r>
        <w:rPr>
          <w:rFonts w:ascii="Times New Roman" w:hAnsi="Times New Roman" w:cs="Times New Roman"/>
          <w:szCs w:val="21"/>
        </w:rPr>
        <w:t>日本建筑学会（AIJ）建议的指数型风场构建</w:t>
      </w:r>
      <w:r>
        <w:rPr>
          <w:rFonts w:ascii="Times New Roman" w:hAnsi="Times New Roman" w:cs="Times New Roman"/>
          <w:szCs w:val="21"/>
        </w:rPr>
        <w:fldChar w:fldCharType="begin"/>
      </w:r>
      <w:r>
        <w:rPr>
          <w:rFonts w:hint="eastAsia" w:ascii="Times New Roman" w:hAnsi="Times New Roman" w:cs="Times New Roman"/>
          <w:szCs w:val="21"/>
          <w:lang w:eastAsia="zh-CN"/>
        </w:rPr>
        <w:instrText xml:space="preserve"> ADDIN ZOTERO_ITEM CSL_CITATION {"citationID":"7lKsDuzG","properties":{"formattedCitation":"\\super [22]\\nosupersub{}","plainCitation":"[22]","noteIndex":0},"citationItems":[{"id":218,"uris":["http://zotero.org/users/local/qCNt7I6D/items/ZDBSLDN3"],"itemData":{"id":218,"type":"article-journal","abstract":"This paper introduces the Building Standard Law of Japan and the BCJ Recommendations for Structural Safety for Wind. Both are official documents published by the government or its agency. It then introduces the AIJ Recommendations for Loads on Buildings and AIJ Guidelines for the Evaluation of Habitability to Building Vibration. These two documents are not official ones, and designers are not bound by them. Finally, the BCJ Guidebook on Wind Tunnel Experiments for Building Engineers is introduced as a manual relevant to wind-resistant design of buildings.","container-title":"Journal of Wind Engineering and Industrial Aerodynamics","DOI":"10.1016/S0167-6105(99)00101-4","ISSN":"0167-6105","issue":"1","journalAbbreviation":"Journal of Wind Engineering and Industrial Aerodynamics","language":"en","page":"555-566","source":"ScienceDirect","title":"Wind loading standards and design criteria in Japan","volume":"83","author":[{"family":"Tamura","given":"Yukio"},{"family":"Ohkuma","given":"Takeshi"},{"family":"Okada","given":"Hisashi"},{"family":"Kanda","given":"Jun"}],"issued":{"date-parts":[["1999",11,1]]}}}],"schema":"https://github.com/citation-style-language/schema/raw/master/csl-citation.json"} </w:instrText>
      </w:r>
      <w:r>
        <w:rPr>
          <w:rFonts w:ascii="Times New Roman" w:hAnsi="Times New Roman" w:cs="Times New Roman"/>
          <w:szCs w:val="21"/>
        </w:rPr>
        <w:fldChar w:fldCharType="separate"/>
      </w:r>
      <w:r>
        <w:rPr>
          <w:rFonts w:hint="default" w:ascii="Times New Roman" w:hAnsi="Times New Roman" w:cs="Times New Roman"/>
          <w:sz w:val="21"/>
          <w:szCs w:val="24"/>
          <w:vertAlign w:val="superscript"/>
        </w:rPr>
        <w:t>[22]</w:t>
      </w:r>
      <w:r>
        <w:rPr>
          <w:rFonts w:ascii="Times New Roman" w:hAnsi="Times New Roman" w:cs="Times New Roman"/>
          <w:szCs w:val="21"/>
        </w:rPr>
        <w:fldChar w:fldCharType="end"/>
      </w:r>
      <w:r>
        <w:rPr>
          <w:rFonts w:hint="eastAsia" w:ascii="Times New Roman" w:hAnsi="Times New Roman" w:cs="Times New Roman"/>
          <w:szCs w:val="21"/>
        </w:rPr>
        <w:t>：</w:t>
      </w:r>
    </w:p>
    <w:p w14:paraId="14DB6203">
      <w:pPr>
        <w:spacing w:line="240" w:lineRule="atLeast"/>
        <w:ind w:firstLine="630" w:firstLineChars="300"/>
        <w:jc w:val="right"/>
        <w:rPr>
          <w:rFonts w:ascii="Times New Roman" w:hAnsi="Times New Roman" w:cs="Times New Roman"/>
          <w:szCs w:val="21"/>
        </w:rPr>
      </w:pPr>
      <m:oMath>
        <m:r>
          <m:rPr/>
          <w:rPr>
            <w:rFonts w:ascii="Times New Roman" w:hAnsi="Times New Roman" w:cs="Times New Roman"/>
            <w:szCs w:val="21"/>
          </w:rPr>
          <m:t>u(z)=</m:t>
        </m:r>
        <m:sSub>
          <m:sSubPr>
            <m:ctrlPr>
              <w:rPr>
                <w:rFonts w:ascii="Cambria Math" w:hAnsi="Cambria Math" w:cs="Times New Roman"/>
                <w:i/>
                <w:szCs w:val="21"/>
              </w:rPr>
            </m:ctrlPr>
          </m:sSubPr>
          <m:e>
            <m:r>
              <m:rPr/>
              <w:rPr>
                <w:rFonts w:ascii="Times New Roman" w:hAnsi="Times New Roman" w:cs="Times New Roman"/>
                <w:szCs w:val="21"/>
              </w:rPr>
              <m:t>u</m:t>
            </m:r>
            <m:ctrlPr>
              <w:rPr>
                <w:rFonts w:ascii="Cambria Math" w:hAnsi="Cambria Math" w:cs="Times New Roman"/>
                <w:i/>
                <w:szCs w:val="21"/>
              </w:rPr>
            </m:ctrlPr>
          </m:e>
          <m:sub>
            <m:r>
              <m:rPr/>
              <w:rPr>
                <w:rFonts w:ascii="Times New Roman" w:hAnsi="Times New Roman" w:cs="Times New Roman"/>
                <w:szCs w:val="21"/>
              </w:rPr>
              <m:t>0</m:t>
            </m:r>
            <m:ctrlPr>
              <w:rPr>
                <w:rFonts w:ascii="Cambria Math" w:hAnsi="Cambria Math" w:cs="Times New Roman"/>
                <w:i/>
                <w:szCs w:val="21"/>
              </w:rPr>
            </m:ctrlPr>
          </m:sub>
        </m:sSub>
        <m:sSup>
          <m:sSupPr>
            <m:ctrlPr>
              <w:rPr>
                <w:rFonts w:ascii="Cambria Math" w:hAnsi="Cambria Math" w:cs="Times New Roman"/>
                <w:i/>
                <w:szCs w:val="21"/>
              </w:rPr>
            </m:ctrlPr>
          </m:sSupPr>
          <m:e>
            <m:r>
              <m:rPr/>
              <w:rPr>
                <w:rFonts w:ascii="Times New Roman" w:hAnsi="Times New Roman" w:cs="Times New Roman"/>
                <w:szCs w:val="21"/>
              </w:rPr>
              <m:t>(</m:t>
            </m:r>
            <m:f>
              <m:fPr>
                <m:ctrlPr>
                  <w:rPr>
                    <w:rFonts w:ascii="Cambria Math" w:hAnsi="Cambria Math" w:cs="Times New Roman"/>
                    <w:i/>
                    <w:szCs w:val="21"/>
                  </w:rPr>
                </m:ctrlPr>
              </m:fPr>
              <m:num>
                <m:r>
                  <m:rPr/>
                  <w:rPr>
                    <w:rFonts w:ascii="Times New Roman" w:hAnsi="Times New Roman" w:cs="Times New Roman"/>
                    <w:szCs w:val="21"/>
                  </w:rPr>
                  <m:t>z</m:t>
                </m:r>
                <m:ctrlPr>
                  <w:rPr>
                    <w:rFonts w:ascii="Cambria Math" w:hAnsi="Cambria Math" w:cs="Times New Roman"/>
                    <w:i/>
                    <w:szCs w:val="21"/>
                  </w:rPr>
                </m:ctrlPr>
              </m:num>
              <m:den>
                <m:sSub>
                  <m:sSubPr>
                    <m:ctrlPr>
                      <w:rPr>
                        <w:rFonts w:ascii="Cambria Math" w:hAnsi="Cambria Math" w:cs="Times New Roman"/>
                        <w:i/>
                        <w:szCs w:val="21"/>
                      </w:rPr>
                    </m:ctrlPr>
                  </m:sSubPr>
                  <m:e>
                    <m:r>
                      <m:rPr/>
                      <w:rPr>
                        <w:rFonts w:ascii="Times New Roman" w:hAnsi="Times New Roman" w:cs="Times New Roman"/>
                        <w:szCs w:val="21"/>
                      </w:rPr>
                      <m:t>z</m:t>
                    </m:r>
                    <m:ctrlPr>
                      <w:rPr>
                        <w:rFonts w:ascii="Cambria Math" w:hAnsi="Cambria Math" w:cs="Times New Roman"/>
                        <w:i/>
                        <w:szCs w:val="21"/>
                      </w:rPr>
                    </m:ctrlPr>
                  </m:e>
                  <m:sub>
                    <m:r>
                      <m:rPr/>
                      <w:rPr>
                        <w:rFonts w:ascii="Times New Roman" w:hAnsi="Times New Roman" w:cs="Times New Roman"/>
                        <w:szCs w:val="21"/>
                      </w:rPr>
                      <m:t>0</m:t>
                    </m:r>
                    <m:ctrlPr>
                      <w:rPr>
                        <w:rFonts w:ascii="Cambria Math" w:hAnsi="Cambria Math" w:cs="Times New Roman"/>
                        <w:i/>
                        <w:szCs w:val="21"/>
                      </w:rPr>
                    </m:ctrlPr>
                  </m:sub>
                </m:sSub>
                <m:ctrlPr>
                  <w:rPr>
                    <w:rFonts w:ascii="Cambria Math" w:hAnsi="Cambria Math" w:cs="Times New Roman"/>
                    <w:i/>
                    <w:szCs w:val="21"/>
                  </w:rPr>
                </m:ctrlPr>
              </m:den>
            </m:f>
            <m:r>
              <m:rPr/>
              <w:rPr>
                <w:rFonts w:ascii="Times New Roman" w:hAnsi="Times New Roman" w:cs="Times New Roman"/>
                <w:szCs w:val="21"/>
              </w:rPr>
              <m:t>)</m:t>
            </m:r>
            <m:ctrlPr>
              <w:rPr>
                <w:rFonts w:ascii="Cambria Math" w:hAnsi="Cambria Math" w:cs="Times New Roman"/>
                <w:i/>
                <w:szCs w:val="21"/>
              </w:rPr>
            </m:ctrlPr>
          </m:e>
          <m:sup>
            <m:r>
              <m:rPr/>
              <w:rPr>
                <w:rFonts w:ascii="Times New Roman" w:hAnsi="Times New Roman" w:cs="Times New Roman"/>
                <w:szCs w:val="21"/>
              </w:rPr>
              <m:t>φ</m:t>
            </m:r>
            <m:ctrlPr>
              <w:rPr>
                <w:rFonts w:ascii="Cambria Math" w:hAnsi="Cambria Math" w:cs="Times New Roman"/>
                <w:i/>
                <w:szCs w:val="21"/>
              </w:rPr>
            </m:ctrlPr>
          </m:sup>
        </m:sSup>
        <m:r>
          <m:rPr/>
          <w:rPr>
            <w:rFonts w:ascii="Times New Roman" w:hAnsi="Times New Roman" w:cs="Times New Roman"/>
            <w:szCs w:val="21"/>
          </w:rPr>
          <m:t>.</m:t>
        </m:r>
      </m:oMath>
      <w:r>
        <w:rPr>
          <w:rFonts w:ascii="Times New Roman" w:hAnsi="Times New Roman" w:cs="Times New Roman"/>
          <w:szCs w:val="21"/>
        </w:rPr>
        <w:t xml:space="preserve">             </w:t>
      </w:r>
      <w:r>
        <w:rPr>
          <w:rFonts w:hint="eastAsia" w:ascii="Times New Roman" w:hAnsi="Times New Roman" w:cs="Times New Roman"/>
          <w:szCs w:val="21"/>
        </w:rPr>
        <w:t xml:space="preserve">   </w:t>
      </w:r>
      <w:r>
        <w:rPr>
          <w:rFonts w:ascii="Times New Roman" w:hAnsi="Times New Roman" w:cs="Times New Roman"/>
          <w:szCs w:val="21"/>
        </w:rPr>
        <w:t xml:space="preserve">            (1)</w:t>
      </w:r>
    </w:p>
    <w:p w14:paraId="3F4BC06B">
      <w:pPr>
        <w:widowControl/>
        <w:spacing w:line="240" w:lineRule="atLeast"/>
        <w:ind w:firstLine="0"/>
        <w:rPr>
          <w:rFonts w:ascii="Times New Roman" w:hAnsi="Times New Roman" w:cs="Times New Roman"/>
          <w:szCs w:val="21"/>
        </w:rPr>
      </w:pPr>
      <w:r>
        <w:rPr>
          <w:rFonts w:ascii="Times New Roman" w:hAnsi="Times New Roman" w:cs="Times New Roman"/>
          <w:szCs w:val="21"/>
        </w:rPr>
        <w:t>其中， </w:t>
      </w:r>
      <m:oMath>
        <m:r>
          <m:rPr/>
          <w:rPr>
            <w:rFonts w:ascii="Times New Roman" w:hAnsi="Times New Roman" w:cs="Times New Roman"/>
            <w:szCs w:val="21"/>
          </w:rPr>
          <m:t>u(z)</m:t>
        </m:r>
      </m:oMath>
      <w:r>
        <w:rPr>
          <w:rFonts w:ascii="Times New Roman" w:hAnsi="Times New Roman" w:cs="Times New Roman"/>
          <w:szCs w:val="21"/>
        </w:rPr>
        <w:t>是高度</w:t>
      </w:r>
      <m:oMath>
        <m:r>
          <m:rPr/>
          <w:rPr>
            <w:rFonts w:ascii="Times New Roman" w:hAnsi="Times New Roman" w:cs="Times New Roman"/>
            <w:szCs w:val="21"/>
          </w:rPr>
          <m:t>z</m:t>
        </m:r>
      </m:oMath>
      <w:r>
        <w:rPr>
          <w:rFonts w:ascii="Times New Roman" w:hAnsi="Times New Roman" w:cs="Times New Roman"/>
          <w:szCs w:val="21"/>
        </w:rPr>
        <w:t>处的风速，</w:t>
      </w:r>
      <m:oMath>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0</m:t>
            </m:r>
            <m:ctrlPr>
              <w:rPr>
                <w:rFonts w:ascii="Cambria Math" w:hAnsi="Cambria Math" w:cs="Times New Roman"/>
                <w:i/>
                <w:iCs/>
                <w:szCs w:val="21"/>
              </w:rPr>
            </m:ctrlPr>
          </m:sub>
        </m:sSub>
      </m:oMath>
      <w:r>
        <w:rPr>
          <w:rFonts w:ascii="Times New Roman" w:hAnsi="Times New Roman" w:cs="Times New Roman"/>
          <w:szCs w:val="21"/>
        </w:rPr>
        <w:t>即高度</w:t>
      </w:r>
      <m:oMath>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0</m:t>
            </m:r>
            <m:ctrlPr>
              <w:rPr>
                <w:rFonts w:ascii="Cambria Math" w:hAnsi="Cambria Math" w:cs="Times New Roman"/>
                <w:i/>
                <w:iCs/>
                <w:szCs w:val="21"/>
              </w:rPr>
            </m:ctrlPr>
          </m:sub>
        </m:sSub>
      </m:oMath>
      <w:r>
        <w:rPr>
          <w:rFonts w:ascii="Times New Roman" w:hAnsi="Times New Roman" w:cs="Times New Roman"/>
          <w:szCs w:val="21"/>
        </w:rPr>
        <w:t>处的风速，</w:t>
      </w:r>
      <m:oMath>
        <m:r>
          <m:rPr/>
          <w:rPr>
            <w:rFonts w:ascii="Times New Roman" w:hAnsi="Times New Roman" w:cs="Times New Roman"/>
            <w:szCs w:val="21"/>
          </w:rPr>
          <m:t>φ</m:t>
        </m:r>
      </m:oMath>
      <w:r>
        <w:rPr>
          <w:rFonts w:ascii="Times New Roman" w:hAnsi="Times New Roman" w:cs="Times New Roman"/>
          <w:szCs w:val="21"/>
        </w:rPr>
        <w:t>是接地系数，设置为0.15。</w:t>
      </w:r>
      <w:r>
        <w:rPr>
          <w:rFonts w:hint="eastAsia" w:ascii="Times New Roman" w:hAnsi="Times New Roman" w:cs="Times New Roman"/>
          <w:szCs w:val="21"/>
        </w:rPr>
        <w:t>平面</w:t>
      </w:r>
      <m:oMath>
        <m:sSub>
          <m:sSubPr>
            <m:ctrlPr>
              <w:rPr>
                <w:rFonts w:ascii="Cambria Math" w:hAnsi="Cambria Math" w:cs="Times New Roman"/>
                <w:i/>
                <w:iCs/>
                <w:szCs w:val="21"/>
              </w:rPr>
            </m:ctrlPr>
          </m:sSubPr>
          <m:e>
            <m:r>
              <m:rPr/>
              <w:rPr>
                <w:rFonts w:hint="default"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min</m:t>
            </m:r>
            <m:ctrlPr>
              <w:rPr>
                <w:rFonts w:ascii="Cambria Math" w:hAnsi="Cambria Math" w:cs="Times New Roman"/>
                <w:i/>
                <w:iCs/>
                <w:szCs w:val="21"/>
              </w:rPr>
            </m:ctrlPr>
          </m:sub>
        </m:sSub>
      </m:oMath>
      <w:r>
        <w:rPr>
          <w:rFonts w:hint="eastAsia" w:ascii="Times New Roman" w:hAnsi="Times New Roman" w:cs="Times New Roman"/>
          <w:iCs/>
          <w:szCs w:val="21"/>
        </w:rPr>
        <w:t>定</w:t>
      </w:r>
      <w:r>
        <w:rPr>
          <w:rFonts w:hint="eastAsia" w:ascii="Times New Roman" w:hAnsi="Times New Roman" w:cs="Times New Roman"/>
          <w:szCs w:val="21"/>
        </w:rPr>
        <w:t>义为风速入口，平面</w:t>
      </w:r>
      <m:oMath>
        <m:sSub>
          <m:sSubPr>
            <m:ctrlPr>
              <w:rPr>
                <w:rFonts w:ascii="Cambria Math" w:hAnsi="Cambria Math" w:cs="Times New Roman"/>
                <w:i/>
                <w:iCs/>
                <w:szCs w:val="21"/>
              </w:rPr>
            </m:ctrlPr>
          </m:sSubPr>
          <m:e>
            <m:r>
              <m:rPr/>
              <w:rPr>
                <w:rFonts w:hint="default"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min</m:t>
            </m:r>
            <m:ctrlPr>
              <w:rPr>
                <w:rFonts w:ascii="Cambria Math" w:hAnsi="Cambria Math" w:cs="Times New Roman"/>
                <w:i/>
                <w:iCs/>
                <w:szCs w:val="21"/>
              </w:rPr>
            </m:ctrlPr>
          </m:sub>
        </m:sSub>
      </m:oMath>
      <w:r>
        <w:rPr>
          <w:rFonts w:hint="eastAsia" w:ascii="Times New Roman" w:hAnsi="Times New Roman" w:cs="Times New Roman"/>
          <w:szCs w:val="21"/>
        </w:rPr>
        <w:t>设置为地面，</w:t>
      </w:r>
      <w:r>
        <w:rPr>
          <w:rFonts w:ascii="Times New Roman" w:hAnsi="Times New Roman" w:cs="Times New Roman"/>
          <w:szCs w:val="21"/>
        </w:rPr>
        <w:t>材料为混凝土，厚度为1.0 m</w:t>
      </w:r>
      <w:r>
        <w:rPr>
          <w:rFonts w:hint="eastAsia" w:ascii="Times New Roman" w:hAnsi="Times New Roman" w:cs="Times New Roman"/>
          <w:szCs w:val="21"/>
        </w:rPr>
        <w:t>。计算域</w:t>
      </w:r>
      <w:r>
        <w:rPr>
          <w:rFonts w:ascii="Times New Roman" w:hAnsi="Times New Roman" w:cs="Times New Roman"/>
          <w:szCs w:val="21"/>
        </w:rPr>
        <w:t>其他</w:t>
      </w:r>
      <w:r>
        <w:rPr>
          <w:rFonts w:hint="eastAsia" w:ascii="Times New Roman" w:hAnsi="Times New Roman" w:cs="Times New Roman"/>
          <w:szCs w:val="21"/>
        </w:rPr>
        <w:t>边界平面定义为</w:t>
      </w:r>
      <w:r>
        <w:rPr>
          <w:rFonts w:ascii="Times New Roman" w:hAnsi="Times New Roman" w:cs="Times New Roman"/>
          <w:szCs w:val="21"/>
        </w:rPr>
        <w:t>‘OPEN’</w:t>
      </w:r>
      <w:r>
        <w:rPr>
          <w:rFonts w:hint="eastAsia" w:ascii="Times New Roman" w:hAnsi="Times New Roman" w:cs="Times New Roman"/>
          <w:szCs w:val="21"/>
        </w:rPr>
        <w:t>，</w:t>
      </w:r>
      <w:r>
        <w:rPr>
          <w:rFonts w:ascii="Times New Roman" w:hAnsi="Times New Roman" w:cs="Times New Roman"/>
          <w:szCs w:val="21"/>
        </w:rPr>
        <w:t>以</w:t>
      </w:r>
      <w:r>
        <w:rPr>
          <w:rFonts w:hint="eastAsia" w:ascii="Times New Roman" w:hAnsi="Times New Roman" w:cs="Times New Roman"/>
          <w:szCs w:val="21"/>
        </w:rPr>
        <w:t>保证</w:t>
      </w:r>
      <w:r>
        <w:rPr>
          <w:rFonts w:ascii="Times New Roman" w:hAnsi="Times New Roman" w:cs="Times New Roman"/>
          <w:szCs w:val="21"/>
        </w:rPr>
        <w:t>压力和气流</w:t>
      </w:r>
      <w:r>
        <w:rPr>
          <w:rFonts w:hint="eastAsia" w:ascii="Times New Roman" w:hAnsi="Times New Roman" w:cs="Times New Roman"/>
          <w:szCs w:val="21"/>
        </w:rPr>
        <w:t>的</w:t>
      </w:r>
      <w:r>
        <w:rPr>
          <w:rFonts w:ascii="Times New Roman" w:hAnsi="Times New Roman" w:cs="Times New Roman"/>
          <w:szCs w:val="21"/>
        </w:rPr>
        <w:t>自由流出。</w:t>
      </w:r>
    </w:p>
    <w:p w14:paraId="58218C9B">
      <w:pPr>
        <w:spacing w:line="240" w:lineRule="atLeast"/>
        <w:jc w:val="center"/>
        <w:rPr>
          <w:rFonts w:hint="eastAsia" w:ascii="Times New Roman" w:hAnsi="Times New Roman" w:cs="Times New Roman" w:eastAsiaTheme="minorEastAsia"/>
          <w:szCs w:val="21"/>
          <w:lang w:eastAsia="zh-CN"/>
        </w:rPr>
      </w:pPr>
      <w:r>
        <w:rPr>
          <w:rFonts w:hint="eastAsia" w:ascii="Times New Roman" w:hAnsi="Times New Roman" w:cs="Times New Roman" w:eastAsiaTheme="minorEastAsia"/>
          <w:szCs w:val="21"/>
          <w:lang w:eastAsia="zh-CN"/>
        </w:rPr>
        <w:drawing>
          <wp:inline distT="0" distB="0" distL="114300" distR="114300">
            <wp:extent cx="2807970" cy="1548130"/>
            <wp:effectExtent l="0" t="0" r="11430" b="6350"/>
            <wp:docPr id="18" name="图片 18" descr="75190f9ae842a7ec75b40d7d9d0cc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75190f9ae842a7ec75b40d7d9d0cc0f"/>
                    <pic:cNvPicPr>
                      <a:picLocks noChangeAspect="1"/>
                    </pic:cNvPicPr>
                  </pic:nvPicPr>
                  <pic:blipFill>
                    <a:blip r:embed="rId6"/>
                    <a:stretch>
                      <a:fillRect/>
                    </a:stretch>
                  </pic:blipFill>
                  <pic:spPr>
                    <a:xfrm>
                      <a:off x="0" y="0"/>
                      <a:ext cx="2807970" cy="1548130"/>
                    </a:xfrm>
                    <a:prstGeom prst="rect">
                      <a:avLst/>
                    </a:prstGeom>
                  </pic:spPr>
                </pic:pic>
              </a:graphicData>
            </a:graphic>
          </wp:inline>
        </w:drawing>
      </w:r>
    </w:p>
    <w:p w14:paraId="1A1BF7F1">
      <w:pPr>
        <w:spacing w:line="240" w:lineRule="atLeast"/>
        <w:jc w:val="center"/>
        <w:rPr>
          <w:rFonts w:ascii="Times New Roman" w:hAnsi="Times New Roman" w:cs="Times New Roman"/>
          <w:szCs w:val="21"/>
        </w:rPr>
      </w:pPr>
      <w:r>
        <w:rPr>
          <w:rFonts w:hint="eastAsia" w:ascii="Times New Roman" w:hAnsi="Times New Roman" w:cs="Times New Roman"/>
          <w:szCs w:val="21"/>
        </w:rPr>
        <w:t>图2</w:t>
      </w:r>
      <w:r>
        <w:rPr>
          <w:rFonts w:ascii="Times New Roman" w:hAnsi="Times New Roman" w:cs="Times New Roman"/>
          <w:szCs w:val="21"/>
        </w:rPr>
        <w:t xml:space="preserve"> </w:t>
      </w:r>
      <w:r>
        <w:rPr>
          <w:rFonts w:hint="eastAsia" w:ascii="Times New Roman" w:hAnsi="Times New Roman" w:cs="Times New Roman"/>
          <w:szCs w:val="21"/>
        </w:rPr>
        <w:t>关注横向扩散的物理模型</w:t>
      </w:r>
    </w:p>
    <w:p w14:paraId="3E03A607">
      <w:pPr>
        <w:widowControl/>
        <w:spacing w:line="240" w:lineRule="atLeast"/>
        <w:ind w:firstLine="420"/>
        <w:rPr>
          <w:rFonts w:ascii="Times New Roman" w:hAnsi="Times New Roman" w:cs="Times New Roman"/>
          <w:szCs w:val="21"/>
        </w:rPr>
      </w:pPr>
      <w:r>
        <w:rPr>
          <w:rFonts w:hint="eastAsia" w:ascii="Times New Roman" w:hAnsi="Times New Roman" w:cs="Times New Roman"/>
          <w:szCs w:val="21"/>
        </w:rPr>
        <w:t>已有的研究表明，风速和风向会显著影响</w:t>
      </w:r>
      <w:r>
        <w:rPr>
          <w:rFonts w:hint="eastAsia" w:ascii="Times New Roman" w:hAnsi="Times New Roman" w:cs="Times New Roman"/>
          <w:szCs w:val="21"/>
          <w:lang w:val="en-US" w:eastAsia="zh-CN"/>
        </w:rPr>
        <w:t>氢的</w:t>
      </w:r>
      <w:r>
        <w:rPr>
          <w:rFonts w:hint="eastAsia" w:ascii="Times New Roman" w:hAnsi="Times New Roman" w:cs="Times New Roman"/>
          <w:szCs w:val="21"/>
        </w:rPr>
        <w:t>扩散行为</w:t>
      </w:r>
      <w:r>
        <w:rPr>
          <w:rFonts w:hint="eastAsia" w:ascii="Times New Roman" w:hAnsi="Times New Roman" w:cs="Times New Roman"/>
          <w:szCs w:val="21"/>
          <w:vertAlign w:val="superscript"/>
        </w:rPr>
        <w:fldChar w:fldCharType="begin"/>
      </w:r>
      <w:r>
        <w:rPr>
          <w:rFonts w:hint="eastAsia" w:ascii="Times New Roman" w:hAnsi="Times New Roman" w:cs="Times New Roman"/>
          <w:szCs w:val="21"/>
          <w:vertAlign w:val="superscript"/>
          <w:lang w:eastAsia="zh-CN"/>
        </w:rPr>
        <w:instrText xml:space="preserve"> ADDIN ZOTERO_ITEM CSL_CITATION {"citationID":"QW5nrDSF","properties":{"formattedCitation":"\\super [23]\\nosupersub{}","plainCitation":"[23]","noteIndex":0},"citationItems":[{"id":220,"uris":["http://zotero.org/users/local/qCNt7I6D/items/TPQQY7U3"],"itemData":{"id":220,"type":"article-journal","abstract":"This research is to simulate hydrogen leakage at bunker station with various wind directions and velocities using Computational Fluid Dynamics (CFD) model to understand hydrogen dispersion behaviour and provide general guidelines to establish risk prevent measures and mitigations at early design phase. This case study examines hydrogen plume behavior in various wind conditions, focusing on horizontal and vertical dispersion as well as mean travel distance over time. Regardless of wind direction, hydrogen disperses in alignment with the wind. As time progresses post-leakage, the plume elongates in the wind's longitudinal direction and contracts vertically, maintaining a consistent shape. Wind direction and the direction of hydrogen release notably influence dispersion patterns. When the wind aligns vertically with the release point, hydrogen plume distance increases with higher wind speeds. Conversely, when wind opposes the release direction, plume length tends to decrease at high speeds. Intriguingly, the maximum distance of 27.85 m occurs when wind and leak directions are orthogonal at 180°. For wind speeds up to 5 m/s, all wind directions show a similar increase in plume distance. However, at 7 m/s, scenarios with horizontal, perpendicular wind directions exhibit a distinct change. Analyzing hydrogen dispersion aids in establishing safety criteria and risk mitigation distances for hydrogen leakages in bunker stations during the early design phase.","container-title":"Journal of International Maritime Safety, Environmental Affairs, and Shipping","DOI":"10.1080/25725084.2023.2261350","ISSN":"null","issue":"4","language":"en","note":"publisher: Taylor &amp; Francis\n_eprint: https://doi.org/10.1080/25725084.2023.2261350","page":"2261350","source":"Taylor and Francis+NEJM","title":"CFD simulation of gas dispersion at hydrogen bunkering station","volume":"7","author":[{"family":"Choi","given":"Suwon"},{"family":"Jeong","given":"Byongug"}],"issued":{"date-parts":[["2023",10,2]]}}}],"schema":"https://github.com/citation-style-language/schema/raw/master/csl-citation.json"} </w:instrText>
      </w:r>
      <w:r>
        <w:rPr>
          <w:rFonts w:hint="eastAsia" w:ascii="Times New Roman" w:hAnsi="Times New Roman" w:cs="Times New Roman"/>
          <w:szCs w:val="21"/>
          <w:vertAlign w:val="superscript"/>
        </w:rPr>
        <w:fldChar w:fldCharType="separate"/>
      </w:r>
      <w:r>
        <w:rPr>
          <w:rFonts w:hint="default" w:ascii="Times New Roman" w:hAnsi="Times New Roman" w:cs="Times New Roman"/>
          <w:sz w:val="21"/>
          <w:szCs w:val="24"/>
          <w:vertAlign w:val="superscript"/>
        </w:rPr>
        <w:t>[23]</w:t>
      </w:r>
      <w:r>
        <w:rPr>
          <w:rFonts w:hint="eastAsia" w:ascii="Times New Roman" w:hAnsi="Times New Roman" w:cs="Times New Roman"/>
          <w:szCs w:val="21"/>
          <w:vertAlign w:val="superscript"/>
        </w:rPr>
        <w:fldChar w:fldCharType="end"/>
      </w:r>
      <w:r>
        <w:rPr>
          <w:rFonts w:hint="eastAsia" w:ascii="Times New Roman" w:hAnsi="Times New Roman" w:cs="Times New Roman"/>
          <w:szCs w:val="21"/>
        </w:rPr>
        <w:t>。因此，为预测构建的泄漏事件中，氢气云及其易燃浓度到达库区周围各建筑设施的最短时间（风向正对各建筑设施），建立了一个能够反映各建筑设施与目标</w:t>
      </w:r>
      <w:r>
        <w:rPr>
          <w:rFonts w:ascii="Times New Roman" w:hAnsi="Times New Roman" w:cs="Times New Roman"/>
          <w:szCs w:val="21"/>
        </w:rPr>
        <w:t>液氢储存罐</w:t>
      </w:r>
      <w:r>
        <w:rPr>
          <w:rFonts w:hint="eastAsia" w:ascii="Times New Roman" w:hAnsi="Times New Roman" w:cs="Times New Roman"/>
          <w:szCs w:val="21"/>
        </w:rPr>
        <w:t>相对位置的物理模型，计算域大小为</w:t>
      </w:r>
      <w:r>
        <w:rPr>
          <w:rFonts w:hint="eastAsia" w:ascii="Times New Roman" w:hAnsi="Times New Roman" w:cs="Times New Roman"/>
          <w:szCs w:val="21"/>
          <w:lang w:val="en-US" w:eastAsia="zh-CN"/>
        </w:rPr>
        <w:t>495</w:t>
      </w:r>
      <w:r>
        <w:rPr>
          <w:rFonts w:hint="eastAsia" w:ascii="Times New Roman" w:hAnsi="Times New Roman" w:cs="Times New Roman"/>
          <w:szCs w:val="21"/>
        </w:rPr>
        <w:t xml:space="preserve"> m</w:t>
      </w:r>
      <w:r>
        <w:rPr>
          <w:rFonts w:ascii="Times New Roman" w:hAnsi="Times New Roman" w:cs="Arial"/>
          <w:szCs w:val="21"/>
        </w:rPr>
        <w:t>×</w:t>
      </w:r>
      <w:r>
        <w:rPr>
          <w:rFonts w:hint="eastAsia" w:ascii="Times New Roman" w:hAnsi="Times New Roman" w:cs="Times New Roman"/>
          <w:szCs w:val="21"/>
        </w:rPr>
        <w:t>20 m</w:t>
      </w:r>
      <w:r>
        <w:rPr>
          <w:rFonts w:ascii="Times New Roman" w:hAnsi="Times New Roman" w:cs="Arial"/>
          <w:szCs w:val="21"/>
        </w:rPr>
        <w:t>×</w:t>
      </w:r>
      <w:r>
        <w:rPr>
          <w:rFonts w:hint="eastAsia" w:ascii="Times New Roman" w:hAnsi="Times New Roman" w:cs="Times New Roman"/>
          <w:szCs w:val="21"/>
          <w:lang w:val="en-US" w:eastAsia="zh-CN"/>
        </w:rPr>
        <w:t>52</w:t>
      </w:r>
      <w:r>
        <w:rPr>
          <w:rFonts w:hint="eastAsia" w:ascii="Times New Roman" w:hAnsi="Times New Roman" w:cs="Times New Roman"/>
          <w:szCs w:val="21"/>
        </w:rPr>
        <w:t xml:space="preserve"> m，如图3所示为模型俯视图。泄漏条件及环境参数保持不变。</w:t>
      </w:r>
    </w:p>
    <w:p w14:paraId="2D052D57">
      <w:pPr>
        <w:widowControl/>
        <w:spacing w:line="240" w:lineRule="atLeast"/>
        <w:jc w:val="center"/>
        <w:rPr>
          <w:rFonts w:hint="eastAsia" w:ascii="Times New Roman" w:hAnsi="Times New Roman" w:cs="Times New Roman" w:eastAsiaTheme="minorEastAsia"/>
          <w:szCs w:val="21"/>
          <w:lang w:eastAsia="zh-CN"/>
        </w:rPr>
      </w:pPr>
      <w:r>
        <w:rPr>
          <w:rFonts w:hint="eastAsia" w:ascii="Times New Roman" w:hAnsi="Times New Roman" w:cs="Times New Roman" w:eastAsiaTheme="minorEastAsia"/>
          <w:szCs w:val="21"/>
          <w:lang w:eastAsia="zh-CN"/>
        </w:rPr>
        <w:drawing>
          <wp:inline distT="0" distB="0" distL="114300" distR="114300">
            <wp:extent cx="2933065" cy="1042670"/>
            <wp:effectExtent l="0" t="0" r="8255" b="8890"/>
            <wp:docPr id="17" name="图片 17" descr="eaa11cb6a86f07188ab3db9773b0f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eaa11cb6a86f07188ab3db9773b0fa0"/>
                    <pic:cNvPicPr>
                      <a:picLocks noChangeAspect="1"/>
                    </pic:cNvPicPr>
                  </pic:nvPicPr>
                  <pic:blipFill>
                    <a:blip r:embed="rId7"/>
                    <a:stretch>
                      <a:fillRect/>
                    </a:stretch>
                  </pic:blipFill>
                  <pic:spPr>
                    <a:xfrm>
                      <a:off x="0" y="0"/>
                      <a:ext cx="2933065" cy="1042670"/>
                    </a:xfrm>
                    <a:prstGeom prst="rect">
                      <a:avLst/>
                    </a:prstGeom>
                  </pic:spPr>
                </pic:pic>
              </a:graphicData>
            </a:graphic>
          </wp:inline>
        </w:drawing>
      </w:r>
    </w:p>
    <w:p w14:paraId="3AA9316E">
      <w:pPr>
        <w:spacing w:line="240" w:lineRule="atLeast"/>
        <w:jc w:val="center"/>
        <w:rPr>
          <w:rFonts w:ascii="Times New Roman" w:hAnsi="Times New Roman" w:cs="Times New Roman"/>
          <w:szCs w:val="21"/>
        </w:rPr>
      </w:pPr>
      <w:r>
        <w:rPr>
          <w:rFonts w:hint="eastAsia" w:ascii="Times New Roman" w:hAnsi="Times New Roman" w:cs="Times New Roman"/>
          <w:szCs w:val="21"/>
        </w:rPr>
        <w:t>图3</w:t>
      </w:r>
      <w:r>
        <w:rPr>
          <w:rFonts w:ascii="Times New Roman" w:hAnsi="Times New Roman" w:cs="Times New Roman"/>
          <w:szCs w:val="21"/>
        </w:rPr>
        <w:t xml:space="preserve"> </w:t>
      </w:r>
      <w:r>
        <w:rPr>
          <w:rFonts w:hint="eastAsia" w:ascii="Times New Roman" w:hAnsi="Times New Roman" w:cs="Times New Roman"/>
          <w:szCs w:val="21"/>
          <w:lang w:val="en-US" w:eastAsia="zh-CN"/>
        </w:rPr>
        <w:t>扩散模型的</w:t>
      </w:r>
      <w:r>
        <w:rPr>
          <w:rFonts w:hint="eastAsia" w:ascii="Times New Roman" w:hAnsi="Times New Roman" w:cs="Times New Roman"/>
          <w:szCs w:val="21"/>
        </w:rPr>
        <w:t>俯视图</w:t>
      </w:r>
    </w:p>
    <w:p w14:paraId="07DA261A">
      <w:pPr>
        <w:widowControl/>
        <w:numPr>
          <w:ilvl w:val="1"/>
          <w:numId w:val="1"/>
        </w:numPr>
        <w:spacing w:line="240" w:lineRule="atLeast"/>
        <w:outlineLvl w:val="1"/>
        <w:rPr>
          <w:rFonts w:ascii="Times New Roman" w:hAnsi="Times New Roman" w:eastAsia="宋体" w:cs="Times New Roman"/>
          <w:b/>
          <w:kern w:val="0"/>
          <w:szCs w:val="21"/>
        </w:rPr>
      </w:pPr>
      <w:r>
        <w:rPr>
          <w:rFonts w:hint="eastAsia" w:ascii="Times New Roman" w:hAnsi="Times New Roman" w:eastAsia="宋体" w:cs="Times New Roman"/>
          <w:b/>
          <w:kern w:val="0"/>
          <w:szCs w:val="21"/>
          <w:lang w:val="en-US" w:eastAsia="zh-CN"/>
        </w:rPr>
        <w:t xml:space="preserve"> </w:t>
      </w:r>
      <w:r>
        <w:rPr>
          <w:rFonts w:hint="eastAsia" w:ascii="Times New Roman" w:hAnsi="Times New Roman" w:eastAsia="宋体" w:cs="Times New Roman"/>
          <w:b/>
          <w:kern w:val="0"/>
          <w:szCs w:val="21"/>
        </w:rPr>
        <w:t>数值模型及控制方程</w:t>
      </w:r>
    </w:p>
    <w:p w14:paraId="77D86C04">
      <w:pPr>
        <w:widowControl/>
        <w:spacing w:line="240" w:lineRule="atLeast"/>
        <w:ind w:firstLine="420"/>
        <w:rPr>
          <w:rFonts w:ascii="Times New Roman" w:hAnsi="Times New Roman" w:cs="Times New Roman"/>
          <w:szCs w:val="21"/>
        </w:rPr>
      </w:pPr>
      <w:r>
        <w:rPr>
          <w:rFonts w:ascii="Times New Roman" w:hAnsi="Times New Roman" w:cs="Times New Roman"/>
          <w:szCs w:val="21"/>
        </w:rPr>
        <w:t>FDS基于大涡模拟（LES）框架，通过求解低马赫数下的Navier-Stokes方程模拟流体动力学、燃烧和传热过程</w:t>
      </w:r>
      <w:r>
        <w:rPr>
          <w:rFonts w:ascii="Times New Roman" w:hAnsi="Times New Roman" w:cs="Times New Roman"/>
          <w:szCs w:val="21"/>
          <w:vertAlign w:val="superscript"/>
        </w:rPr>
        <w:fldChar w:fldCharType="begin"/>
      </w:r>
      <w:r>
        <w:rPr>
          <w:rFonts w:hint="eastAsia" w:ascii="Times New Roman" w:hAnsi="Times New Roman" w:cs="Times New Roman"/>
          <w:szCs w:val="21"/>
          <w:vertAlign w:val="superscript"/>
          <w:lang w:eastAsia="zh-CN"/>
        </w:rPr>
        <w:instrText xml:space="preserve"> ADDIN ZOTERO_ITEM CSL_CITATION {"citationID":"Efi6dUPz","properties":{"formattedCitation":"\\super [24]\\nosupersub{}","plainCitation":"[24]","noteIndex":0},"citationItems":[{"id":297,"uris":["http://zotero.org/users/local/qCNt7I6D/items/CL3UNN75"],"itemData":{"id":297,"type":"article-journal","abstract":"Due to the strengthened air pollution regulations, research on hydrogen commercialization is being actively conducted. However, there is a lack of research on the use of hydrogen on ships and the fires. The fire dynamics simulator (FDS, ver. 6.7.8) was used to evaluate optimal sprinkler parameters when the fire broke out after the liquid hydrogen leaked from hydrogen storage tank on the ship's deck using hydrogen fuel cell and formed a pool. It was simulated that simulations were performed to evaluate suitable parameters, droplet size and spray velocity, for extinguishing the hydrogen pool fire and to apprehend the optimal number of sprinklers with suitable parameters. The results indicate that the fire could not be completely extinguished when a low spray velocity of 10 m/s and a large droplet size of 300 μm were set, but the temperature of the fire source could be effectively suppressed when suitable parameters (30 m/s, 30 μm) were selected. However, because one sprinkler with selected conditions was not able to completely extinguish the hydrogen pool fire, it was derived that three or more sprinkler have to be installed. Based on these results, this study presented the minimum extinguishing conditions in the marine system, which is a limited environment.","container-title":"International Journal of Hydrogen Energy","DOI":"10.1016/j.ijhydene.2023.05.178","ISSN":"0360-3199","journalAbbreviation":"International Journal of Hydrogen Energy","language":"en","page":"118-126","source":"ScienceDirect","title":"Numerical analysis on extinguishing of sprinklers in a hydrogen pool fire","volume":"54","author":[{"family":"Lim","given":"Sang-Jin"},{"family":"Woo","given":"Dong-Han"},{"family":"Lee","given":"Yoon-Ho"}],"issued":{"date-parts":[["2024",2,7]]}}}],"schema":"https://github.com/citation-style-language/schema/raw/master/csl-citation.json"} </w:instrText>
      </w:r>
      <w:r>
        <w:rPr>
          <w:rFonts w:ascii="Times New Roman" w:hAnsi="Times New Roman" w:cs="Times New Roman"/>
          <w:szCs w:val="21"/>
          <w:vertAlign w:val="superscript"/>
        </w:rPr>
        <w:fldChar w:fldCharType="separate"/>
      </w:r>
      <w:r>
        <w:rPr>
          <w:rFonts w:hint="default" w:ascii="Times New Roman" w:hAnsi="Times New Roman" w:cs="Times New Roman"/>
          <w:sz w:val="21"/>
          <w:szCs w:val="24"/>
          <w:vertAlign w:val="superscript"/>
        </w:rPr>
        <w:t>[24]</w:t>
      </w:r>
      <w:r>
        <w:rPr>
          <w:rFonts w:ascii="Times New Roman" w:hAnsi="Times New Roman" w:cs="Times New Roman"/>
          <w:szCs w:val="21"/>
          <w:vertAlign w:val="superscript"/>
        </w:rPr>
        <w:fldChar w:fldCharType="end"/>
      </w:r>
      <w:r>
        <w:rPr>
          <w:rFonts w:ascii="Times New Roman" w:hAnsi="Times New Roman" w:cs="Times New Roman"/>
          <w:szCs w:val="21"/>
        </w:rPr>
        <w:t>。</w:t>
      </w:r>
      <w:r>
        <w:rPr>
          <w:rFonts w:hint="eastAsia" w:ascii="Times New Roman" w:hAnsi="Times New Roman" w:cs="Times New Roman"/>
          <w:szCs w:val="21"/>
        </w:rPr>
        <w:t>仿真实现是通过编写文本格式的输入文件，定义几何、边界条件、初始条件、材料属性以及输出参数等，再基于CMD命令行输入运行命令。本研究涉及的</w:t>
      </w:r>
      <w:r>
        <w:rPr>
          <w:rFonts w:ascii="Times New Roman" w:hAnsi="Times New Roman" w:cs="Times New Roman"/>
          <w:szCs w:val="21"/>
        </w:rPr>
        <w:t>模型和方程</w:t>
      </w:r>
      <w:r>
        <w:rPr>
          <w:rFonts w:hint="eastAsia" w:ascii="Times New Roman" w:hAnsi="Times New Roman" w:cs="Times New Roman"/>
          <w:szCs w:val="21"/>
          <w:lang w:val="en-US" w:eastAsia="zh-CN"/>
        </w:rPr>
        <w:t>如下</w:t>
      </w:r>
      <w:r>
        <w:rPr>
          <w:rFonts w:ascii="Times New Roman" w:hAnsi="Times New Roman" w:cs="Times New Roman"/>
          <w:szCs w:val="21"/>
        </w:rPr>
        <w:fldChar w:fldCharType="begin"/>
      </w:r>
      <w:r>
        <w:rPr>
          <w:rFonts w:hint="eastAsia" w:ascii="Times New Roman" w:hAnsi="Times New Roman" w:cs="Times New Roman"/>
          <w:szCs w:val="21"/>
          <w:lang w:eastAsia="zh-CN"/>
        </w:rPr>
        <w:instrText xml:space="preserve"> ADDIN ZOTERO_ITEM CSL_CITATION {"citationID":"CCcxSbct","properties":{"formattedCitation":"\\super [25]\\nosupersub{}","plainCitation":"[25]","noteIndex":0},"citationItems":[{"id":227,"uris":["http://zotero.org/users/local/qCNt7I6D/items/CJRB9WW2"],"itemData":{"id":227,"type":"software","event-place":"Gaithersburg, MD","genre":"EN","note":"DOI: 10.6028/NIST.SP.1018","publisher":"National Institute of Standards and Technology","publisher-place":"Gaithersburg, MD","source":"DOI.org (Crossref)","title":"Fire Dynamics Simulator  Technical Reference Guide  Volume 1: Mathematical Model","title-short":"Fire dynamics simulator (version 4)","URL":"https://nvlpubs.nist.gov/nistpubs/Legacy/SP/nistspecialpublication1018.pdf","version":"FDS-6.9.1-0-g889da6a","author":[{"family":"McGrattan","given":"Kevin"},{"family":"Hostikka","given":"Simo"},{"family":"Floyd","given":"Jason"},{"family":"McDermott","given":"Randall"},{"family":"Marcos","given":"Vanella"},{"family":"Mueller","given":"Eric"}],"issued":{"date-parts":[["2024"]]}}}],"schema":"https://github.com/citation-style-language/schema/raw/master/csl-citation.json"} </w:instrText>
      </w:r>
      <w:r>
        <w:rPr>
          <w:rFonts w:ascii="Times New Roman" w:hAnsi="Times New Roman" w:cs="Times New Roman"/>
          <w:szCs w:val="21"/>
        </w:rPr>
        <w:fldChar w:fldCharType="separate"/>
      </w:r>
      <w:r>
        <w:rPr>
          <w:rFonts w:hint="default" w:ascii="Times New Roman" w:hAnsi="Times New Roman" w:cs="Times New Roman"/>
          <w:sz w:val="21"/>
          <w:szCs w:val="24"/>
          <w:vertAlign w:val="superscript"/>
        </w:rPr>
        <w:t>[25]</w:t>
      </w:r>
      <w:r>
        <w:rPr>
          <w:rFonts w:ascii="Times New Roman" w:hAnsi="Times New Roman" w:cs="Times New Roman"/>
          <w:szCs w:val="21"/>
        </w:rPr>
        <w:fldChar w:fldCharType="end"/>
      </w:r>
      <w:r>
        <w:rPr>
          <w:rFonts w:hint="eastAsia" w:ascii="Times New Roman" w:hAnsi="Times New Roman" w:cs="Times New Roman"/>
          <w:szCs w:val="21"/>
        </w:rPr>
        <w:t>。</w:t>
      </w:r>
    </w:p>
    <w:p w14:paraId="44B4DA87">
      <w:pPr>
        <w:widowControl/>
        <w:spacing w:line="240" w:lineRule="atLeast"/>
        <w:ind w:firstLine="420"/>
        <w:rPr>
          <w:rFonts w:ascii="Times New Roman" w:hAnsi="Times New Roman" w:cs="Times New Roman"/>
          <w:szCs w:val="21"/>
        </w:rPr>
      </w:pPr>
      <w:r>
        <w:rPr>
          <w:rFonts w:ascii="Times New Roman" w:hAnsi="Times New Roman" w:cs="Times New Roman"/>
          <w:szCs w:val="21"/>
        </w:rPr>
        <w:t>FDS采用预测-校正格式求解物种输运方程，根据第</w:t>
      </w:r>
      <w:r>
        <w:rPr>
          <w:rFonts w:ascii="Times New Roman" w:hAnsi="Times New Roman" w:cs="Times New Roman"/>
          <w:i/>
          <w:iCs/>
          <w:szCs w:val="21"/>
        </w:rPr>
        <w:t>n</w:t>
      </w:r>
      <w:r>
        <w:rPr>
          <w:rFonts w:ascii="Times New Roman" w:hAnsi="Times New Roman" w:cs="Times New Roman"/>
          <w:szCs w:val="21"/>
        </w:rPr>
        <w:t>层的信息估计时间层</w:t>
      </w:r>
      <w:r>
        <w:rPr>
          <w:rFonts w:ascii="Times New Roman" w:hAnsi="Times New Roman" w:cs="Times New Roman"/>
          <w:i/>
          <w:iCs/>
          <w:szCs w:val="21"/>
        </w:rPr>
        <w:t>n</w:t>
      </w:r>
      <w:r>
        <w:rPr>
          <w:rFonts w:ascii="Times New Roman" w:hAnsi="Times New Roman" w:cs="Times New Roman"/>
          <w:szCs w:val="21"/>
        </w:rPr>
        <w:t>+1时网格</w:t>
      </w:r>
      <w:r>
        <w:rPr>
          <w:rFonts w:ascii="Times New Roman" w:hAnsi="Times New Roman" w:cs="Times New Roman"/>
          <w:i/>
          <w:iCs/>
          <w:szCs w:val="21"/>
        </w:rPr>
        <w:t>ijk</w:t>
      </w:r>
      <w:r>
        <w:rPr>
          <w:rFonts w:ascii="Times New Roman" w:hAnsi="Times New Roman" w:cs="Times New Roman"/>
          <w:szCs w:val="21"/>
        </w:rPr>
        <w:t>中的质量密度，连续性守恒方程如下：</w:t>
      </w:r>
    </w:p>
    <w:p w14:paraId="6930374B">
      <w:pPr>
        <w:widowControl/>
        <w:spacing w:line="240" w:lineRule="atLeast"/>
        <w:ind w:firstLine="420"/>
        <w:rPr>
          <w:rFonts w:ascii="Times New Roman" w:hAnsi="Times New Roman" w:cs="Times New Roman"/>
          <w:i/>
          <w:iCs/>
          <w:szCs w:val="21"/>
        </w:rPr>
      </w:pPr>
      <m:oMathPara>
        <m:oMath>
          <m:f>
            <m:fPr>
              <m:ctrlPr>
                <w:rPr>
                  <w:rFonts w:ascii="Cambria Math" w:hAnsi="Cambria Math" w:cs="Times New Roman"/>
                  <w:i/>
                  <w:iCs/>
                  <w:szCs w:val="21"/>
                </w:rPr>
              </m:ctrlPr>
            </m:fPr>
            <m:num>
              <m:sSubSup>
                <m:sSubSupPr>
                  <m:ctrlPr>
                    <w:rPr>
                      <w:rFonts w:ascii="Cambria Math" w:hAnsi="Cambria Math" w:cs="Times New Roman"/>
                      <w:i/>
                      <w:iCs/>
                      <w:szCs w:val="21"/>
                    </w:rPr>
                  </m:ctrlPr>
                </m:sSubSup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r>
                    <m:rPr/>
                    <w:rPr>
                      <w:rFonts w:ascii="Times New Roman" w:hAnsi="Times New Roman" w:cs="Times New Roman"/>
                      <w:szCs w:val="21"/>
                    </w:rPr>
                    <m:t>)</m:t>
                  </m:r>
                  <m:ctrlPr>
                    <w:rPr>
                      <w:rFonts w:ascii="Cambria Math" w:hAnsi="Cambria Math" w:cs="Times New Roman"/>
                      <w:i/>
                      <w:iCs/>
                      <w:szCs w:val="21"/>
                    </w:rPr>
                  </m:ctrlPr>
                </m:e>
                <m:sub>
                  <m:r>
                    <m:rPr/>
                    <w:rPr>
                      <w:rFonts w:ascii="Times New Roman" w:hAnsi="Times New Roman" w:cs="Times New Roman"/>
                      <w:szCs w:val="21"/>
                    </w:rPr>
                    <m:t>ijk</m:t>
                  </m:r>
                  <m:ctrlPr>
                    <w:rPr>
                      <w:rFonts w:ascii="Cambria Math" w:hAnsi="Cambria Math" w:cs="Times New Roman"/>
                      <w:i/>
                      <w:iCs/>
                      <w:szCs w:val="21"/>
                    </w:rPr>
                  </m:ctrlPr>
                </m:sub>
                <m:sup>
                  <m:r>
                    <m:rPr/>
                    <w:rPr>
                      <w:rFonts w:ascii="Times New Roman" w:hAnsi="Times New Roman" w:cs="Times New Roman"/>
                      <w:szCs w:val="21"/>
                    </w:rPr>
                    <m:t>∗</m:t>
                  </m:r>
                  <m:ctrlPr>
                    <w:rPr>
                      <w:rFonts w:ascii="Cambria Math" w:hAnsi="Cambria Math" w:cs="Times New Roman"/>
                      <w:i/>
                      <w:iCs/>
                      <w:szCs w:val="21"/>
                    </w:rPr>
                  </m:ctrlPr>
                </m:sup>
              </m:sSubSup>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r>
                    <m:rPr/>
                    <w:rPr>
                      <w:rFonts w:ascii="Times New Roman" w:hAnsi="Times New Roman" w:cs="Times New Roman"/>
                      <w:szCs w:val="21"/>
                    </w:rPr>
                    <m:t>)</m:t>
                  </m:r>
                  <m:ctrlPr>
                    <w:rPr>
                      <w:rFonts w:ascii="Cambria Math" w:hAnsi="Cambria Math" w:cs="Times New Roman"/>
                      <w:i/>
                      <w:iCs/>
                      <w:szCs w:val="21"/>
                    </w:rPr>
                  </m:ctrlPr>
                </m:e>
                <m:sub>
                  <m:r>
                    <m:rPr/>
                    <w:rPr>
                      <w:rFonts w:ascii="Times New Roman" w:hAnsi="Times New Roman" w:cs="Times New Roman"/>
                      <w:szCs w:val="21"/>
                    </w:rPr>
                    <m:t>ijk</m:t>
                  </m:r>
                  <m:ctrlPr>
                    <w:rPr>
                      <w:rFonts w:ascii="Cambria Math" w:hAnsi="Cambria Math" w:cs="Times New Roman"/>
                      <w:i/>
                      <w:iCs/>
                      <w:szCs w:val="21"/>
                    </w:rPr>
                  </m:ctrlPr>
                </m:sub>
                <m:sup>
                  <m:r>
                    <m:rPr/>
                    <w:rPr>
                      <w:rFonts w:ascii="Times New Roman" w:hAnsi="Times New Roman" w:cs="Times New Roman"/>
                      <w:szCs w:val="21"/>
                    </w:rPr>
                    <m:t>n</m:t>
                  </m:r>
                  <m:ctrlPr>
                    <w:rPr>
                      <w:rFonts w:ascii="Cambria Math" w:hAnsi="Cambria Math" w:cs="Times New Roman"/>
                      <w:i/>
                      <w:iCs/>
                      <w:szCs w:val="21"/>
                    </w:rPr>
                  </m:ctrlPr>
                </m:sup>
              </m:sSubSup>
              <m:ctrlPr>
                <w:rPr>
                  <w:rFonts w:ascii="Cambria Math" w:hAnsi="Cambria Math" w:cs="Times New Roman"/>
                  <w:i/>
                  <w:iCs/>
                  <w:szCs w:val="21"/>
                </w:rPr>
              </m:ctrlPr>
            </m:num>
            <m:den>
              <m:r>
                <m:rPr/>
                <w:rPr>
                  <w:rFonts w:ascii="Times New Roman" w:hAnsi="Times New Roman" w:cs="Times New Roman"/>
                  <w:szCs w:val="21"/>
                </w:rPr>
                <m:t>∂t</m:t>
              </m:r>
              <m:ctrlPr>
                <w:rPr>
                  <w:rFonts w:ascii="Cambria Math" w:hAnsi="Cambria Math" w:cs="Times New Roman"/>
                  <w:i/>
                  <w:iCs/>
                  <w:szCs w:val="21"/>
                </w:rPr>
              </m:ctrlPr>
            </m:den>
          </m:f>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m:t>
              </m:r>
              <m:sSup>
                <m:sSupPr>
                  <m:ctrlPr>
                    <w:rPr>
                      <w:rFonts w:ascii="Cambria Math" w:hAnsi="Cambria Math" w:cs="Times New Roman"/>
                      <w:i/>
                      <w:iCs/>
                      <w:szCs w:val="21"/>
                    </w:rPr>
                  </m:ctrlPr>
                </m:sSupPr>
                <m:e>
                  <m:acc>
                    <m:accPr>
                      <m:chr m:val="̅"/>
                      <m:ctrlPr>
                        <w:rPr>
                          <w:rFonts w:ascii="Cambria Math" w:hAnsi="Cambria Math" w:cs="Times New Roman"/>
                          <w:i/>
                          <w:iCs/>
                          <w:szCs w:val="21"/>
                        </w:rPr>
                      </m:ctrlPr>
                    </m:acc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ctrlPr>
                        <w:rPr>
                          <w:rFonts w:ascii="Cambria Math" w:hAnsi="Cambria Math" w:cs="Times New Roman"/>
                          <w:i/>
                          <w:iCs/>
                          <w:szCs w:val="21"/>
                        </w:rPr>
                      </m:ctrlPr>
                    </m:e>
                  </m:acc>
                  <m:ctrlPr>
                    <w:rPr>
                      <w:rFonts w:ascii="Cambria Math" w:hAnsi="Cambria Math" w:cs="Times New Roman"/>
                      <w:i/>
                      <w:iCs/>
                      <w:szCs w:val="21"/>
                    </w:rPr>
                  </m:ctrlPr>
                </m:e>
                <m:sup>
                  <m:r>
                    <m:rPr/>
                    <w:rPr>
                      <w:rFonts w:ascii="Times New Roman" w:hAnsi="Times New Roman" w:cs="Times New Roman"/>
                      <w:szCs w:val="21"/>
                    </w:rPr>
                    <m:t>FL</m:t>
                  </m:r>
                  <m:ctrlPr>
                    <w:rPr>
                      <w:rFonts w:ascii="Cambria Math" w:hAnsi="Cambria Math" w:cs="Times New Roman"/>
                      <w:i/>
                      <w:iCs/>
                      <w:szCs w:val="21"/>
                    </w:rPr>
                  </m:ctrlPr>
                </m:sup>
              </m:sSup>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ijk</m:t>
              </m:r>
              <m:ctrlPr>
                <w:rPr>
                  <w:rFonts w:ascii="Cambria Math" w:hAnsi="Cambria Math" w:cs="Times New Roman"/>
                  <w:i/>
                  <w:iCs/>
                  <w:szCs w:val="21"/>
                </w:rPr>
              </m:ctrlPr>
            </m:sub>
            <m:sup>
              <m:r>
                <m:rPr/>
                <w:rPr>
                  <w:rFonts w:ascii="Times New Roman" w:hAnsi="Times New Roman" w:cs="Times New Roman"/>
                  <w:szCs w:val="21"/>
                </w:rPr>
                <m:t>n</m:t>
              </m:r>
              <m:ctrlPr>
                <w:rPr>
                  <w:rFonts w:ascii="Cambria Math" w:hAnsi="Cambria Math" w:cs="Times New Roman"/>
                  <w:i/>
                  <w:iCs/>
                  <w:szCs w:val="21"/>
                </w:rPr>
              </m:ctrlPr>
            </m:sup>
          </m:sSubSup>
          <m:r>
            <m:rPr/>
            <w:rPr>
              <w:rFonts w:ascii="Times New Roman" w:hAnsi="Times New Roman" w:cs="Times New Roman"/>
              <w:szCs w:val="21"/>
            </w:rPr>
            <m:t>=</m:t>
          </m:r>
        </m:oMath>
      </m:oMathPara>
    </w:p>
    <w:p w14:paraId="79C638AC">
      <w:pPr>
        <w:widowControl/>
        <w:spacing w:line="240" w:lineRule="atLeast"/>
        <w:ind w:firstLine="420"/>
        <w:jc w:val="right"/>
        <w:rPr>
          <w:rFonts w:ascii="Times New Roman" w:hAnsi="Times New Roman" w:cs="Times New Roman"/>
          <w:szCs w:val="21"/>
        </w:rPr>
      </w:pPr>
      <m:oMath>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D</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r>
              <m:rPr/>
              <w:rPr>
                <w:rFonts w:ascii="Times New Roman" w:hAnsi="Times New Roman" w:cs="Times New Roman"/>
                <w:szCs w:val="21"/>
              </w:rPr>
              <m:t>)</m:t>
            </m:r>
            <m:ctrlPr>
              <w:rPr>
                <w:rFonts w:ascii="Cambria Math" w:hAnsi="Cambria Math" w:cs="Times New Roman"/>
                <w:i/>
                <w:iCs/>
                <w:szCs w:val="21"/>
              </w:rPr>
            </m:ctrlPr>
          </m:e>
          <m:sub>
            <m:r>
              <m:rPr/>
              <w:rPr>
                <w:rFonts w:ascii="Times New Roman" w:hAnsi="Times New Roman" w:cs="Times New Roman"/>
                <w:szCs w:val="21"/>
              </w:rPr>
              <m:t>ijk</m:t>
            </m:r>
            <m:ctrlPr>
              <w:rPr>
                <w:rFonts w:ascii="Cambria Math" w:hAnsi="Cambria Math" w:cs="Times New Roman"/>
                <w:i/>
                <w:iCs/>
                <w:szCs w:val="21"/>
              </w:rPr>
            </m:ctrlPr>
          </m:sub>
          <m:sup>
            <m:r>
              <m:rPr/>
              <w:rPr>
                <w:rFonts w:ascii="Times New Roman" w:hAnsi="Times New Roman" w:cs="Times New Roman"/>
                <w:szCs w:val="21"/>
              </w:rPr>
              <m:t>n</m:t>
            </m:r>
            <m:ctrlPr>
              <w:rPr>
                <w:rFonts w:ascii="Cambria Math" w:hAnsi="Cambria Math" w:cs="Times New Roman"/>
                <w:i/>
                <w:iCs/>
                <w:szCs w:val="21"/>
              </w:rPr>
            </m:ctrlPr>
          </m:sup>
        </m:sSubSup>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m:t>
            </m:r>
            <m:sSubSup>
              <m:sSubSupPr>
                <m:ctrlPr>
                  <w:rPr>
                    <w:rFonts w:ascii="Cambria Math" w:hAnsi="Cambria Math" w:cs="Times New Roman"/>
                    <w:i/>
                    <w:iCs/>
                    <w:szCs w:val="21"/>
                  </w:rPr>
                </m:ctrlPr>
              </m:sSubSupPr>
              <m:e>
                <m:acc>
                  <m:accPr>
                    <m:chr m:val="̇"/>
                    <m:ctrlPr>
                      <w:rPr>
                        <w:rFonts w:ascii="Cambria Math" w:hAnsi="Cambria Math" w:cs="Times New Roman"/>
                        <w:i/>
                        <w:iCs/>
                        <w:szCs w:val="21"/>
                      </w:rPr>
                    </m:ctrlPr>
                  </m:accPr>
                  <m:e>
                    <m:r>
                      <m:rPr/>
                      <w:rPr>
                        <w:rFonts w:ascii="Times New Roman" w:hAnsi="Times New Roman" w:cs="Times New Roman"/>
                        <w:szCs w:val="21"/>
                      </w:rPr>
                      <m:t>m</m:t>
                    </m:r>
                    <m:ctrlPr>
                      <w:rPr>
                        <w:rFonts w:ascii="Cambria Math" w:hAnsi="Cambria Math" w:cs="Times New Roman"/>
                        <w:i/>
                        <w:iCs/>
                        <w:szCs w:val="21"/>
                      </w:rPr>
                    </m:ctrlPr>
                  </m:e>
                </m:acc>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up>
                <m:r>
                  <m:rPr/>
                  <w:rPr>
                    <w:rFonts w:ascii="Times New Roman" w:hAnsi="Times New Roman" w:cs="Times New Roman"/>
                    <w:szCs w:val="21"/>
                  </w:rPr>
                  <m:t>m</m:t>
                </m:r>
                <m:ctrlPr>
                  <w:rPr>
                    <w:rFonts w:ascii="Cambria Math" w:hAnsi="Cambria Math" w:cs="Times New Roman"/>
                    <w:i/>
                    <w:iCs/>
                    <w:szCs w:val="21"/>
                  </w:rPr>
                </m:ctrlPr>
              </m:sup>
            </m:sSubSup>
            <m:r>
              <m:rPr/>
              <w:rPr>
                <w:rFonts w:ascii="Times New Roman" w:hAnsi="Times New Roman" w:cs="Times New Roman"/>
                <w:szCs w:val="21"/>
              </w:rPr>
              <m:t>+</m:t>
            </m:r>
            <m:sSubSup>
              <m:sSubSupPr>
                <m:ctrlPr>
                  <w:rPr>
                    <w:rFonts w:ascii="Cambria Math" w:hAnsi="Cambria Math" w:cs="Times New Roman"/>
                    <w:i/>
                    <w:iCs/>
                    <w:szCs w:val="21"/>
                  </w:rPr>
                </m:ctrlPr>
              </m:sSubSupPr>
              <m:e>
                <m:acc>
                  <m:accPr>
                    <m:chr m:val="̇"/>
                    <m:ctrlPr>
                      <w:rPr>
                        <w:rFonts w:ascii="Cambria Math" w:hAnsi="Cambria Math" w:cs="Times New Roman"/>
                        <w:i/>
                        <w:iCs/>
                        <w:szCs w:val="21"/>
                      </w:rPr>
                    </m:ctrlPr>
                  </m:accPr>
                  <m:e>
                    <m:r>
                      <m:rPr/>
                      <w:rPr>
                        <w:rFonts w:ascii="Times New Roman" w:hAnsi="Times New Roman" w:cs="Times New Roman"/>
                        <w:szCs w:val="21"/>
                      </w:rPr>
                      <m:t>m</m:t>
                    </m:r>
                    <m:ctrlPr>
                      <w:rPr>
                        <w:rFonts w:ascii="Cambria Math" w:hAnsi="Cambria Math" w:cs="Times New Roman"/>
                        <w:i/>
                        <w:iCs/>
                        <w:szCs w:val="21"/>
                      </w:rPr>
                    </m:ctrlPr>
                  </m:e>
                </m:acc>
                <m:ctrlPr>
                  <w:rPr>
                    <w:rFonts w:ascii="Cambria Math" w:hAnsi="Cambria Math" w:cs="Times New Roman"/>
                    <w:i/>
                    <w:iCs/>
                    <w:szCs w:val="21"/>
                  </w:rPr>
                </m:ctrlPr>
              </m:e>
              <m:sub>
                <m:r>
                  <m:rPr/>
                  <w:rPr>
                    <w:rFonts w:ascii="Times New Roman" w:hAnsi="Times New Roman" w:cs="Times New Roman"/>
                    <w:szCs w:val="21"/>
                  </w:rPr>
                  <m:t>b,a</m:t>
                </m:r>
                <m:ctrlPr>
                  <w:rPr>
                    <w:rFonts w:ascii="Cambria Math" w:hAnsi="Cambria Math" w:cs="Times New Roman"/>
                    <w:i/>
                    <w:iCs/>
                    <w:szCs w:val="21"/>
                  </w:rPr>
                </m:ctrlPr>
              </m:sub>
              <m:sup>
                <m:r>
                  <m:rPr/>
                  <w:rPr>
                    <w:rFonts w:ascii="Times New Roman" w:hAnsi="Times New Roman" w:cs="Times New Roman"/>
                    <w:szCs w:val="21"/>
                  </w:rPr>
                  <m:t>m</m:t>
                </m:r>
                <m:ctrlPr>
                  <w:rPr>
                    <w:rFonts w:ascii="Cambria Math" w:hAnsi="Cambria Math" w:cs="Times New Roman"/>
                    <w:i/>
                    <w:iCs/>
                    <w:szCs w:val="21"/>
                  </w:rPr>
                </m:ctrlPr>
              </m:sup>
            </m:sSubSup>
            <m:r>
              <m:rPr/>
              <w:rPr>
                <w:rFonts w:ascii="Times New Roman" w:hAnsi="Times New Roman" w:cs="Times New Roman"/>
                <w:szCs w:val="21"/>
              </w:rPr>
              <m:t>)</m:t>
            </m:r>
            <m:ctrlPr>
              <w:rPr>
                <w:rFonts w:ascii="Cambria Math" w:hAnsi="Cambria Math" w:cs="Times New Roman"/>
                <w:i/>
                <w:iCs/>
                <w:szCs w:val="21"/>
              </w:rPr>
            </m:ctrlPr>
          </m:e>
          <m:sub>
            <m:r>
              <m:rPr/>
              <w:rPr>
                <w:rFonts w:ascii="Times New Roman" w:hAnsi="Times New Roman" w:cs="Times New Roman"/>
                <w:szCs w:val="21"/>
              </w:rPr>
              <m:t>ijk</m:t>
            </m:r>
            <m:ctrlPr>
              <w:rPr>
                <w:rFonts w:ascii="Cambria Math" w:hAnsi="Cambria Math" w:cs="Times New Roman"/>
                <w:i/>
                <w:iCs/>
                <w:szCs w:val="21"/>
              </w:rPr>
            </m:ctrlPr>
          </m:sub>
          <m:sup>
            <m:r>
              <m:rPr/>
              <w:rPr>
                <w:rFonts w:ascii="Times New Roman" w:hAnsi="Times New Roman" w:cs="Times New Roman"/>
                <w:szCs w:val="21"/>
              </w:rPr>
              <m:t>n</m:t>
            </m:r>
            <m:ctrlPr>
              <w:rPr>
                <w:rFonts w:ascii="Cambria Math" w:hAnsi="Cambria Math" w:cs="Times New Roman"/>
                <w:i/>
                <w:iCs/>
                <w:szCs w:val="21"/>
              </w:rPr>
            </m:ctrlPr>
          </m:sup>
        </m:sSubSup>
        <m:r>
          <m:rPr/>
          <w:rPr>
            <w:rFonts w:ascii="Times New Roman" w:hAnsi="Times New Roman" w:cs="Times New Roman"/>
            <w:szCs w:val="21"/>
          </w:rPr>
          <m:t>.</m:t>
        </m:r>
      </m:oMath>
      <w:r>
        <w:rPr>
          <w:rFonts w:ascii="Times New Roman" w:hAnsi="Times New Roman" w:cs="Times New Roman"/>
          <w:szCs w:val="21"/>
        </w:rPr>
        <w:t xml:space="preserve"> </w:t>
      </w:r>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2</w:t>
      </w:r>
      <w:r>
        <w:rPr>
          <w:rFonts w:ascii="Times New Roman" w:hAnsi="Times New Roman" w:cs="Times New Roman"/>
          <w:szCs w:val="21"/>
        </w:rPr>
        <w:t>)</w:t>
      </w:r>
    </w:p>
    <w:p w14:paraId="44790510">
      <w:pPr>
        <w:widowControl/>
        <w:spacing w:line="240" w:lineRule="atLeast"/>
        <w:rPr>
          <w:rFonts w:ascii="Times New Roman" w:hAnsi="Times New Roman" w:cs="Times New Roman"/>
          <w:szCs w:val="21"/>
        </w:rPr>
      </w:pPr>
      <w:r>
        <w:rPr>
          <w:rFonts w:ascii="Times New Roman" w:hAnsi="Times New Roman" w:cs="Times New Roman"/>
          <w:szCs w:val="21"/>
        </w:rPr>
        <w:t>其中</w:t>
      </w:r>
      <m:oMath>
        <m:r>
          <m:rPr/>
          <w:rPr>
            <w:rFonts w:hint="eastAsia" w:ascii="Times New Roman" w:hAnsi="Times New Roman" w:cs="Times New Roman"/>
            <w:szCs w:val="21"/>
            <w:lang w:val="en-US" w:eastAsia="zh-CN"/>
          </w:rPr>
          <m:t>a</m:t>
        </m:r>
      </m:oMath>
      <w:r>
        <w:rPr>
          <w:rFonts w:hint="eastAsia" w:ascii="Times New Roman" w:hAnsi="Times New Roman" w:cs="Times New Roman"/>
          <w:szCs w:val="21"/>
          <w:lang w:val="en-US" w:eastAsia="zh-CN"/>
        </w:rPr>
        <w:t>表示</w:t>
      </w:r>
      <w:r>
        <w:rPr>
          <w:rFonts w:ascii="Times New Roman" w:hAnsi="Times New Roman" w:cs="Times New Roman"/>
          <w:szCs w:val="21"/>
        </w:rPr>
        <w:t>不同的物质，</w:t>
      </w:r>
      <m:oMath>
        <m:sSubSup>
          <m:sSubSupPr>
            <m:ctrlPr>
              <w:rPr>
                <w:rFonts w:ascii="Cambria Math" w:hAnsi="Cambria Math" w:cs="Times New Roman"/>
                <w:i/>
                <w:iCs/>
                <w:szCs w:val="21"/>
              </w:rPr>
            </m:ctrlPr>
          </m:sSubSupPr>
          <m:e>
            <m:acc>
              <m:accPr>
                <m:chr m:val="̇"/>
                <m:ctrlPr>
                  <w:rPr>
                    <w:rFonts w:ascii="Cambria Math" w:hAnsi="Cambria Math" w:cs="Times New Roman"/>
                    <w:i/>
                    <w:iCs/>
                    <w:szCs w:val="21"/>
                  </w:rPr>
                </m:ctrlPr>
              </m:accPr>
              <m:e>
                <m:r>
                  <m:rPr/>
                  <w:rPr>
                    <w:rFonts w:ascii="Times New Roman" w:hAnsi="Times New Roman" w:cs="Times New Roman"/>
                    <w:szCs w:val="21"/>
                  </w:rPr>
                  <m:t>m</m:t>
                </m:r>
                <m:ctrlPr>
                  <w:rPr>
                    <w:rFonts w:ascii="Cambria Math" w:hAnsi="Cambria Math" w:cs="Times New Roman"/>
                    <w:i/>
                    <w:iCs/>
                    <w:szCs w:val="21"/>
                  </w:rPr>
                </m:ctrlPr>
              </m:e>
            </m:acc>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up>
            <m:r>
              <m:rPr/>
              <w:rPr>
                <w:rFonts w:ascii="Times New Roman" w:hAnsi="Times New Roman" w:cs="Times New Roman"/>
                <w:szCs w:val="21"/>
              </w:rPr>
              <m:t>m</m:t>
            </m:r>
            <m:ctrlPr>
              <w:rPr>
                <w:rFonts w:ascii="Cambria Math" w:hAnsi="Cambria Math" w:cs="Times New Roman"/>
                <w:i/>
                <w:iCs/>
                <w:szCs w:val="21"/>
              </w:rPr>
            </m:ctrlPr>
          </m:sup>
        </m:sSubSup>
      </m:oMath>
      <w:r>
        <w:rPr>
          <w:rFonts w:hint="eastAsia" w:ascii="Times New Roman" w:hAnsi="Times New Roman" w:cs="Times New Roman"/>
          <w:szCs w:val="21"/>
          <w:lang w:eastAsia="zh-CN"/>
        </w:rPr>
        <w:t>为</w:t>
      </w:r>
      <w:r>
        <w:rPr>
          <w:rFonts w:ascii="Times New Roman" w:hAnsi="Times New Roman" w:cs="Times New Roman"/>
          <w:szCs w:val="21"/>
        </w:rPr>
        <w:t>平均源项，</w:t>
      </w:r>
      <m:oMath>
        <m:sSubSup>
          <m:sSubSupPr>
            <m:ctrlPr>
              <w:rPr>
                <w:rFonts w:ascii="Cambria Math" w:hAnsi="Cambria Math" w:cs="Times New Roman"/>
                <w:i/>
                <w:iCs/>
                <w:szCs w:val="21"/>
              </w:rPr>
            </m:ctrlPr>
          </m:sSubSupPr>
          <m:e>
            <m:acc>
              <m:accPr>
                <m:chr m:val="̇"/>
                <m:ctrlPr>
                  <w:rPr>
                    <w:rFonts w:ascii="Cambria Math" w:hAnsi="Cambria Math" w:cs="Times New Roman"/>
                    <w:i/>
                    <w:iCs/>
                    <w:szCs w:val="21"/>
                  </w:rPr>
                </m:ctrlPr>
              </m:accPr>
              <m:e>
                <m:r>
                  <m:rPr/>
                  <w:rPr>
                    <w:rFonts w:ascii="Times New Roman" w:hAnsi="Times New Roman" w:cs="Times New Roman"/>
                    <w:szCs w:val="21"/>
                  </w:rPr>
                  <m:t>m</m:t>
                </m:r>
                <m:ctrlPr>
                  <w:rPr>
                    <w:rFonts w:ascii="Cambria Math" w:hAnsi="Cambria Math" w:cs="Times New Roman"/>
                    <w:i/>
                    <w:iCs/>
                    <w:szCs w:val="21"/>
                  </w:rPr>
                </m:ctrlPr>
              </m:e>
            </m:acc>
            <m:ctrlPr>
              <w:rPr>
                <w:rFonts w:ascii="Cambria Math" w:hAnsi="Cambria Math" w:cs="Times New Roman"/>
                <w:i/>
                <w:iCs/>
                <w:szCs w:val="21"/>
              </w:rPr>
            </m:ctrlPr>
          </m:e>
          <m:sub>
            <m:r>
              <m:rPr/>
              <w:rPr>
                <w:rFonts w:ascii="Times New Roman" w:hAnsi="Times New Roman" w:cs="Times New Roman"/>
                <w:szCs w:val="21"/>
              </w:rPr>
              <m:t>b,a</m:t>
            </m:r>
            <m:ctrlPr>
              <w:rPr>
                <w:rFonts w:ascii="Cambria Math" w:hAnsi="Cambria Math" w:cs="Times New Roman"/>
                <w:i/>
                <w:iCs/>
                <w:szCs w:val="21"/>
              </w:rPr>
            </m:ctrlPr>
          </m:sub>
          <m:sup>
            <m:r>
              <m:rPr/>
              <w:rPr>
                <w:rFonts w:ascii="Times New Roman" w:hAnsi="Times New Roman" w:cs="Times New Roman"/>
                <w:szCs w:val="21"/>
              </w:rPr>
              <m:t>m</m:t>
            </m:r>
            <m:ctrlPr>
              <w:rPr>
                <w:rFonts w:ascii="Cambria Math" w:hAnsi="Cambria Math" w:cs="Times New Roman"/>
                <w:i/>
                <w:iCs/>
                <w:szCs w:val="21"/>
              </w:rPr>
            </m:ctrlPr>
          </m:sup>
        </m:sSubSup>
      </m:oMath>
      <w:r>
        <w:rPr>
          <w:rFonts w:hint="eastAsia" w:ascii="Times New Roman" w:hAnsi="Times New Roman" w:cs="Times New Roman"/>
          <w:szCs w:val="21"/>
          <w:lang w:eastAsia="zh-CN"/>
        </w:rPr>
        <w:t>为</w:t>
      </w:r>
      <w:r>
        <w:rPr>
          <w:rFonts w:ascii="Times New Roman" w:hAnsi="Times New Roman" w:cs="Times New Roman"/>
          <w:szCs w:val="21"/>
        </w:rPr>
        <w:t>主体次网格源项，</w:t>
      </w:r>
      <m:oMath>
        <m:r>
          <m:rPr/>
          <w:rPr>
            <w:rFonts w:ascii="Times New Roman" w:hAnsi="Times New Roman" w:cs="Times New Roman"/>
            <w:szCs w:val="21"/>
          </w:rPr>
          <m:t>ρ</m:t>
        </m:r>
      </m:oMath>
      <w:r>
        <w:rPr>
          <w:rFonts w:ascii="Times New Roman" w:hAnsi="Times New Roman" w:cs="Times New Roman"/>
          <w:szCs w:val="21"/>
        </w:rPr>
        <w:t>为物质</w:t>
      </w:r>
      <m:oMath>
        <m:r>
          <m:rPr/>
          <w:rPr>
            <w:rFonts w:hint="eastAsia" w:ascii="Times New Roman" w:hAnsi="Times New Roman" w:cs="Times New Roman"/>
            <w:szCs w:val="21"/>
            <w:lang w:val="en-US" w:eastAsia="zh-CN"/>
          </w:rPr>
          <m:t>a</m:t>
        </m:r>
      </m:oMath>
      <w:r>
        <w:rPr>
          <w:rFonts w:ascii="Times New Roman" w:hAnsi="Times New Roman" w:cs="Times New Roman"/>
          <w:szCs w:val="21"/>
        </w:rPr>
        <w:t>的密度，</w:t>
      </w:r>
      <m:oMath>
        <m:r>
          <m:rPr/>
          <w:rPr>
            <w:rFonts w:ascii="Times New Roman" w:hAnsi="Times New Roman" w:cs="Times New Roman"/>
            <w:szCs w:val="21"/>
          </w:rPr>
          <m:t>u</m:t>
        </m:r>
      </m:oMath>
      <w:r>
        <w:rPr>
          <w:rFonts w:ascii="Times New Roman" w:hAnsi="Times New Roman" w:cs="Times New Roman"/>
          <w:szCs w:val="21"/>
        </w:rPr>
        <w:t>为速度矢量，</w:t>
      </w:r>
      <m:oMath>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物质</w:t>
      </w:r>
      <m:oMath>
        <m:r>
          <m:rPr/>
          <w:rPr>
            <w:rFonts w:hint="eastAsia" w:ascii="Times New Roman" w:hAnsi="Times New Roman" w:cs="Times New Roman"/>
            <w:szCs w:val="21"/>
            <w:lang w:val="en-US" w:eastAsia="zh-CN"/>
          </w:rPr>
          <m:t>a</m:t>
        </m:r>
      </m:oMath>
      <w:r>
        <w:rPr>
          <w:rFonts w:ascii="Times New Roman" w:hAnsi="Times New Roman" w:cs="Times New Roman"/>
          <w:szCs w:val="21"/>
        </w:rPr>
        <w:t>的流量，</w:t>
      </w:r>
      <m:oMath>
        <m:sSup>
          <m:sSupPr>
            <m:ctrlPr>
              <w:rPr>
                <w:rFonts w:ascii="Cambria Math" w:hAnsi="Cambria Math" w:cs="Times New Roman"/>
                <w:i/>
                <w:iCs/>
                <w:szCs w:val="21"/>
              </w:rPr>
            </m:ctrlPr>
          </m:sSupPr>
          <m:e>
            <m:acc>
              <m:accPr>
                <m:chr m:val="̅"/>
                <m:ctrlPr>
                  <w:rPr>
                    <w:rFonts w:ascii="Cambria Math" w:hAnsi="Cambria Math" w:cs="Times New Roman"/>
                    <w:i/>
                    <w:iCs/>
                    <w:szCs w:val="21"/>
                  </w:rPr>
                </m:ctrlPr>
              </m:acc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Z</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ctrlPr>
                  <w:rPr>
                    <w:rFonts w:ascii="Cambria Math" w:hAnsi="Cambria Math" w:cs="Times New Roman"/>
                    <w:i/>
                    <w:iCs/>
                    <w:szCs w:val="21"/>
                  </w:rPr>
                </m:ctrlPr>
              </m:e>
            </m:acc>
            <m:ctrlPr>
              <w:rPr>
                <w:rFonts w:ascii="Cambria Math" w:hAnsi="Cambria Math" w:cs="Times New Roman"/>
                <w:i/>
                <w:iCs/>
                <w:szCs w:val="21"/>
              </w:rPr>
            </m:ctrlPr>
          </m:e>
          <m:sup>
            <m:r>
              <m:rPr/>
              <w:rPr>
                <w:rFonts w:ascii="Times New Roman" w:hAnsi="Times New Roman" w:cs="Times New Roman"/>
                <w:szCs w:val="21"/>
              </w:rPr>
              <m:t>FL</m:t>
            </m:r>
            <m:ctrlPr>
              <w:rPr>
                <w:rFonts w:ascii="Cambria Math" w:hAnsi="Cambria Math" w:cs="Times New Roman"/>
                <w:i/>
                <w:iCs/>
                <w:szCs w:val="21"/>
              </w:rPr>
            </m:ctrlPr>
          </m:sup>
        </m:sSup>
      </m:oMath>
      <w:r>
        <w:rPr>
          <w:rFonts w:hint="eastAsia" w:ascii="Times New Roman" w:hAnsi="Times New Roman" w:cs="Times New Roman"/>
          <w:szCs w:val="21"/>
          <w:lang w:eastAsia="zh-CN"/>
        </w:rPr>
        <w:t>为</w:t>
      </w:r>
      <w:r>
        <w:rPr>
          <w:rFonts w:ascii="Times New Roman" w:hAnsi="Times New Roman" w:cs="Times New Roman"/>
          <w:szCs w:val="21"/>
        </w:rPr>
        <w:t>应用于网格表面的流量控制值，</w:t>
      </w:r>
      <m:oMath>
        <m:sSub>
          <m:sSubPr>
            <m:ctrlPr>
              <w:rPr>
                <w:rFonts w:ascii="Cambria Math" w:hAnsi="Cambria Math" w:cs="Times New Roman"/>
                <w:i/>
                <w:iCs/>
                <w:szCs w:val="21"/>
              </w:rPr>
            </m:ctrlPr>
          </m:sSubPr>
          <m:e>
            <m:r>
              <m:rPr/>
              <w:rPr>
                <w:rFonts w:ascii="Times New Roman" w:hAnsi="Times New Roman" w:cs="Times New Roman"/>
                <w:szCs w:val="21"/>
              </w:rPr>
              <m:t>D</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oMath>
      <w:r>
        <w:rPr>
          <w:rFonts w:ascii="Times New Roman" w:hAnsi="Times New Roman" w:cs="Times New Roman"/>
          <w:szCs w:val="21"/>
        </w:rPr>
        <w:t>为湍流的扩散系数，湍流施密特数</w:t>
      </w:r>
      <m:oMath>
        <m:sSub>
          <m:sSubPr>
            <m:ctrlPr>
              <w:rPr>
                <w:rFonts w:ascii="Cambria Math" w:hAnsi="Cambria Math" w:cs="Times New Roman"/>
                <w:i/>
                <w:iCs/>
                <w:szCs w:val="21"/>
              </w:rPr>
            </m:ctrlPr>
          </m:sSubPr>
          <m:e>
            <m:r>
              <m:rPr/>
              <w:rPr>
                <w:rFonts w:ascii="Times New Roman" w:hAnsi="Times New Roman" w:cs="Times New Roman"/>
                <w:szCs w:val="21"/>
              </w:rPr>
              <m:t>Sc</m:t>
            </m:r>
            <m:ctrlPr>
              <w:rPr>
                <w:rFonts w:ascii="Cambria Math" w:hAnsi="Cambria Math" w:cs="Times New Roman"/>
                <w:i/>
                <w:iCs/>
                <w:szCs w:val="21"/>
              </w:rPr>
            </m:ctrlPr>
          </m:e>
          <m:sub>
            <m:r>
              <m:rPr/>
              <w:rPr>
                <w:rFonts w:ascii="Times New Roman" w:hAnsi="Times New Roman" w:cs="Times New Roman"/>
                <w:szCs w:val="21"/>
              </w:rPr>
              <m:t>t</m:t>
            </m:r>
            <m:ctrlPr>
              <w:rPr>
                <w:rFonts w:ascii="Cambria Math" w:hAnsi="Cambria Math" w:cs="Times New Roman"/>
                <w:i/>
                <w:iCs/>
                <w:szCs w:val="21"/>
              </w:rPr>
            </m:ctrlPr>
          </m:sub>
        </m:sSub>
      </m:oMath>
      <w:r>
        <w:rPr>
          <w:rFonts w:ascii="Times New Roman" w:hAnsi="Times New Roman" w:cs="Times New Roman"/>
          <w:szCs w:val="21"/>
        </w:rPr>
        <w:t>为常数，默认值为0.5。</w:t>
      </w:r>
    </w:p>
    <w:p w14:paraId="71C403E9">
      <w:pPr>
        <w:widowControl/>
        <w:spacing w:line="240" w:lineRule="atLeast"/>
        <w:ind w:firstLine="420"/>
        <w:jc w:val="right"/>
        <w:rPr>
          <w:rFonts w:ascii="Times New Roman" w:hAnsi="Times New Roman" w:cs="Times New Roman"/>
          <w:szCs w:val="21"/>
        </w:rPr>
      </w:pPr>
      <m:oMath>
        <m:sSub>
          <m:sSubPr>
            <m:ctrlPr>
              <w:rPr>
                <w:rFonts w:ascii="Cambria Math" w:hAnsi="Cambria Math" w:cs="Times New Roman"/>
                <w:i/>
                <w:iCs/>
                <w:szCs w:val="21"/>
              </w:rPr>
            </m:ctrlPr>
          </m:sSubPr>
          <m:e>
            <m:r>
              <m:rPr/>
              <w:rPr>
                <w:rFonts w:ascii="Times New Roman" w:hAnsi="Times New Roman" w:cs="Times New Roman"/>
                <w:szCs w:val="21"/>
              </w:rPr>
              <m:t>D</m:t>
            </m:r>
            <m:ctrlPr>
              <w:rPr>
                <w:rFonts w:ascii="Cambria Math" w:hAnsi="Cambria Math" w:cs="Times New Roman"/>
                <w:i/>
                <w:iCs/>
                <w:szCs w:val="21"/>
              </w:rPr>
            </m:ctrlPr>
          </m:e>
          <m:sub>
            <m:r>
              <m:rPr/>
              <w:rPr>
                <w:rFonts w:ascii="Times New Roman" w:hAnsi="Times New Roman" w:cs="Times New Roman"/>
                <w:szCs w:val="21"/>
              </w:rPr>
              <m:t>a</m:t>
            </m:r>
            <m:ctrlPr>
              <w:rPr>
                <w:rFonts w:ascii="Cambria Math" w:hAnsi="Cambria Math" w:cs="Times New Roman"/>
                <w:i/>
                <w:iCs/>
                <w:szCs w:val="21"/>
              </w:rPr>
            </m:ctrlPr>
          </m:sub>
        </m:sSub>
        <m:r>
          <m:rPr/>
          <w:rPr>
            <w:rFonts w:ascii="Times New Roman" w:hAnsi="Times New Roman" w:cs="Times New Roman"/>
            <w:szCs w:val="21"/>
          </w:rPr>
          <m:t>=</m:t>
        </m:r>
        <m:f>
          <m:fPr>
            <m:ctrlPr>
              <w:rPr>
                <w:rFonts w:ascii="Cambria Math" w:hAnsi="Cambria Math" w:eastAsia="宋体" w:cs="Times New Roman"/>
                <w:bCs/>
                <w:i/>
                <w:iCs/>
                <w:szCs w:val="21"/>
              </w:rPr>
            </m:ctrlPr>
          </m:fPr>
          <m:num>
            <m:r>
              <m:rPr/>
              <w:rPr>
                <w:rFonts w:ascii="Times New Roman" w:hAnsi="Times New Roman" w:eastAsia="宋体" w:cs="Times New Roman"/>
                <w:szCs w:val="21"/>
              </w:rPr>
              <m:t>μ+</m:t>
            </m:r>
            <m:sSub>
              <m:sSubPr>
                <m:ctrlPr>
                  <w:rPr>
                    <w:rFonts w:ascii="Cambria Math" w:hAnsi="Cambria Math" w:eastAsia="宋体" w:cs="Times New Roman"/>
                    <w:bCs/>
                    <w:i/>
                    <w:iCs/>
                    <w:szCs w:val="21"/>
                  </w:rPr>
                </m:ctrlPr>
              </m:sSubPr>
              <m:e>
                <m:r>
                  <m:rPr/>
                  <w:rPr>
                    <w:rFonts w:ascii="Times New Roman" w:hAnsi="Times New Roman" w:eastAsia="宋体" w:cs="Times New Roman"/>
                    <w:szCs w:val="21"/>
                  </w:rPr>
                  <m:t>μ</m:t>
                </m:r>
                <m:ctrlPr>
                  <w:rPr>
                    <w:rFonts w:ascii="Cambria Math" w:hAnsi="Cambria Math" w:eastAsia="宋体" w:cs="Times New Roman"/>
                    <w:bCs/>
                    <w:i/>
                    <w:iCs/>
                    <w:szCs w:val="21"/>
                  </w:rPr>
                </m:ctrlPr>
              </m:e>
              <m:sub>
                <m:r>
                  <m:rPr/>
                  <w:rPr>
                    <w:rFonts w:ascii="Times New Roman" w:hAnsi="Times New Roman" w:eastAsia="宋体" w:cs="Times New Roman"/>
                    <w:szCs w:val="21"/>
                  </w:rPr>
                  <m:t>t</m:t>
                </m:r>
                <m:ctrlPr>
                  <w:rPr>
                    <w:rFonts w:ascii="Cambria Math" w:hAnsi="Cambria Math" w:eastAsia="宋体" w:cs="Times New Roman"/>
                    <w:bCs/>
                    <w:i/>
                    <w:iCs/>
                    <w:szCs w:val="21"/>
                  </w:rPr>
                </m:ctrlPr>
              </m:sub>
            </m:sSub>
            <m:ctrlPr>
              <w:rPr>
                <w:rFonts w:ascii="Cambria Math" w:hAnsi="Cambria Math" w:eastAsia="宋体" w:cs="Times New Roman"/>
                <w:bCs/>
                <w:i/>
                <w:iCs/>
                <w:szCs w:val="21"/>
              </w:rPr>
            </m:ctrlPr>
          </m:num>
          <m:den>
            <m:sSub>
              <m:sSubPr>
                <m:ctrlPr>
                  <w:rPr>
                    <w:rFonts w:ascii="Cambria Math" w:hAnsi="Cambria Math" w:eastAsia="宋体" w:cs="Times New Roman"/>
                    <w:bCs/>
                    <w:i/>
                    <w:iCs/>
                    <w:szCs w:val="21"/>
                  </w:rPr>
                </m:ctrlPr>
              </m:sSubPr>
              <m:e>
                <m:r>
                  <m:rPr/>
                  <w:rPr>
                    <w:rFonts w:ascii="Times New Roman" w:hAnsi="Times New Roman" w:eastAsia="宋体" w:cs="Times New Roman"/>
                    <w:szCs w:val="21"/>
                  </w:rPr>
                  <m:t>Sc</m:t>
                </m:r>
                <m:ctrlPr>
                  <w:rPr>
                    <w:rFonts w:ascii="Cambria Math" w:hAnsi="Cambria Math" w:eastAsia="宋体" w:cs="Times New Roman"/>
                    <w:bCs/>
                    <w:i/>
                    <w:iCs/>
                    <w:szCs w:val="21"/>
                  </w:rPr>
                </m:ctrlPr>
              </m:e>
              <m:sub>
                <m:r>
                  <m:rPr/>
                  <w:rPr>
                    <w:rFonts w:ascii="Times New Roman" w:hAnsi="Times New Roman" w:eastAsia="宋体" w:cs="Times New Roman"/>
                    <w:szCs w:val="21"/>
                  </w:rPr>
                  <m:t>t</m:t>
                </m:r>
                <m:ctrlPr>
                  <w:rPr>
                    <w:rFonts w:ascii="Cambria Math" w:hAnsi="Cambria Math" w:eastAsia="宋体" w:cs="Times New Roman"/>
                    <w:bCs/>
                    <w:i/>
                    <w:iCs/>
                    <w:szCs w:val="21"/>
                  </w:rPr>
                </m:ctrlPr>
              </m:sub>
            </m:sSub>
            <m:ctrlPr>
              <w:rPr>
                <w:rFonts w:ascii="Cambria Math" w:hAnsi="Cambria Math" w:eastAsia="宋体" w:cs="Times New Roman"/>
                <w:bCs/>
                <w:i/>
                <w:iCs/>
                <w:szCs w:val="21"/>
              </w:rPr>
            </m:ctrlPr>
          </m:den>
        </m:f>
        <m:r>
          <m:rPr/>
          <w:rPr>
            <w:rFonts w:ascii="Times New Roman" w:hAnsi="Times New Roman" w:eastAsia="宋体" w:cs="Times New Roman"/>
            <w:szCs w:val="21"/>
          </w:rPr>
          <m:t>.</m:t>
        </m:r>
      </m:oMath>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3</w:t>
      </w:r>
      <w:r>
        <w:rPr>
          <w:rFonts w:ascii="Times New Roman" w:hAnsi="Times New Roman" w:cs="Times New Roman"/>
          <w:szCs w:val="21"/>
        </w:rPr>
        <w:t>)</w:t>
      </w:r>
    </w:p>
    <w:p w14:paraId="07D6FE54">
      <w:pPr>
        <w:widowControl/>
        <w:spacing w:line="240" w:lineRule="atLeast"/>
        <w:ind w:firstLine="420"/>
        <w:rPr>
          <w:rFonts w:ascii="Times New Roman" w:hAnsi="Times New Roman" w:cs="Times New Roman"/>
          <w:szCs w:val="21"/>
        </w:rPr>
      </w:pPr>
      <w:r>
        <w:rPr>
          <w:rFonts w:ascii="Times New Roman" w:hAnsi="Times New Roman" w:cs="Times New Roman"/>
          <w:szCs w:val="21"/>
        </w:rPr>
        <w:t>动量守恒方程：</w:t>
      </w:r>
    </w:p>
    <w:p w14:paraId="5DE79995">
      <w:pPr>
        <w:widowControl/>
        <w:spacing w:line="240" w:lineRule="atLeast"/>
        <w:ind w:firstLine="420"/>
        <w:rPr>
          <w:rFonts w:ascii="Times New Roman" w:hAnsi="Times New Roman" w:cs="Times New Roman"/>
          <w:i/>
          <w:iCs/>
          <w:szCs w:val="21"/>
        </w:rPr>
      </w:pPr>
      <m:oMathPara>
        <m:oMath>
          <m:f>
            <m:fPr>
              <m:ctrlPr>
                <w:rPr>
                  <w:rFonts w:ascii="Cambria Math" w:hAnsi="Cambria Math" w:cs="Times New Roman"/>
                  <w:i/>
                  <w:iCs/>
                  <w:szCs w:val="21"/>
                </w:rPr>
              </m:ctrlPr>
            </m:fPr>
            <m:num>
              <m:r>
                <m:rPr/>
                <w:rPr>
                  <w:rFonts w:ascii="Times New Roman" w:hAnsi="Times New Roman" w:cs="Times New Roman"/>
                  <w:szCs w:val="21"/>
                </w:rPr>
                <m:t>∂</m:t>
              </m:r>
              <m:acc>
                <m:accPr>
                  <m:chr m:val="̅"/>
                  <m:ctrlPr>
                    <w:rPr>
                      <w:rFonts w:ascii="Cambria Math" w:hAnsi="Cambria Math" w:cs="Times New Roman"/>
                      <w:i/>
                      <w:iCs/>
                      <w:szCs w:val="21"/>
                    </w:rPr>
                  </m:ctrlPr>
                </m:acc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ctrlPr>
                <w:rPr>
                  <w:rFonts w:ascii="Cambria Math" w:hAnsi="Cambria Math" w:cs="Times New Roman"/>
                  <w:i/>
                  <w:iCs/>
                  <w:szCs w:val="21"/>
                </w:rPr>
              </m:ctrlPr>
            </m:num>
            <m:den>
              <m:r>
                <m:rPr/>
                <w:rPr>
                  <w:rFonts w:ascii="Times New Roman" w:hAnsi="Times New Roman" w:cs="Times New Roman"/>
                  <w:szCs w:val="21"/>
                </w:rPr>
                <m:t>∂t</m:t>
              </m:r>
              <m:ctrlPr>
                <w:rPr>
                  <w:rFonts w:ascii="Cambria Math" w:hAnsi="Cambria Math" w:cs="Times New Roman"/>
                  <w:i/>
                  <w:iCs/>
                  <w:szCs w:val="21"/>
                </w:rPr>
              </m:ctrlPr>
            </m:den>
          </m:f>
          <m:r>
            <m:rPr/>
            <w:rPr>
              <w:rFonts w:ascii="Times New Roman" w:hAnsi="Times New Roman" w:cs="Times New Roman"/>
              <w:szCs w:val="21"/>
            </w:rPr>
            <m:t>+</m:t>
          </m:r>
          <m:f>
            <m:fPr>
              <m:ctrlPr>
                <w:rPr>
                  <w:rFonts w:ascii="Cambria Math" w:hAnsi="Cambria Math" w:cs="Times New Roman"/>
                  <w:i/>
                  <w:iCs/>
                  <w:szCs w:val="21"/>
                </w:rPr>
              </m:ctrlPr>
            </m:fPr>
            <m:num>
              <m:r>
                <m:rPr/>
                <w:rPr>
                  <w:rFonts w:ascii="Times New Roman" w:hAnsi="Times New Roman" w:cs="Times New Roman"/>
                  <w:szCs w:val="21"/>
                </w:rPr>
                <m:t>∂</m:t>
              </m:r>
              <m:ctrlPr>
                <w:rPr>
                  <w:rFonts w:ascii="Cambria Math" w:hAnsi="Cambria Math" w:cs="Times New Roman"/>
                  <w:i/>
                  <w:iCs/>
                  <w:szCs w:val="21"/>
                </w:rPr>
              </m:ctrlPr>
            </m:num>
            <m:den>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j</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acc>
            <m:accPr>
              <m:chr m:val="̅"/>
              <m:ctrlPr>
                <w:rPr>
                  <w:rFonts w:ascii="Cambria Math" w:hAnsi="Cambria Math" w:cs="Times New Roman"/>
                  <w:i/>
                  <w:iCs/>
                  <w:szCs w:val="21"/>
                </w:rPr>
              </m:ctrlPr>
            </m:accPr>
            <m:e>
              <m:r>
                <m:rPr/>
                <w:rPr>
                  <w:rFonts w:ascii="Times New Roman" w:hAnsi="Times New Roman" w:cs="Times New Roman"/>
                  <w:szCs w:val="21"/>
                </w:rPr>
                <m:t>ρ</m:t>
              </m:r>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j</m:t>
                  </m:r>
                  <m:ctrlPr>
                    <w:rPr>
                      <w:rFonts w:ascii="Cambria Math" w:hAnsi="Cambria Math" w:cs="Times New Roman"/>
                      <w:i/>
                      <w:iCs/>
                      <w:szCs w:val="21"/>
                    </w:rPr>
                  </m:ctrlPr>
                </m:sub>
              </m:sSub>
              <m:ctrlPr>
                <w:rPr>
                  <w:rFonts w:ascii="Cambria Math" w:hAnsi="Cambria Math" w:cs="Times New Roman"/>
                  <w:i/>
                  <w:iCs/>
                  <w:szCs w:val="21"/>
                </w:rPr>
              </m:ctrlPr>
            </m:e>
          </m:acc>
          <m:r>
            <m:rPr/>
            <w:rPr>
              <w:rFonts w:ascii="Times New Roman" w:hAnsi="Times New Roman" w:cs="Times New Roman"/>
              <w:szCs w:val="21"/>
            </w:rPr>
            <m:t>)=</m:t>
          </m:r>
        </m:oMath>
      </m:oMathPara>
    </w:p>
    <w:p w14:paraId="18FBC465">
      <w:pPr>
        <w:widowControl/>
        <w:spacing w:line="240" w:lineRule="atLeast"/>
        <w:ind w:firstLine="420"/>
        <w:jc w:val="right"/>
        <w:rPr>
          <w:rFonts w:ascii="Times New Roman" w:hAnsi="Times New Roman" w:cs="Times New Roman"/>
          <w:szCs w:val="21"/>
        </w:rPr>
      </w:pPr>
      <m:oMath>
        <m:r>
          <m:rPr/>
          <w:rPr>
            <w:rFonts w:ascii="Times New Roman" w:hAnsi="Times New Roman" w:cs="Cambria Math"/>
            <w:szCs w:val="21"/>
          </w:rPr>
          <m:t>−</m:t>
        </m:r>
        <m:f>
          <m:fPr>
            <m:ctrlPr>
              <w:rPr>
                <w:rFonts w:ascii="Cambria Math" w:hAnsi="Cambria Math" w:cs="Cambria Math"/>
                <w:i/>
                <w:iCs/>
                <w:szCs w:val="21"/>
              </w:rPr>
            </m:ctrlPr>
          </m:fPr>
          <m:num>
            <m:r>
              <m:rPr/>
              <w:rPr>
                <w:rFonts w:ascii="Times New Roman" w:hAnsi="Times New Roman" w:cs="Cambria Math"/>
                <w:szCs w:val="21"/>
              </w:rPr>
              <m:t>∂</m:t>
            </m:r>
            <m:acc>
              <m:accPr>
                <m:chr m:val="̅"/>
                <m:ctrlPr>
                  <w:rPr>
                    <w:rFonts w:ascii="Cambria Math" w:hAnsi="Cambria Math" w:cs="Cambria Math"/>
                    <w:i/>
                    <w:iCs/>
                    <w:szCs w:val="21"/>
                  </w:rPr>
                </m:ctrlPr>
              </m:accPr>
              <m:e>
                <m:r>
                  <m:rPr/>
                  <w:rPr>
                    <w:rFonts w:ascii="Times New Roman" w:hAnsi="Times New Roman" w:cs="Cambria Math"/>
                    <w:szCs w:val="21"/>
                  </w:rPr>
                  <m:t>p</m:t>
                </m:r>
                <m:ctrlPr>
                  <w:rPr>
                    <w:rFonts w:ascii="Cambria Math" w:hAnsi="Cambria Math" w:cs="Cambria Math"/>
                    <w:i/>
                    <w:iCs/>
                    <w:szCs w:val="21"/>
                  </w:rPr>
                </m:ctrlPr>
              </m:e>
            </m:acc>
            <m:ctrlPr>
              <w:rPr>
                <w:rFonts w:ascii="Cambria Math" w:hAnsi="Cambria Math" w:cs="Cambria Math"/>
                <w:i/>
                <w:iCs/>
                <w:szCs w:val="21"/>
              </w:rPr>
            </m:ctrlPr>
          </m:num>
          <m:den>
            <m:r>
              <m:rPr/>
              <w:rPr>
                <w:rFonts w:ascii="Times New Roman" w:hAnsi="Times New Roman" w:cs="Cambria Math"/>
                <w:szCs w:val="21"/>
              </w:rPr>
              <m:t>∂</m:t>
            </m:r>
            <m:sSub>
              <m:sSubPr>
                <m:ctrlPr>
                  <w:rPr>
                    <w:rFonts w:ascii="Cambria Math" w:hAnsi="Cambria Math" w:cs="Cambria Math"/>
                    <w:i/>
                    <w:iCs/>
                    <w:szCs w:val="21"/>
                  </w:rPr>
                </m:ctrlPr>
              </m:sSubPr>
              <m:e>
                <m:r>
                  <m:rPr/>
                  <w:rPr>
                    <w:rFonts w:ascii="Times New Roman" w:hAnsi="Times New Roman" w:cs="Cambria Math"/>
                    <w:szCs w:val="21"/>
                  </w:rPr>
                  <m:t>x</m:t>
                </m:r>
                <m:ctrlPr>
                  <w:rPr>
                    <w:rFonts w:ascii="Cambria Math" w:hAnsi="Cambria Math" w:cs="Cambria Math"/>
                    <w:i/>
                    <w:iCs/>
                    <w:szCs w:val="21"/>
                  </w:rPr>
                </m:ctrlPr>
              </m:e>
              <m:sub>
                <m:r>
                  <m:rPr/>
                  <w:rPr>
                    <w:rFonts w:ascii="Times New Roman" w:hAnsi="Times New Roman" w:cs="Cambria Math"/>
                    <w:szCs w:val="21"/>
                  </w:rPr>
                  <m:t>i</m:t>
                </m:r>
                <m:ctrlPr>
                  <w:rPr>
                    <w:rFonts w:ascii="Cambria Math" w:hAnsi="Cambria Math" w:cs="Cambria Math"/>
                    <w:i/>
                    <w:iCs/>
                    <w:szCs w:val="21"/>
                  </w:rPr>
                </m:ctrlPr>
              </m:sub>
            </m:sSub>
            <m:ctrlPr>
              <w:rPr>
                <w:rFonts w:ascii="Cambria Math" w:hAnsi="Cambria Math" w:cs="Cambria Math"/>
                <w:i/>
                <w:iCs/>
                <w:szCs w:val="21"/>
              </w:rPr>
            </m:ctrlPr>
          </m:den>
        </m:f>
        <m:r>
          <m:rPr/>
          <w:rPr>
            <w:rFonts w:ascii="Times New Roman" w:hAnsi="Times New Roman" w:cs="Cambria Math"/>
            <w:szCs w:val="21"/>
          </w:rPr>
          <m:t>−</m:t>
        </m:r>
        <m:f>
          <m:fPr>
            <m:ctrlPr>
              <w:rPr>
                <w:rFonts w:ascii="Cambria Math" w:hAnsi="Cambria Math" w:cs="Cambria Math"/>
                <w:i/>
                <w:iCs/>
                <w:szCs w:val="21"/>
              </w:rPr>
            </m:ctrlPr>
          </m:fPr>
          <m:num>
            <m:r>
              <m:rPr/>
              <w:rPr>
                <w:rFonts w:ascii="Times New Roman" w:hAnsi="Times New Roman" w:cs="Cambria Math"/>
                <w:szCs w:val="21"/>
              </w:rPr>
              <m:t>∂</m:t>
            </m:r>
            <m:acc>
              <m:accPr>
                <m:chr m:val="̅"/>
                <m:ctrlPr>
                  <w:rPr>
                    <w:rFonts w:ascii="Cambria Math" w:hAnsi="Cambria Math" w:cs="Cambria Math"/>
                    <w:i/>
                    <w:iCs/>
                    <w:szCs w:val="21"/>
                  </w:rPr>
                </m:ctrlPr>
              </m:accPr>
              <m:e>
                <m:sSub>
                  <m:sSubPr>
                    <m:ctrlPr>
                      <w:rPr>
                        <w:rFonts w:ascii="Cambria Math" w:hAnsi="Cambria Math" w:cs="Cambria Math"/>
                        <w:i/>
                        <w:iCs/>
                        <w:szCs w:val="21"/>
                      </w:rPr>
                    </m:ctrlPr>
                  </m:sSubPr>
                  <m:e>
                    <m:r>
                      <m:rPr/>
                      <w:rPr>
                        <w:rFonts w:ascii="Times New Roman" w:hAnsi="Times New Roman" w:cs="Cambria Math"/>
                        <w:szCs w:val="21"/>
                      </w:rPr>
                      <m:t>τ</m:t>
                    </m:r>
                    <m:ctrlPr>
                      <w:rPr>
                        <w:rFonts w:ascii="Cambria Math" w:hAnsi="Cambria Math" w:cs="Cambria Math"/>
                        <w:i/>
                        <w:iCs/>
                        <w:szCs w:val="21"/>
                      </w:rPr>
                    </m:ctrlPr>
                  </m:e>
                  <m:sub>
                    <m:r>
                      <m:rPr/>
                      <w:rPr>
                        <w:rFonts w:ascii="Times New Roman" w:hAnsi="Times New Roman" w:cs="Cambria Math"/>
                        <w:szCs w:val="21"/>
                      </w:rPr>
                      <m:t>ij</m:t>
                    </m:r>
                    <m:ctrlPr>
                      <w:rPr>
                        <w:rFonts w:ascii="Cambria Math" w:hAnsi="Cambria Math" w:cs="Cambria Math"/>
                        <w:i/>
                        <w:iCs/>
                        <w:szCs w:val="21"/>
                      </w:rPr>
                    </m:ctrlPr>
                  </m:sub>
                </m:sSub>
                <m:ctrlPr>
                  <w:rPr>
                    <w:rFonts w:ascii="Cambria Math" w:hAnsi="Cambria Math" w:cs="Cambria Math"/>
                    <w:i/>
                    <w:iCs/>
                    <w:szCs w:val="21"/>
                  </w:rPr>
                </m:ctrlPr>
              </m:e>
            </m:acc>
            <m:ctrlPr>
              <w:rPr>
                <w:rFonts w:ascii="Cambria Math" w:hAnsi="Cambria Math" w:cs="Cambria Math"/>
                <w:i/>
                <w:iCs/>
                <w:szCs w:val="21"/>
              </w:rPr>
            </m:ctrlPr>
          </m:num>
          <m:den>
            <m:r>
              <m:rPr/>
              <w:rPr>
                <w:rFonts w:ascii="Times New Roman" w:hAnsi="Times New Roman" w:cs="Cambria Math"/>
                <w:szCs w:val="21"/>
              </w:rPr>
              <m:t>∂</m:t>
            </m:r>
            <m:sSub>
              <m:sSubPr>
                <m:ctrlPr>
                  <w:rPr>
                    <w:rFonts w:ascii="Cambria Math" w:hAnsi="Cambria Math" w:cs="Cambria Math"/>
                    <w:i/>
                    <w:iCs/>
                    <w:szCs w:val="21"/>
                  </w:rPr>
                </m:ctrlPr>
              </m:sSubPr>
              <m:e>
                <m:r>
                  <m:rPr/>
                  <w:rPr>
                    <w:rFonts w:ascii="Times New Roman" w:hAnsi="Times New Roman" w:cs="Cambria Math"/>
                    <w:szCs w:val="21"/>
                  </w:rPr>
                  <m:t>x</m:t>
                </m:r>
                <m:ctrlPr>
                  <w:rPr>
                    <w:rFonts w:ascii="Cambria Math" w:hAnsi="Cambria Math" w:cs="Cambria Math"/>
                    <w:i/>
                    <w:iCs/>
                    <w:szCs w:val="21"/>
                  </w:rPr>
                </m:ctrlPr>
              </m:e>
              <m:sub>
                <m:r>
                  <m:rPr/>
                  <w:rPr>
                    <w:rFonts w:ascii="Times New Roman" w:hAnsi="Times New Roman" w:cs="Cambria Math"/>
                    <w:szCs w:val="21"/>
                  </w:rPr>
                  <m:t>j</m:t>
                </m:r>
                <m:ctrlPr>
                  <w:rPr>
                    <w:rFonts w:ascii="Cambria Math" w:hAnsi="Cambria Math" w:cs="Cambria Math"/>
                    <w:i/>
                    <w:iCs/>
                    <w:szCs w:val="21"/>
                  </w:rPr>
                </m:ctrlPr>
              </m:sub>
            </m:sSub>
            <m:ctrlPr>
              <w:rPr>
                <w:rFonts w:ascii="Cambria Math" w:hAnsi="Cambria Math" w:cs="Cambria Math"/>
                <w:i/>
                <w:iCs/>
                <w:szCs w:val="21"/>
              </w:rPr>
            </m:ctrlPr>
          </m:den>
        </m:f>
        <m:r>
          <m:rPr/>
          <w:rPr>
            <w:rFonts w:ascii="Times New Roman" w:hAnsi="Times New Roman" w:cs="Cambria Math"/>
            <w:szCs w:val="21"/>
          </w:rPr>
          <m:t>+</m:t>
        </m:r>
        <m:sSub>
          <m:sSubPr>
            <m:ctrlPr>
              <w:rPr>
                <w:rFonts w:ascii="Cambria Math" w:hAnsi="Cambria Math" w:cs="Cambria Math"/>
                <w:i/>
                <w:iCs/>
                <w:szCs w:val="21"/>
              </w:rPr>
            </m:ctrlPr>
          </m:sSubPr>
          <m:e>
            <m:acc>
              <m:accPr>
                <m:chr m:val="̅"/>
                <m:ctrlPr>
                  <w:rPr>
                    <w:rFonts w:ascii="Cambria Math" w:hAnsi="Cambria Math" w:cs="Cambria Math"/>
                    <w:i/>
                    <w:iCs/>
                    <w:szCs w:val="21"/>
                  </w:rPr>
                </m:ctrlPr>
              </m:accPr>
              <m:e>
                <m:r>
                  <m:rPr/>
                  <w:rPr>
                    <w:rFonts w:ascii="Times New Roman" w:hAnsi="Times New Roman" w:cs="Cambria Math"/>
                    <w:szCs w:val="21"/>
                  </w:rPr>
                  <m:t>ρ</m:t>
                </m:r>
                <m:ctrlPr>
                  <w:rPr>
                    <w:rFonts w:ascii="Cambria Math" w:hAnsi="Cambria Math" w:cs="Cambria Math"/>
                    <w:i/>
                    <w:iCs/>
                    <w:szCs w:val="21"/>
                  </w:rPr>
                </m:ctrlPr>
              </m:e>
            </m:acc>
            <m:r>
              <m:rPr/>
              <w:rPr>
                <w:rFonts w:ascii="Times New Roman" w:hAnsi="Times New Roman" w:cs="Cambria Math"/>
                <w:szCs w:val="21"/>
              </w:rPr>
              <m:t>g</m:t>
            </m:r>
            <m:ctrlPr>
              <w:rPr>
                <w:rFonts w:ascii="Cambria Math" w:hAnsi="Cambria Math" w:cs="Cambria Math"/>
                <w:i/>
                <w:iCs/>
                <w:szCs w:val="21"/>
              </w:rPr>
            </m:ctrlPr>
          </m:e>
          <m:sub>
            <m:r>
              <m:rPr/>
              <w:rPr>
                <w:rFonts w:ascii="Times New Roman" w:hAnsi="Times New Roman" w:cs="Cambria Math"/>
                <w:szCs w:val="21"/>
              </w:rPr>
              <m:t>i</m:t>
            </m:r>
            <m:ctrlPr>
              <w:rPr>
                <w:rFonts w:ascii="Cambria Math" w:hAnsi="Cambria Math" w:cs="Cambria Math"/>
                <w:i/>
                <w:iCs/>
                <w:szCs w:val="21"/>
              </w:rPr>
            </m:ctrlPr>
          </m:sub>
        </m:sSub>
        <m:r>
          <m:rPr/>
          <w:rPr>
            <w:rFonts w:ascii="Times New Roman" w:hAnsi="Times New Roman" w:cs="Cambria Math"/>
            <w:szCs w:val="21"/>
          </w:rPr>
          <m:t>+</m:t>
        </m:r>
        <m:acc>
          <m:accPr>
            <m:chr m:val="̅"/>
            <m:ctrlPr>
              <w:rPr>
                <w:rFonts w:ascii="Cambria Math" w:hAnsi="Cambria Math" w:cs="Cambria Math"/>
                <w:i/>
                <w:iCs/>
                <w:szCs w:val="21"/>
              </w:rPr>
            </m:ctrlPr>
          </m:accPr>
          <m:e>
            <m:sSub>
              <m:sSubPr>
                <m:ctrlPr>
                  <w:rPr>
                    <w:rFonts w:ascii="Cambria Math" w:hAnsi="Cambria Math" w:cs="Cambria Math"/>
                    <w:i/>
                    <w:iCs/>
                    <w:szCs w:val="21"/>
                  </w:rPr>
                </m:ctrlPr>
              </m:sSubPr>
              <m:e>
                <m:r>
                  <m:rPr/>
                  <w:rPr>
                    <w:rFonts w:ascii="Times New Roman" w:hAnsi="Times New Roman" w:cs="Cambria Math"/>
                    <w:szCs w:val="21"/>
                  </w:rPr>
                  <m:t>f</m:t>
                </m:r>
                <m:ctrlPr>
                  <w:rPr>
                    <w:rFonts w:ascii="Cambria Math" w:hAnsi="Cambria Math" w:cs="Cambria Math"/>
                    <w:i/>
                    <w:iCs/>
                    <w:szCs w:val="21"/>
                  </w:rPr>
                </m:ctrlPr>
              </m:e>
              <m:sub>
                <m:r>
                  <m:rPr/>
                  <w:rPr>
                    <w:rFonts w:ascii="Times New Roman" w:hAnsi="Times New Roman" w:cs="Cambria Math"/>
                    <w:szCs w:val="21"/>
                  </w:rPr>
                  <m:t>d,i</m:t>
                </m:r>
                <m:ctrlPr>
                  <w:rPr>
                    <w:rFonts w:ascii="Cambria Math" w:hAnsi="Cambria Math" w:cs="Cambria Math"/>
                    <w:i/>
                    <w:iCs/>
                    <w:szCs w:val="21"/>
                  </w:rPr>
                </m:ctrlPr>
              </m:sub>
            </m:sSub>
            <m:ctrlPr>
              <w:rPr>
                <w:rFonts w:ascii="Cambria Math" w:hAnsi="Cambria Math" w:cs="Cambria Math"/>
                <w:i/>
                <w:iCs/>
                <w:szCs w:val="21"/>
              </w:rPr>
            </m:ctrlPr>
          </m:e>
        </m:acc>
        <m:r>
          <m:rPr/>
          <w:rPr>
            <w:rFonts w:ascii="Times New Roman" w:hAnsi="Times New Roman" w:cs="Cambria Math"/>
            <w:szCs w:val="21"/>
          </w:rPr>
          <m:t>+</m:t>
        </m:r>
        <m:acc>
          <m:accPr>
            <m:chr m:val="̅"/>
            <m:ctrlPr>
              <w:rPr>
                <w:rFonts w:ascii="Cambria Math" w:hAnsi="Cambria Math" w:cs="Cambria Math"/>
                <w:i/>
                <w:iCs/>
                <w:szCs w:val="21"/>
              </w:rPr>
            </m:ctrlPr>
          </m:accPr>
          <m:e>
            <m:sSubSup>
              <m:sSubSupPr>
                <m:ctrlPr>
                  <w:rPr>
                    <w:rFonts w:ascii="Cambria Math" w:hAnsi="Cambria Math" w:cs="Cambria Math"/>
                    <w:i/>
                    <w:iCs/>
                    <w:szCs w:val="21"/>
                  </w:rPr>
                </m:ctrlPr>
              </m:sSubSupPr>
              <m:e>
                <m:acc>
                  <m:accPr>
                    <m:chr m:val="̇"/>
                    <m:ctrlPr>
                      <w:rPr>
                        <w:rFonts w:ascii="Cambria Math" w:hAnsi="Cambria Math" w:cs="Cambria Math"/>
                        <w:i/>
                        <w:iCs/>
                        <w:szCs w:val="21"/>
                      </w:rPr>
                    </m:ctrlPr>
                  </m:accPr>
                  <m:e>
                    <m:r>
                      <m:rPr/>
                      <w:rPr>
                        <w:rFonts w:ascii="Times New Roman" w:hAnsi="Times New Roman" w:cs="Cambria Math"/>
                        <w:szCs w:val="21"/>
                      </w:rPr>
                      <m:t>m</m:t>
                    </m:r>
                    <m:ctrlPr>
                      <w:rPr>
                        <w:rFonts w:ascii="Cambria Math" w:hAnsi="Cambria Math" w:cs="Cambria Math"/>
                        <w:i/>
                        <w:iCs/>
                        <w:szCs w:val="21"/>
                      </w:rPr>
                    </m:ctrlPr>
                  </m:e>
                </m:acc>
                <m:ctrlPr>
                  <w:rPr>
                    <w:rFonts w:ascii="Cambria Math" w:hAnsi="Cambria Math" w:cs="Cambria Math"/>
                    <w:i/>
                    <w:iCs/>
                    <w:szCs w:val="21"/>
                  </w:rPr>
                </m:ctrlPr>
              </m:e>
              <m:sub>
                <m:r>
                  <m:rPr/>
                  <w:rPr>
                    <w:rFonts w:ascii="Times New Roman" w:hAnsi="Times New Roman" w:cs="Cambria Math"/>
                    <w:szCs w:val="21"/>
                  </w:rPr>
                  <m:t>b</m:t>
                </m:r>
                <m:ctrlPr>
                  <w:rPr>
                    <w:rFonts w:ascii="Cambria Math" w:hAnsi="Cambria Math" w:cs="Cambria Math"/>
                    <w:i/>
                    <w:iCs/>
                    <w:szCs w:val="21"/>
                  </w:rPr>
                </m:ctrlPr>
              </m:sub>
              <m:sup>
                <m:r>
                  <m:rPr/>
                  <w:rPr>
                    <w:rFonts w:ascii="Times New Roman" w:hAnsi="Times New Roman" w:cs="Cambria Math"/>
                    <w:szCs w:val="21"/>
                  </w:rPr>
                  <m:t>m</m:t>
                </m:r>
                <m:ctrlPr>
                  <w:rPr>
                    <w:rFonts w:ascii="Cambria Math" w:hAnsi="Cambria Math" w:cs="Cambria Math"/>
                    <w:i/>
                    <w:iCs/>
                    <w:szCs w:val="21"/>
                  </w:rPr>
                </m:ctrlPr>
              </m:sup>
            </m:sSubSup>
            <m:sSub>
              <m:sSubPr>
                <m:ctrlPr>
                  <w:rPr>
                    <w:rFonts w:ascii="Cambria Math" w:hAnsi="Cambria Math" w:cs="Cambria Math"/>
                    <w:i/>
                    <w:iCs/>
                    <w:szCs w:val="21"/>
                  </w:rPr>
                </m:ctrlPr>
              </m:sSubPr>
              <m:e>
                <m:r>
                  <m:rPr/>
                  <w:rPr>
                    <w:rFonts w:ascii="Times New Roman" w:hAnsi="Times New Roman" w:cs="Cambria Math"/>
                    <w:szCs w:val="21"/>
                  </w:rPr>
                  <m:t>u</m:t>
                </m:r>
                <m:ctrlPr>
                  <w:rPr>
                    <w:rFonts w:ascii="Cambria Math" w:hAnsi="Cambria Math" w:cs="Cambria Math"/>
                    <w:i/>
                    <w:iCs/>
                    <w:szCs w:val="21"/>
                  </w:rPr>
                </m:ctrlPr>
              </m:e>
              <m:sub>
                <m:r>
                  <m:rPr/>
                  <w:rPr>
                    <w:rFonts w:ascii="Times New Roman" w:hAnsi="Times New Roman" w:cs="Cambria Math"/>
                    <w:szCs w:val="21"/>
                  </w:rPr>
                  <m:t>b,i</m:t>
                </m:r>
                <m:ctrlPr>
                  <w:rPr>
                    <w:rFonts w:ascii="Cambria Math" w:hAnsi="Cambria Math" w:cs="Cambria Math"/>
                    <w:i/>
                    <w:iCs/>
                    <w:szCs w:val="21"/>
                  </w:rPr>
                </m:ctrlPr>
              </m:sub>
            </m:sSub>
            <m:ctrlPr>
              <w:rPr>
                <w:rFonts w:ascii="Cambria Math" w:hAnsi="Cambria Math" w:cs="Cambria Math"/>
                <w:i/>
                <w:iCs/>
                <w:szCs w:val="21"/>
              </w:rPr>
            </m:ctrlPr>
          </m:e>
        </m:acc>
        <m:r>
          <m:rPr/>
          <w:rPr>
            <w:rFonts w:ascii="Times New Roman" w:hAnsi="Times New Roman" w:cs="Cambria Math"/>
            <w:szCs w:val="21"/>
          </w:rPr>
          <m:t>.</m:t>
        </m:r>
      </m:oMath>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4</w:t>
      </w:r>
      <w:r>
        <w:rPr>
          <w:rFonts w:ascii="Times New Roman" w:hAnsi="Times New Roman" w:cs="Times New Roman"/>
          <w:szCs w:val="21"/>
        </w:rPr>
        <w:t>)</w:t>
      </w:r>
    </w:p>
    <w:p w14:paraId="0DAA1350">
      <w:pPr>
        <w:widowControl/>
        <w:spacing w:line="240" w:lineRule="atLeast"/>
        <w:rPr>
          <w:rFonts w:ascii="Times New Roman" w:hAnsi="Times New Roman" w:cs="Times New Roman"/>
          <w:szCs w:val="21"/>
        </w:rPr>
      </w:pPr>
      <w:r>
        <w:rPr>
          <w:rFonts w:ascii="Times New Roman" w:hAnsi="Times New Roman" w:cs="Times New Roman"/>
          <w:szCs w:val="21"/>
        </w:rPr>
        <w:t>其中</w:t>
      </w:r>
      <m:oMath>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f</m:t>
                </m:r>
                <m:ctrlPr>
                  <w:rPr>
                    <w:rFonts w:ascii="Cambria Math" w:hAnsi="Cambria Math" w:cs="Times New Roman"/>
                    <w:i/>
                    <w:iCs/>
                    <w:szCs w:val="21"/>
                  </w:rPr>
                </m:ctrlPr>
              </m:e>
              <m:sub>
                <m:r>
                  <m:rPr/>
                  <w:rPr>
                    <w:rFonts w:ascii="Times New Roman" w:hAnsi="Times New Roman" w:cs="Times New Roman"/>
                    <w:szCs w:val="21"/>
                  </w:rPr>
                  <m:t>d,i</m:t>
                </m:r>
                <m:ctrlPr>
                  <w:rPr>
                    <w:rFonts w:ascii="Cambria Math" w:hAnsi="Cambria Math" w:cs="Times New Roman"/>
                    <w:i/>
                    <w:iCs/>
                    <w:szCs w:val="21"/>
                  </w:rPr>
                </m:ctrlPr>
              </m:sub>
            </m:sSub>
            <m:ctrlPr>
              <w:rPr>
                <w:rFonts w:ascii="Cambria Math" w:hAnsi="Cambria Math" w:cs="Times New Roman"/>
                <w:i/>
                <w:iCs/>
                <w:szCs w:val="21"/>
              </w:rPr>
            </m:ctrlPr>
          </m:e>
        </m:acc>
      </m:oMath>
      <w:r>
        <w:rPr>
          <w:rFonts w:hint="eastAsia" w:ascii="Times New Roman" w:hAnsi="Times New Roman" w:cs="Times New Roman"/>
          <w:szCs w:val="21"/>
          <w:lang w:eastAsia="zh-CN"/>
        </w:rPr>
        <w:t>为</w:t>
      </w:r>
      <w:r>
        <w:rPr>
          <w:rFonts w:ascii="Times New Roman" w:hAnsi="Times New Roman" w:cs="Times New Roman"/>
          <w:szCs w:val="21"/>
        </w:rPr>
        <w:t>由未解析拉格朗日粒子引起的平均阻力，</w:t>
      </w:r>
      <m:oMath>
        <m:acc>
          <m:accPr>
            <m:chr m:val="̅"/>
            <m:ctrlPr>
              <w:rPr>
                <w:rFonts w:ascii="Cambria Math" w:hAnsi="Cambria Math" w:cs="Times New Roman"/>
                <w:i/>
                <w:iCs/>
                <w:szCs w:val="21"/>
              </w:rPr>
            </m:ctrlPr>
          </m:accPr>
          <m:e>
            <m:sSubSup>
              <m:sSubSupPr>
                <m:ctrlPr>
                  <w:rPr>
                    <w:rFonts w:ascii="Cambria Math" w:hAnsi="Cambria Math" w:cs="Times New Roman"/>
                    <w:i/>
                    <w:iCs/>
                    <w:szCs w:val="21"/>
                  </w:rPr>
                </m:ctrlPr>
              </m:sSubSupPr>
              <m:e>
                <m:acc>
                  <m:accPr>
                    <m:chr m:val="̇"/>
                    <m:ctrlPr>
                      <w:rPr>
                        <w:rFonts w:ascii="Cambria Math" w:hAnsi="Cambria Math" w:cs="Times New Roman"/>
                        <w:i/>
                        <w:iCs/>
                        <w:szCs w:val="21"/>
                      </w:rPr>
                    </m:ctrlPr>
                  </m:accPr>
                  <m:e>
                    <m:r>
                      <m:rPr/>
                      <w:rPr>
                        <w:rFonts w:ascii="Times New Roman" w:hAnsi="Times New Roman" w:cs="Times New Roman"/>
                        <w:szCs w:val="21"/>
                      </w:rPr>
                      <m:t>m</m:t>
                    </m:r>
                    <m:ctrlPr>
                      <w:rPr>
                        <w:rFonts w:ascii="Cambria Math" w:hAnsi="Cambria Math" w:cs="Times New Roman"/>
                        <w:i/>
                        <w:iCs/>
                        <w:szCs w:val="21"/>
                      </w:rPr>
                    </m:ctrlPr>
                  </m:e>
                </m:acc>
                <m:ctrlPr>
                  <w:rPr>
                    <w:rFonts w:ascii="Cambria Math" w:hAnsi="Cambria Math" w:cs="Times New Roman"/>
                    <w:i/>
                    <w:iCs/>
                    <w:szCs w:val="21"/>
                  </w:rPr>
                </m:ctrlPr>
              </m:e>
              <m:sub>
                <m:r>
                  <m:rPr/>
                  <w:rPr>
                    <w:rFonts w:ascii="Times New Roman" w:hAnsi="Times New Roman" w:cs="Times New Roman"/>
                    <w:szCs w:val="21"/>
                  </w:rPr>
                  <m:t>b</m:t>
                </m:r>
                <m:ctrlPr>
                  <w:rPr>
                    <w:rFonts w:ascii="Cambria Math" w:hAnsi="Cambria Math" w:cs="Times New Roman"/>
                    <w:i/>
                    <w:iCs/>
                    <w:szCs w:val="21"/>
                  </w:rPr>
                </m:ctrlPr>
              </m:sub>
              <m:sup>
                <m:r>
                  <m:rPr/>
                  <w:rPr>
                    <w:rFonts w:ascii="Times New Roman" w:hAnsi="Times New Roman" w:cs="Times New Roman"/>
                    <w:szCs w:val="21"/>
                  </w:rPr>
                  <m:t>m</m:t>
                </m:r>
                <m:ctrlPr>
                  <w:rPr>
                    <w:rFonts w:ascii="Cambria Math" w:hAnsi="Cambria Math" w:cs="Times New Roman"/>
                    <w:i/>
                    <w:iCs/>
                    <w:szCs w:val="21"/>
                  </w:rPr>
                </m:ctrlPr>
              </m:sup>
            </m:sSubSup>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b,i</m:t>
                </m:r>
                <m:ctrlPr>
                  <w:rPr>
                    <w:rFonts w:ascii="Cambria Math" w:hAnsi="Cambria Math" w:cs="Times New Roman"/>
                    <w:i/>
                    <w:iCs/>
                    <w:szCs w:val="21"/>
                  </w:rPr>
                </m:ctrlPr>
              </m:sub>
            </m:sSub>
            <m:ctrlPr>
              <w:rPr>
                <w:rFonts w:ascii="Cambria Math" w:hAnsi="Cambria Math" w:cs="Times New Roman"/>
                <w:i/>
                <w:iCs/>
                <w:szCs w:val="21"/>
              </w:rPr>
            </m:ctrlPr>
          </m:e>
        </m:acc>
      </m:oMath>
      <w:r>
        <w:rPr>
          <w:rFonts w:hint="eastAsia" w:ascii="Times New Roman" w:hAnsi="Times New Roman" w:cs="Times New Roman"/>
          <w:szCs w:val="21"/>
          <w:lang w:eastAsia="zh-CN"/>
        </w:rPr>
        <w:t>为</w:t>
      </w:r>
      <w:r>
        <w:rPr>
          <w:rFonts w:ascii="Times New Roman" w:hAnsi="Times New Roman" w:cs="Times New Roman"/>
          <w:szCs w:val="21"/>
        </w:rPr>
        <w:t>平均整体源项，</w:t>
      </w:r>
      <m:oMath>
        <m:acc>
          <m:accPr>
            <m:chr m:val="̅"/>
            <m:ctrlPr>
              <w:rPr>
                <w:rFonts w:ascii="Cambria Math" w:hAnsi="Cambria Math" w:cs="Times New Roman"/>
                <w:i/>
                <w:iCs/>
                <w:szCs w:val="21"/>
              </w:rPr>
            </m:ctrlPr>
          </m:accPr>
          <m:e>
            <m:r>
              <m:rPr/>
              <w:rPr>
                <w:rFonts w:ascii="Times New Roman" w:hAnsi="Times New Roman" w:cs="Times New Roman"/>
                <w:szCs w:val="21"/>
              </w:rPr>
              <m:t>p</m:t>
            </m:r>
            <m:ctrlPr>
              <w:rPr>
                <w:rFonts w:ascii="Cambria Math" w:hAnsi="Cambria Math" w:cs="Times New Roman"/>
                <w:i/>
                <w:iCs/>
                <w:szCs w:val="21"/>
              </w:rPr>
            </m:ctrlPr>
          </m:e>
        </m:acc>
      </m:oMath>
      <w:r>
        <w:rPr>
          <w:rFonts w:hint="eastAsia" w:ascii="Times New Roman" w:hAnsi="Times New Roman" w:cs="Times New Roman"/>
          <w:szCs w:val="21"/>
          <w:lang w:val="en-US" w:eastAsia="zh-CN"/>
        </w:rPr>
        <w:t>为</w:t>
      </w:r>
      <w:r>
        <w:rPr>
          <w:rFonts w:ascii="Times New Roman" w:hAnsi="Times New Roman" w:cs="Times New Roman"/>
          <w:szCs w:val="21"/>
        </w:rPr>
        <w:t>平均静压，</w:t>
      </w:r>
      <m:oMath>
        <m:sSub>
          <m:sSubPr>
            <m:ctrlPr>
              <w:rPr>
                <w:rFonts w:ascii="Cambria Math" w:hAnsi="Cambria Math" w:cs="Times New Roman"/>
                <w:i/>
                <w:iCs/>
                <w:szCs w:val="21"/>
              </w:rPr>
            </m:ctrlPr>
          </m:sSubPr>
          <m:e>
            <m:acc>
              <m:accPr>
                <m:chr m:val="̅"/>
                <m:ctrlPr>
                  <w:rPr>
                    <w:rFonts w:ascii="Cambria Math" w:hAnsi="Cambria Math" w:cs="Times New Roman"/>
                    <w:i/>
                    <w:iCs/>
                    <w:szCs w:val="21"/>
                  </w:rPr>
                </m:ctrlPr>
              </m:accPr>
              <m:e>
                <m:r>
                  <m:rPr/>
                  <w:rPr>
                    <w:rFonts w:ascii="Times New Roman" w:hAnsi="Times New Roman" w:cs="Times New Roman"/>
                    <w:szCs w:val="21"/>
                  </w:rPr>
                  <m:t>ρ</m:t>
                </m:r>
                <m:ctrlPr>
                  <w:rPr>
                    <w:rFonts w:ascii="Cambria Math" w:hAnsi="Cambria Math" w:cs="Times New Roman"/>
                    <w:i/>
                    <w:iCs/>
                    <w:szCs w:val="21"/>
                  </w:rPr>
                </m:ctrlPr>
              </m:e>
            </m:acc>
            <m:r>
              <m:rPr/>
              <w:rPr>
                <w:rFonts w:ascii="Times New Roman" w:hAnsi="Times New Roman" w:cs="Times New Roman"/>
                <w:szCs w:val="21"/>
              </w:rPr>
              <m:t>g</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oMath>
      <w:r>
        <w:rPr>
          <w:rFonts w:hint="eastAsia" w:ascii="Times New Roman" w:hAnsi="Times New Roman" w:cs="Times New Roman"/>
          <w:szCs w:val="21"/>
          <w:lang w:val="en-US" w:eastAsia="zh-CN"/>
        </w:rPr>
        <w:t>为</w:t>
      </w:r>
      <w:r>
        <w:rPr>
          <w:rFonts w:ascii="Times New Roman" w:hAnsi="Times New Roman" w:cs="Times New Roman"/>
          <w:szCs w:val="21"/>
        </w:rPr>
        <w:t>平均重力，</w:t>
      </w:r>
      <m:oMath>
        <m:r>
          <m:rPr/>
          <w:rPr>
            <w:rFonts w:ascii="Times New Roman" w:hAnsi="Times New Roman" w:cs="Times New Roman"/>
            <w:szCs w:val="21"/>
          </w:rPr>
          <m:t>u</m:t>
        </m:r>
      </m:oMath>
      <w:r>
        <w:rPr>
          <w:rFonts w:hint="eastAsia" w:ascii="Times New Roman" w:hAnsi="Times New Roman" w:cs="Times New Roman"/>
          <w:szCs w:val="21"/>
          <w:lang w:val="en-US" w:eastAsia="zh-CN"/>
        </w:rPr>
        <w:t>为</w:t>
      </w:r>
      <w:r>
        <w:rPr>
          <w:rFonts w:ascii="Times New Roman" w:hAnsi="Times New Roman" w:cs="Times New Roman"/>
          <w:szCs w:val="21"/>
        </w:rPr>
        <w:t>速度分量。</w:t>
      </w:r>
    </w:p>
    <w:p w14:paraId="50B39584">
      <w:pPr>
        <w:widowControl/>
        <w:spacing w:line="240" w:lineRule="atLeast"/>
        <w:ind w:firstLine="420"/>
        <w:rPr>
          <w:rFonts w:ascii="Times New Roman" w:hAnsi="Times New Roman" w:cs="Times New Roman"/>
          <w:szCs w:val="21"/>
        </w:rPr>
      </w:pPr>
      <w:r>
        <w:rPr>
          <w:rFonts w:ascii="Times New Roman" w:hAnsi="Times New Roman" w:cs="Times New Roman"/>
          <w:szCs w:val="21"/>
        </w:rPr>
        <w:t>能量守恒方程：</w:t>
      </w:r>
    </w:p>
    <w:p w14:paraId="147BBE4D">
      <w:pPr>
        <w:widowControl/>
        <w:spacing w:line="240" w:lineRule="atLeast"/>
        <w:ind w:firstLine="420"/>
        <w:jc w:val="right"/>
        <w:rPr>
          <w:rFonts w:ascii="Times New Roman" w:hAnsi="Times New Roman" w:cs="Times New Roman"/>
          <w:szCs w:val="21"/>
        </w:rPr>
      </w:pPr>
      <m:oMath>
        <m:acc>
          <m:accPr>
            <m:chr m:val="̅"/>
            <m:ctrlPr>
              <w:rPr>
                <w:rFonts w:ascii="Cambria Math" w:hAnsi="Cambria Math" w:cs="Times New Roman"/>
                <w:i/>
                <w:iCs/>
                <w:szCs w:val="21"/>
              </w:rPr>
            </m:ctrlPr>
          </m:accPr>
          <m:e>
            <m:r>
              <m:rPr/>
              <w:rPr>
                <w:rFonts w:ascii="Times New Roman" w:hAnsi="Times New Roman" w:cs="Times New Roman"/>
                <w:szCs w:val="21"/>
              </w:rPr>
              <m:t>ρ</m:t>
            </m:r>
            <m:ctrlPr>
              <w:rPr>
                <w:rFonts w:ascii="Cambria Math" w:hAnsi="Cambria Math" w:cs="Times New Roman"/>
                <w:i/>
                <w:iCs/>
                <w:szCs w:val="21"/>
              </w:rPr>
            </m:ctrlPr>
          </m:e>
        </m:acc>
        <m:f>
          <m:fPr>
            <m:ctrlPr>
              <w:rPr>
                <w:rFonts w:ascii="Cambria Math" w:hAnsi="Cambria Math" w:cs="Times New Roman"/>
                <w:i/>
                <w:iCs/>
                <w:szCs w:val="21"/>
              </w:rPr>
            </m:ctrlPr>
          </m:fPr>
          <m:num>
            <m:r>
              <m:rPr/>
              <w:rPr>
                <w:rFonts w:ascii="Times New Roman" w:hAnsi="Times New Roman" w:cs="Times New Roman"/>
                <w:szCs w:val="21"/>
              </w:rPr>
              <m:t>DK</m:t>
            </m:r>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f>
          <m:fPr>
            <m:ctrlPr>
              <w:rPr>
                <w:rFonts w:ascii="Cambria Math" w:hAnsi="Cambria Math" w:cs="Times New Roman"/>
                <w:i/>
                <w:iCs/>
                <w:szCs w:val="21"/>
              </w:rPr>
            </m:ctrlPr>
          </m:fPr>
          <m:num>
            <m:r>
              <m:rPr/>
              <w:rPr>
                <w:rFonts w:ascii="Times New Roman" w:hAnsi="Times New Roman" w:cs="Times New Roman"/>
                <w:szCs w:val="21"/>
              </w:rPr>
              <m:t>∂</m:t>
            </m:r>
            <m:acc>
              <m:accPr>
                <m:chr m:val="̅"/>
                <m:ctrlPr>
                  <w:rPr>
                    <w:rFonts w:ascii="Cambria Math" w:hAnsi="Cambria Math" w:cs="Times New Roman"/>
                    <w:i/>
                    <w:iCs/>
                    <w:szCs w:val="21"/>
                  </w:rPr>
                </m:ctrlPr>
              </m:accPr>
              <m:e>
                <m:r>
                  <m:rPr/>
                  <w:rPr>
                    <w:rFonts w:ascii="Times New Roman" w:hAnsi="Times New Roman" w:cs="Times New Roman"/>
                    <w:szCs w:val="21"/>
                  </w:rPr>
                  <m:t>p</m:t>
                </m:r>
                <m:ctrlPr>
                  <w:rPr>
                    <w:rFonts w:ascii="Cambria Math" w:hAnsi="Cambria Math" w:cs="Times New Roman"/>
                    <w:i/>
                    <w:iCs/>
                    <w:szCs w:val="21"/>
                  </w:rPr>
                </m:ctrlPr>
              </m:e>
            </m:acc>
            <m:ctrlPr>
              <w:rPr>
                <w:rFonts w:ascii="Cambria Math" w:hAnsi="Cambria Math" w:cs="Times New Roman"/>
                <w:i/>
                <w:iCs/>
                <w:szCs w:val="21"/>
              </w:rPr>
            </m:ctrlPr>
          </m:num>
          <m:den>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f>
          <m:fPr>
            <m:ctrlPr>
              <w:rPr>
                <w:rFonts w:ascii="Cambria Math" w:hAnsi="Cambria Math" w:cs="Times New Roman"/>
                <w:i/>
                <w:iCs/>
                <w:szCs w:val="21"/>
              </w:rPr>
            </m:ctrlPr>
          </m:fPr>
          <m:num>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τ</m:t>
                </m:r>
                <m:ctrlPr>
                  <w:rPr>
                    <w:rFonts w:ascii="Cambria Math" w:hAnsi="Cambria Math" w:cs="Times New Roman"/>
                    <w:i/>
                    <w:iCs/>
                    <w:szCs w:val="21"/>
                  </w:rPr>
                </m:ctrlPr>
              </m:e>
              <m:sub>
                <m:r>
                  <m:rPr/>
                  <w:rPr>
                    <w:rFonts w:ascii="Times New Roman" w:hAnsi="Times New Roman" w:cs="Times New Roman"/>
                    <w:szCs w:val="21"/>
                  </w:rPr>
                  <m:t>ij</m:t>
                </m:r>
                <m:ctrlPr>
                  <w:rPr>
                    <w:rFonts w:ascii="Cambria Math" w:hAnsi="Cambria Math" w:cs="Times New Roman"/>
                    <w:i/>
                    <w:iCs/>
                    <w:szCs w:val="21"/>
                  </w:rPr>
                </m:ctrlPr>
              </m:sub>
              <m:sup>
                <m:r>
                  <m:rPr/>
                  <w:rPr>
                    <w:rFonts w:ascii="Times New Roman" w:hAnsi="Times New Roman" w:cs="Times New Roman"/>
                    <w:szCs w:val="21"/>
                  </w:rPr>
                  <m:t>dev</m:t>
                </m:r>
                <m:ctrlPr>
                  <w:rPr>
                    <w:rFonts w:ascii="Cambria Math" w:hAnsi="Cambria Math" w:cs="Times New Roman"/>
                    <w:i/>
                    <w:iCs/>
                    <w:szCs w:val="21"/>
                  </w:rPr>
                </m:ctrlPr>
              </m:sup>
            </m:sSubSup>
            <m:ctrlPr>
              <w:rPr>
                <w:rFonts w:ascii="Cambria Math" w:hAnsi="Cambria Math" w:cs="Times New Roman"/>
                <w:i/>
                <w:iCs/>
                <w:szCs w:val="21"/>
              </w:rPr>
            </m:ctrlPr>
          </m:num>
          <m:den>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j</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sSub>
          <m:sSubPr>
            <m:ctrlPr>
              <w:rPr>
                <w:rFonts w:ascii="Cambria Math" w:hAnsi="Cambria Math" w:cs="Times New Roman"/>
                <w:i/>
                <w:iCs/>
                <w:szCs w:val="21"/>
              </w:rPr>
            </m:ctrlPr>
          </m:sSubPr>
          <m:e>
            <m:acc>
              <m:accPr>
                <m:chr m:val="̅"/>
                <m:ctrlPr>
                  <w:rPr>
                    <w:rFonts w:ascii="Cambria Math" w:hAnsi="Cambria Math" w:cs="Times New Roman"/>
                    <w:i/>
                    <w:iCs/>
                    <w:szCs w:val="21"/>
                  </w:rPr>
                </m:ctrlPr>
              </m:accPr>
              <m:e>
                <m:r>
                  <m:rPr/>
                  <w:rPr>
                    <w:rFonts w:ascii="Times New Roman" w:hAnsi="Times New Roman" w:cs="Times New Roman"/>
                    <w:szCs w:val="21"/>
                  </w:rPr>
                  <m:t>ρ</m:t>
                </m:r>
                <m:ctrlPr>
                  <w:rPr>
                    <w:rFonts w:ascii="Cambria Math" w:hAnsi="Cambria Math" w:cs="Times New Roman"/>
                    <w:i/>
                    <w:iCs/>
                    <w:szCs w:val="21"/>
                  </w:rPr>
                </m:ctrlPr>
              </m:e>
            </m:acc>
            <m:r>
              <m:rPr/>
              <w:rPr>
                <w:rFonts w:ascii="Times New Roman" w:hAnsi="Times New Roman" w:cs="Times New Roman"/>
                <w:szCs w:val="21"/>
              </w:rPr>
              <m:t>g</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f</m:t>
                </m:r>
                <m:ctrlPr>
                  <w:rPr>
                    <w:rFonts w:ascii="Cambria Math" w:hAnsi="Cambria Math" w:cs="Times New Roman"/>
                    <w:i/>
                    <w:iCs/>
                    <w:szCs w:val="21"/>
                  </w:rPr>
                </m:ctrlPr>
              </m:e>
              <m:sub>
                <m:r>
                  <m:rPr/>
                  <w:rPr>
                    <w:rFonts w:ascii="Times New Roman" w:hAnsi="Times New Roman" w:cs="Times New Roman"/>
                    <w:szCs w:val="21"/>
                  </w:rPr>
                  <m:t>d,i</m:t>
                </m:r>
                <m:ctrlPr>
                  <w:rPr>
                    <w:rFonts w:ascii="Cambria Math" w:hAnsi="Cambria Math" w:cs="Times New Roman"/>
                    <w:i/>
                    <w:iCs/>
                    <w:szCs w:val="21"/>
                  </w:rPr>
                </m:ctrlPr>
              </m:sub>
            </m:sSub>
            <m:ctrlPr>
              <w:rPr>
                <w:rFonts w:ascii="Cambria Math" w:hAnsi="Cambria Math" w:cs="Times New Roman"/>
                <w:i/>
                <w:iCs/>
                <w:szCs w:val="21"/>
              </w:rPr>
            </m:ctrlPr>
          </m:e>
        </m:acc>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r>
          <m:rPr/>
          <w:rPr>
            <w:rFonts w:ascii="Times New Roman" w:hAnsi="Times New Roman" w:cs="Times New Roman"/>
            <w:szCs w:val="21"/>
          </w:rPr>
          <m:t>.</m:t>
        </m:r>
      </m:oMath>
      <w:r>
        <w:rPr>
          <w:rFonts w:hint="eastAsia" w:ascii="Times New Roman" w:hAnsi="Times New Roman" w:cs="Times New Roman"/>
          <w:i/>
          <w:iCs/>
          <w:szCs w:val="21"/>
        </w:rPr>
        <w:t xml:space="preserve">   </w:t>
      </w:r>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5</w:t>
      </w:r>
      <w:r>
        <w:rPr>
          <w:rFonts w:ascii="Times New Roman" w:hAnsi="Times New Roman" w:cs="Times New Roman"/>
          <w:szCs w:val="21"/>
        </w:rPr>
        <w:t>)</w:t>
      </w:r>
    </w:p>
    <w:p w14:paraId="6A403F2D">
      <w:pPr>
        <w:widowControl/>
        <w:spacing w:line="240" w:lineRule="atLeast"/>
        <w:ind w:firstLine="420"/>
        <w:rPr>
          <w:rFonts w:ascii="Times New Roman" w:hAnsi="Times New Roman" w:cs="Times New Roman"/>
          <w:i/>
          <w:iCs/>
          <w:szCs w:val="21"/>
        </w:rPr>
      </w:pPr>
      <m:oMathPara>
        <m:oMath>
          <m:acc>
            <m:accPr>
              <m:chr m:val="̅"/>
              <m:ctrlPr>
                <w:rPr>
                  <w:rFonts w:ascii="Cambria Math" w:hAnsi="Cambria Math" w:cs="Times New Roman"/>
                  <w:i/>
                  <w:iCs/>
                  <w:szCs w:val="21"/>
                </w:rPr>
              </m:ctrlPr>
            </m:accPr>
            <m:e>
              <m:r>
                <m:rPr/>
                <w:rPr>
                  <w:rFonts w:ascii="Times New Roman" w:hAnsi="Times New Roman" w:cs="Times New Roman"/>
                  <w:szCs w:val="21"/>
                </w:rPr>
                <m:t>ρ</m:t>
              </m:r>
              <m:ctrlPr>
                <w:rPr>
                  <w:rFonts w:ascii="Cambria Math" w:hAnsi="Cambria Math" w:cs="Times New Roman"/>
                  <w:i/>
                  <w:iCs/>
                  <w:szCs w:val="21"/>
                </w:rPr>
              </m:ctrlPr>
            </m:e>
          </m:acc>
          <m:f>
            <m:fPr>
              <m:ctrlPr>
                <w:rPr>
                  <w:rFonts w:ascii="Cambria Math" w:hAnsi="Cambria Math" w:cs="Times New Roman"/>
                  <w:i/>
                  <w:iCs/>
                  <w:szCs w:val="21"/>
                </w:rPr>
              </m:ctrlPr>
            </m:fPr>
            <m:num>
              <m:r>
                <m:rPr/>
                <w:rPr>
                  <w:rFonts w:ascii="Times New Roman" w:hAnsi="Times New Roman" w:cs="Times New Roman"/>
                  <w:szCs w:val="21"/>
                </w:rPr>
                <m:t>DK</m:t>
              </m:r>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m:t>
          </m:r>
          <m:f>
            <m:fPr>
              <m:ctrlPr>
                <w:rPr>
                  <w:rFonts w:ascii="Cambria Math" w:hAnsi="Cambria Math" w:cs="Times New Roman"/>
                  <w:i/>
                  <w:iCs/>
                  <w:szCs w:val="21"/>
                </w:rPr>
              </m:ctrlPr>
            </m:fPr>
            <m:num>
              <m:r>
                <m:rPr/>
                <w:rPr>
                  <w:rFonts w:ascii="Times New Roman" w:hAnsi="Times New Roman" w:cs="Times New Roman"/>
                  <w:szCs w:val="21"/>
                </w:rPr>
                <m:t>∂</m:t>
              </m:r>
              <m:ctrlPr>
                <w:rPr>
                  <w:rFonts w:ascii="Cambria Math" w:hAnsi="Cambria Math" w:cs="Times New Roman"/>
                  <w:i/>
                  <w:iCs/>
                  <w:szCs w:val="21"/>
                </w:rPr>
              </m:ctrlPr>
            </m:num>
            <m:den>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j</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d>
            <m:dPr>
              <m:begChr m:val="["/>
              <m:endChr m:val="]"/>
              <m:ctrlPr>
                <w:rPr>
                  <w:rFonts w:ascii="Cambria Math" w:hAnsi="Cambria Math" w:cs="Times New Roman"/>
                  <w:i/>
                  <w:iCs/>
                  <w:szCs w:val="21"/>
                </w:rPr>
              </m:ctrlPr>
            </m:dPr>
            <m:e>
              <m:acc>
                <m:accPr>
                  <m:chr m:val="̅"/>
                  <m:ctrlPr>
                    <w:rPr>
                      <w:rFonts w:ascii="Cambria Math" w:hAnsi="Cambria Math" w:cs="Times New Roman"/>
                      <w:i/>
                      <w:iCs/>
                      <w:szCs w:val="21"/>
                    </w:rPr>
                  </m:ctrlPr>
                </m:accPr>
                <m:e>
                  <m:r>
                    <m:rPr/>
                    <w:rPr>
                      <w:rFonts w:ascii="Times New Roman" w:hAnsi="Times New Roman" w:cs="Times New Roman"/>
                      <w:szCs w:val="21"/>
                    </w:rPr>
                    <m:t>p</m:t>
                  </m:r>
                  <m:ctrlPr>
                    <w:rPr>
                      <w:rFonts w:ascii="Cambria Math" w:hAnsi="Cambria Math" w:cs="Times New Roman"/>
                      <w:i/>
                      <w:iCs/>
                      <w:szCs w:val="21"/>
                    </w:rPr>
                  </m:ctrlPr>
                </m:e>
              </m:acc>
              <m:sSub>
                <m:sSubPr>
                  <m:ctrlPr>
                    <w:rPr>
                      <w:rFonts w:ascii="Cambria Math" w:hAnsi="Cambria Math" w:cs="Times New Roman"/>
                      <w:i/>
                      <w:iCs/>
                      <w:szCs w:val="21"/>
                    </w:rPr>
                  </m:ctrlPr>
                </m:sSubPr>
                <m:e>
                  <m:r>
                    <m:rPr/>
                    <w:rPr>
                      <w:rFonts w:ascii="Times New Roman" w:hAnsi="Times New Roman" w:cs="Times New Roman"/>
                      <w:szCs w:val="21"/>
                    </w:rPr>
                    <m:t>δ</m:t>
                  </m:r>
                  <m:ctrlPr>
                    <w:rPr>
                      <w:rFonts w:ascii="Cambria Math" w:hAnsi="Cambria Math" w:cs="Times New Roman"/>
                      <w:i/>
                      <w:iCs/>
                      <w:szCs w:val="21"/>
                    </w:rPr>
                  </m:ctrlPr>
                </m:e>
                <m:sub>
                  <m:r>
                    <m:rPr/>
                    <w:rPr>
                      <w:rFonts w:ascii="Times New Roman" w:hAnsi="Times New Roman" w:cs="Times New Roman"/>
                      <w:szCs w:val="21"/>
                    </w:rPr>
                    <m:t>ij</m:t>
                  </m:r>
                  <m:ctrlPr>
                    <w:rPr>
                      <w:rFonts w:ascii="Cambria Math" w:hAnsi="Cambria Math" w:cs="Times New Roman"/>
                      <w:i/>
                      <w:iCs/>
                      <w:szCs w:val="21"/>
                    </w:rPr>
                  </m:ctrlPr>
                </m:sub>
              </m:sSub>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τ</m:t>
                  </m:r>
                  <m:ctrlPr>
                    <w:rPr>
                      <w:rFonts w:ascii="Cambria Math" w:hAnsi="Cambria Math" w:cs="Times New Roman"/>
                      <w:i/>
                      <w:iCs/>
                      <w:szCs w:val="21"/>
                    </w:rPr>
                  </m:ctrlPr>
                </m:e>
                <m:sub>
                  <m:r>
                    <m:rPr/>
                    <w:rPr>
                      <w:rFonts w:ascii="Times New Roman" w:hAnsi="Times New Roman" w:cs="Times New Roman"/>
                      <w:szCs w:val="21"/>
                    </w:rPr>
                    <m:t>ij</m:t>
                  </m:r>
                  <m:ctrlPr>
                    <w:rPr>
                      <w:rFonts w:ascii="Cambria Math" w:hAnsi="Cambria Math" w:cs="Times New Roman"/>
                      <w:i/>
                      <w:iCs/>
                      <w:szCs w:val="21"/>
                    </w:rPr>
                  </m:ctrlPr>
                </m:sub>
                <m:sup>
                  <m:r>
                    <m:rPr/>
                    <w:rPr>
                      <w:rFonts w:ascii="Times New Roman" w:hAnsi="Times New Roman" w:cs="Times New Roman"/>
                      <w:szCs w:val="21"/>
                    </w:rPr>
                    <m:t>dev</m:t>
                  </m:r>
                  <m:ctrlPr>
                    <w:rPr>
                      <w:rFonts w:ascii="Cambria Math" w:hAnsi="Cambria Math" w:cs="Times New Roman"/>
                      <w:i/>
                      <w:iCs/>
                      <w:szCs w:val="21"/>
                    </w:rPr>
                  </m:ctrlPr>
                </m:sup>
              </m:sSubSup>
              <m:ctrlPr>
                <w:rPr>
                  <w:rFonts w:ascii="Cambria Math" w:hAnsi="Cambria Math" w:cs="Times New Roman"/>
                  <w:i/>
                  <w:iCs/>
                  <w:szCs w:val="21"/>
                </w:rPr>
              </m:ctrlPr>
            </m:e>
          </m:d>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r>
            <m:rPr/>
            <w:rPr>
              <w:rFonts w:ascii="Times New Roman" w:hAnsi="Times New Roman" w:cs="Times New Roman"/>
              <w:szCs w:val="21"/>
            </w:rPr>
            <m:t>)=</m:t>
          </m:r>
        </m:oMath>
      </m:oMathPara>
    </w:p>
    <w:p w14:paraId="3DC48BD2">
      <w:pPr>
        <w:widowControl/>
        <w:spacing w:line="240" w:lineRule="atLeast"/>
        <w:ind w:firstLine="420"/>
        <w:jc w:val="right"/>
        <w:rPr>
          <w:rFonts w:ascii="Times New Roman" w:hAnsi="Times New Roman" w:cs="Times New Roman"/>
          <w:szCs w:val="21"/>
        </w:rPr>
      </w:pPr>
      <m:oMath>
        <m:acc>
          <m:accPr>
            <m:chr m:val="̅"/>
            <m:ctrlPr>
              <w:rPr>
                <w:rFonts w:ascii="Cambria Math" w:hAnsi="Cambria Math" w:cs="Times New Roman"/>
                <w:i/>
                <w:iCs/>
                <w:szCs w:val="21"/>
              </w:rPr>
            </m:ctrlPr>
          </m:accPr>
          <m:e>
            <m:r>
              <m:rPr/>
              <w:rPr>
                <w:rFonts w:ascii="Times New Roman" w:hAnsi="Times New Roman" w:cs="Times New Roman"/>
                <w:szCs w:val="21"/>
              </w:rPr>
              <m:t>p</m:t>
            </m:r>
            <m:ctrlPr>
              <w:rPr>
                <w:rFonts w:ascii="Cambria Math" w:hAnsi="Cambria Math" w:cs="Times New Roman"/>
                <w:i/>
                <w:iCs/>
                <w:szCs w:val="21"/>
              </w:rPr>
            </m:ctrlPr>
          </m:e>
        </m:acc>
        <m:f>
          <m:fPr>
            <m:ctrlPr>
              <w:rPr>
                <w:rFonts w:ascii="Cambria Math" w:hAnsi="Cambria Math" w:cs="Times New Roman"/>
                <w:i/>
                <w:iCs/>
                <w:szCs w:val="21"/>
              </w:rPr>
            </m:ctrlPr>
          </m:fPr>
          <m:num>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ctrlPr>
              <w:rPr>
                <w:rFonts w:ascii="Cambria Math" w:hAnsi="Cambria Math" w:cs="Times New Roman"/>
                <w:i/>
                <w:iCs/>
                <w:szCs w:val="21"/>
              </w:rPr>
            </m:ctrlPr>
          </m:num>
          <m:den>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sSubSup>
          <m:sSubSupPr>
            <m:ctrlPr>
              <w:rPr>
                <w:rFonts w:ascii="Cambria Math" w:hAnsi="Cambria Math" w:cs="Times New Roman"/>
                <w:i/>
                <w:iCs/>
                <w:szCs w:val="21"/>
              </w:rPr>
            </m:ctrlPr>
          </m:sSubSupPr>
          <m:e>
            <m:r>
              <m:rPr/>
              <w:rPr>
                <w:rFonts w:ascii="Times New Roman" w:hAnsi="Times New Roman" w:cs="Times New Roman"/>
                <w:szCs w:val="21"/>
              </w:rPr>
              <m:t>τ</m:t>
            </m:r>
            <m:ctrlPr>
              <w:rPr>
                <w:rFonts w:ascii="Cambria Math" w:hAnsi="Cambria Math" w:cs="Times New Roman"/>
                <w:i/>
                <w:iCs/>
                <w:szCs w:val="21"/>
              </w:rPr>
            </m:ctrlPr>
          </m:e>
          <m:sub>
            <m:r>
              <m:rPr/>
              <w:rPr>
                <w:rFonts w:ascii="Times New Roman" w:hAnsi="Times New Roman" w:cs="Times New Roman"/>
                <w:szCs w:val="21"/>
              </w:rPr>
              <m:t>ij</m:t>
            </m:r>
            <m:ctrlPr>
              <w:rPr>
                <w:rFonts w:ascii="Cambria Math" w:hAnsi="Cambria Math" w:cs="Times New Roman"/>
                <w:i/>
                <w:iCs/>
                <w:szCs w:val="21"/>
              </w:rPr>
            </m:ctrlPr>
          </m:sub>
          <m:sup>
            <m:r>
              <m:rPr/>
              <w:rPr>
                <w:rFonts w:ascii="Times New Roman" w:hAnsi="Times New Roman" w:cs="Times New Roman"/>
                <w:szCs w:val="21"/>
              </w:rPr>
              <m:t>dev</m:t>
            </m:r>
            <m:ctrlPr>
              <w:rPr>
                <w:rFonts w:ascii="Cambria Math" w:hAnsi="Cambria Math" w:cs="Times New Roman"/>
                <w:i/>
                <w:iCs/>
                <w:szCs w:val="21"/>
              </w:rPr>
            </m:ctrlPr>
          </m:sup>
        </m:sSubSup>
        <m:f>
          <m:fPr>
            <m:ctrlPr>
              <w:rPr>
                <w:rFonts w:ascii="Cambria Math" w:hAnsi="Cambria Math" w:cs="Times New Roman"/>
                <w:i/>
                <w:iCs/>
                <w:szCs w:val="21"/>
              </w:rPr>
            </m:ctrlPr>
          </m:fPr>
          <m:num>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ctrlPr>
              <w:rPr>
                <w:rFonts w:ascii="Cambria Math" w:hAnsi="Cambria Math" w:cs="Times New Roman"/>
                <w:i/>
                <w:iCs/>
                <w:szCs w:val="21"/>
              </w:rPr>
            </m:ctrlPr>
          </m:num>
          <m:den>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x</m:t>
                </m:r>
                <m:ctrlPr>
                  <w:rPr>
                    <w:rFonts w:ascii="Cambria Math" w:hAnsi="Cambria Math" w:cs="Times New Roman"/>
                    <w:i/>
                    <w:iCs/>
                    <w:szCs w:val="21"/>
                  </w:rPr>
                </m:ctrlPr>
              </m:e>
              <m:sub>
                <m:r>
                  <m:rPr/>
                  <w:rPr>
                    <w:rFonts w:ascii="Times New Roman" w:hAnsi="Times New Roman" w:cs="Times New Roman"/>
                    <w:szCs w:val="21"/>
                  </w:rPr>
                  <m:t>j</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sSub>
          <m:sSubPr>
            <m:ctrlPr>
              <w:rPr>
                <w:rFonts w:ascii="Cambria Math" w:hAnsi="Cambria Math" w:cs="Times New Roman"/>
                <w:i/>
                <w:iCs/>
                <w:szCs w:val="21"/>
              </w:rPr>
            </m:ctrlPr>
          </m:sSubPr>
          <m:e>
            <m:acc>
              <m:accPr>
                <m:chr m:val="̅"/>
                <m:ctrlPr>
                  <w:rPr>
                    <w:rFonts w:ascii="Cambria Math" w:hAnsi="Cambria Math" w:cs="Times New Roman"/>
                    <w:i/>
                    <w:iCs/>
                    <w:szCs w:val="21"/>
                  </w:rPr>
                </m:ctrlPr>
              </m:accPr>
              <m:e>
                <m:r>
                  <m:rPr/>
                  <w:rPr>
                    <w:rFonts w:ascii="Times New Roman" w:hAnsi="Times New Roman" w:cs="Times New Roman"/>
                    <w:szCs w:val="21"/>
                  </w:rPr>
                  <m:t>ρ</m:t>
                </m:r>
                <m:ctrlPr>
                  <w:rPr>
                    <w:rFonts w:ascii="Cambria Math" w:hAnsi="Cambria Math" w:cs="Times New Roman"/>
                    <w:i/>
                    <w:iCs/>
                    <w:szCs w:val="21"/>
                  </w:rPr>
                </m:ctrlPr>
              </m:e>
            </m:acc>
            <m:r>
              <m:rPr/>
              <w:rPr>
                <w:rFonts w:ascii="Times New Roman" w:hAnsi="Times New Roman" w:cs="Times New Roman"/>
                <w:szCs w:val="21"/>
              </w:rPr>
              <m:t>g</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f</m:t>
                </m:r>
                <m:ctrlPr>
                  <w:rPr>
                    <w:rFonts w:ascii="Cambria Math" w:hAnsi="Cambria Math" w:cs="Times New Roman"/>
                    <w:i/>
                    <w:iCs/>
                    <w:szCs w:val="21"/>
                  </w:rPr>
                </m:ctrlPr>
              </m:e>
              <m:sub>
                <m:r>
                  <m:rPr/>
                  <w:rPr>
                    <w:rFonts w:ascii="Times New Roman" w:hAnsi="Times New Roman" w:cs="Times New Roman"/>
                    <w:szCs w:val="21"/>
                  </w:rPr>
                  <m:t>d,i</m:t>
                </m:r>
                <m:ctrlPr>
                  <w:rPr>
                    <w:rFonts w:ascii="Cambria Math" w:hAnsi="Cambria Math" w:cs="Times New Roman"/>
                    <w:i/>
                    <w:iCs/>
                    <w:szCs w:val="21"/>
                  </w:rPr>
                </m:ctrlPr>
              </m:sub>
            </m:sSub>
            <m:ctrlPr>
              <w:rPr>
                <w:rFonts w:ascii="Cambria Math" w:hAnsi="Cambria Math" w:cs="Times New Roman"/>
                <w:i/>
                <w:iCs/>
                <w:szCs w:val="21"/>
              </w:rPr>
            </m:ctrlPr>
          </m:e>
        </m:acc>
        <m:r>
          <m:rPr/>
          <w:rPr>
            <w:rFonts w:ascii="Times New Roman" w:hAnsi="Times New Roman" w:cs="Times New Roman"/>
            <w:szCs w:val="21"/>
          </w:rPr>
          <m:t>)</m:t>
        </m:r>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r>
          <m:rPr/>
          <w:rPr>
            <w:rFonts w:ascii="Times New Roman" w:hAnsi="Times New Roman" w:cs="Times New Roman"/>
            <w:szCs w:val="21"/>
          </w:rPr>
          <m:t>.</m:t>
        </m:r>
      </m:oMath>
      <w:r>
        <w:rPr>
          <w:rFonts w:hint="eastAsia" w:ascii="Times New Roman" w:hAnsi="Times New Roman" w:cs="Times New Roman"/>
          <w:i/>
          <w:iCs/>
          <w:szCs w:val="21"/>
        </w:rPr>
        <w:t xml:space="preserve"> </w:t>
      </w:r>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6</w:t>
      </w:r>
      <w:r>
        <w:rPr>
          <w:rFonts w:ascii="Times New Roman" w:hAnsi="Times New Roman" w:cs="Times New Roman"/>
          <w:szCs w:val="21"/>
        </w:rPr>
        <w:t>)</w:t>
      </w:r>
    </w:p>
    <w:p w14:paraId="3834D566">
      <w:pPr>
        <w:widowControl/>
        <w:spacing w:line="240" w:lineRule="atLeast"/>
        <w:rPr>
          <w:rFonts w:ascii="Times New Roman" w:hAnsi="Times New Roman" w:cs="Times New Roman"/>
          <w:szCs w:val="21"/>
        </w:rPr>
      </w:pPr>
      <w:r>
        <w:rPr>
          <w:rFonts w:ascii="Times New Roman" w:hAnsi="Times New Roman" w:cs="Times New Roman"/>
          <w:szCs w:val="21"/>
        </w:rPr>
        <w:t>其中</w:t>
      </w:r>
      <m:oMath>
        <m:r>
          <m:rPr/>
          <w:rPr>
            <w:rFonts w:ascii="Times New Roman" w:hAnsi="Times New Roman" w:cs="Times New Roman"/>
            <w:szCs w:val="21"/>
          </w:rPr>
          <m:t>K=</m:t>
        </m:r>
        <m:f>
          <m:fPr>
            <m:ctrlPr>
              <w:rPr>
                <w:rFonts w:ascii="Cambria Math" w:hAnsi="Cambria Math" w:cs="Times New Roman"/>
                <w:i/>
                <w:iCs/>
                <w:szCs w:val="21"/>
              </w:rPr>
            </m:ctrlPr>
          </m:fPr>
          <m:num>
            <m:r>
              <m:rPr/>
              <w:rPr>
                <w:rFonts w:ascii="Times New Roman" w:hAnsi="Times New Roman" w:cs="Times New Roman"/>
                <w:szCs w:val="21"/>
              </w:rPr>
              <m:t>1</m:t>
            </m:r>
            <m:ctrlPr>
              <w:rPr>
                <w:rFonts w:ascii="Cambria Math" w:hAnsi="Cambria Math" w:cs="Times New Roman"/>
                <w:i/>
                <w:iCs/>
                <w:szCs w:val="21"/>
              </w:rPr>
            </m:ctrlPr>
          </m:num>
          <m:den>
            <m:r>
              <m:rPr/>
              <w:rPr>
                <w:rFonts w:ascii="Times New Roman" w:hAnsi="Times New Roman" w:cs="Times New Roman"/>
                <w:szCs w:val="21"/>
              </w:rPr>
              <m:t>2</m:t>
            </m:r>
            <m:ctrlPr>
              <w:rPr>
                <w:rFonts w:ascii="Cambria Math" w:hAnsi="Cambria Math" w:cs="Times New Roman"/>
                <w:i/>
                <w:iCs/>
                <w:szCs w:val="21"/>
              </w:rPr>
            </m:ctrlPr>
          </m:den>
        </m:f>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u</m:t>
                </m:r>
                <m:ctrlPr>
                  <w:rPr>
                    <w:rFonts w:ascii="Cambria Math" w:hAnsi="Cambria Math" w:cs="Times New Roman"/>
                    <w:i/>
                    <w:iCs/>
                    <w:szCs w:val="21"/>
                  </w:rPr>
                </m:ctrlPr>
              </m:e>
              <m:sub>
                <m:r>
                  <m:rPr/>
                  <w:rPr>
                    <w:rFonts w:ascii="Times New Roman" w:hAnsi="Times New Roman" w:cs="Times New Roman"/>
                    <w:szCs w:val="21"/>
                  </w:rPr>
                  <m:t>i</m:t>
                </m:r>
                <m:ctrlPr>
                  <w:rPr>
                    <w:rFonts w:ascii="Cambria Math" w:hAnsi="Cambria Math" w:cs="Times New Roman"/>
                    <w:i/>
                    <w:iCs/>
                    <w:szCs w:val="21"/>
                  </w:rPr>
                </m:ctrlPr>
              </m:sub>
            </m:sSub>
            <m:ctrlPr>
              <w:rPr>
                <w:rFonts w:ascii="Cambria Math" w:hAnsi="Cambria Math" w:cs="Times New Roman"/>
                <w:i/>
                <w:iCs/>
                <w:szCs w:val="21"/>
              </w:rPr>
            </m:ctrlPr>
          </m:e>
        </m:acc>
      </m:oMath>
      <w:r>
        <w:rPr>
          <w:rFonts w:hint="eastAsia" w:ascii="Times New Roman" w:hAnsi="Times New Roman" w:cs="Times New Roman"/>
          <w:szCs w:val="21"/>
          <w:lang w:val="en-US" w:eastAsia="zh-CN"/>
        </w:rPr>
        <w:t>为</w:t>
      </w:r>
      <w:r>
        <w:rPr>
          <w:rFonts w:ascii="Times New Roman" w:hAnsi="Times New Roman" w:cs="Times New Roman"/>
          <w:szCs w:val="21"/>
        </w:rPr>
        <w:t>平均动能，方程(</w:t>
      </w:r>
      <w:r>
        <w:rPr>
          <w:rFonts w:hint="eastAsia" w:ascii="Times New Roman" w:hAnsi="Times New Roman" w:cs="Times New Roman"/>
          <w:szCs w:val="21"/>
        </w:rPr>
        <w:t>6</w:t>
      </w:r>
      <w:r>
        <w:rPr>
          <w:rFonts w:ascii="Times New Roman" w:hAnsi="Times New Roman" w:cs="Times New Roman"/>
          <w:szCs w:val="21"/>
        </w:rPr>
        <w:t>)</w:t>
      </w:r>
      <w:r>
        <w:rPr>
          <w:rFonts w:hint="eastAsia" w:ascii="Times New Roman" w:hAnsi="Times New Roman" w:cs="Times New Roman"/>
          <w:szCs w:val="21"/>
        </w:rPr>
        <w:t>等号</w:t>
      </w:r>
      <w:r>
        <w:rPr>
          <w:rFonts w:ascii="Times New Roman" w:hAnsi="Times New Roman" w:cs="Times New Roman"/>
          <w:szCs w:val="21"/>
        </w:rPr>
        <w:t>左边的项代表运输，右边的项</w:t>
      </w:r>
      <w:r>
        <w:rPr>
          <w:rFonts w:hint="eastAsia" w:ascii="Times New Roman" w:hAnsi="Times New Roman" w:cs="Times New Roman"/>
          <w:szCs w:val="21"/>
          <w:lang w:val="en-US" w:eastAsia="zh-CN"/>
        </w:rPr>
        <w:t>为</w:t>
      </w:r>
      <w:r>
        <w:rPr>
          <w:rFonts w:ascii="Times New Roman" w:hAnsi="Times New Roman" w:cs="Times New Roman"/>
          <w:szCs w:val="21"/>
        </w:rPr>
        <w:t>动能的源。</w:t>
      </w:r>
    </w:p>
    <w:p w14:paraId="5DEB8949">
      <w:pPr>
        <w:widowControl/>
        <w:spacing w:line="240" w:lineRule="atLeast"/>
        <w:ind w:firstLine="420"/>
        <w:rPr>
          <w:rFonts w:ascii="Times New Roman" w:hAnsi="Times New Roman" w:cs="Times New Roman"/>
          <w:szCs w:val="21"/>
        </w:rPr>
      </w:pPr>
      <w:r>
        <w:rPr>
          <w:rFonts w:ascii="Times New Roman" w:hAnsi="Times New Roman" w:cs="Times New Roman"/>
          <w:szCs w:val="21"/>
        </w:rPr>
        <w:t>FDS中气体、液体和固体表面之间的质量和能量传递用下面的一组方程来描述：</w:t>
      </w:r>
    </w:p>
    <w:p w14:paraId="2FFEB08E">
      <w:pPr>
        <w:widowControl/>
        <w:spacing w:line="240" w:lineRule="atLeast"/>
        <w:ind w:firstLine="420"/>
        <w:jc w:val="right"/>
        <w:rPr>
          <w:rFonts w:ascii="Times New Roman" w:hAnsi="Times New Roman" w:cs="Times New Roman"/>
          <w:i/>
          <w:iCs/>
          <w:szCs w:val="21"/>
        </w:rPr>
      </w:pPr>
      <m:oMath>
        <m:f>
          <m:fPr>
            <m:ctrlPr>
              <w:rPr>
                <w:rFonts w:ascii="Cambria Math" w:hAnsi="Cambria Math" w:cs="Times New Roman"/>
                <w:i/>
                <w:iCs/>
                <w:szCs w:val="21"/>
              </w:rPr>
            </m:ctrlPr>
          </m:fPr>
          <m:num>
            <m:r>
              <m:rPr/>
              <w:rPr>
                <w:rFonts w:ascii="Times New Roman" w:hAnsi="Times New Roman" w:cs="Times New Roman"/>
                <w:szCs w:val="21"/>
              </w:rPr>
              <m:t>d</m:t>
            </m:r>
            <m:sSub>
              <m:sSubPr>
                <m:ctrlPr>
                  <w:rPr>
                    <w:rFonts w:ascii="Cambria Math" w:hAnsi="Cambria Math" w:cs="Times New Roman"/>
                    <w:i/>
                    <w:iCs/>
                    <w:szCs w:val="21"/>
                  </w:rPr>
                </m:ctrlPr>
              </m:sSubPr>
              <m:e>
                <m:r>
                  <m:rPr/>
                  <w:rPr>
                    <w:rFonts w:ascii="Times New Roman" w:hAnsi="Times New Roman" w:cs="Times New Roman"/>
                    <w:szCs w:val="21"/>
                  </w:rPr>
                  <m:t>m</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A</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m</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ρ</m:t>
            </m:r>
            <m:ctrlPr>
              <w:rPr>
                <w:rFonts w:ascii="Cambria Math" w:hAnsi="Cambria Math" w:cs="Times New Roman"/>
                <w:i/>
                <w:iCs/>
                <w:szCs w:val="21"/>
              </w:rPr>
            </m:ctrlPr>
          </m:e>
          <m:sub>
            <m:r>
              <m:rPr/>
              <w:rPr>
                <w:rFonts w:ascii="Times New Roman" w:hAnsi="Times New Roman" w:cs="Times New Roman"/>
                <w:szCs w:val="21"/>
              </w:rPr>
              <m:t>r</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Y</m:t>
            </m:r>
            <m:ctrlPr>
              <w:rPr>
                <w:rFonts w:ascii="Cambria Math" w:hAnsi="Cambria Math" w:cs="Times New Roman"/>
                <w:i/>
                <w:iCs/>
                <w:szCs w:val="21"/>
              </w:rPr>
            </m:ctrlPr>
          </m:e>
          <m:sub>
            <m:r>
              <m:rPr/>
              <w:rPr>
                <w:rFonts w:ascii="Times New Roman" w:hAnsi="Times New Roman" w:cs="Times New Roman"/>
                <w:szCs w:val="21"/>
              </w:rPr>
              <m:t>a,l</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Y</m:t>
            </m:r>
            <m:ctrlPr>
              <w:rPr>
                <w:rFonts w:ascii="Cambria Math" w:hAnsi="Cambria Math" w:cs="Times New Roman"/>
                <w:i/>
                <w:iCs/>
                <w:szCs w:val="21"/>
              </w:rPr>
            </m:ctrlPr>
          </m:e>
          <m:sub>
            <m:r>
              <m:rPr/>
              <w:rPr>
                <w:rFonts w:ascii="Times New Roman" w:hAnsi="Times New Roman" w:cs="Times New Roman"/>
                <w:szCs w:val="21"/>
              </w:rPr>
              <m:t>a,g</m:t>
            </m:r>
            <m:ctrlPr>
              <w:rPr>
                <w:rFonts w:ascii="Cambria Math" w:hAnsi="Cambria Math" w:cs="Times New Roman"/>
                <w:i/>
                <w:iCs/>
                <w:szCs w:val="21"/>
              </w:rPr>
            </m:ctrlPr>
          </m:sub>
        </m:sSub>
        <m:r>
          <m:rPr/>
          <w:rPr>
            <w:rFonts w:ascii="Times New Roman" w:hAnsi="Times New Roman" w:cs="Times New Roman"/>
            <w:szCs w:val="21"/>
          </w:rPr>
          <m:t>).</m:t>
        </m:r>
      </m:oMath>
      <w:r>
        <w:rPr>
          <w:rFonts w:hint="eastAsia" w:ascii="Times New Roman" w:hAnsi="Times New Roman" w:cs="Times New Roman"/>
          <w:iCs/>
          <w:szCs w:val="21"/>
        </w:rPr>
        <w:t xml:space="preserve">                  </w:t>
      </w:r>
      <w:r>
        <w:rPr>
          <w:rFonts w:ascii="Times New Roman" w:hAnsi="Times New Roman" w:cs="Times New Roman"/>
          <w:szCs w:val="21"/>
        </w:rPr>
        <w:t>(</w:t>
      </w:r>
      <w:r>
        <w:rPr>
          <w:rFonts w:hint="eastAsia" w:ascii="Times New Roman" w:hAnsi="Times New Roman" w:cs="Times New Roman"/>
          <w:szCs w:val="21"/>
        </w:rPr>
        <w:t>7</w:t>
      </w:r>
      <w:r>
        <w:rPr>
          <w:rFonts w:ascii="Times New Roman" w:hAnsi="Times New Roman" w:cs="Times New Roman"/>
          <w:szCs w:val="21"/>
        </w:rPr>
        <w:t>)</w:t>
      </w:r>
    </w:p>
    <w:p w14:paraId="58C7F4CD">
      <w:pPr>
        <w:widowControl/>
        <w:spacing w:line="240" w:lineRule="atLeast"/>
        <w:ind w:firstLine="420"/>
        <w:jc w:val="right"/>
        <w:rPr>
          <w:rFonts w:ascii="Times New Roman" w:hAnsi="Times New Roman" w:cs="Times New Roman"/>
          <w:i/>
          <w:iCs/>
          <w:szCs w:val="21"/>
        </w:rPr>
      </w:pPr>
      <m:oMath>
        <m:sSub>
          <m:sSubPr>
            <m:ctrlPr>
              <w:rPr>
                <w:rFonts w:ascii="Cambria Math" w:hAnsi="Cambria Math" w:cs="Times New Roman"/>
                <w:i/>
                <w:iCs/>
                <w:szCs w:val="21"/>
              </w:rPr>
            </m:ctrlPr>
          </m:sSubPr>
          <m:e>
            <m:r>
              <m:rPr/>
              <w:rPr>
                <w:rFonts w:ascii="Times New Roman" w:hAnsi="Times New Roman" w:cs="Times New Roman"/>
                <w:szCs w:val="21"/>
              </w:rPr>
              <m:t>ρ</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r>
          <m:rPr/>
          <w:rPr>
            <w:rFonts w:ascii="Times New Roman" w:hAnsi="Times New Roman" w:cs="Times New Roman"/>
            <w:szCs w:val="21"/>
          </w:rPr>
          <m:t>V</m:t>
        </m:r>
        <m:f>
          <m:fPr>
            <m:ctrlPr>
              <w:rPr>
                <w:rFonts w:ascii="Cambria Math" w:hAnsi="Cambria Math" w:cs="Times New Roman"/>
                <w:i/>
                <w:iCs/>
                <w:szCs w:val="21"/>
              </w:rPr>
            </m:ctrlPr>
          </m:fPr>
          <m:num>
            <m:r>
              <m:rPr/>
              <w:rPr>
                <w:rFonts w:ascii="Times New Roman" w:hAnsi="Times New Roman" w:cs="Times New Roman"/>
                <w:szCs w:val="21"/>
              </w:rPr>
              <m:t>d</m:t>
            </m:r>
            <m:sSub>
              <m:sSubPr>
                <m:ctrlPr>
                  <w:rPr>
                    <w:rFonts w:ascii="Cambria Math" w:hAnsi="Cambria Math" w:cs="Times New Roman"/>
                    <w:i/>
                    <w:iCs/>
                    <w:szCs w:val="21"/>
                  </w:rPr>
                </m:ctrlPr>
              </m:sSubPr>
              <m:e>
                <m:r>
                  <m:rPr/>
                  <w:rPr>
                    <w:rFonts w:ascii="Times New Roman" w:hAnsi="Times New Roman" w:cs="Times New Roman"/>
                    <w:szCs w:val="21"/>
                  </w:rPr>
                  <m:t>Y</m:t>
                </m:r>
                <m:ctrlPr>
                  <w:rPr>
                    <w:rFonts w:ascii="Cambria Math" w:hAnsi="Cambria Math" w:cs="Times New Roman"/>
                    <w:i/>
                    <w:iCs/>
                    <w:szCs w:val="21"/>
                  </w:rPr>
                </m:ctrlPr>
              </m:e>
              <m:sub>
                <m:r>
                  <m:rPr/>
                  <w:rPr>
                    <w:rFonts w:ascii="Times New Roman" w:hAnsi="Times New Roman" w:cs="Times New Roman"/>
                    <w:szCs w:val="21"/>
                  </w:rPr>
                  <m:t>a,g</m:t>
                </m:r>
                <m:ctrlPr>
                  <w:rPr>
                    <w:rFonts w:ascii="Cambria Math" w:hAnsi="Cambria Math" w:cs="Times New Roman"/>
                    <w:i/>
                    <w:iCs/>
                    <w:szCs w:val="21"/>
                  </w:rPr>
                </m:ctrlPr>
              </m:sub>
            </m:sSub>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=−(1−</m:t>
        </m:r>
        <m:sSub>
          <m:sSubPr>
            <m:ctrlPr>
              <w:rPr>
                <w:rFonts w:ascii="Cambria Math" w:hAnsi="Cambria Math" w:cs="Times New Roman"/>
                <w:i/>
                <w:iCs/>
                <w:szCs w:val="21"/>
              </w:rPr>
            </m:ctrlPr>
          </m:sSubPr>
          <m:e>
            <m:r>
              <m:rPr/>
              <w:rPr>
                <w:rFonts w:ascii="Times New Roman" w:hAnsi="Times New Roman" w:cs="Times New Roman"/>
                <w:szCs w:val="21"/>
              </w:rPr>
              <m:t>Y</m:t>
            </m:r>
            <m:ctrlPr>
              <w:rPr>
                <w:rFonts w:ascii="Cambria Math" w:hAnsi="Cambria Math" w:cs="Times New Roman"/>
                <w:i/>
                <w:iCs/>
                <w:szCs w:val="21"/>
              </w:rPr>
            </m:ctrlPr>
          </m:e>
          <m:sub>
            <m:r>
              <m:rPr/>
              <w:rPr>
                <w:rFonts w:ascii="Times New Roman" w:hAnsi="Times New Roman" w:cs="Times New Roman"/>
                <w:szCs w:val="21"/>
              </w:rPr>
              <m:t>a,g</m:t>
            </m:r>
            <m:ctrlPr>
              <w:rPr>
                <w:rFonts w:ascii="Cambria Math" w:hAnsi="Cambria Math" w:cs="Times New Roman"/>
                <w:i/>
                <w:iCs/>
                <w:szCs w:val="21"/>
              </w:rPr>
            </m:ctrlPr>
          </m:sub>
        </m:sSub>
        <m:r>
          <m:rPr/>
          <w:rPr>
            <w:rFonts w:ascii="Times New Roman" w:hAnsi="Times New Roman" w:cs="Times New Roman"/>
            <w:szCs w:val="21"/>
          </w:rPr>
          <m:t>)</m:t>
        </m:r>
        <m:f>
          <m:fPr>
            <m:ctrlPr>
              <w:rPr>
                <w:rFonts w:ascii="Cambria Math" w:hAnsi="Cambria Math" w:cs="Times New Roman"/>
                <w:i/>
                <w:iCs/>
                <w:szCs w:val="21"/>
              </w:rPr>
            </m:ctrlPr>
          </m:fPr>
          <m:num>
            <m:r>
              <m:rPr/>
              <w:rPr>
                <w:rFonts w:ascii="Times New Roman" w:hAnsi="Times New Roman" w:cs="Times New Roman"/>
                <w:szCs w:val="21"/>
              </w:rPr>
              <m:t>d</m:t>
            </m:r>
            <m:sSub>
              <m:sSubPr>
                <m:ctrlPr>
                  <w:rPr>
                    <w:rFonts w:ascii="Cambria Math" w:hAnsi="Cambria Math" w:cs="Times New Roman"/>
                    <w:i/>
                    <w:iCs/>
                    <w:szCs w:val="21"/>
                  </w:rPr>
                </m:ctrlPr>
              </m:sSubPr>
              <m:e>
                <m:r>
                  <m:rPr/>
                  <w:rPr>
                    <w:rFonts w:ascii="Times New Roman" w:hAnsi="Times New Roman" w:cs="Times New Roman"/>
                    <w:szCs w:val="21"/>
                  </w:rPr>
                  <m:t>m</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oMath>
      <w:r>
        <w:rPr>
          <w:rFonts w:hint="eastAsia" w:ascii="Times New Roman" w:hAnsi="Times New Roman" w:cs="Times New Roman"/>
          <w:iCs/>
          <w:szCs w:val="21"/>
        </w:rPr>
        <w:t xml:space="preserve">.                    </w:t>
      </w:r>
      <w:r>
        <w:rPr>
          <w:rFonts w:ascii="Times New Roman" w:hAnsi="Times New Roman" w:cs="Times New Roman"/>
          <w:szCs w:val="21"/>
        </w:rPr>
        <w:t>(</w:t>
      </w:r>
      <w:r>
        <w:rPr>
          <w:rFonts w:hint="eastAsia" w:ascii="Times New Roman" w:hAnsi="Times New Roman" w:cs="Times New Roman"/>
          <w:szCs w:val="21"/>
        </w:rPr>
        <w:t>8</w:t>
      </w:r>
      <w:r>
        <w:rPr>
          <w:rFonts w:ascii="Times New Roman" w:hAnsi="Times New Roman" w:cs="Times New Roman"/>
          <w:szCs w:val="21"/>
        </w:rPr>
        <w:t>)</w:t>
      </w:r>
    </w:p>
    <w:p w14:paraId="0A0745AD">
      <w:pPr>
        <w:widowControl/>
        <w:spacing w:line="240" w:lineRule="atLeast"/>
        <w:ind w:firstLine="420"/>
        <w:rPr>
          <w:rFonts w:ascii="Times New Roman" w:hAnsi="Times New Roman" w:cs="Times New Roman"/>
          <w:bCs/>
          <w:i/>
          <w:szCs w:val="21"/>
        </w:rPr>
      </w:pPr>
      <w:bookmarkStart w:id="7" w:name="OLE_LINK22"/>
      <m:oMathPara>
        <m:oMath>
          <m:f>
            <m:fPr>
              <m:ctrlPr>
                <w:rPr>
                  <w:rFonts w:ascii="Cambria Math" w:hAnsi="Cambria Math" w:cs="Times New Roman"/>
                  <w:bCs/>
                  <w:i/>
                  <w:szCs w:val="21"/>
                </w:rPr>
              </m:ctrlPr>
            </m:fPr>
            <m:num>
              <m:r>
                <m:rPr/>
                <w:rPr>
                  <w:rFonts w:ascii="Times New Roman" w:hAnsi="Times New Roman" w:cs="Times New Roman"/>
                  <w:szCs w:val="21"/>
                </w:rPr>
                <m:t>d</m:t>
              </m:r>
              <w:bookmarkStart w:id="8" w:name="OLE_LINK27"/>
              <m:sSub>
                <m:sSubPr>
                  <m:ctrlPr>
                    <w:rPr>
                      <w:rFonts w:ascii="Cambria Math" w:hAnsi="Cambria Math" w:cs="Times New Roman"/>
                      <w:bCs/>
                      <w:i/>
                      <w:szCs w:val="21"/>
                    </w:rPr>
                  </m:ctrlPr>
                </m:sSubPr>
                <m:e>
                  <m:r>
                    <m:rPr/>
                    <w:rPr>
                      <w:rFonts w:ascii="Times New Roman" w:hAnsi="Times New Roman" w:cs="Times New Roman"/>
                      <w:szCs w:val="21"/>
                    </w:rPr>
                    <m:t>T</m:t>
                  </m:r>
                  <m:ctrlPr>
                    <w:rPr>
                      <w:rFonts w:ascii="Cambria Math" w:hAnsi="Cambria Math" w:cs="Times New Roman"/>
                      <w:bCs/>
                      <w:i/>
                      <w:szCs w:val="21"/>
                    </w:rPr>
                  </m:ctrlPr>
                </m:e>
                <m:sub>
                  <m:r>
                    <m:rPr/>
                    <w:rPr>
                      <w:rFonts w:ascii="Times New Roman" w:hAnsi="Times New Roman" w:cs="Times New Roman"/>
                      <w:szCs w:val="21"/>
                    </w:rPr>
                    <m:t>p</m:t>
                  </m:r>
                  <w:bookmarkEnd w:id="8"/>
                  <m:ctrlPr>
                    <w:rPr>
                      <w:rFonts w:ascii="Cambria Math" w:hAnsi="Cambria Math" w:cs="Times New Roman"/>
                      <w:bCs/>
                      <w:i/>
                      <w:szCs w:val="21"/>
                    </w:rPr>
                  </m:ctrlPr>
                </m:sub>
              </m:sSub>
              <m:ctrlPr>
                <w:rPr>
                  <w:rFonts w:ascii="Cambria Math" w:hAnsi="Cambria Math" w:cs="Times New Roman"/>
                  <w:bCs/>
                  <w:i/>
                  <w:szCs w:val="21"/>
                </w:rPr>
              </m:ctrlPr>
            </m:num>
            <m:den>
              <m:r>
                <m:rPr/>
                <w:rPr>
                  <w:rFonts w:ascii="Times New Roman" w:hAnsi="Times New Roman" w:cs="Times New Roman"/>
                  <w:szCs w:val="21"/>
                </w:rPr>
                <m:t>dt</m:t>
              </m:r>
              <m:ctrlPr>
                <w:rPr>
                  <w:rFonts w:ascii="Cambria Math" w:hAnsi="Cambria Math" w:cs="Times New Roman"/>
                  <w:bCs/>
                  <w:i/>
                  <w:szCs w:val="21"/>
                </w:rPr>
              </m:ctrlPr>
            </m:den>
          </m:f>
          <m:r>
            <m:rPr/>
            <w:rPr>
              <w:rFonts w:ascii="Times New Roman" w:hAnsi="Times New Roman" w:cs="Times New Roman"/>
              <w:szCs w:val="21"/>
            </w:rPr>
            <m:t>=</m:t>
          </m:r>
          <m:f>
            <m:fPr>
              <m:ctrlPr>
                <w:rPr>
                  <w:rFonts w:ascii="Cambria Math" w:hAnsi="Cambria Math" w:cs="Times New Roman"/>
                  <w:bCs/>
                  <w:i/>
                  <w:szCs w:val="21"/>
                </w:rPr>
              </m:ctrlPr>
            </m:fPr>
            <m:num>
              <m:r>
                <m:rPr/>
                <w:rPr>
                  <w:rFonts w:ascii="Times New Roman" w:hAnsi="Times New Roman" w:cs="Times New Roman"/>
                  <w:szCs w:val="21"/>
                </w:rPr>
                <m:t>1</m:t>
              </m:r>
              <m:ctrlPr>
                <w:rPr>
                  <w:rFonts w:ascii="Cambria Math" w:hAnsi="Cambria Math" w:cs="Times New Roman"/>
                  <w:bCs/>
                  <w:i/>
                  <w:szCs w:val="21"/>
                </w:rPr>
              </m:ctrlPr>
            </m:num>
            <m:den>
              <m:sSub>
                <m:sSubPr>
                  <m:ctrlPr>
                    <w:rPr>
                      <w:rFonts w:ascii="Cambria Math" w:hAnsi="Cambria Math" w:cs="Times New Roman"/>
                      <w:bCs/>
                      <w:i/>
                      <w:szCs w:val="21"/>
                    </w:rPr>
                  </m:ctrlPr>
                </m:sSubPr>
                <m:e>
                  <m:r>
                    <m:rPr/>
                    <w:rPr>
                      <w:rFonts w:ascii="Times New Roman" w:hAnsi="Times New Roman" w:cs="Times New Roman"/>
                      <w:szCs w:val="21"/>
                    </w:rPr>
                    <m:t>m</m:t>
                  </m:r>
                  <m:ctrlPr>
                    <w:rPr>
                      <w:rFonts w:ascii="Cambria Math" w:hAnsi="Cambria Math" w:cs="Times New Roman"/>
                      <w:bCs/>
                      <w:i/>
                      <w:szCs w:val="21"/>
                    </w:rPr>
                  </m:ctrlPr>
                </m:e>
                <m:sub>
                  <m:r>
                    <m:rPr/>
                    <w:rPr>
                      <w:rFonts w:ascii="Times New Roman" w:hAnsi="Times New Roman" w:cs="Times New Roman"/>
                      <w:szCs w:val="21"/>
                    </w:rPr>
                    <m:t>p</m:t>
                  </m:r>
                  <m:ctrlPr>
                    <w:rPr>
                      <w:rFonts w:ascii="Cambria Math" w:hAnsi="Cambria Math" w:cs="Times New Roman"/>
                      <w:bCs/>
                      <w:i/>
                      <w:szCs w:val="21"/>
                    </w:rPr>
                  </m:ctrlPr>
                </m:sub>
              </m:sSub>
              <w:bookmarkStart w:id="9" w:name="OLE_LINK32"/>
              <m:sSub>
                <m:sSubPr>
                  <m:ctrlPr>
                    <w:rPr>
                      <w:rFonts w:ascii="Cambria Math" w:hAnsi="Cambria Math" w:cs="Times New Roman"/>
                      <w:bCs/>
                      <w:i/>
                      <w:szCs w:val="21"/>
                    </w:rPr>
                  </m:ctrlPr>
                </m:sSubPr>
                <m:e>
                  <m:r>
                    <m:rPr/>
                    <w:rPr>
                      <w:rFonts w:ascii="Times New Roman" w:hAnsi="Times New Roman" w:cs="Times New Roman"/>
                      <w:szCs w:val="21"/>
                    </w:rPr>
                    <m:t>c</m:t>
                  </m:r>
                  <m:ctrlPr>
                    <w:rPr>
                      <w:rFonts w:ascii="Cambria Math" w:hAnsi="Cambria Math" w:cs="Times New Roman"/>
                      <w:bCs/>
                      <w:i/>
                      <w:szCs w:val="21"/>
                    </w:rPr>
                  </m:ctrlPr>
                </m:e>
                <m:sub>
                  <m:r>
                    <m:rPr/>
                    <w:rPr>
                      <w:rFonts w:ascii="Times New Roman" w:hAnsi="Times New Roman" w:cs="Times New Roman"/>
                      <w:szCs w:val="21"/>
                    </w:rPr>
                    <m:t>p</m:t>
                  </m:r>
                  <w:bookmarkEnd w:id="9"/>
                  <m:ctrlPr>
                    <w:rPr>
                      <w:rFonts w:ascii="Cambria Math" w:hAnsi="Cambria Math" w:cs="Times New Roman"/>
                      <w:bCs/>
                      <w:i/>
                      <w:szCs w:val="21"/>
                    </w:rPr>
                  </m:ctrlPr>
                </m:sub>
              </m:sSub>
              <m:ctrlPr>
                <w:rPr>
                  <w:rFonts w:ascii="Cambria Math" w:hAnsi="Cambria Math" w:cs="Times New Roman"/>
                  <w:bCs/>
                  <w:i/>
                  <w:szCs w:val="21"/>
                </w:rPr>
              </m:ctrlPr>
            </m:den>
          </m:f>
          <w:bookmarkStart w:id="10" w:name="OLE_LINK34"/>
          <m:r>
            <m:rPr/>
            <w:rPr>
              <w:rFonts w:ascii="Times New Roman" w:hAnsi="Times New Roman" w:cs="Cambria Math"/>
              <w:szCs w:val="21"/>
            </w:rPr>
            <m:t>×</m:t>
          </m:r>
        </m:oMath>
      </m:oMathPara>
    </w:p>
    <w:bookmarkEnd w:id="10"/>
    <w:p w14:paraId="5408B239">
      <w:pPr>
        <w:widowControl/>
        <w:spacing w:line="240" w:lineRule="atLeast"/>
        <w:jc w:val="right"/>
        <w:rPr>
          <w:rFonts w:ascii="Times New Roman" w:hAnsi="Times New Roman" w:cs="Times New Roman"/>
          <w:i/>
          <w:iCs/>
          <w:szCs w:val="21"/>
        </w:rPr>
      </w:pPr>
      <m:oMath>
        <m:d>
          <m:dPr>
            <m:begChr m:val="["/>
            <m:endChr m:val="]"/>
            <m:ctrlPr>
              <w:rPr>
                <w:rFonts w:ascii="Cambria Math" w:hAnsi="Cambria Math" w:cs="Times New Roman"/>
                <w:bCs/>
                <w:i/>
                <w:szCs w:val="21"/>
              </w:rPr>
            </m:ctrlPr>
          </m:dPr>
          <m:e>
            <m:acc>
              <m:accPr>
                <m:chr m:val="̇"/>
                <m:ctrlPr>
                  <w:rPr>
                    <w:rFonts w:ascii="Cambria Math" w:hAnsi="Cambria Math" w:cs="Times New Roman"/>
                    <w:bCs/>
                    <w:i/>
                    <w:szCs w:val="21"/>
                  </w:rPr>
                </m:ctrlPr>
              </m:accPr>
              <m:e>
                <m:sSub>
                  <m:sSubPr>
                    <m:ctrlPr>
                      <w:rPr>
                        <w:rFonts w:ascii="Cambria Math" w:hAnsi="Cambria Math" w:cs="Times New Roman"/>
                        <w:bCs/>
                        <w:i/>
                        <w:szCs w:val="21"/>
                      </w:rPr>
                    </m:ctrlPr>
                  </m:sSubPr>
                  <m:e>
                    <m:r>
                      <m:rPr/>
                      <w:rPr>
                        <w:rFonts w:ascii="Times New Roman" w:hAnsi="Times New Roman" w:cs="Times New Roman"/>
                        <w:szCs w:val="21"/>
                      </w:rPr>
                      <m:t>q</m:t>
                    </m:r>
                    <m:ctrlPr>
                      <w:rPr>
                        <w:rFonts w:ascii="Cambria Math" w:hAnsi="Cambria Math" w:cs="Times New Roman"/>
                        <w:bCs/>
                        <w:i/>
                        <w:szCs w:val="21"/>
                      </w:rPr>
                    </m:ctrlPr>
                  </m:e>
                  <m:sub>
                    <m:r>
                      <m:rPr/>
                      <w:rPr>
                        <w:rFonts w:ascii="Times New Roman" w:hAnsi="Times New Roman" w:cs="Times New Roman"/>
                        <w:szCs w:val="21"/>
                      </w:rPr>
                      <m:t>r</m:t>
                    </m:r>
                    <m:ctrlPr>
                      <w:rPr>
                        <w:rFonts w:ascii="Cambria Math" w:hAnsi="Cambria Math" w:cs="Times New Roman"/>
                        <w:bCs/>
                        <w:i/>
                        <w:szCs w:val="21"/>
                      </w:rPr>
                    </m:ctrlPr>
                  </m:sub>
                </m:sSub>
                <m:ctrlPr>
                  <w:rPr>
                    <w:rFonts w:ascii="Cambria Math" w:hAnsi="Cambria Math" w:cs="Times New Roman"/>
                    <w:bCs/>
                    <w:i/>
                    <w:szCs w:val="21"/>
                  </w:rPr>
                </m:ctrlPr>
              </m:e>
            </m:acc>
            <m:r>
              <m:rPr/>
              <w:rPr>
                <w:rFonts w:ascii="Times New Roman" w:hAnsi="Times New Roman" w:cs="Times New Roman"/>
                <w:szCs w:val="21"/>
              </w:rPr>
              <m:t>+</m:t>
            </m:r>
            <m:sSub>
              <m:sSubPr>
                <m:ctrlPr>
                  <w:rPr>
                    <w:rFonts w:ascii="Cambria Math" w:hAnsi="Cambria Math" w:cs="Times New Roman"/>
                    <w:bCs/>
                    <w:i/>
                    <w:szCs w:val="21"/>
                  </w:rPr>
                </m:ctrlPr>
              </m:sSubPr>
              <m:e>
                <m:r>
                  <m:rPr/>
                  <w:rPr>
                    <w:rFonts w:ascii="Times New Roman" w:hAnsi="Times New Roman" w:cs="Times New Roman"/>
                    <w:szCs w:val="21"/>
                  </w:rPr>
                  <m:t>A</m:t>
                </m:r>
                <m:ctrlPr>
                  <w:rPr>
                    <w:rFonts w:ascii="Cambria Math" w:hAnsi="Cambria Math" w:cs="Times New Roman"/>
                    <w:bCs/>
                    <w:i/>
                    <w:szCs w:val="21"/>
                  </w:rPr>
                </m:ctrlPr>
              </m:e>
              <m:sub>
                <m:r>
                  <m:rPr/>
                  <w:rPr>
                    <w:rFonts w:ascii="Times New Roman" w:hAnsi="Times New Roman" w:cs="Times New Roman"/>
                    <w:szCs w:val="21"/>
                  </w:rPr>
                  <m:t>p</m:t>
                </m:r>
                <m:ctrlPr>
                  <w:rPr>
                    <w:rFonts w:ascii="Cambria Math" w:hAnsi="Cambria Math" w:cs="Times New Roman"/>
                    <w:bCs/>
                    <w:i/>
                    <w:szCs w:val="21"/>
                  </w:rPr>
                </m:ctrlPr>
              </m:sub>
            </m:sSub>
            <m:sSub>
              <m:sSubPr>
                <m:ctrlPr>
                  <w:rPr>
                    <w:rFonts w:ascii="Cambria Math" w:hAnsi="Cambria Math" w:cs="Times New Roman"/>
                    <w:bCs/>
                    <w:i/>
                    <w:szCs w:val="21"/>
                  </w:rPr>
                </m:ctrlPr>
              </m:sSubPr>
              <m:e>
                <m:r>
                  <m:rPr/>
                  <w:rPr>
                    <w:rFonts w:ascii="Times New Roman" w:hAnsi="Times New Roman" w:cs="Times New Roman"/>
                    <w:szCs w:val="21"/>
                  </w:rPr>
                  <m:t>h</m:t>
                </m:r>
                <m:ctrlPr>
                  <w:rPr>
                    <w:rFonts w:ascii="Cambria Math" w:hAnsi="Cambria Math" w:cs="Times New Roman"/>
                    <w:bCs/>
                    <w:i/>
                    <w:szCs w:val="21"/>
                  </w:rPr>
                </m:ctrlPr>
              </m:e>
              <m:sub>
                <m:r>
                  <m:rPr/>
                  <w:rPr>
                    <w:rFonts w:ascii="Times New Roman" w:hAnsi="Times New Roman" w:cs="Times New Roman"/>
                    <w:szCs w:val="21"/>
                  </w:rPr>
                  <m:t>g</m:t>
                </m:r>
                <m:ctrlPr>
                  <w:rPr>
                    <w:rFonts w:ascii="Cambria Math" w:hAnsi="Cambria Math" w:cs="Times New Roman"/>
                    <w:bCs/>
                    <w:i/>
                    <w:szCs w:val="21"/>
                  </w:rPr>
                </m:ctrlPr>
              </m:sub>
            </m:sSub>
            <w:bookmarkStart w:id="11" w:name="OLE_LINK23"/>
            <m:r>
              <m:rPr/>
              <w:rPr>
                <w:rFonts w:ascii="Times New Roman" w:hAnsi="Times New Roman" w:cs="Times New Roman"/>
                <w:szCs w:val="21"/>
              </w:rPr>
              <m:t>(</m:t>
            </m:r>
            <m:sSub>
              <m:sSubPr>
                <m:ctrlPr>
                  <w:rPr>
                    <w:rFonts w:ascii="Cambria Math" w:hAnsi="Cambria Math" w:cs="Times New Roman"/>
                    <w:bCs/>
                    <w:i/>
                    <w:szCs w:val="21"/>
                  </w:rPr>
                </m:ctrlPr>
              </m:sSubPr>
              <m:e>
                <m:r>
                  <m:rPr/>
                  <w:rPr>
                    <w:rFonts w:ascii="Times New Roman" w:hAnsi="Times New Roman" w:cs="Times New Roman"/>
                    <w:szCs w:val="21"/>
                  </w:rPr>
                  <m:t>T</m:t>
                </m:r>
                <m:ctrlPr>
                  <w:rPr>
                    <w:rFonts w:ascii="Cambria Math" w:hAnsi="Cambria Math" w:cs="Times New Roman"/>
                    <w:bCs/>
                    <w:i/>
                    <w:szCs w:val="21"/>
                  </w:rPr>
                </m:ctrlPr>
              </m:e>
              <m:sub>
                <m:r>
                  <m:rPr/>
                  <w:rPr>
                    <w:rFonts w:ascii="Times New Roman" w:hAnsi="Times New Roman" w:cs="Times New Roman"/>
                    <w:szCs w:val="21"/>
                  </w:rPr>
                  <m:t>g</m:t>
                </m:r>
                <m:ctrlPr>
                  <w:rPr>
                    <w:rFonts w:ascii="Cambria Math" w:hAnsi="Cambria Math" w:cs="Times New Roman"/>
                    <w:bCs/>
                    <w:i/>
                    <w:szCs w:val="21"/>
                  </w:rPr>
                </m:ctrlPr>
              </m:sub>
            </m:sSub>
            <m:r>
              <m:rPr/>
              <w:rPr>
                <w:rFonts w:ascii="Times New Roman" w:hAnsi="Times New Roman" w:cs="Times New Roman"/>
                <w:szCs w:val="21"/>
              </w:rPr>
              <m:t>−</m:t>
            </m:r>
            <m:sSub>
              <m:sSubPr>
                <m:ctrlPr>
                  <w:rPr>
                    <w:rFonts w:ascii="Cambria Math" w:hAnsi="Cambria Math" w:cs="Times New Roman"/>
                    <w:bCs/>
                    <w:i/>
                    <w:szCs w:val="21"/>
                  </w:rPr>
                </m:ctrlPr>
              </m:sSubPr>
              <m:e>
                <m:r>
                  <m:rPr/>
                  <w:rPr>
                    <w:rFonts w:ascii="Times New Roman" w:hAnsi="Times New Roman" w:cs="Times New Roman"/>
                    <w:szCs w:val="21"/>
                  </w:rPr>
                  <m:t>T</m:t>
                </m:r>
                <m:ctrlPr>
                  <w:rPr>
                    <w:rFonts w:ascii="Cambria Math" w:hAnsi="Cambria Math" w:cs="Times New Roman"/>
                    <w:bCs/>
                    <w:i/>
                    <w:szCs w:val="21"/>
                  </w:rPr>
                </m:ctrlPr>
              </m:e>
              <m:sub>
                <m:r>
                  <m:rPr/>
                  <w:rPr>
                    <w:rFonts w:ascii="Times New Roman" w:hAnsi="Times New Roman" w:cs="Times New Roman"/>
                    <w:szCs w:val="21"/>
                  </w:rPr>
                  <m:t>p</m:t>
                </m:r>
                <m:ctrlPr>
                  <w:rPr>
                    <w:rFonts w:ascii="Cambria Math" w:hAnsi="Cambria Math" w:cs="Times New Roman"/>
                    <w:bCs/>
                    <w:i/>
                    <w:szCs w:val="21"/>
                  </w:rPr>
                </m:ctrlPr>
              </m:sub>
            </m:sSub>
            <m:r>
              <m:rPr/>
              <w:rPr>
                <w:rFonts w:ascii="Times New Roman" w:hAnsi="Times New Roman" w:cs="Times New Roman"/>
                <w:szCs w:val="21"/>
              </w:rPr>
              <m:t>)</m:t>
            </m:r>
            <w:bookmarkEnd w:id="11"/>
            <m:r>
              <m:rPr>
                <m:sty m:val="p"/>
              </m:rPr>
              <w:rPr>
                <w:rFonts w:ascii="Times New Roman" w:hAnsi="Times New Roman" w:cs="Times New Roman"/>
                <w:szCs w:val="21"/>
              </w:rPr>
              <m:t>+</m:t>
            </m:r>
            <m:sSub>
              <m:sSubPr>
                <m:ctrlPr>
                  <w:rPr>
                    <w:rFonts w:ascii="Cambria Math" w:hAnsi="Cambria Math" w:cs="Times New Roman"/>
                    <w:bCs/>
                    <w:i/>
                    <w:szCs w:val="21"/>
                  </w:rPr>
                </m:ctrlPr>
              </m:sSubPr>
              <m:e>
                <m:r>
                  <m:rPr/>
                  <w:rPr>
                    <w:rFonts w:ascii="Times New Roman" w:hAnsi="Times New Roman" w:cs="Times New Roman"/>
                    <w:szCs w:val="21"/>
                  </w:rPr>
                  <m:t>A</m:t>
                </m:r>
                <m:ctrlPr>
                  <w:rPr>
                    <w:rFonts w:ascii="Cambria Math" w:hAnsi="Cambria Math" w:cs="Times New Roman"/>
                    <w:bCs/>
                    <w:i/>
                    <w:szCs w:val="21"/>
                  </w:rPr>
                </m:ctrlPr>
              </m:e>
              <m:sub>
                <m:r>
                  <m:rPr/>
                  <w:rPr>
                    <w:rFonts w:ascii="Times New Roman" w:hAnsi="Times New Roman" w:cs="Times New Roman"/>
                    <w:szCs w:val="21"/>
                  </w:rPr>
                  <m:t>p</m:t>
                </m:r>
                <m:ctrlPr>
                  <w:rPr>
                    <w:rFonts w:ascii="Cambria Math" w:hAnsi="Cambria Math" w:cs="Times New Roman"/>
                    <w:bCs/>
                    <w:i/>
                    <w:szCs w:val="21"/>
                  </w:rPr>
                </m:ctrlPr>
              </m:sub>
            </m:sSub>
            <m:sSub>
              <m:sSubPr>
                <m:ctrlPr>
                  <w:rPr>
                    <w:rFonts w:ascii="Cambria Math" w:hAnsi="Cambria Math" w:cs="Times New Roman"/>
                    <w:bCs/>
                    <w:i/>
                    <w:szCs w:val="21"/>
                  </w:rPr>
                </m:ctrlPr>
              </m:sSubPr>
              <m:e>
                <m:r>
                  <m:rPr/>
                  <w:rPr>
                    <w:rFonts w:ascii="Times New Roman" w:hAnsi="Times New Roman" w:cs="Times New Roman"/>
                    <w:szCs w:val="21"/>
                  </w:rPr>
                  <m:t>h</m:t>
                </m:r>
                <m:ctrlPr>
                  <w:rPr>
                    <w:rFonts w:ascii="Cambria Math" w:hAnsi="Cambria Math" w:cs="Times New Roman"/>
                    <w:bCs/>
                    <w:i/>
                    <w:szCs w:val="21"/>
                  </w:rPr>
                </m:ctrlPr>
              </m:e>
              <m:sub>
                <m:r>
                  <m:rPr/>
                  <w:rPr>
                    <w:rFonts w:ascii="Times New Roman" w:hAnsi="Times New Roman" w:cs="Times New Roman"/>
                    <w:szCs w:val="21"/>
                  </w:rPr>
                  <m:t>s</m:t>
                </m:r>
                <m:ctrlPr>
                  <w:rPr>
                    <w:rFonts w:ascii="Cambria Math" w:hAnsi="Cambria Math" w:cs="Times New Roman"/>
                    <w:bCs/>
                    <w:i/>
                    <w:szCs w:val="21"/>
                  </w:rPr>
                </m:ctrlPr>
              </m:sub>
            </m:sSub>
            <m:r>
              <m:rPr/>
              <w:rPr>
                <w:rFonts w:ascii="Times New Roman" w:hAnsi="Times New Roman" w:cs="Times New Roman"/>
                <w:szCs w:val="21"/>
              </w:rPr>
              <m:t>(</m:t>
            </m:r>
            <m:sSub>
              <w:bookmarkStart w:id="12" w:name="OLE_LINK28"/>
              <m:sSubPr>
                <m:ctrlPr>
                  <w:rPr>
                    <w:rFonts w:ascii="Cambria Math" w:hAnsi="Cambria Math" w:cs="Times New Roman"/>
                    <w:bCs/>
                    <w:i/>
                    <w:szCs w:val="21"/>
                  </w:rPr>
                </m:ctrlPr>
              </m:sSubPr>
              <m:e>
                <m:r>
                  <m:rPr/>
                  <w:rPr>
                    <w:rFonts w:ascii="Times New Roman" w:hAnsi="Times New Roman" w:cs="Times New Roman"/>
                    <w:szCs w:val="21"/>
                  </w:rPr>
                  <m:t>T</m:t>
                </m:r>
                <m:ctrlPr>
                  <w:rPr>
                    <w:rFonts w:ascii="Cambria Math" w:hAnsi="Cambria Math" w:cs="Times New Roman"/>
                    <w:bCs/>
                    <w:i/>
                    <w:szCs w:val="21"/>
                  </w:rPr>
                </m:ctrlPr>
              </m:e>
              <m:sub>
                <m:r>
                  <m:rPr/>
                  <w:rPr>
                    <w:rFonts w:ascii="Times New Roman" w:hAnsi="Times New Roman" w:cs="Times New Roman"/>
                    <w:szCs w:val="21"/>
                  </w:rPr>
                  <m:t>s</m:t>
                </m:r>
                <w:bookmarkEnd w:id="12"/>
                <m:ctrlPr>
                  <w:rPr>
                    <w:rFonts w:ascii="Cambria Math" w:hAnsi="Cambria Math" w:cs="Times New Roman"/>
                    <w:bCs/>
                    <w:i/>
                    <w:szCs w:val="21"/>
                  </w:rPr>
                </m:ctrlPr>
              </m:sub>
            </m:sSub>
            <m:r>
              <m:rPr/>
              <w:rPr>
                <w:rFonts w:ascii="Times New Roman" w:hAnsi="Times New Roman" w:cs="Times New Roman"/>
                <w:szCs w:val="21"/>
              </w:rPr>
              <m:t>−</m:t>
            </m:r>
            <m:sSub>
              <m:sSubPr>
                <m:ctrlPr>
                  <w:rPr>
                    <w:rFonts w:ascii="Cambria Math" w:hAnsi="Cambria Math" w:cs="Times New Roman"/>
                    <w:bCs/>
                    <w:i/>
                    <w:szCs w:val="21"/>
                  </w:rPr>
                </m:ctrlPr>
              </m:sSubPr>
              <m:e>
                <m:r>
                  <m:rPr/>
                  <w:rPr>
                    <w:rFonts w:ascii="Times New Roman" w:hAnsi="Times New Roman" w:cs="Times New Roman"/>
                    <w:szCs w:val="21"/>
                  </w:rPr>
                  <m:t>T</m:t>
                </m:r>
                <m:ctrlPr>
                  <w:rPr>
                    <w:rFonts w:ascii="Cambria Math" w:hAnsi="Cambria Math" w:cs="Times New Roman"/>
                    <w:bCs/>
                    <w:i/>
                    <w:szCs w:val="21"/>
                  </w:rPr>
                </m:ctrlPr>
              </m:e>
              <m:sub>
                <m:r>
                  <m:rPr/>
                  <w:rPr>
                    <w:rFonts w:ascii="Times New Roman" w:hAnsi="Times New Roman" w:cs="Times New Roman"/>
                    <w:szCs w:val="21"/>
                  </w:rPr>
                  <m:t>p</m:t>
                </m:r>
                <m:ctrlPr>
                  <w:rPr>
                    <w:rFonts w:ascii="Cambria Math" w:hAnsi="Cambria Math" w:cs="Times New Roman"/>
                    <w:bCs/>
                    <w:i/>
                    <w:szCs w:val="21"/>
                  </w:rPr>
                </m:ctrlPr>
              </m:sub>
            </m:sSub>
            <m:r>
              <m:rPr/>
              <w:rPr>
                <w:rFonts w:ascii="Times New Roman" w:hAnsi="Times New Roman" w:cs="Times New Roman"/>
                <w:szCs w:val="21"/>
              </w:rPr>
              <m:t>)+</m:t>
            </m:r>
            <m:f>
              <m:fPr>
                <m:ctrlPr>
                  <w:rPr>
                    <w:rFonts w:ascii="Cambria Math" w:hAnsi="Cambria Math" w:cs="Times New Roman"/>
                    <w:bCs/>
                    <w:i/>
                    <w:szCs w:val="21"/>
                  </w:rPr>
                </m:ctrlPr>
              </m:fPr>
              <m:num>
                <m:r>
                  <m:rPr/>
                  <w:rPr>
                    <w:rFonts w:ascii="Times New Roman" w:hAnsi="Times New Roman" w:cs="Times New Roman"/>
                    <w:szCs w:val="21"/>
                  </w:rPr>
                  <m:t>d</m:t>
                </m:r>
                <m:sSub>
                  <w:bookmarkStart w:id="13" w:name="OLE_LINK29"/>
                  <m:sSubPr>
                    <m:ctrlPr>
                      <w:rPr>
                        <w:rFonts w:ascii="Cambria Math" w:hAnsi="Cambria Math" w:cs="Times New Roman"/>
                        <w:bCs/>
                        <w:i/>
                        <w:szCs w:val="21"/>
                      </w:rPr>
                    </m:ctrlPr>
                  </m:sSubPr>
                  <m:e>
                    <m:r>
                      <m:rPr/>
                      <w:rPr>
                        <w:rFonts w:ascii="Times New Roman" w:hAnsi="Times New Roman" w:cs="Times New Roman"/>
                        <w:szCs w:val="21"/>
                      </w:rPr>
                      <m:t>m</m:t>
                    </m:r>
                    <m:ctrlPr>
                      <w:rPr>
                        <w:rFonts w:ascii="Cambria Math" w:hAnsi="Cambria Math" w:cs="Times New Roman"/>
                        <w:bCs/>
                        <w:i/>
                        <w:szCs w:val="21"/>
                      </w:rPr>
                    </m:ctrlPr>
                  </m:e>
                  <m:sub>
                    <m:r>
                      <m:rPr/>
                      <w:rPr>
                        <w:rFonts w:ascii="Times New Roman" w:hAnsi="Times New Roman" w:cs="Times New Roman"/>
                        <w:szCs w:val="21"/>
                      </w:rPr>
                      <m:t>p</m:t>
                    </m:r>
                    <w:bookmarkEnd w:id="13"/>
                    <m:ctrlPr>
                      <w:rPr>
                        <w:rFonts w:ascii="Cambria Math" w:hAnsi="Cambria Math" w:cs="Times New Roman"/>
                        <w:bCs/>
                        <w:i/>
                        <w:szCs w:val="21"/>
                      </w:rPr>
                    </m:ctrlPr>
                  </m:sub>
                </m:sSub>
                <m:ctrlPr>
                  <w:rPr>
                    <w:rFonts w:ascii="Cambria Math" w:hAnsi="Cambria Math" w:cs="Times New Roman"/>
                    <w:bCs/>
                    <w:i/>
                    <w:szCs w:val="21"/>
                  </w:rPr>
                </m:ctrlPr>
              </m:num>
              <m:den>
                <m:r>
                  <m:rPr/>
                  <w:rPr>
                    <w:rFonts w:ascii="Times New Roman" w:hAnsi="Times New Roman" w:cs="Times New Roman"/>
                    <w:szCs w:val="21"/>
                  </w:rPr>
                  <m:t>dt</m:t>
                </m:r>
                <m:ctrlPr>
                  <w:rPr>
                    <w:rFonts w:ascii="Cambria Math" w:hAnsi="Cambria Math" w:cs="Times New Roman"/>
                    <w:bCs/>
                    <w:i/>
                    <w:szCs w:val="21"/>
                  </w:rPr>
                </m:ctrlPr>
              </m:den>
            </m:f>
            <m:sSub>
              <m:sSubPr>
                <m:ctrlPr>
                  <w:rPr>
                    <w:rFonts w:ascii="Cambria Math" w:hAnsi="Cambria Math" w:cs="Times New Roman"/>
                    <w:bCs/>
                    <w:i/>
                    <w:szCs w:val="21"/>
                  </w:rPr>
                </m:ctrlPr>
              </m:sSubPr>
              <m:e>
                <m:r>
                  <m:rPr/>
                  <w:rPr>
                    <w:rFonts w:ascii="Times New Roman" w:hAnsi="Times New Roman" w:cs="Times New Roman"/>
                    <w:szCs w:val="21"/>
                  </w:rPr>
                  <m:t>h</m:t>
                </m:r>
                <m:ctrlPr>
                  <w:rPr>
                    <w:rFonts w:ascii="Cambria Math" w:hAnsi="Cambria Math" w:cs="Times New Roman"/>
                    <w:bCs/>
                    <w:i/>
                    <w:szCs w:val="21"/>
                  </w:rPr>
                </m:ctrlPr>
              </m:e>
              <m:sub>
                <m:r>
                  <m:rPr/>
                  <w:rPr>
                    <w:rFonts w:ascii="Times New Roman" w:hAnsi="Times New Roman" w:cs="Times New Roman"/>
                    <w:szCs w:val="21"/>
                  </w:rPr>
                  <m:t>v</m:t>
                </m:r>
                <w:bookmarkEnd w:id="7"/>
                <m:ctrlPr>
                  <w:rPr>
                    <w:rFonts w:ascii="Cambria Math" w:hAnsi="Cambria Math" w:cs="Times New Roman"/>
                    <w:bCs/>
                    <w:i/>
                    <w:szCs w:val="21"/>
                  </w:rPr>
                </m:ctrlPr>
              </m:sub>
            </m:sSub>
            <m:ctrlPr>
              <w:rPr>
                <w:rFonts w:ascii="Cambria Math" w:hAnsi="Cambria Math" w:cs="Times New Roman"/>
                <w:bCs/>
                <w:i/>
                <w:szCs w:val="21"/>
              </w:rPr>
            </m:ctrlPr>
          </m:e>
        </m:d>
        <m:r>
          <m:rPr/>
          <w:rPr>
            <w:rFonts w:ascii="Times New Roman" w:hAnsi="Times New Roman" w:cs="Times New Roman"/>
            <w:szCs w:val="21"/>
          </w:rPr>
          <m:t xml:space="preserve">.  </m:t>
        </m:r>
      </m:oMath>
      <w:r>
        <w:rPr>
          <w:rFonts w:ascii="Times New Roman" w:hAnsi="Times New Roman" w:cs="Times New Roman"/>
          <w:szCs w:val="21"/>
        </w:rPr>
        <w:t>(</w:t>
      </w:r>
      <w:r>
        <w:rPr>
          <w:rFonts w:hint="eastAsia" w:ascii="Times New Roman" w:hAnsi="Times New Roman" w:cs="Times New Roman"/>
          <w:szCs w:val="21"/>
        </w:rPr>
        <w:t>9</w:t>
      </w:r>
      <w:r>
        <w:rPr>
          <w:rFonts w:ascii="Times New Roman" w:hAnsi="Times New Roman" w:cs="Times New Roman"/>
          <w:szCs w:val="21"/>
        </w:rPr>
        <w:t>)</w:t>
      </w:r>
    </w:p>
    <w:p w14:paraId="6CAA0D45">
      <w:pPr>
        <w:widowControl/>
        <w:spacing w:line="240" w:lineRule="atLeast"/>
        <w:jc w:val="right"/>
        <w:rPr>
          <w:rFonts w:ascii="Times New Roman" w:hAnsi="Times New Roman" w:cs="Times New Roman"/>
          <w:i/>
          <w:iCs/>
          <w:szCs w:val="21"/>
        </w:rPr>
      </w:pPr>
      <m:oMath>
        <m:f>
          <m:fPr>
            <m:ctrlPr>
              <w:rPr>
                <w:rFonts w:ascii="Cambria Math" w:hAnsi="Cambria Math" w:cs="Times New Roman"/>
                <w:i/>
                <w:iCs/>
                <w:szCs w:val="21"/>
              </w:rPr>
            </m:ctrlPr>
          </m:fPr>
          <m:num>
            <m:r>
              <m:rPr/>
              <w:rPr>
                <w:rFonts w:ascii="Times New Roman" w:hAnsi="Times New Roman" w:cs="Times New Roman"/>
                <w:szCs w:val="21"/>
              </w:rPr>
              <m:t>d</m:t>
            </m:r>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m:t>
        </m:r>
        <m:f>
          <m:fPr>
            <m:ctrlPr>
              <w:rPr>
                <w:rFonts w:ascii="Cambria Math" w:hAnsi="Cambria Math" w:cs="Times New Roman"/>
                <w:i/>
                <w:iCs/>
                <w:szCs w:val="21"/>
              </w:rPr>
            </m:ctrlPr>
          </m:fPr>
          <m:num>
            <m:r>
              <m:rPr/>
              <w:rPr>
                <w:rFonts w:ascii="Times New Roman" w:hAnsi="Times New Roman" w:cs="Times New Roman"/>
                <w:szCs w:val="21"/>
              </w:rPr>
              <m:t>1</m:t>
            </m:r>
            <m:ctrlPr>
              <w:rPr>
                <w:rFonts w:ascii="Cambria Math" w:hAnsi="Cambria Math" w:cs="Times New Roman"/>
                <w:i/>
                <w:iCs/>
                <w:szCs w:val="21"/>
              </w:rPr>
            </m:ctrlPr>
          </m:num>
          <m:den>
            <m:sSub>
              <m:sSubPr>
                <m:ctrlPr>
                  <w:rPr>
                    <w:rFonts w:ascii="Cambria Math" w:hAnsi="Cambria Math" w:cs="Times New Roman"/>
                    <w:i/>
                    <w:iCs/>
                    <w:szCs w:val="21"/>
                  </w:rPr>
                </m:ctrlPr>
              </m:sSubPr>
              <m:e>
                <m:r>
                  <m:rPr/>
                  <w:rPr>
                    <w:rFonts w:ascii="Times New Roman" w:hAnsi="Times New Roman" w:cs="Times New Roman"/>
                    <w:szCs w:val="21"/>
                  </w:rPr>
                  <m:t>m</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c</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ctrlPr>
              <w:rPr>
                <w:rFonts w:ascii="Cambria Math" w:hAnsi="Cambria Math" w:cs="Times New Roman"/>
                <w:i/>
                <w:iCs/>
                <w:szCs w:val="21"/>
              </w:rPr>
            </m:ctrlPr>
          </m:den>
        </m:f>
        <m:d>
          <m:dPr>
            <m:begChr m:val="["/>
            <m:endChr m:val="]"/>
            <m:ctrlPr>
              <w:rPr>
                <w:rFonts w:ascii="Cambria Math" w:hAnsi="Cambria Math" w:cs="Times New Roman"/>
                <w:i/>
                <w:iCs/>
                <w:szCs w:val="21"/>
              </w:rPr>
            </m:ctrlPr>
          </m:dPr>
          <m:e>
            <m:sSub>
              <m:sSubPr>
                <m:ctrlPr>
                  <w:rPr>
                    <w:rFonts w:ascii="Cambria Math" w:hAnsi="Cambria Math" w:cs="Times New Roman"/>
                    <w:i/>
                    <w:iCs/>
                    <w:szCs w:val="21"/>
                  </w:rPr>
                </m:ctrlPr>
              </m:sSubPr>
              <m:e>
                <m:r>
                  <m:rPr/>
                  <w:rPr>
                    <w:rFonts w:ascii="Times New Roman" w:hAnsi="Times New Roman" w:cs="Times New Roman"/>
                    <w:szCs w:val="21"/>
                  </w:rPr>
                  <m:t>A</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r>
              <m:rPr/>
              <w:rPr>
                <w:rFonts w:ascii="Times New Roman" w:hAnsi="Times New Roman" w:cs="Times New Roman"/>
                <w:szCs w:val="21"/>
              </w:rPr>
              <m:t>)+</m:t>
            </m:r>
            <m:f>
              <m:fPr>
                <m:ctrlPr>
                  <w:rPr>
                    <w:rFonts w:ascii="Cambria Math" w:hAnsi="Cambria Math" w:cs="Times New Roman"/>
                    <w:i/>
                    <w:iCs/>
                    <w:szCs w:val="21"/>
                  </w:rPr>
                </m:ctrlPr>
              </m:fPr>
              <m:num>
                <m:r>
                  <m:rPr/>
                  <w:rPr>
                    <w:rFonts w:ascii="Times New Roman" w:hAnsi="Times New Roman" w:cs="Times New Roman"/>
                    <w:szCs w:val="21"/>
                  </w:rPr>
                  <m:t>d</m:t>
                </m:r>
                <m:sSub>
                  <m:sSubPr>
                    <m:ctrlPr>
                      <w:rPr>
                        <w:rFonts w:ascii="Cambria Math" w:hAnsi="Cambria Math" w:cs="Times New Roman"/>
                        <w:i/>
                        <w:iCs/>
                        <w:szCs w:val="21"/>
                      </w:rPr>
                    </m:ctrlPr>
                  </m:sSubPr>
                  <m:e>
                    <m:r>
                      <m:rPr/>
                      <w:rPr>
                        <w:rFonts w:ascii="Times New Roman" w:hAnsi="Times New Roman" w:cs="Times New Roman"/>
                        <w:szCs w:val="21"/>
                      </w:rPr>
                      <m:t>m</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a,p</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a,g</m:t>
                </m:r>
                <m:ctrlPr>
                  <w:rPr>
                    <w:rFonts w:ascii="Cambria Math" w:hAnsi="Cambria Math" w:cs="Times New Roman"/>
                    <w:i/>
                    <w:iCs/>
                    <w:szCs w:val="21"/>
                  </w:rPr>
                </m:ctrlPr>
              </m:sub>
            </m:sSub>
            <m:r>
              <m:rPr/>
              <w:rPr>
                <w:rFonts w:ascii="Times New Roman" w:hAnsi="Times New Roman" w:cs="Times New Roman"/>
                <w:szCs w:val="21"/>
              </w:rPr>
              <m:t>)</m:t>
            </m:r>
            <m:ctrlPr>
              <w:rPr>
                <w:rFonts w:ascii="Cambria Math" w:hAnsi="Cambria Math" w:cs="Times New Roman"/>
                <w:i/>
                <w:iCs/>
                <w:szCs w:val="21"/>
              </w:rPr>
            </m:ctrlPr>
          </m:e>
        </m:d>
        <m:r>
          <m:rPr/>
          <w:rPr>
            <w:rFonts w:ascii="Times New Roman" w:hAnsi="Times New Roman" w:cs="Times New Roman"/>
            <w:szCs w:val="21"/>
          </w:rPr>
          <m:t xml:space="preserve">. </m:t>
        </m:r>
      </m:oMath>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10</w:t>
      </w:r>
      <w:r>
        <w:rPr>
          <w:rFonts w:ascii="Times New Roman" w:hAnsi="Times New Roman" w:cs="Times New Roman"/>
          <w:szCs w:val="21"/>
        </w:rPr>
        <w:t>)</w:t>
      </w:r>
    </w:p>
    <w:p w14:paraId="52CC04BB">
      <w:pPr>
        <w:widowControl/>
        <w:spacing w:line="240" w:lineRule="atLeast"/>
        <w:ind w:firstLine="420"/>
        <w:jc w:val="right"/>
        <w:rPr>
          <w:rFonts w:ascii="Times New Roman" w:hAnsi="Times New Roman" w:cs="Times New Roman"/>
          <w:i/>
          <w:iCs/>
          <w:szCs w:val="21"/>
        </w:rPr>
      </w:pPr>
      <m:oMath>
        <m:f>
          <m:fPr>
            <m:ctrlPr>
              <w:rPr>
                <w:rFonts w:ascii="Cambria Math" w:hAnsi="Cambria Math" w:cs="Times New Roman"/>
                <w:i/>
                <w:iCs/>
                <w:szCs w:val="21"/>
              </w:rPr>
            </m:ctrlPr>
          </m:fPr>
          <m:num>
            <m:r>
              <m:rPr/>
              <w:rPr>
                <w:rFonts w:ascii="Times New Roman" w:hAnsi="Times New Roman" w:cs="Times New Roman"/>
                <w:szCs w:val="21"/>
              </w:rPr>
              <m:t>d</m:t>
            </m:r>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s</m:t>
                </m:r>
                <m:ctrlPr>
                  <w:rPr>
                    <w:rFonts w:ascii="Cambria Math" w:hAnsi="Cambria Math" w:cs="Times New Roman"/>
                    <w:i/>
                    <w:iCs/>
                    <w:szCs w:val="21"/>
                  </w:rPr>
                </m:ctrlPr>
              </m:sub>
            </m:sSub>
            <m:ctrlPr>
              <w:rPr>
                <w:rFonts w:ascii="Cambria Math" w:hAnsi="Cambria Math" w:cs="Times New Roman"/>
                <w:i/>
                <w:iCs/>
                <w:szCs w:val="21"/>
              </w:rPr>
            </m:ctrlPr>
          </m:num>
          <m:den>
            <m:r>
              <m:rPr/>
              <w:rPr>
                <w:rFonts w:ascii="Times New Roman" w:hAnsi="Times New Roman" w:cs="Times New Roman"/>
                <w:szCs w:val="21"/>
              </w:rPr>
              <m:t>dt</m:t>
            </m:r>
            <m:ctrlPr>
              <w:rPr>
                <w:rFonts w:ascii="Cambria Math" w:hAnsi="Cambria Math" w:cs="Times New Roman"/>
                <w:i/>
                <w:iCs/>
                <w:szCs w:val="21"/>
              </w:rPr>
            </m:ctrlPr>
          </m:den>
        </m:f>
        <m:r>
          <m:rPr/>
          <w:rPr>
            <w:rFonts w:ascii="Times New Roman" w:hAnsi="Times New Roman" w:cs="Times New Roman"/>
            <w:szCs w:val="21"/>
          </w:rPr>
          <m:t>=−</m:t>
        </m:r>
        <m:f>
          <m:fPr>
            <m:ctrlPr>
              <w:rPr>
                <w:rFonts w:ascii="Cambria Math" w:hAnsi="Cambria Math" w:cs="Times New Roman"/>
                <w:i/>
                <w:iCs/>
                <w:szCs w:val="21"/>
              </w:rPr>
            </m:ctrlPr>
          </m:fPr>
          <m:num>
            <m:sSub>
              <m:sSubPr>
                <m:ctrlPr>
                  <w:rPr>
                    <w:rFonts w:ascii="Cambria Math" w:hAnsi="Cambria Math" w:cs="Times New Roman"/>
                    <w:i/>
                    <w:iCs/>
                    <w:szCs w:val="21"/>
                  </w:rPr>
                </m:ctrlPr>
              </m:sSubPr>
              <m:e>
                <m:r>
                  <m:rPr/>
                  <w:rPr>
                    <w:rFonts w:ascii="Times New Roman" w:hAnsi="Times New Roman" w:cs="Times New Roman"/>
                    <w:szCs w:val="21"/>
                  </w:rPr>
                  <m:t>A</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s</m:t>
                </m:r>
                <m:ctrlPr>
                  <w:rPr>
                    <w:rFonts w:ascii="Cambria Math" w:hAnsi="Cambria Math" w:cs="Times New Roman"/>
                    <w:i/>
                    <w:iCs/>
                    <w:szCs w:val="21"/>
                  </w:rPr>
                </m:ctrlPr>
              </m:sub>
            </m:sSub>
            <m:ctrlPr>
              <w:rPr>
                <w:rFonts w:ascii="Cambria Math" w:hAnsi="Cambria Math" w:cs="Times New Roman"/>
                <w:i/>
                <w:iCs/>
                <w:szCs w:val="21"/>
              </w:rPr>
            </m:ctrlPr>
          </m:num>
          <m:den>
            <m:sSub>
              <m:sSubPr>
                <m:ctrlPr>
                  <w:rPr>
                    <w:rFonts w:ascii="Cambria Math" w:hAnsi="Cambria Math" w:cs="Times New Roman"/>
                    <w:i/>
                    <w:iCs/>
                    <w:szCs w:val="21"/>
                  </w:rPr>
                </m:ctrlPr>
              </m:sSubPr>
              <m:e>
                <m:r>
                  <m:rPr/>
                  <w:rPr>
                    <w:rFonts w:ascii="Times New Roman" w:hAnsi="Times New Roman" w:cs="Times New Roman"/>
                    <w:szCs w:val="21"/>
                  </w:rPr>
                  <m:t>m</m:t>
                </m:r>
                <m:ctrlPr>
                  <w:rPr>
                    <w:rFonts w:ascii="Cambria Math" w:hAnsi="Cambria Math" w:cs="Times New Roman"/>
                    <w:i/>
                    <w:iCs/>
                    <w:szCs w:val="21"/>
                  </w:rPr>
                </m:ctrlPr>
              </m:e>
              <m:sub>
                <m:r>
                  <m:rPr/>
                  <w:rPr>
                    <w:rFonts w:ascii="Times New Roman" w:hAnsi="Times New Roman" w:cs="Times New Roman"/>
                    <w:szCs w:val="21"/>
                  </w:rPr>
                  <m:t>s</m:t>
                </m:r>
                <m:ctrlPr>
                  <w:rPr>
                    <w:rFonts w:ascii="Cambria Math" w:hAnsi="Cambria Math" w:cs="Times New Roman"/>
                    <w:i/>
                    <w:iCs/>
                    <w:szCs w:val="21"/>
                  </w:rPr>
                </m:ctrlPr>
              </m:sub>
            </m:sSub>
            <m:sSub>
              <m:sSubPr>
                <m:ctrlPr>
                  <w:rPr>
                    <w:rFonts w:ascii="Cambria Math" w:hAnsi="Cambria Math" w:cs="Times New Roman"/>
                    <w:i/>
                    <w:iCs/>
                    <w:szCs w:val="21"/>
                  </w:rPr>
                </m:ctrlPr>
              </m:sSubPr>
              <m:e>
                <m:r>
                  <m:rPr/>
                  <w:rPr>
                    <w:rFonts w:ascii="Times New Roman" w:hAnsi="Times New Roman" w:cs="Times New Roman"/>
                    <w:szCs w:val="21"/>
                  </w:rPr>
                  <m:t>c</m:t>
                </m:r>
                <m:ctrlPr>
                  <w:rPr>
                    <w:rFonts w:ascii="Cambria Math" w:hAnsi="Cambria Math" w:cs="Times New Roman"/>
                    <w:i/>
                    <w:iCs/>
                    <w:szCs w:val="21"/>
                  </w:rPr>
                </m:ctrlPr>
              </m:e>
              <m:sub>
                <m:r>
                  <m:rPr/>
                  <w:rPr>
                    <w:rFonts w:ascii="Times New Roman" w:hAnsi="Times New Roman" w:cs="Times New Roman"/>
                    <w:szCs w:val="21"/>
                  </w:rPr>
                  <m:t>s</m:t>
                </m:r>
                <m:ctrlPr>
                  <w:rPr>
                    <w:rFonts w:ascii="Cambria Math" w:hAnsi="Cambria Math" w:cs="Times New Roman"/>
                    <w:i/>
                    <w:iCs/>
                    <w:szCs w:val="21"/>
                  </w:rPr>
                </m:ctrlPr>
              </m:sub>
            </m:sSub>
            <m:ctrlPr>
              <w:rPr>
                <w:rFonts w:ascii="Cambria Math" w:hAnsi="Cambria Math" w:cs="Times New Roman"/>
                <w:i/>
                <w:iCs/>
                <w:szCs w:val="21"/>
              </w:rPr>
            </m:ctrlPr>
          </m:den>
        </m:f>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s</m:t>
            </m:r>
            <m:ctrlPr>
              <w:rPr>
                <w:rFonts w:ascii="Cambria Math" w:hAnsi="Cambria Math" w:cs="Times New Roman"/>
                <w:i/>
                <w:iCs/>
                <w:szCs w:val="21"/>
              </w:rPr>
            </m:ctrlPr>
          </m:sub>
        </m:sSub>
        <m:r>
          <m:rPr/>
          <w:rPr>
            <w:rFonts w:ascii="Times New Roman" w:hAnsi="Times New Roman" w:cs="Times New Roman"/>
            <w:szCs w:val="21"/>
          </w:rPr>
          <m:t>−</m:t>
        </m:r>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r>
          <m:rPr/>
          <w:rPr>
            <w:rFonts w:ascii="Times New Roman" w:hAnsi="Times New Roman" w:cs="Times New Roman"/>
            <w:szCs w:val="21"/>
          </w:rPr>
          <m:t>).</m:t>
        </m:r>
      </m:oMath>
      <w:r>
        <w:rPr>
          <w:rFonts w:hint="eastAsia" w:ascii="Times New Roman" w:hAnsi="Times New Roman" w:cs="Times New Roman"/>
          <w:szCs w:val="21"/>
        </w:rPr>
        <w:t xml:space="preserve">                    </w:t>
      </w:r>
      <w:r>
        <w:rPr>
          <w:rFonts w:ascii="Times New Roman" w:hAnsi="Times New Roman" w:cs="Times New Roman"/>
          <w:szCs w:val="21"/>
        </w:rPr>
        <w:t>(</w:t>
      </w:r>
      <w:r>
        <w:rPr>
          <w:rFonts w:hint="eastAsia" w:ascii="Times New Roman" w:hAnsi="Times New Roman" w:cs="Times New Roman"/>
          <w:szCs w:val="21"/>
        </w:rPr>
        <w:t>11</w:t>
      </w:r>
      <w:r>
        <w:rPr>
          <w:rFonts w:ascii="Times New Roman" w:hAnsi="Times New Roman" w:cs="Times New Roman"/>
          <w:szCs w:val="21"/>
        </w:rPr>
        <w:t>)</w:t>
      </w:r>
    </w:p>
    <w:p w14:paraId="77DE4CBA">
      <w:pPr>
        <w:widowControl/>
        <w:spacing w:line="240" w:lineRule="atLeast"/>
        <w:rPr>
          <w:rFonts w:ascii="Times New Roman" w:hAnsi="Times New Roman" w:cs="Times New Roman"/>
          <w:szCs w:val="21"/>
        </w:rPr>
      </w:pPr>
      <w:r>
        <w:rPr>
          <w:rFonts w:ascii="Times New Roman" w:hAnsi="Times New Roman" w:cs="Times New Roman"/>
          <w:szCs w:val="21"/>
        </w:rPr>
        <w:t>其中，</w:t>
      </w:r>
      <m:oMath>
        <m:sSub>
          <m:sSubPr>
            <m:ctrlPr>
              <w:rPr>
                <w:rFonts w:ascii="Cambria Math" w:hAnsi="Cambria Math" w:cs="Times New Roman"/>
                <w:i/>
                <w:iCs/>
                <w:szCs w:val="21"/>
              </w:rPr>
            </m:ctrlPr>
          </m:sSubPr>
          <m:e>
            <m:r>
              <m:rPr/>
              <w:rPr>
                <w:rFonts w:ascii="Times New Roman" w:hAnsi="Times New Roman" w:cs="Times New Roman"/>
                <w:szCs w:val="21"/>
              </w:rPr>
              <m:t>Y</m:t>
            </m:r>
            <m:ctrlPr>
              <w:rPr>
                <w:rFonts w:ascii="Cambria Math" w:hAnsi="Cambria Math" w:cs="Times New Roman"/>
                <w:i/>
                <w:iCs/>
                <w:szCs w:val="21"/>
              </w:rPr>
            </m:ctrlPr>
          </m:e>
          <m:sub>
            <m:r>
              <m:rPr/>
              <w:rPr>
                <w:rFonts w:ascii="Times New Roman" w:hAnsi="Times New Roman" w:cs="Times New Roman"/>
                <w:szCs w:val="21"/>
              </w:rPr>
              <m:t>a,l</m:t>
            </m:r>
            <m:ctrlPr>
              <w:rPr>
                <w:rFonts w:ascii="Cambria Math" w:hAnsi="Cambria Math" w:cs="Times New Roman"/>
                <w:i/>
                <w:iCs/>
                <w:szCs w:val="21"/>
              </w:rPr>
            </m:ctrlPr>
          </m:sub>
        </m:sSub>
      </m:oMath>
      <w:bookmarkStart w:id="14" w:name="OLE_LINK36"/>
      <w:r>
        <w:rPr>
          <w:rFonts w:hint="eastAsia" w:ascii="Times New Roman" w:hAnsi="Times New Roman" w:cs="Times New Roman"/>
          <w:i w:val="0"/>
          <w:iCs/>
          <w:szCs w:val="21"/>
          <w:lang w:val="en-US" w:eastAsia="zh-CN"/>
        </w:rPr>
        <w:t>为</w:t>
      </w:r>
      <w:bookmarkEnd w:id="14"/>
      <w:r>
        <w:rPr>
          <w:rFonts w:ascii="Times New Roman" w:hAnsi="Times New Roman" w:cs="Times New Roman"/>
          <w:szCs w:val="21"/>
        </w:rPr>
        <w:t>液体平衡蒸气质量分数，</w:t>
      </w:r>
      <m:oMath>
        <m:sSub>
          <m:sSubPr>
            <m:ctrlPr>
              <w:rPr>
                <w:rFonts w:ascii="Cambria Math" w:hAnsi="Cambria Math" w:cs="Times New Roman"/>
                <w:i/>
                <w:iCs/>
                <w:szCs w:val="21"/>
              </w:rPr>
            </m:ctrlPr>
          </m:sSubPr>
          <m:e>
            <m:r>
              <m:rPr/>
              <w:rPr>
                <w:rFonts w:ascii="Times New Roman" w:hAnsi="Times New Roman" w:cs="Times New Roman"/>
                <w:szCs w:val="21"/>
              </w:rPr>
              <m:t>Y</m:t>
            </m:r>
            <m:ctrlPr>
              <w:rPr>
                <w:rFonts w:ascii="Cambria Math" w:hAnsi="Cambria Math" w:cs="Times New Roman"/>
                <w:i/>
                <w:iCs/>
                <w:szCs w:val="21"/>
              </w:rPr>
            </m:ctrlPr>
          </m:e>
          <m:sub>
            <m:r>
              <m:rPr/>
              <w:rPr>
                <w:rFonts w:ascii="Times New Roman" w:hAnsi="Times New Roman" w:cs="Times New Roman"/>
                <w:szCs w:val="21"/>
              </w:rPr>
              <m:t>a,g</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气相蒸气质量分数，</w:t>
      </w:r>
      <m:oMath>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液滴温度，</w:t>
      </w:r>
      <m:oMath>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气体温度，</w:t>
      </w:r>
      <m:oMath>
        <m:sSub>
          <m:sSubPr>
            <m:ctrlPr>
              <w:rPr>
                <w:rFonts w:ascii="Cambria Math" w:hAnsi="Cambria Math" w:cs="Times New Roman"/>
                <w:i/>
                <w:iCs/>
                <w:szCs w:val="21"/>
              </w:rPr>
            </m:ctrlPr>
          </m:sSubPr>
          <m:e>
            <m:r>
              <m:rPr/>
              <w:rPr>
                <w:rFonts w:ascii="Times New Roman" w:hAnsi="Times New Roman" w:cs="Times New Roman"/>
                <w:szCs w:val="21"/>
              </w:rPr>
              <m:t>T</m:t>
            </m:r>
            <m:ctrlPr>
              <w:rPr>
                <w:rFonts w:ascii="Cambria Math" w:hAnsi="Cambria Math" w:cs="Times New Roman"/>
                <w:i/>
                <w:iCs/>
                <w:szCs w:val="21"/>
              </w:rPr>
            </m:ctrlPr>
          </m:e>
          <m:sub>
            <m:r>
              <m:rPr/>
              <w:rPr>
                <w:rFonts w:ascii="Times New Roman" w:hAnsi="Times New Roman" w:cs="Times New Roman"/>
                <w:szCs w:val="21"/>
              </w:rPr>
              <m:t>s</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固体表面温度，</w:t>
      </w:r>
      <m:oMath>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v</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蒸发热，</w:t>
      </w:r>
      <m:oMath>
        <m:sSub>
          <m:sSubPr>
            <m:ctrlPr>
              <w:rPr>
                <w:rFonts w:ascii="Cambria Math" w:hAnsi="Cambria Math" w:cs="Times New Roman"/>
                <w:i/>
                <w:iCs/>
                <w:szCs w:val="21"/>
              </w:rPr>
            </m:ctrlPr>
          </m:sSubPr>
          <m:e>
            <m:r>
              <m:rPr/>
              <w:rPr>
                <w:rFonts w:ascii="Times New Roman" w:hAnsi="Times New Roman" w:cs="Times New Roman"/>
                <w:szCs w:val="21"/>
              </w:rPr>
              <m:t>m</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液滴质量，</w:t>
      </w:r>
      <m:oMath>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m</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传质系数，</w:t>
      </w:r>
      <m:oMath>
        <m:sSub>
          <m:sSubPr>
            <m:ctrlPr>
              <w:rPr>
                <w:rFonts w:ascii="Cambria Math" w:hAnsi="Cambria Math" w:cs="Times New Roman"/>
                <w:i/>
                <w:iCs/>
                <w:szCs w:val="21"/>
              </w:rPr>
            </m:ctrlPr>
          </m:sSubPr>
          <m:e>
            <m:r>
              <m:rPr/>
              <w:rPr>
                <w:rFonts w:ascii="Times New Roman" w:hAnsi="Times New Roman" w:cs="Times New Roman"/>
                <w:szCs w:val="21"/>
              </w:rPr>
              <m:t>ρ</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气体密度，</w:t>
      </w:r>
      <m:oMath>
        <m:sSub>
          <m:sSubPr>
            <m:ctrlPr>
              <w:rPr>
                <w:rFonts w:ascii="Cambria Math" w:hAnsi="Cambria Math" w:cs="Times New Roman"/>
                <w:i/>
                <w:iCs/>
                <w:szCs w:val="21"/>
              </w:rPr>
            </m:ctrlPr>
          </m:sSubPr>
          <m:e>
            <m:r>
              <m:rPr/>
              <w:rPr>
                <w:rFonts w:ascii="Times New Roman" w:hAnsi="Times New Roman" w:cs="Times New Roman"/>
                <w:szCs w:val="21"/>
              </w:rPr>
              <m:t>ρ</m:t>
            </m:r>
            <m:ctrlPr>
              <w:rPr>
                <w:rFonts w:ascii="Cambria Math" w:hAnsi="Cambria Math" w:cs="Times New Roman"/>
                <w:i/>
                <w:iCs/>
                <w:szCs w:val="21"/>
              </w:rPr>
            </m:ctrlPr>
          </m:e>
          <m:sub>
            <m:r>
              <m:rPr/>
              <w:rPr>
                <w:rFonts w:ascii="Times New Roman" w:hAnsi="Times New Roman" w:cs="Times New Roman"/>
                <w:szCs w:val="21"/>
              </w:rPr>
              <m:t>f</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粒子膜密度，</w:t>
      </w:r>
      <m:oMath>
        <m:sSub>
          <m:sSubPr>
            <m:ctrlPr>
              <w:rPr>
                <w:rFonts w:ascii="Cambria Math" w:hAnsi="Cambria Math" w:cs="Times New Roman"/>
                <w:i/>
                <w:iCs/>
                <w:szCs w:val="21"/>
              </w:rPr>
            </m:ctrlPr>
          </m:sSubPr>
          <m:e>
            <m:r>
              <m:rPr/>
              <w:rPr>
                <w:rFonts w:ascii="Times New Roman" w:hAnsi="Times New Roman" w:cs="Times New Roman"/>
                <w:szCs w:val="21"/>
              </w:rPr>
              <m:t>c</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液体比热，</w:t>
      </w:r>
      <m:oMath>
        <m:sSub>
          <m:sSubPr>
            <m:ctrlPr>
              <w:rPr>
                <w:rFonts w:ascii="Cambria Math" w:hAnsi="Cambria Math" w:cs="Times New Roman"/>
                <w:i/>
                <w:iCs/>
                <w:szCs w:val="21"/>
              </w:rPr>
            </m:ctrlPr>
          </m:sSubPr>
          <m:e>
            <m:r>
              <m:rPr/>
              <w:rPr>
                <w:rFonts w:ascii="Times New Roman" w:hAnsi="Times New Roman" w:cs="Times New Roman"/>
                <w:szCs w:val="21"/>
              </w:rPr>
              <m:t>c</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气体比热，</w:t>
      </w:r>
      <m:oMath>
        <m:sSub>
          <m:sSubPr>
            <m:ctrlPr>
              <w:rPr>
                <w:rFonts w:ascii="Cambria Math" w:hAnsi="Cambria Math" w:cs="Times New Roman"/>
                <w:i/>
                <w:iCs/>
                <w:szCs w:val="21"/>
              </w:rPr>
            </m:ctrlPr>
          </m:sSubPr>
          <m:e>
            <m:r>
              <m:rPr/>
              <w:rPr>
                <w:rFonts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g</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液滴与气体之间的换热系数，</w:t>
      </w:r>
      <m:oMath>
        <m:sSub>
          <m:sSubPr>
            <m:ctrlPr>
              <w:rPr>
                <w:rFonts w:ascii="Cambria Math" w:hAnsi="Cambria Math" w:cs="Times New Roman"/>
                <w:szCs w:val="21"/>
              </w:rPr>
            </m:ctrlPr>
          </m:sSubPr>
          <m:e>
            <m:r>
              <m:rPr/>
              <w:rPr>
                <w:rFonts w:hint="default" w:ascii="Times New Roman" w:hAnsi="Times New Roman" w:cs="Times New Roman"/>
                <w:szCs w:val="21"/>
              </w:rPr>
              <m:t>h</m:t>
            </m:r>
            <m:ctrlPr>
              <w:rPr>
                <w:rFonts w:ascii="Cambria Math" w:hAnsi="Cambria Math" w:cs="Times New Roman"/>
                <w:szCs w:val="21"/>
              </w:rPr>
            </m:ctrlPr>
          </m:e>
          <m:sub>
            <m:r>
              <m:rPr>
                <m:sty m:val="p"/>
              </m:rPr>
              <w:rPr>
                <w:rFonts w:ascii="Times New Roman" w:hAnsi="Times New Roman" w:cs="Times New Roman"/>
                <w:szCs w:val="21"/>
              </w:rPr>
              <m:t>s</m:t>
            </m:r>
            <m:ctrlPr>
              <w:rPr>
                <w:rFonts w:ascii="Cambria Math" w:hAnsi="Cambria Math" w:cs="Times New Roman"/>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液滴与固体之间的传热系数，</w:t>
      </w:r>
      <m:oMath>
        <m:acc>
          <m:accPr>
            <m:chr m:val="̇"/>
            <m:ctrlPr>
              <w:rPr>
                <w:rFonts w:ascii="Cambria Math" w:hAnsi="Cambria Math" w:cs="Times New Roman"/>
                <w:i/>
                <w:iCs/>
                <w:szCs w:val="21"/>
              </w:rPr>
            </m:ctrlPr>
          </m:accPr>
          <m:e>
            <m:sSub>
              <m:sSubPr>
                <m:ctrlPr>
                  <w:rPr>
                    <w:rFonts w:ascii="Cambria Math" w:hAnsi="Cambria Math" w:cs="Times New Roman"/>
                    <w:i/>
                    <w:iCs/>
                    <w:szCs w:val="21"/>
                  </w:rPr>
                </m:ctrlPr>
              </m:sSubPr>
              <m:e>
                <m:r>
                  <m:rPr/>
                  <w:rPr>
                    <w:rFonts w:ascii="Times New Roman" w:hAnsi="Times New Roman" w:cs="Times New Roman"/>
                    <w:szCs w:val="21"/>
                  </w:rPr>
                  <m:t>q</m:t>
                </m:r>
                <m:ctrlPr>
                  <w:rPr>
                    <w:rFonts w:ascii="Cambria Math" w:hAnsi="Cambria Math" w:cs="Times New Roman"/>
                    <w:i/>
                    <w:iCs/>
                    <w:szCs w:val="21"/>
                  </w:rPr>
                </m:ctrlPr>
              </m:e>
              <m:sub>
                <m:r>
                  <m:rPr/>
                  <w:rPr>
                    <w:rFonts w:ascii="Times New Roman" w:hAnsi="Times New Roman" w:cs="Times New Roman"/>
                    <w:szCs w:val="21"/>
                  </w:rPr>
                  <m:t>r</m:t>
                </m:r>
                <m:ctrlPr>
                  <w:rPr>
                    <w:rFonts w:ascii="Cambria Math" w:hAnsi="Cambria Math" w:cs="Times New Roman"/>
                    <w:i/>
                    <w:iCs/>
                    <w:szCs w:val="21"/>
                  </w:rPr>
                </m:ctrlPr>
              </m:sub>
            </m:sSub>
            <m:ctrlPr>
              <w:rPr>
                <w:rFonts w:ascii="Cambria Math" w:hAnsi="Cambria Math" w:cs="Times New Roman"/>
                <w:i/>
                <w:iCs/>
                <w:szCs w:val="21"/>
              </w:rPr>
            </m:ctrlPr>
          </m:e>
        </m:acc>
      </m:oMath>
      <w:r>
        <w:rPr>
          <w:rFonts w:hint="eastAsia" w:ascii="Times New Roman" w:hAnsi="Times New Roman" w:cs="Times New Roman"/>
          <w:szCs w:val="21"/>
          <w:lang w:eastAsia="zh-CN"/>
        </w:rPr>
        <w:t>为</w:t>
      </w:r>
      <w:r>
        <w:rPr>
          <w:rFonts w:ascii="Times New Roman" w:hAnsi="Times New Roman" w:cs="Times New Roman"/>
          <w:szCs w:val="21"/>
        </w:rPr>
        <w:t>液滴的辐射加热速率，</w:t>
      </w:r>
      <m:oMath>
        <m:sSub>
          <m:sSubPr>
            <m:ctrlPr>
              <w:rPr>
                <w:rFonts w:ascii="Cambria Math" w:hAnsi="Cambria Math" w:cs="Times New Roman"/>
                <w:i/>
                <w:iCs/>
                <w:szCs w:val="21"/>
              </w:rPr>
            </m:ctrlPr>
          </m:sSubPr>
          <m:e>
            <m:r>
              <m:rPr/>
              <w:rPr>
                <w:rFonts w:hint="default"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a,p</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粒子温度下的蒸汽比焓，</w:t>
      </w:r>
      <m:oMath>
        <m:sSub>
          <m:sSubPr>
            <m:ctrlPr>
              <w:rPr>
                <w:rFonts w:ascii="Cambria Math" w:hAnsi="Cambria Math" w:cs="Times New Roman"/>
                <w:i/>
                <w:iCs/>
                <w:szCs w:val="21"/>
              </w:rPr>
            </m:ctrlPr>
          </m:sSubPr>
          <m:e>
            <m:r>
              <m:rPr/>
              <w:rPr>
                <w:rFonts w:hint="default" w:ascii="Times New Roman" w:hAnsi="Times New Roman" w:cs="Times New Roman"/>
                <w:szCs w:val="21"/>
              </w:rPr>
              <m:t>h</m:t>
            </m:r>
            <m:ctrlPr>
              <w:rPr>
                <w:rFonts w:ascii="Cambria Math" w:hAnsi="Cambria Math" w:cs="Times New Roman"/>
                <w:i/>
                <w:iCs/>
                <w:szCs w:val="21"/>
              </w:rPr>
            </m:ctrlPr>
          </m:e>
          <m:sub>
            <m:r>
              <m:rPr/>
              <w:rPr>
                <w:rFonts w:ascii="Times New Roman" w:hAnsi="Times New Roman" w:cs="Times New Roman"/>
                <w:szCs w:val="21"/>
              </w:rPr>
              <m:t>a,g</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气体温度下的蒸气比焓，</w:t>
      </w:r>
      <m:oMath>
        <m:sSub>
          <m:sSubPr>
            <m:ctrlPr>
              <w:rPr>
                <w:rFonts w:ascii="Cambria Math" w:hAnsi="Cambria Math" w:cs="Times New Roman"/>
                <w:i/>
                <w:iCs/>
                <w:szCs w:val="21"/>
              </w:rPr>
            </m:ctrlPr>
          </m:sSubPr>
          <m:e>
            <m:r>
              <m:rPr/>
              <w:rPr>
                <w:rFonts w:ascii="Times New Roman" w:hAnsi="Times New Roman" w:cs="Times New Roman"/>
                <w:szCs w:val="21"/>
              </w:rPr>
              <m:t>A</m:t>
            </m:r>
            <m:ctrlPr>
              <w:rPr>
                <w:rFonts w:ascii="Cambria Math" w:hAnsi="Cambria Math" w:cs="Times New Roman"/>
                <w:i/>
                <w:iCs/>
                <w:szCs w:val="21"/>
              </w:rPr>
            </m:ctrlPr>
          </m:e>
          <m:sub>
            <m:r>
              <m:rPr/>
              <w:rPr>
                <w:rFonts w:ascii="Times New Roman" w:hAnsi="Times New Roman" w:cs="Times New Roman"/>
                <w:szCs w:val="21"/>
              </w:rPr>
              <m:t>p</m:t>
            </m:r>
            <m:ctrlPr>
              <w:rPr>
                <w:rFonts w:ascii="Cambria Math" w:hAnsi="Cambria Math" w:cs="Times New Roman"/>
                <w:i/>
                <w:iCs/>
                <w:szCs w:val="21"/>
              </w:rPr>
            </m:ctrlPr>
          </m:sub>
        </m:sSub>
      </m:oMath>
      <w:r>
        <w:rPr>
          <w:rFonts w:hint="eastAsia" w:ascii="Times New Roman" w:hAnsi="Times New Roman" w:cs="Times New Roman"/>
          <w:szCs w:val="21"/>
          <w:lang w:eastAsia="zh-CN"/>
        </w:rPr>
        <w:t>为</w:t>
      </w:r>
      <w:r>
        <w:rPr>
          <w:rFonts w:ascii="Times New Roman" w:hAnsi="Times New Roman" w:cs="Times New Roman"/>
          <w:szCs w:val="21"/>
        </w:rPr>
        <w:t>液滴的表面积。</w:t>
      </w:r>
    </w:p>
    <w:p w14:paraId="263270C3">
      <w:pPr>
        <w:widowControl/>
        <w:spacing w:line="240" w:lineRule="atLeast"/>
        <w:outlineLvl w:val="0"/>
        <w:rPr>
          <w:rFonts w:ascii="Times New Roman" w:hAnsi="Times New Roman" w:eastAsia="宋体" w:cs="Times New Roman"/>
          <w:b/>
          <w:bCs/>
          <w:kern w:val="0"/>
          <w:sz w:val="24"/>
          <w:szCs w:val="24"/>
        </w:rPr>
      </w:pPr>
      <w:r>
        <w:rPr>
          <w:rFonts w:hint="eastAsia" w:ascii="Times New Roman" w:hAnsi="Times New Roman" w:eastAsia="宋体" w:cs="Times New Roman"/>
          <w:b/>
          <w:bCs/>
          <w:kern w:val="0"/>
          <w:sz w:val="24"/>
          <w:szCs w:val="24"/>
        </w:rPr>
        <w:t>2</w:t>
      </w:r>
      <w:r>
        <w:rPr>
          <w:rFonts w:ascii="Times New Roman" w:hAnsi="Times New Roman" w:eastAsia="宋体" w:cs="Times New Roman"/>
          <w:b/>
          <w:bCs/>
          <w:kern w:val="0"/>
          <w:sz w:val="24"/>
          <w:szCs w:val="24"/>
        </w:rPr>
        <w:t xml:space="preserve"> </w:t>
      </w:r>
      <w:r>
        <w:rPr>
          <w:rFonts w:hint="eastAsia" w:ascii="Times New Roman" w:hAnsi="Times New Roman" w:eastAsia="宋体" w:cs="Times New Roman"/>
          <w:b/>
          <w:bCs/>
          <w:kern w:val="0"/>
          <w:sz w:val="24"/>
          <w:szCs w:val="24"/>
        </w:rPr>
        <w:t>结果与讨论</w:t>
      </w:r>
    </w:p>
    <w:p w14:paraId="781C9F9C">
      <w:pPr>
        <w:widowControl/>
        <w:spacing w:line="240" w:lineRule="atLeast"/>
        <w:outlineLvl w:val="1"/>
        <w:rPr>
          <w:rFonts w:hint="eastAsia" w:ascii="Times New Roman" w:hAnsi="Times New Roman" w:eastAsia="宋体" w:cs="Times New Roman"/>
          <w:b/>
          <w:kern w:val="0"/>
          <w:szCs w:val="21"/>
        </w:rPr>
      </w:pPr>
      <w:r>
        <w:rPr>
          <w:rFonts w:hint="eastAsia" w:ascii="Times New Roman" w:hAnsi="Times New Roman" w:eastAsia="宋体" w:cs="Times New Roman"/>
          <w:b/>
          <w:kern w:val="0"/>
          <w:szCs w:val="21"/>
        </w:rPr>
        <w:t>2.1</w:t>
      </w:r>
      <w:r>
        <w:rPr>
          <w:rFonts w:ascii="Times New Roman" w:hAnsi="Times New Roman" w:eastAsia="宋体" w:cs="Times New Roman"/>
          <w:b/>
          <w:kern w:val="0"/>
          <w:szCs w:val="21"/>
        </w:rPr>
        <w:t xml:space="preserve"> </w:t>
      </w:r>
      <w:r>
        <w:rPr>
          <w:rFonts w:hint="eastAsia" w:ascii="Times New Roman" w:hAnsi="Times New Roman" w:eastAsia="宋体" w:cs="Times New Roman"/>
          <w:b/>
          <w:kern w:val="0"/>
          <w:szCs w:val="21"/>
        </w:rPr>
        <w:t>模型验证</w:t>
      </w:r>
    </w:p>
    <w:p w14:paraId="506F987B">
      <w:pPr>
        <w:widowControl/>
        <w:spacing w:line="240" w:lineRule="atLeast"/>
        <w:ind w:firstLine="420"/>
        <w:jc w:val="both"/>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近年国内学者为揭示液氢在大面积空旷空间的扩散机理，在室外开展了一系列液氢释放实验</w:t>
      </w:r>
      <w:r>
        <w:rPr>
          <w:rFonts w:hint="eastAsia" w:ascii="Times New Roman" w:hAnsi="Times New Roman" w:cs="Times New Roman"/>
          <w:szCs w:val="21"/>
          <w:lang w:val="en-US" w:eastAsia="zh-CN"/>
        </w:rPr>
        <w:fldChar w:fldCharType="begin"/>
      </w:r>
      <w:r>
        <w:rPr>
          <w:rFonts w:hint="eastAsia" w:ascii="Times New Roman" w:hAnsi="Times New Roman" w:cs="Times New Roman"/>
          <w:szCs w:val="21"/>
          <w:lang w:val="en-US" w:eastAsia="zh-CN"/>
        </w:rPr>
        <w:instrText xml:space="preserve"> ADDIN ZOTERO_ITEM CSL_CITATION {"citationID":"4YnFJj1p","properties":{"formattedCitation":"\\super [26]\\nosupersub{}","plainCitation":"[26]","noteIndex":0},"citationItems":[{"id":326,"uris":["http://zotero.org/users/local/qCNt7I6D/items/ECATR4WJ"],"itemData":{"id":326,"type":"article-journal","abstract":"Liquid hydrogen is one of the high-quality energy carriers, but a large leak of liquid hydrogen can pose significant safety risks. Understanding its diffusion law after accidental leakage is an important issue for the safe utilization of hydrogen energy. In this paper, a series of open-space large-volume liquid hydrogen release experiments are performed to observe the evolution of visible clouds during the release, and an array of hydrogen concentration sensors is set up to monitor the fluctuation in hydrogen concentration at different locations. Based on the experimental conditions, the diffusion of hydrogen clouds in the atmosphere under different release hole diameters and different ground materials is compared. The results show that with the release of liquid hydrogen, the white visible cloud formed by air condensation or solidification is generated rapidly and spread widely, and the visible cloud is most obvious near the ground. With the termination of liquid hydrogen release, solid air is deposited on the ground, and the visible clouds gradually shrink from the far field to the release source. Hydrogen concentration fluctuations in the far field in the case of the cobblestone ground are more dependent on spontaneous diffusion by the hydrogen concentration gradient. In addition, compared with the concrete ground, the cobblestone ground has greater resistance to liquid hydrogen extension; the diffusion of hydrogen clouds to the far field lags. The rapid increase stage of hydrogen concentration at N8 in Test 7 lags about 3 s behind N12 in Test 6, N3 lags about 7.5 s behind N1, and N16 lags about 8.25 s behind N14. The near-source space is prone to high-concentration hydrogen clouds. The duration of the high-concentration hydrogen cloud at N12 is about 15 s, which is twice as long as the duration at N8, increasing the safety risk of the near-source space.","container-title":"Applied Sciences","DOI":"10.3390/app14093645","ISSN":"2076-3417","issue":"9","language":"en","license":"http://creativecommons.org/licenses/by/3.0/","note":"number: 9\npublisher: Multidisciplinary Digital Publishing Institute","page":"3645","source":"www.mdpi.com","title":"An Experimental Study on the Large-Volume Liquid Hydrogen Release in an Open Space","volume":"14","author":[{"family":"Zhang","given":"Zhao"},{"family":"Lei","given":"Gang"},{"family":"Sun","given":"Ruofan"},{"family":"Pu","given":"Liang"},{"family":"Wang","given":"Tianxiang"},{"family":"Dong","given":"Wei"},{"family":"Chen","given":"Qiang"},{"family":"Wei","given":"Qiufan"},{"family":"Liu","given":"Mu"},{"family":"He","given":"Yongchen"},{"family":"Zheng","given":"Zhi"},{"family":"Zhang","given":"Shengqi"}],"issued":{"date-parts":[["2024",1]]}}}],"schema":"https://github.com/citation-style-language/schema/raw/master/csl-citation.json"} </w:instrText>
      </w:r>
      <w:r>
        <w:rPr>
          <w:rFonts w:hint="eastAsia" w:ascii="Times New Roman" w:hAnsi="Times New Roman" w:cs="Times New Roman"/>
          <w:szCs w:val="21"/>
          <w:lang w:val="en-US" w:eastAsia="zh-CN"/>
        </w:rPr>
        <w:fldChar w:fldCharType="separate"/>
      </w:r>
      <w:r>
        <w:rPr>
          <w:rFonts w:hint="default" w:ascii="Times New Roman" w:hAnsi="Times New Roman" w:cs="Times New Roman"/>
          <w:sz w:val="21"/>
          <w:szCs w:val="24"/>
          <w:vertAlign w:val="superscript"/>
        </w:rPr>
        <w:t>[26]</w:t>
      </w:r>
      <w:r>
        <w:rPr>
          <w:rFonts w:hint="eastAsia" w:ascii="Times New Roman" w:hAnsi="Times New Roman" w:cs="Times New Roman"/>
          <w:szCs w:val="21"/>
          <w:lang w:val="en-US" w:eastAsia="zh-CN"/>
        </w:rPr>
        <w:fldChar w:fldCharType="end"/>
      </w:r>
      <w:r>
        <w:rPr>
          <w:rFonts w:hint="eastAsia" w:ascii="Times New Roman" w:hAnsi="Times New Roman" w:cs="Times New Roman"/>
          <w:szCs w:val="21"/>
          <w:lang w:val="en-US" w:eastAsia="zh-CN"/>
        </w:rPr>
        <w:t>。其中，</w:t>
      </w:r>
      <w:r>
        <w:rPr>
          <w:rFonts w:hint="eastAsia" w:ascii="Times New Roman" w:hAnsi="Times New Roman" w:cs="Times New Roman"/>
          <w:szCs w:val="21"/>
          <w:highlight w:val="none"/>
          <w:lang w:val="en-US" w:eastAsia="zh-CN"/>
        </w:rPr>
        <w:t>Zhang等</w:t>
      </w:r>
      <w:r>
        <w:rPr>
          <w:rFonts w:hint="eastAsia" w:ascii="Times New Roman" w:hAnsi="Times New Roman" w:cs="Times New Roman"/>
          <w:szCs w:val="21"/>
          <w:highlight w:val="none"/>
          <w:lang w:val="en-US" w:eastAsia="zh-CN"/>
        </w:rPr>
        <w:fldChar w:fldCharType="begin"/>
      </w:r>
      <w:r>
        <w:rPr>
          <w:rFonts w:hint="eastAsia" w:ascii="Times New Roman" w:hAnsi="Times New Roman" w:cs="Times New Roman"/>
          <w:szCs w:val="21"/>
          <w:highlight w:val="none"/>
          <w:lang w:val="en-US" w:eastAsia="zh-CN"/>
        </w:rPr>
        <w:instrText xml:space="preserve"> ADDIN ZOTERO_ITEM CSL_CITATION {"citationID":"VZG3wHVN","properties":{"formattedCitation":"\\super [27]\\nosupersub{}","plainCitation":"[27]","noteIndex":0},"citationItems":[{"id":327,"uris":["http://zotero.org/users/local/qCNt7I6D/items/RXLQ9PH9"],"itemData":{"id":327,"type":"article-journal","abstract":"针对液氢持续泄漏扩散场景,基于SLAB模型,建立液氢泄漏扩散理论模型,开展3 m&lt;sup&gt;3&lt;/sup&gt;液氢泄漏扩散实验,结果表明,液氢在持续泄漏时,会形成液氢地面发展、氢空云团抬升、稳定烟羽3个阶段。稳态烟羽状态时,可视云团在下风向5 m处开始抬升,云团厚度最大达到10.9 m,数值计算结果云团厚度在下风向15 m处接近实验结果,并分析了数值计算结果偏差的原因,对比表明,该模型能够计算液氢持续泄漏后的扩散行为、危险边界的范围及浓度分布,在液氢泄漏扩散行为快速预测方面具有一定的可行性。","container-title":"低温工程","issue":"5","language":"zh-CN","note":"foundation: 航天低温推进剂技术国家重点实验室基金(SKLTSCP202208)；\ndownload: 327\nalbum: 工程科技Ⅱ辑\nCLC: TK91\ndbcode: CJFQ\ndbname: CJFDLAST2024\nfilename: DWGC202405009","page":"73-78, 97","source":"CNKI","title":"液氢泄漏扩散行为的数值及实验研究","author":[{"literal":"张召"},{"literal":"郑直"},{"literal":"陈强"},{"literal":"魏秋帆"},{"literal":"雷刚"}],"issued":{"date-parts":[["2024"]]}}}],"schema":"https://github.com/citation-style-language/schema/raw/master/csl-citation.json"} </w:instrText>
      </w:r>
      <w:r>
        <w:rPr>
          <w:rFonts w:hint="eastAsia" w:ascii="Times New Roman" w:hAnsi="Times New Roman" w:cs="Times New Roman"/>
          <w:szCs w:val="21"/>
          <w:highlight w:val="none"/>
          <w:lang w:val="en-US" w:eastAsia="zh-CN"/>
        </w:rPr>
        <w:fldChar w:fldCharType="separate"/>
      </w:r>
      <w:r>
        <w:rPr>
          <w:rFonts w:hint="default" w:ascii="Times New Roman" w:hAnsi="Times New Roman" w:cs="Times New Roman"/>
          <w:sz w:val="21"/>
          <w:szCs w:val="24"/>
          <w:vertAlign w:val="superscript"/>
        </w:rPr>
        <w:t>[27]</w:t>
      </w:r>
      <w:r>
        <w:rPr>
          <w:rFonts w:hint="eastAsia" w:ascii="Times New Roman" w:hAnsi="Times New Roman" w:cs="Times New Roman"/>
          <w:szCs w:val="21"/>
          <w:highlight w:val="none"/>
          <w:lang w:val="en-US" w:eastAsia="zh-CN"/>
        </w:rPr>
        <w:fldChar w:fldCharType="end"/>
      </w:r>
      <w:r>
        <w:rPr>
          <w:rFonts w:hint="eastAsia" w:ascii="Times New Roman" w:hAnsi="Times New Roman" w:cs="Times New Roman"/>
          <w:szCs w:val="21"/>
          <w:lang w:val="en-US" w:eastAsia="zh-CN"/>
        </w:rPr>
        <w:t>针对液氢持续泄漏扩散场景，开展的3 m</w:t>
      </w:r>
      <w:r>
        <w:rPr>
          <w:rFonts w:hint="eastAsia" w:ascii="Times New Roman" w:hAnsi="Times New Roman" w:cs="Times New Roman"/>
          <w:szCs w:val="21"/>
          <w:vertAlign w:val="superscript"/>
          <w:lang w:val="en-US" w:eastAsia="zh-CN"/>
        </w:rPr>
        <w:t>3</w:t>
      </w:r>
      <w:r>
        <w:rPr>
          <w:rFonts w:hint="eastAsia" w:ascii="Times New Roman" w:hAnsi="Times New Roman" w:cs="Times New Roman"/>
          <w:szCs w:val="21"/>
          <w:lang w:val="en-US" w:eastAsia="zh-CN"/>
        </w:rPr>
        <w:t>液氢泄漏扩散实验于专业的液氢持续泄漏扩散行为特性实验平台进行。该实验泄漏持续时间为166 s，泄漏直径为80 mm，泄漏口高度为410 mm，泄漏出口角度为45</w:t>
      </w:r>
      <w:r>
        <w:rPr>
          <w:rFonts w:hint="eastAsia" w:ascii="Times New Roman" w:hAnsi="Times New Roman" w:cs="Times New Roman" w:eastAsiaTheme="minorEastAsia"/>
          <w:szCs w:val="21"/>
          <w:lang w:val="en-US" w:eastAsia="zh-CN"/>
        </w:rPr>
        <w:t>°</w:t>
      </w:r>
      <w:r>
        <w:rPr>
          <w:rFonts w:hint="eastAsia" w:ascii="Times New Roman" w:hAnsi="Times New Roman" w:cs="Times New Roman"/>
          <w:szCs w:val="21"/>
          <w:lang w:val="en-US" w:eastAsia="zh-CN"/>
        </w:rPr>
        <w:t>向下，液氢温度为20.37 K，地面条件为水泥地面。环境温度为306.5 K，相对湿度为51%，10 m高度的平均风速为2.44 m/s。</w:t>
      </w:r>
    </w:p>
    <w:p w14:paraId="6BEAFF63">
      <w:pPr>
        <w:widowControl/>
        <w:spacing w:line="240" w:lineRule="atLeast"/>
        <w:ind w:firstLine="420"/>
        <w:jc w:val="both"/>
        <w:rPr>
          <w:rFonts w:hint="default" w:ascii="Times New Roman" w:hAnsi="Times New Roman" w:cs="Times New Roman"/>
          <w:szCs w:val="21"/>
        </w:rPr>
      </w:pPr>
      <w:r>
        <w:rPr>
          <w:rFonts w:hint="default" w:ascii="Times New Roman" w:hAnsi="Times New Roman" w:cs="Times New Roman"/>
          <w:szCs w:val="21"/>
        </w:rPr>
        <w:t>为验证模型的可靠性，本研究基于</w:t>
      </w:r>
      <w:r>
        <w:rPr>
          <w:rFonts w:hint="eastAsia" w:ascii="Times New Roman" w:hAnsi="Times New Roman" w:cs="Times New Roman"/>
          <w:szCs w:val="21"/>
          <w:lang w:val="en-US" w:eastAsia="zh-CN"/>
        </w:rPr>
        <w:t>上述实验的</w:t>
      </w:r>
      <w:r>
        <w:rPr>
          <w:rFonts w:hint="default" w:ascii="Times New Roman" w:hAnsi="Times New Roman" w:cs="Times New Roman"/>
          <w:szCs w:val="21"/>
        </w:rPr>
        <w:t>泄漏工况开展了</w:t>
      </w:r>
      <w:r>
        <w:rPr>
          <w:rFonts w:hint="eastAsia" w:ascii="Times New Roman" w:hAnsi="Times New Roman" w:cs="Times New Roman"/>
          <w:szCs w:val="21"/>
          <w:lang w:val="en-US" w:eastAsia="zh-CN"/>
        </w:rPr>
        <w:t>相应的</w:t>
      </w:r>
      <w:r>
        <w:rPr>
          <w:rFonts w:hint="default" w:ascii="Times New Roman" w:hAnsi="Times New Roman" w:cs="Times New Roman"/>
          <w:szCs w:val="21"/>
        </w:rPr>
        <w:t>数值仿真。如图4所示，实验达到稳态（36 s）时，仿真结果与实验观测在可见云团形态特征上呈现良好一致性，具体表现为：在下风向约5 m处云地分离距离吻合，</w:t>
      </w:r>
      <w:r>
        <w:rPr>
          <w:rFonts w:hint="eastAsia" w:ascii="Times New Roman" w:hAnsi="Times New Roman" w:cs="Times New Roman"/>
          <w:szCs w:val="21"/>
          <w:lang w:val="en-US" w:eastAsia="zh-CN"/>
        </w:rPr>
        <w:t>泄放口</w:t>
      </w:r>
      <w:r>
        <w:rPr>
          <w:rFonts w:hint="default" w:ascii="Times New Roman" w:hAnsi="Times New Roman" w:cs="Times New Roman"/>
          <w:szCs w:val="21"/>
        </w:rPr>
        <w:t>左侧云地边界宽度均</w:t>
      </w:r>
      <w:r>
        <w:rPr>
          <w:rFonts w:hint="eastAsia" w:ascii="Times New Roman" w:hAnsi="Times New Roman" w:cs="Times New Roman"/>
          <w:szCs w:val="21"/>
          <w:lang w:val="en-US" w:eastAsia="zh-CN"/>
        </w:rPr>
        <w:t>约</w:t>
      </w:r>
      <w:r>
        <w:rPr>
          <w:rFonts w:hint="default" w:ascii="Times New Roman" w:hAnsi="Times New Roman" w:cs="Times New Roman"/>
          <w:szCs w:val="21"/>
        </w:rPr>
        <w:t>2 m，且模拟的可见云轮廓与实验</w:t>
      </w:r>
      <w:r>
        <w:rPr>
          <w:rFonts w:hint="eastAsia" w:ascii="Times New Roman" w:hAnsi="Times New Roman" w:cs="Times New Roman"/>
          <w:szCs w:val="21"/>
          <w:lang w:val="en-US" w:eastAsia="zh-CN"/>
        </w:rPr>
        <w:t>云团</w:t>
      </w:r>
      <w:r>
        <w:rPr>
          <w:rFonts w:hint="default" w:ascii="Times New Roman" w:hAnsi="Times New Roman" w:cs="Times New Roman"/>
          <w:szCs w:val="21"/>
        </w:rPr>
        <w:t>形状</w:t>
      </w:r>
      <w:r>
        <w:rPr>
          <w:rFonts w:hint="eastAsia" w:ascii="Times New Roman" w:hAnsi="Times New Roman" w:cs="Times New Roman"/>
          <w:szCs w:val="21"/>
          <w:lang w:val="en-US" w:eastAsia="zh-CN"/>
        </w:rPr>
        <w:t>相当一致</w:t>
      </w:r>
      <w:r>
        <w:rPr>
          <w:rFonts w:hint="default" w:ascii="Times New Roman" w:hAnsi="Times New Roman" w:cs="Times New Roman"/>
          <w:szCs w:val="21"/>
        </w:rPr>
        <w:t>。</w:t>
      </w:r>
    </w:p>
    <w:p w14:paraId="32DA1103">
      <w:pPr>
        <w:widowControl/>
        <w:spacing w:line="240" w:lineRule="atLeast"/>
        <w:jc w:val="center"/>
        <w:rPr>
          <w:rFonts w:hint="eastAsia" w:ascii="Times New Roman" w:hAnsi="Times New Roman" w:cs="Times New Roman" w:eastAsiaTheme="minorEastAsia"/>
          <w:szCs w:val="21"/>
          <w:lang w:eastAsia="zh-CN"/>
        </w:rPr>
      </w:pPr>
      <w:r>
        <w:rPr>
          <w:rFonts w:hint="eastAsia" w:ascii="Times New Roman" w:hAnsi="Times New Roman" w:cs="Times New Roman" w:eastAsiaTheme="minorEastAsia"/>
          <w:szCs w:val="21"/>
          <w:lang w:eastAsia="zh-CN"/>
        </w:rPr>
        <w:drawing>
          <wp:inline distT="0" distB="0" distL="114300" distR="114300">
            <wp:extent cx="2941955" cy="1221105"/>
            <wp:effectExtent l="0" t="0" r="14605" b="13335"/>
            <wp:docPr id="3" name="图片 3" descr="acfa3c779cb483d3d464f2670cf0b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acfa3c779cb483d3d464f2670cf0b1a"/>
                    <pic:cNvPicPr>
                      <a:picLocks noChangeAspect="1"/>
                    </pic:cNvPicPr>
                  </pic:nvPicPr>
                  <pic:blipFill>
                    <a:blip r:embed="rId8"/>
                    <a:stretch>
                      <a:fillRect/>
                    </a:stretch>
                  </pic:blipFill>
                  <pic:spPr>
                    <a:xfrm>
                      <a:off x="0" y="0"/>
                      <a:ext cx="2941955" cy="1221105"/>
                    </a:xfrm>
                    <a:prstGeom prst="rect">
                      <a:avLst/>
                    </a:prstGeom>
                  </pic:spPr>
                </pic:pic>
              </a:graphicData>
            </a:graphic>
          </wp:inline>
        </w:drawing>
      </w:r>
    </w:p>
    <w:p w14:paraId="0572FE05">
      <w:pPr>
        <w:spacing w:line="240" w:lineRule="atLeast"/>
        <w:jc w:val="center"/>
        <w:rPr>
          <w:rFonts w:hint="eastAsia" w:ascii="Times New Roman" w:hAnsi="Times New Roman" w:cs="Times New Roman"/>
          <w:szCs w:val="21"/>
          <w:lang w:val="en-US" w:eastAsia="zh-CN"/>
        </w:rPr>
      </w:pPr>
      <w:r>
        <w:rPr>
          <w:rFonts w:hint="eastAsia" w:ascii="Times New Roman" w:hAnsi="Times New Roman" w:cs="Times New Roman"/>
          <w:szCs w:val="21"/>
        </w:rPr>
        <w:t>图</w:t>
      </w:r>
      <w:r>
        <w:rPr>
          <w:rFonts w:hint="eastAsia" w:ascii="Times New Roman" w:hAnsi="Times New Roman" w:cs="Times New Roman"/>
          <w:szCs w:val="21"/>
          <w:lang w:val="en-US" w:eastAsia="zh-CN"/>
        </w:rPr>
        <w:t>4</w:t>
      </w:r>
      <w:r>
        <w:rPr>
          <w:rFonts w:ascii="Times New Roman" w:hAnsi="Times New Roman" w:cs="Times New Roman"/>
          <w:szCs w:val="21"/>
        </w:rPr>
        <w:t xml:space="preserve"> </w:t>
      </w:r>
      <w:r>
        <w:rPr>
          <w:rFonts w:hint="eastAsia" w:ascii="Times New Roman" w:hAnsi="Times New Roman" w:cs="Times New Roman"/>
          <w:szCs w:val="21"/>
          <w:lang w:val="en-US" w:eastAsia="zh-CN"/>
        </w:rPr>
        <w:t xml:space="preserve">稳态时(36 s)可见云团的状态 </w:t>
      </w:r>
    </w:p>
    <w:p w14:paraId="61D890F9">
      <w:pPr>
        <w:widowControl/>
        <w:spacing w:line="240" w:lineRule="atLeast"/>
        <w:ind w:firstLine="420"/>
        <w:jc w:val="both"/>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对模拟与实验结果的</w:t>
      </w:r>
      <w:r>
        <w:rPr>
          <w:rFonts w:hint="default" w:ascii="Times New Roman" w:hAnsi="Times New Roman" w:cs="Times New Roman"/>
          <w:szCs w:val="21"/>
        </w:rPr>
        <w:t>进一步定量分析（图5）表明</w:t>
      </w:r>
      <w:r>
        <w:rPr>
          <w:rFonts w:hint="eastAsia" w:ascii="Times New Roman" w:hAnsi="Times New Roman" w:cs="Times New Roman"/>
          <w:szCs w:val="21"/>
          <w:lang w:eastAsia="zh-CN"/>
        </w:rPr>
        <w:t>，</w:t>
      </w:r>
      <w:r>
        <w:rPr>
          <w:rFonts w:hint="default" w:ascii="Times New Roman" w:hAnsi="Times New Roman" w:cs="Times New Roman"/>
          <w:szCs w:val="21"/>
        </w:rPr>
        <w:t>沿x下风向的云团中心高度</w:t>
      </w:r>
      <w:r>
        <w:rPr>
          <w:rFonts w:hint="eastAsia" w:ascii="Times New Roman" w:hAnsi="Times New Roman" w:cs="Times New Roman"/>
          <w:szCs w:val="21"/>
          <w:lang w:val="en-US" w:eastAsia="zh-CN"/>
        </w:rPr>
        <w:t>呈现一致的变化趋势，但在</w:t>
      </w:r>
      <w:r>
        <w:rPr>
          <w:rFonts w:hint="default" w:ascii="Times New Roman" w:hAnsi="Times New Roman" w:cs="Times New Roman"/>
          <w:szCs w:val="21"/>
        </w:rPr>
        <w:t>分布</w:t>
      </w:r>
      <w:r>
        <w:rPr>
          <w:rFonts w:hint="eastAsia" w:ascii="Times New Roman" w:hAnsi="Times New Roman" w:cs="Times New Roman"/>
          <w:szCs w:val="21"/>
          <w:lang w:val="en-US" w:eastAsia="zh-CN"/>
        </w:rPr>
        <w:t>上</w:t>
      </w:r>
      <w:r>
        <w:rPr>
          <w:rFonts w:hint="default" w:ascii="Times New Roman" w:hAnsi="Times New Roman" w:cs="Times New Roman"/>
          <w:szCs w:val="21"/>
        </w:rPr>
        <w:t>存在区间性差异：在x&lt;9 m区间模拟值较实验数据偏低（</w:t>
      </w:r>
      <w:r>
        <w:rPr>
          <w:rFonts w:hint="eastAsia" w:ascii="Times New Roman" w:hAnsi="Times New Roman" w:cs="Times New Roman"/>
          <w:szCs w:val="21"/>
          <w:lang w:val="en-US" w:eastAsia="zh-CN"/>
        </w:rPr>
        <w:t>平均</w:t>
      </w:r>
      <w:r>
        <w:rPr>
          <w:rFonts w:hint="default" w:ascii="Times New Roman" w:hAnsi="Times New Roman" w:cs="Times New Roman"/>
          <w:szCs w:val="21"/>
        </w:rPr>
        <w:t>偏差</w:t>
      </w:r>
      <w:r>
        <w:rPr>
          <w:rFonts w:hint="eastAsia" w:ascii="Times New Roman" w:hAnsi="Times New Roman" w:cs="Times New Roman"/>
          <w:szCs w:val="21"/>
          <w:lang w:val="en-US" w:eastAsia="zh-CN"/>
        </w:rPr>
        <w:t>约</w:t>
      </w:r>
      <w:r>
        <w:rPr>
          <w:rFonts w:hint="eastAsia" w:ascii="Times New Roman" w:hAnsi="Times New Roman" w:cs="Times New Roman"/>
          <w:szCs w:val="21"/>
          <w:lang w:eastAsia="zh-CN"/>
        </w:rPr>
        <w:t>2</w:t>
      </w:r>
      <w:r>
        <w:rPr>
          <w:rFonts w:hint="eastAsia" w:ascii="Times New Roman" w:hAnsi="Times New Roman" w:cs="Times New Roman"/>
          <w:szCs w:val="21"/>
          <w:lang w:val="en-US" w:eastAsia="zh-CN"/>
        </w:rPr>
        <w:t>0</w:t>
      </w:r>
      <w:r>
        <w:rPr>
          <w:rFonts w:hint="default" w:ascii="Times New Roman" w:hAnsi="Times New Roman" w:cs="Times New Roman"/>
          <w:szCs w:val="21"/>
        </w:rPr>
        <w:t>%），而在x≥9 m区间则系统性高估（</w:t>
      </w:r>
      <w:r>
        <w:rPr>
          <w:rFonts w:hint="eastAsia" w:ascii="Times New Roman" w:hAnsi="Times New Roman" w:cs="Times New Roman"/>
          <w:szCs w:val="21"/>
          <w:lang w:val="en-US" w:eastAsia="zh-CN"/>
        </w:rPr>
        <w:t>平均</w:t>
      </w:r>
      <w:r>
        <w:rPr>
          <w:rFonts w:hint="default" w:ascii="Times New Roman" w:hAnsi="Times New Roman" w:cs="Times New Roman"/>
          <w:szCs w:val="21"/>
        </w:rPr>
        <w:t>偏差</w:t>
      </w:r>
      <w:r>
        <w:rPr>
          <w:rFonts w:hint="eastAsia" w:ascii="Times New Roman" w:hAnsi="Times New Roman" w:cs="Times New Roman"/>
          <w:szCs w:val="21"/>
          <w:lang w:val="en-US" w:eastAsia="zh-CN"/>
        </w:rPr>
        <w:t>低于</w:t>
      </w:r>
      <w:r>
        <w:rPr>
          <w:rFonts w:hint="eastAsia" w:ascii="Times New Roman" w:hAnsi="Times New Roman" w:cs="Times New Roman"/>
          <w:szCs w:val="21"/>
          <w:lang w:eastAsia="zh-CN"/>
        </w:rPr>
        <w:t>7</w:t>
      </w:r>
      <w:r>
        <w:rPr>
          <w:rFonts w:hint="default" w:ascii="Times New Roman" w:hAnsi="Times New Roman" w:cs="Times New Roman"/>
          <w:szCs w:val="21"/>
        </w:rPr>
        <w:t>%），该现象主要归因于模型采用的指数型风剖面函数对近地面风速的高估及高空风速的低估；预测</w:t>
      </w:r>
      <w:r>
        <w:rPr>
          <w:rFonts w:hint="eastAsia" w:ascii="Times New Roman" w:hAnsi="Times New Roman" w:cs="Times New Roman"/>
          <w:szCs w:val="21"/>
          <w:lang w:val="en-US" w:eastAsia="zh-CN"/>
        </w:rPr>
        <w:t>的</w:t>
      </w:r>
      <w:r>
        <w:rPr>
          <w:rFonts w:hint="default" w:ascii="Times New Roman" w:hAnsi="Times New Roman" w:cs="Times New Roman"/>
          <w:szCs w:val="21"/>
        </w:rPr>
        <w:t>云团厚度</w:t>
      </w:r>
      <w:r>
        <w:rPr>
          <w:rFonts w:hint="eastAsia" w:ascii="Times New Roman" w:hAnsi="Times New Roman" w:cs="Times New Roman"/>
          <w:szCs w:val="21"/>
          <w:lang w:val="en-US" w:eastAsia="zh-CN"/>
        </w:rPr>
        <w:t>总体</w:t>
      </w:r>
      <w:r>
        <w:rPr>
          <w:rFonts w:hint="default" w:ascii="Times New Roman" w:hAnsi="Times New Roman" w:cs="Times New Roman"/>
          <w:szCs w:val="21"/>
        </w:rPr>
        <w:t>呈现</w:t>
      </w:r>
      <w:r>
        <w:rPr>
          <w:rFonts w:hint="eastAsia" w:ascii="Times New Roman" w:hAnsi="Times New Roman" w:cs="Times New Roman"/>
          <w:szCs w:val="21"/>
          <w:lang w:val="en-US" w:eastAsia="zh-CN"/>
        </w:rPr>
        <w:t>不断增加的</w:t>
      </w:r>
      <w:r>
        <w:rPr>
          <w:rFonts w:hint="default" w:ascii="Times New Roman" w:hAnsi="Times New Roman" w:cs="Times New Roman"/>
          <w:szCs w:val="21"/>
        </w:rPr>
        <w:t>趋势，在x=10 m处</w:t>
      </w:r>
      <w:r>
        <w:rPr>
          <w:rFonts w:hint="eastAsia" w:ascii="Times New Roman" w:hAnsi="Times New Roman" w:cs="Times New Roman"/>
          <w:szCs w:val="21"/>
          <w:lang w:val="en-US" w:eastAsia="zh-CN"/>
        </w:rPr>
        <w:t>平均偏差</w:t>
      </w:r>
      <w:r>
        <w:rPr>
          <w:rFonts w:hint="default" w:ascii="Times New Roman" w:hAnsi="Times New Roman" w:cs="Times New Roman"/>
          <w:szCs w:val="21"/>
        </w:rPr>
        <w:t>降至</w:t>
      </w:r>
      <w:r>
        <w:rPr>
          <w:rFonts w:hint="eastAsia" w:ascii="Times New Roman" w:hAnsi="Times New Roman" w:cs="Times New Roman"/>
          <w:szCs w:val="21"/>
          <w:lang w:eastAsia="zh-CN"/>
        </w:rPr>
        <w:t>6</w:t>
      </w:r>
      <w:r>
        <w:rPr>
          <w:rFonts w:hint="default" w:ascii="Times New Roman" w:hAnsi="Times New Roman" w:cs="Times New Roman"/>
          <w:szCs w:val="21"/>
        </w:rPr>
        <w:t>%以内。实验与仿真</w:t>
      </w:r>
      <w:r>
        <w:rPr>
          <w:rFonts w:hint="eastAsia" w:ascii="Times New Roman" w:hAnsi="Times New Roman" w:cs="Times New Roman"/>
          <w:szCs w:val="21"/>
          <w:lang w:val="en-US" w:eastAsia="zh-CN"/>
        </w:rPr>
        <w:t>结果在近泄放口区域的</w:t>
      </w:r>
      <w:r>
        <w:rPr>
          <w:rFonts w:hint="default" w:ascii="Times New Roman" w:hAnsi="Times New Roman" w:cs="Times New Roman"/>
          <w:szCs w:val="21"/>
        </w:rPr>
        <w:t>局部差异可能源于</w:t>
      </w:r>
      <w:r>
        <w:rPr>
          <w:rFonts w:hint="eastAsia" w:ascii="Times New Roman" w:hAnsi="Times New Roman" w:cs="Times New Roman"/>
          <w:szCs w:val="21"/>
          <w:lang w:val="en-US" w:eastAsia="zh-CN"/>
        </w:rPr>
        <w:t>实验当天较大的空气湿度</w:t>
      </w:r>
      <w:r>
        <w:rPr>
          <w:rFonts w:hint="default" w:ascii="Times New Roman" w:hAnsi="Times New Roman" w:cs="Times New Roman"/>
          <w:szCs w:val="21"/>
        </w:rPr>
        <w:t>导致</w:t>
      </w:r>
      <w:r>
        <w:rPr>
          <w:rFonts w:hint="eastAsia" w:ascii="Times New Roman" w:hAnsi="Times New Roman" w:cs="Times New Roman"/>
          <w:szCs w:val="21"/>
          <w:lang w:val="en-US" w:eastAsia="zh-CN"/>
        </w:rPr>
        <w:t>的</w:t>
      </w:r>
      <w:r>
        <w:rPr>
          <w:rFonts w:hint="default" w:ascii="Times New Roman" w:hAnsi="Times New Roman" w:cs="Times New Roman"/>
          <w:szCs w:val="21"/>
        </w:rPr>
        <w:t>水蒸气</w:t>
      </w:r>
      <w:r>
        <w:rPr>
          <w:rFonts w:hint="eastAsia" w:ascii="Times New Roman" w:hAnsi="Times New Roman" w:cs="Times New Roman"/>
          <w:szCs w:val="21"/>
          <w:lang w:val="en-US" w:eastAsia="zh-CN"/>
        </w:rPr>
        <w:t>显著</w:t>
      </w:r>
      <w:r>
        <w:rPr>
          <w:rFonts w:hint="default" w:ascii="Times New Roman" w:hAnsi="Times New Roman" w:cs="Times New Roman"/>
          <w:szCs w:val="21"/>
        </w:rPr>
        <w:t>凝结及实际云团扩散中的</w:t>
      </w:r>
      <w:r>
        <w:rPr>
          <w:rFonts w:hint="eastAsia" w:ascii="Times New Roman" w:hAnsi="Times New Roman" w:cs="Times New Roman"/>
          <w:szCs w:val="21"/>
          <w:lang w:eastAsia="zh-CN"/>
        </w:rPr>
        <w:t>“</w:t>
      </w:r>
      <w:r>
        <w:rPr>
          <w:rFonts w:hint="default" w:ascii="Times New Roman" w:hAnsi="Times New Roman" w:cs="Times New Roman"/>
          <w:szCs w:val="21"/>
        </w:rPr>
        <w:t>曲流</w:t>
      </w:r>
      <w:r>
        <w:rPr>
          <w:rFonts w:hint="eastAsia" w:ascii="Times New Roman" w:hAnsi="Times New Roman" w:cs="Times New Roman"/>
          <w:szCs w:val="21"/>
          <w:lang w:eastAsia="zh-CN"/>
        </w:rPr>
        <w:t>”</w:t>
      </w:r>
      <w:r>
        <w:rPr>
          <w:rFonts w:hint="default" w:ascii="Times New Roman" w:hAnsi="Times New Roman" w:cs="Times New Roman"/>
          <w:szCs w:val="21"/>
        </w:rPr>
        <w:t>现象引入的横向混合效应。</w:t>
      </w:r>
      <w:r>
        <w:rPr>
          <w:rFonts w:hint="eastAsia" w:ascii="Times New Roman" w:hAnsi="Times New Roman" w:cs="Times New Roman"/>
          <w:szCs w:val="21"/>
          <w:lang w:val="en-US" w:eastAsia="zh-CN"/>
        </w:rPr>
        <w:t>与实验结果的对比</w:t>
      </w:r>
      <w:r>
        <w:rPr>
          <w:rFonts w:hint="eastAsia" w:ascii="Times New Roman" w:hAnsi="Times New Roman" w:cs="Times New Roman"/>
          <w:szCs w:val="21"/>
        </w:rPr>
        <w:t>表明</w:t>
      </w:r>
      <w:r>
        <w:rPr>
          <w:rFonts w:hint="default" w:ascii="Times New Roman" w:hAnsi="Times New Roman" w:cs="Times New Roman"/>
          <w:szCs w:val="21"/>
        </w:rPr>
        <w:t>，模型预测结果与实验数据的整体吻合度良好，证实了其在液氢泄漏</w:t>
      </w:r>
      <w:r>
        <w:rPr>
          <w:rFonts w:hint="eastAsia" w:ascii="Times New Roman" w:hAnsi="Times New Roman" w:cs="Times New Roman"/>
          <w:szCs w:val="21"/>
          <w:lang w:val="en-US" w:eastAsia="zh-CN"/>
        </w:rPr>
        <w:t>后</w:t>
      </w:r>
      <w:r>
        <w:rPr>
          <w:rFonts w:hint="default" w:ascii="Times New Roman" w:hAnsi="Times New Roman" w:cs="Times New Roman"/>
          <w:szCs w:val="21"/>
        </w:rPr>
        <w:t>低温氢气云扩散行为预测中的可靠性。</w:t>
      </w:r>
    </w:p>
    <w:p w14:paraId="4AE8FACB">
      <w:pPr>
        <w:spacing w:line="240" w:lineRule="atLeast"/>
        <w:jc w:val="center"/>
        <w:rPr>
          <w:rFonts w:hint="eastAsia" w:ascii="Times New Roman" w:hAnsi="Times New Roman" w:cs="Times New Roman"/>
          <w:szCs w:val="21"/>
        </w:rPr>
      </w:pPr>
      <w:r>
        <w:rPr>
          <w:rFonts w:ascii="Times New Roman" w:hAnsi="Times New Roman"/>
        </w:rPr>
        <w:drawing>
          <wp:inline distT="0" distB="0" distL="114300" distR="114300">
            <wp:extent cx="2933065" cy="1253490"/>
            <wp:effectExtent l="0" t="0" r="8255" b="1143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9"/>
                    <a:stretch>
                      <a:fillRect/>
                    </a:stretch>
                  </pic:blipFill>
                  <pic:spPr>
                    <a:xfrm>
                      <a:off x="0" y="0"/>
                      <a:ext cx="2933065" cy="1253490"/>
                    </a:xfrm>
                    <a:prstGeom prst="rect">
                      <a:avLst/>
                    </a:prstGeom>
                    <a:noFill/>
                    <a:ln>
                      <a:noFill/>
                    </a:ln>
                  </pic:spPr>
                </pic:pic>
              </a:graphicData>
            </a:graphic>
          </wp:inline>
        </w:drawing>
      </w:r>
    </w:p>
    <w:p w14:paraId="4EAFF39B">
      <w:pPr>
        <w:spacing w:line="240" w:lineRule="atLeast"/>
        <w:jc w:val="center"/>
        <w:rPr>
          <w:rFonts w:hint="eastAsia" w:ascii="Times New Roman" w:hAnsi="Times New Roman" w:cs="Times New Roman"/>
          <w:szCs w:val="21"/>
          <w:lang w:val="en-US" w:eastAsia="zh-CN"/>
        </w:rPr>
      </w:pPr>
      <w:r>
        <w:rPr>
          <w:rFonts w:hint="eastAsia" w:ascii="Times New Roman" w:hAnsi="Times New Roman" w:cs="Times New Roman"/>
          <w:szCs w:val="21"/>
        </w:rPr>
        <w:t>图</w:t>
      </w:r>
      <w:r>
        <w:rPr>
          <w:rFonts w:hint="eastAsia" w:ascii="Times New Roman" w:hAnsi="Times New Roman" w:cs="Times New Roman"/>
          <w:szCs w:val="21"/>
          <w:lang w:val="en-US" w:eastAsia="zh-CN"/>
        </w:rPr>
        <w:t>5</w:t>
      </w:r>
      <w:r>
        <w:rPr>
          <w:rFonts w:ascii="Times New Roman" w:hAnsi="Times New Roman" w:cs="Times New Roman"/>
          <w:szCs w:val="21"/>
        </w:rPr>
        <w:t xml:space="preserve"> </w:t>
      </w:r>
      <w:r>
        <w:rPr>
          <w:rFonts w:hint="eastAsia" w:ascii="Times New Roman" w:hAnsi="Times New Roman" w:cs="Times New Roman"/>
          <w:szCs w:val="21"/>
          <w:lang w:val="en-US" w:eastAsia="zh-CN"/>
        </w:rPr>
        <w:t xml:space="preserve">可见云团中心高度和厚度沿下风向x的变化 </w:t>
      </w:r>
    </w:p>
    <w:p w14:paraId="6D3C48CF">
      <w:pPr>
        <w:widowControl/>
        <w:spacing w:line="240" w:lineRule="atLeast"/>
        <w:outlineLvl w:val="1"/>
        <w:rPr>
          <w:rFonts w:ascii="Times New Roman" w:hAnsi="Times New Roman" w:eastAsia="宋体" w:cs="Times New Roman"/>
          <w:b/>
          <w:kern w:val="0"/>
          <w:szCs w:val="21"/>
        </w:rPr>
      </w:pPr>
      <w:r>
        <w:rPr>
          <w:rFonts w:hint="eastAsia" w:ascii="Times New Roman" w:hAnsi="Times New Roman" w:eastAsia="宋体" w:cs="Times New Roman"/>
          <w:b/>
          <w:kern w:val="0"/>
          <w:szCs w:val="21"/>
        </w:rPr>
        <w:t>2.2</w:t>
      </w:r>
      <w:r>
        <w:rPr>
          <w:rFonts w:ascii="Times New Roman" w:hAnsi="Times New Roman" w:eastAsia="宋体" w:cs="Times New Roman"/>
          <w:b/>
          <w:kern w:val="0"/>
          <w:szCs w:val="21"/>
        </w:rPr>
        <w:t xml:space="preserve"> </w:t>
      </w:r>
      <w:r>
        <w:rPr>
          <w:rFonts w:hint="eastAsia" w:ascii="Times New Roman" w:hAnsi="Times New Roman" w:eastAsia="宋体" w:cs="Times New Roman"/>
          <w:b/>
          <w:kern w:val="0"/>
          <w:szCs w:val="21"/>
        </w:rPr>
        <w:t>横向扩散的安全性分析</w:t>
      </w:r>
    </w:p>
    <w:p w14:paraId="3CC219EC">
      <w:pPr>
        <w:widowControl/>
        <w:spacing w:line="240" w:lineRule="atLeast"/>
        <w:ind w:firstLine="420"/>
        <w:rPr>
          <w:rFonts w:hint="eastAsia" w:ascii="Times New Roman" w:hAnsi="Times New Roman" w:cs="Times New Roman"/>
          <w:szCs w:val="21"/>
        </w:rPr>
      </w:pPr>
      <w:r>
        <w:rPr>
          <w:rFonts w:hint="eastAsia" w:ascii="Times New Roman" w:hAnsi="Times New Roman" w:cs="Times New Roman"/>
          <w:szCs w:val="21"/>
        </w:rPr>
        <w:t>如前所述，</w:t>
      </w:r>
      <w:r>
        <w:rPr>
          <w:rFonts w:ascii="Times New Roman" w:hAnsi="Times New Roman" w:cs="Times New Roman"/>
          <w:szCs w:val="21"/>
        </w:rPr>
        <w:t>满装储存罐</w:t>
      </w:r>
      <w:r>
        <w:rPr>
          <w:rFonts w:hint="eastAsia" w:ascii="Times New Roman" w:hAnsi="Times New Roman" w:cs="Times New Roman"/>
          <w:szCs w:val="21"/>
        </w:rPr>
        <w:t>内的</w:t>
      </w:r>
      <w:r>
        <w:rPr>
          <w:rFonts w:ascii="Times New Roman" w:hAnsi="Times New Roman" w:cs="Times New Roman"/>
          <w:szCs w:val="21"/>
        </w:rPr>
        <w:t>液氢</w:t>
      </w:r>
      <w:r>
        <w:rPr>
          <w:rFonts w:hint="eastAsia" w:ascii="Times New Roman" w:hAnsi="Times New Roman" w:cs="Times New Roman"/>
          <w:szCs w:val="21"/>
        </w:rPr>
        <w:t>自泄漏口不断溢出，在近地面蒸发，氢气通过与周围环境交换热量而分散到空气中。如图</w:t>
      </w:r>
      <w:r>
        <w:rPr>
          <w:rFonts w:hint="eastAsia" w:ascii="Times New Roman" w:hAnsi="Times New Roman" w:cs="Times New Roman"/>
          <w:szCs w:val="21"/>
          <w:lang w:val="en-US" w:eastAsia="zh-CN"/>
        </w:rPr>
        <w:t>6</w:t>
      </w:r>
      <w:r>
        <w:rPr>
          <w:rFonts w:hint="eastAsia" w:ascii="Times New Roman" w:hAnsi="Times New Roman" w:cs="Times New Roman"/>
          <w:szCs w:val="21"/>
        </w:rPr>
        <w:t>所示为泄漏持续过程中，可燃氢云的等值面图的正视图和左视图。</w:t>
      </w:r>
      <w:r>
        <w:rPr>
          <w:rFonts w:hint="eastAsia" w:ascii="Times New Roman" w:hAnsi="Times New Roman" w:cs="Times New Roman"/>
          <w:szCs w:val="21"/>
          <w:lang w:val="en-US" w:eastAsia="zh-CN"/>
        </w:rPr>
        <w:t>在</w:t>
      </w:r>
      <w:r>
        <w:rPr>
          <w:rFonts w:hint="eastAsia" w:ascii="Times New Roman" w:hAnsi="Times New Roman" w:cs="Times New Roman"/>
          <w:szCs w:val="21"/>
        </w:rPr>
        <w:t>2.2 m/s的风速下，气云在泄漏初期，表现出很强的横向扩散能力，5 s时，横向扩散距离为</w:t>
      </w:r>
      <w:r>
        <w:rPr>
          <w:rFonts w:hint="eastAsia" w:ascii="Times New Roman" w:hAnsi="Times New Roman" w:cs="Times New Roman"/>
          <w:szCs w:val="21"/>
          <w:lang w:val="en-US" w:eastAsia="zh-CN"/>
        </w:rPr>
        <w:t>28</w:t>
      </w:r>
      <w:r>
        <w:rPr>
          <w:rFonts w:hint="eastAsia" w:ascii="Times New Roman" w:hAnsi="Times New Roman" w:cs="Times New Roman"/>
          <w:szCs w:val="21"/>
        </w:rPr>
        <w:t xml:space="preserve"> m，下风方向扩散至1</w:t>
      </w:r>
      <w:r>
        <w:rPr>
          <w:rFonts w:hint="eastAsia" w:ascii="Times New Roman" w:hAnsi="Times New Roman" w:cs="Times New Roman"/>
          <w:szCs w:val="21"/>
          <w:lang w:val="en-US" w:eastAsia="zh-CN"/>
        </w:rPr>
        <w:t xml:space="preserve">4 </w:t>
      </w:r>
      <w:r>
        <w:rPr>
          <w:rFonts w:hint="eastAsia" w:ascii="Times New Roman" w:hAnsi="Times New Roman" w:cs="Times New Roman"/>
          <w:szCs w:val="21"/>
        </w:rPr>
        <w:t>m。在中期扩散阶段（5~20 s），随着泄漏时间的推移，下风方向扩散距离持续增加，近地面横向距离呈现递减的趋势，远端气云受热稀释，气云高度快速上升。后期衰减阶段（20 s后）储罐内液氢量减少导致泄漏速率下降，可燃气云范围逐渐减小。此外，风速增加至</w:t>
      </w:r>
      <w:r>
        <w:rPr>
          <w:rFonts w:hint="eastAsia" w:ascii="Times New Roman" w:hAnsi="Times New Roman" w:cs="Times New Roman"/>
          <w:szCs w:val="21"/>
          <w:lang w:val="en-US" w:eastAsia="zh-CN"/>
        </w:rPr>
        <w:t>4</w:t>
      </w:r>
      <w:r>
        <w:rPr>
          <w:rFonts w:hint="eastAsia" w:ascii="Times New Roman" w:hAnsi="Times New Roman" w:cs="Times New Roman"/>
          <w:szCs w:val="21"/>
        </w:rPr>
        <w:t xml:space="preserve"> m/s时，泄漏初期，可燃云的近地面横向扩散距离持续增长，10 s时为</w:t>
      </w:r>
      <w:r>
        <w:rPr>
          <w:rFonts w:hint="eastAsia" w:ascii="Times New Roman" w:hAnsi="Times New Roman" w:cs="Times New Roman"/>
          <w:szCs w:val="21"/>
          <w:lang w:val="en-US" w:eastAsia="zh-CN"/>
        </w:rPr>
        <w:t>26</w:t>
      </w:r>
      <w:r>
        <w:rPr>
          <w:rFonts w:hint="eastAsia" w:ascii="Times New Roman" w:hAnsi="Times New Roman" w:cs="Times New Roman"/>
          <w:szCs w:val="21"/>
        </w:rPr>
        <w:t xml:space="preserve"> m，10 s后呈现出衰减的趋势。这表明，较高风速下，可燃云横向扩散的影响持续时间延长，并且垂直扩散受到抑制，顺风扩散显著增大，地面影响范围扩大。预测的可燃氢云的空间分布变化证实，在测试的风速下，气云的横向扩散均不足以对建筑设施2造成影响，并且可燃云未到达下风方向的发射</w:t>
      </w:r>
      <w:r>
        <w:rPr>
          <w:rFonts w:hint="eastAsia" w:ascii="Times New Roman" w:hAnsi="Times New Roman" w:cs="Times New Roman"/>
          <w:szCs w:val="21"/>
          <w:lang w:val="en-US" w:eastAsia="zh-CN"/>
        </w:rPr>
        <w:t>塔</w:t>
      </w:r>
      <w:r>
        <w:rPr>
          <w:rFonts w:hint="eastAsia" w:ascii="Times New Roman" w:hAnsi="Times New Roman" w:cs="Times New Roman"/>
          <w:szCs w:val="21"/>
        </w:rPr>
        <w:t>便因自扩散而消散。</w:t>
      </w:r>
    </w:p>
    <w:p w14:paraId="7A55419A">
      <w:pPr>
        <w:widowControl/>
        <w:spacing w:line="240" w:lineRule="atLeast"/>
        <w:ind w:firstLine="0"/>
        <w:rPr>
          <w:rFonts w:hint="eastAsia" w:ascii="Times New Roman" w:hAnsi="Times New Roman" w:cs="Times New Roman" w:eastAsiaTheme="minorEastAsia"/>
          <w:szCs w:val="21"/>
          <w:lang w:eastAsia="zh-CN"/>
        </w:rPr>
      </w:pPr>
      <w:r>
        <w:rPr>
          <w:rFonts w:hint="eastAsia" w:ascii="Times New Roman" w:hAnsi="Times New Roman" w:cs="Times New Roman" w:eastAsiaTheme="minorEastAsia"/>
          <w:szCs w:val="21"/>
          <w:lang w:eastAsia="zh-CN"/>
        </w:rPr>
        <w:drawing>
          <wp:inline distT="0" distB="0" distL="114300" distR="114300">
            <wp:extent cx="2935605" cy="4199255"/>
            <wp:effectExtent l="0" t="0" r="5715" b="6985"/>
            <wp:docPr id="1" name="图片 1" descr="8d11922aac520a91a3aea52f42541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d11922aac520a91a3aea52f425417a"/>
                    <pic:cNvPicPr>
                      <a:picLocks noChangeAspect="1"/>
                    </pic:cNvPicPr>
                  </pic:nvPicPr>
                  <pic:blipFill>
                    <a:blip r:embed="rId10"/>
                    <a:stretch>
                      <a:fillRect/>
                    </a:stretch>
                  </pic:blipFill>
                  <pic:spPr>
                    <a:xfrm>
                      <a:off x="0" y="0"/>
                      <a:ext cx="2935605" cy="4199255"/>
                    </a:xfrm>
                    <a:prstGeom prst="rect">
                      <a:avLst/>
                    </a:prstGeom>
                  </pic:spPr>
                </pic:pic>
              </a:graphicData>
            </a:graphic>
          </wp:inline>
        </w:drawing>
      </w:r>
    </w:p>
    <w:p w14:paraId="5571E9D0">
      <w:pPr>
        <w:widowControl/>
        <w:spacing w:line="240" w:lineRule="atLeast"/>
        <w:ind w:firstLine="0"/>
        <w:jc w:val="center"/>
        <w:rPr>
          <w:rFonts w:hint="eastAsia" w:ascii="Times New Roman" w:hAnsi="Times New Roman" w:cs="Times New Roman" w:eastAsiaTheme="minorEastAsia"/>
          <w:szCs w:val="21"/>
          <w:lang w:eastAsia="zh-CN"/>
        </w:rPr>
      </w:pPr>
      <w:r>
        <w:rPr>
          <w:rFonts w:hint="eastAsia" w:ascii="Times New Roman" w:hAnsi="Times New Roman" w:cs="Times New Roman"/>
          <w:szCs w:val="21"/>
        </w:rPr>
        <w:t>图</w:t>
      </w:r>
      <w:r>
        <w:rPr>
          <w:rFonts w:hint="eastAsia" w:ascii="Times New Roman" w:hAnsi="Times New Roman" w:cs="Times New Roman"/>
          <w:szCs w:val="21"/>
          <w:lang w:val="en-US" w:eastAsia="zh-CN"/>
        </w:rPr>
        <w:t>6</w:t>
      </w:r>
      <w:r>
        <w:rPr>
          <w:rFonts w:hint="eastAsia" w:ascii="Times New Roman" w:hAnsi="Times New Roman" w:cs="Times New Roman"/>
          <w:szCs w:val="21"/>
        </w:rPr>
        <w:t xml:space="preserve"> 可燃氢云的等值面图</w:t>
      </w:r>
    </w:p>
    <w:p w14:paraId="0E1A8BF0">
      <w:pPr>
        <w:widowControl/>
        <w:spacing w:line="240" w:lineRule="atLeast"/>
        <w:outlineLvl w:val="1"/>
        <w:rPr>
          <w:rFonts w:ascii="Times New Roman" w:hAnsi="Times New Roman" w:eastAsia="宋体" w:cs="Times New Roman"/>
          <w:b/>
          <w:kern w:val="0"/>
          <w:szCs w:val="21"/>
        </w:rPr>
      </w:pPr>
      <w:r>
        <w:rPr>
          <w:rFonts w:hint="eastAsia" w:ascii="Times New Roman" w:hAnsi="Times New Roman" w:eastAsia="宋体" w:cs="Times New Roman"/>
          <w:b/>
          <w:kern w:val="0"/>
          <w:szCs w:val="21"/>
        </w:rPr>
        <w:t>2.3</w:t>
      </w:r>
      <w:r>
        <w:rPr>
          <w:rFonts w:hint="eastAsia" w:ascii="Times New Roman" w:hAnsi="Times New Roman" w:eastAsia="宋体" w:cs="Times New Roman"/>
          <w:b/>
          <w:kern w:val="0"/>
          <w:szCs w:val="21"/>
          <w:lang w:val="en-US" w:eastAsia="zh-CN"/>
        </w:rPr>
        <w:t xml:space="preserve"> </w:t>
      </w:r>
      <w:r>
        <w:rPr>
          <w:rFonts w:hint="eastAsia" w:ascii="Times New Roman" w:hAnsi="Times New Roman" w:eastAsia="宋体" w:cs="Times New Roman"/>
          <w:b/>
          <w:kern w:val="0"/>
          <w:szCs w:val="21"/>
        </w:rPr>
        <w:t>不同情形下扩散行为与安全分析</w:t>
      </w:r>
    </w:p>
    <w:p w14:paraId="0B2FA8E3">
      <w:pPr>
        <w:widowControl/>
        <w:spacing w:line="240" w:lineRule="atLeast"/>
        <w:ind w:firstLine="420"/>
        <w:rPr>
          <w:rFonts w:hint="eastAsia" w:ascii="Times New Roman" w:hAnsi="Times New Roman" w:cs="Times New Roman"/>
          <w:szCs w:val="21"/>
        </w:rPr>
      </w:pPr>
      <w:r>
        <w:rPr>
          <w:rFonts w:hint="eastAsia" w:ascii="Times New Roman" w:hAnsi="Times New Roman" w:cs="Times New Roman"/>
          <w:szCs w:val="21"/>
        </w:rPr>
        <w:t>在本节中，为预测氢气云及其</w:t>
      </w:r>
      <w:r>
        <w:rPr>
          <w:rFonts w:hint="eastAsia" w:ascii="Times New Roman" w:hAnsi="Times New Roman" w:cs="Times New Roman"/>
          <w:szCs w:val="21"/>
          <w:lang w:val="en-US" w:eastAsia="zh-CN"/>
        </w:rPr>
        <w:t>可</w:t>
      </w:r>
      <w:r>
        <w:rPr>
          <w:rFonts w:hint="eastAsia" w:ascii="Times New Roman" w:hAnsi="Times New Roman" w:cs="Times New Roman"/>
          <w:szCs w:val="21"/>
        </w:rPr>
        <w:t>燃浓度到达库区周围各建筑设施的最短时间，并探究库区</w:t>
      </w:r>
      <w:r>
        <w:rPr>
          <w:rFonts w:hint="eastAsia" w:ascii="Times New Roman" w:hAnsi="Times New Roman" w:cs="Times New Roman"/>
          <w:szCs w:val="21"/>
          <w:lang w:val="en-US" w:eastAsia="zh-CN"/>
        </w:rPr>
        <w:t>顶部受限</w:t>
      </w:r>
      <w:r>
        <w:rPr>
          <w:rFonts w:hint="eastAsia" w:ascii="Times New Roman" w:hAnsi="Times New Roman" w:cs="Times New Roman"/>
          <w:szCs w:val="21"/>
        </w:rPr>
        <w:t>、太阳辐照对氢蒸气云分布范围</w:t>
      </w:r>
      <w:r>
        <w:rPr>
          <w:rFonts w:hint="eastAsia" w:ascii="Times New Roman" w:hAnsi="Times New Roman" w:cs="Times New Roman"/>
          <w:szCs w:val="21"/>
          <w:lang w:val="en-US" w:eastAsia="zh-CN"/>
        </w:rPr>
        <w:t>的影响</w:t>
      </w:r>
      <w:r>
        <w:rPr>
          <w:rFonts w:hint="eastAsia" w:ascii="Times New Roman" w:hAnsi="Times New Roman" w:cs="Times New Roman"/>
          <w:szCs w:val="21"/>
        </w:rPr>
        <w:t>以及可能造成的潜在安全风险，设置了三个案例进行对比分析：案例0（基准</w:t>
      </w:r>
      <w:r>
        <w:rPr>
          <w:rFonts w:hint="eastAsia" w:ascii="Times New Roman" w:hAnsi="Times New Roman" w:cs="Times New Roman"/>
          <w:szCs w:val="21"/>
          <w:lang w:val="en-US" w:eastAsia="zh-CN"/>
        </w:rPr>
        <w:t>工</w:t>
      </w:r>
      <w:r>
        <w:rPr>
          <w:rFonts w:hint="eastAsia" w:ascii="Times New Roman" w:hAnsi="Times New Roman" w:cs="Times New Roman"/>
          <w:szCs w:val="21"/>
        </w:rPr>
        <w:t>况）采用前述定义的</w:t>
      </w:r>
      <w:r>
        <w:rPr>
          <w:rFonts w:hint="eastAsia" w:ascii="Times New Roman" w:hAnsi="Times New Roman" w:cs="Times New Roman"/>
          <w:szCs w:val="21"/>
          <w:lang w:val="en-US" w:eastAsia="zh-CN"/>
        </w:rPr>
        <w:t>扩散模型</w:t>
      </w:r>
      <w:r>
        <w:rPr>
          <w:rFonts w:hint="eastAsia" w:ascii="Times New Roman" w:hAnsi="Times New Roman" w:cs="Times New Roman"/>
          <w:szCs w:val="21"/>
        </w:rPr>
        <w:t>设置，风速设置为</w:t>
      </w:r>
      <w:r>
        <w:rPr>
          <w:rFonts w:hint="eastAsia" w:ascii="Times New Roman" w:hAnsi="Times New Roman" w:cs="Times New Roman"/>
          <w:szCs w:val="21"/>
          <w:lang w:val="en-US" w:eastAsia="zh-CN"/>
        </w:rPr>
        <w:t>8</w:t>
      </w:r>
      <w:r>
        <w:rPr>
          <w:rFonts w:hint="eastAsia" w:ascii="Times New Roman" w:hAnsi="Times New Roman" w:cs="Times New Roman"/>
          <w:szCs w:val="21"/>
        </w:rPr>
        <w:t xml:space="preserve"> m/s；案例1保持基准条件不变，于10 m高度处增设20 m</w:t>
      </w:r>
      <w:r>
        <w:rPr>
          <w:rFonts w:ascii="Times New Roman" w:hAnsi="Times New Roman" w:cs="Arial"/>
          <w:szCs w:val="21"/>
        </w:rPr>
        <w:t>×</w:t>
      </w:r>
      <w:r>
        <w:rPr>
          <w:rFonts w:hint="eastAsia" w:ascii="Times New Roman" w:hAnsi="Times New Roman" w:cs="Times New Roman"/>
          <w:szCs w:val="21"/>
        </w:rPr>
        <w:t>20 m的天花板结构；案例2则引入当地夏至日太阳辐照条件（地面热辐射通量99.8967 W/m</w:t>
      </w:r>
      <w:r>
        <w:rPr>
          <w:rFonts w:hint="eastAsia" w:ascii="Times New Roman" w:hAnsi="Times New Roman" w:cs="Times New Roman"/>
          <w:szCs w:val="21"/>
          <w:vertAlign w:val="superscript"/>
          <w:lang w:val="en-US" w:eastAsia="zh-CN"/>
        </w:rPr>
        <w:t>2</w:t>
      </w:r>
      <w:r>
        <w:rPr>
          <w:rFonts w:hint="eastAsia" w:ascii="Times New Roman" w:hAnsi="Times New Roman" w:cs="Times New Roman"/>
          <w:szCs w:val="21"/>
        </w:rPr>
        <w:t>）。</w:t>
      </w:r>
    </w:p>
    <w:p w14:paraId="4F5453A7">
      <w:pPr>
        <w:widowControl/>
        <w:spacing w:line="240" w:lineRule="atLeast"/>
        <w:ind w:firstLine="420"/>
        <w:rPr>
          <w:rFonts w:ascii="Times New Roman" w:hAnsi="Times New Roman" w:cs="Times New Roman"/>
          <w:szCs w:val="21"/>
        </w:rPr>
      </w:pPr>
      <w:r>
        <w:rPr>
          <w:rFonts w:hint="eastAsia" w:ascii="Times New Roman" w:hAnsi="Times New Roman" w:cs="Times New Roman"/>
          <w:szCs w:val="21"/>
        </w:rPr>
        <w:t>表</w:t>
      </w:r>
      <w:r>
        <w:rPr>
          <w:rFonts w:hint="eastAsia" w:ascii="Times New Roman" w:hAnsi="Times New Roman" w:cs="Times New Roman"/>
          <w:szCs w:val="21"/>
          <w:lang w:val="en-US" w:eastAsia="zh-CN"/>
        </w:rPr>
        <w:t>3</w:t>
      </w:r>
      <w:r>
        <w:rPr>
          <w:rFonts w:hint="eastAsia" w:ascii="Times New Roman" w:hAnsi="Times New Roman" w:cs="Times New Roman"/>
          <w:szCs w:val="21"/>
        </w:rPr>
        <w:t>列出了不同案例下氢气云到达各建筑设施中心1.5 m高度处的最短时间。结果显示，天花板的</w:t>
      </w:r>
      <w:r>
        <w:rPr>
          <w:rFonts w:hint="eastAsia" w:ascii="Times New Roman" w:hAnsi="Times New Roman" w:cs="Times New Roman"/>
          <w:szCs w:val="21"/>
          <w:lang w:val="en-US" w:eastAsia="zh-CN"/>
        </w:rPr>
        <w:t>遮挡</w:t>
      </w:r>
      <w:r>
        <w:rPr>
          <w:rFonts w:hint="eastAsia" w:ascii="Times New Roman" w:hAnsi="Times New Roman" w:cs="Times New Roman"/>
          <w:szCs w:val="21"/>
        </w:rPr>
        <w:t>使氢气云到达近场建筑的时间延迟</w:t>
      </w:r>
      <w:r>
        <w:rPr>
          <w:rFonts w:hint="eastAsia" w:ascii="Times New Roman" w:hAnsi="Times New Roman" w:cs="Times New Roman"/>
          <w:szCs w:val="21"/>
          <w:lang w:val="en-US" w:eastAsia="zh-CN"/>
        </w:rPr>
        <w:t>6.78</w:t>
      </w:r>
      <w:r>
        <w:rPr>
          <w:rFonts w:hint="eastAsia" w:ascii="Times New Roman" w:hAnsi="Times New Roman" w:cs="Times New Roman"/>
          <w:szCs w:val="21"/>
        </w:rPr>
        <w:t>%~</w:t>
      </w:r>
      <w:r>
        <w:rPr>
          <w:rFonts w:hint="eastAsia" w:ascii="Times New Roman" w:hAnsi="Times New Roman" w:cs="Times New Roman"/>
          <w:szCs w:val="21"/>
          <w:lang w:val="en-US" w:eastAsia="zh-CN"/>
        </w:rPr>
        <w:t>7.91</w:t>
      </w:r>
      <w:r>
        <w:rPr>
          <w:rFonts w:hint="eastAsia" w:ascii="Times New Roman" w:hAnsi="Times New Roman" w:cs="Times New Roman"/>
          <w:szCs w:val="21"/>
        </w:rPr>
        <w:t>%，中距离建筑时间变化趋缓，到达建筑设施6的时间，表现为意外缩短</w:t>
      </w:r>
      <w:r>
        <w:rPr>
          <w:rFonts w:hint="eastAsia" w:ascii="Times New Roman" w:hAnsi="Times New Roman" w:cs="Times New Roman"/>
          <w:szCs w:val="21"/>
          <w:lang w:val="en-US" w:eastAsia="zh-CN"/>
        </w:rPr>
        <w:t>2.59</w:t>
      </w:r>
      <w:r>
        <w:rPr>
          <w:rFonts w:hint="eastAsia" w:ascii="Times New Roman" w:hAnsi="Times New Roman" w:cs="Times New Roman"/>
          <w:szCs w:val="21"/>
        </w:rPr>
        <w:t>%。这表明，天花板对氢气云初期扩散具有阻滞作用。而太阳辐照对氢气云到达</w:t>
      </w:r>
      <w:r>
        <w:rPr>
          <w:rFonts w:hint="eastAsia" w:ascii="Times New Roman" w:hAnsi="Times New Roman" w:cs="Times New Roman"/>
          <w:szCs w:val="21"/>
          <w:lang w:val="en-US" w:eastAsia="zh-CN"/>
        </w:rPr>
        <w:t>建筑设施2</w:t>
      </w:r>
      <w:r>
        <w:rPr>
          <w:rFonts w:hint="eastAsia" w:ascii="Times New Roman" w:hAnsi="Times New Roman" w:cs="Times New Roman"/>
          <w:szCs w:val="21"/>
        </w:rPr>
        <w:t>的时间几乎无影响，到达</w:t>
      </w:r>
      <w:r>
        <w:rPr>
          <w:rFonts w:hint="eastAsia" w:ascii="Times New Roman" w:hAnsi="Times New Roman" w:cs="Times New Roman"/>
          <w:szCs w:val="21"/>
          <w:lang w:val="en-US" w:eastAsia="zh-CN"/>
        </w:rPr>
        <w:t>其余各</w:t>
      </w:r>
      <w:r>
        <w:rPr>
          <w:rFonts w:hint="eastAsia" w:ascii="Times New Roman" w:hAnsi="Times New Roman" w:cs="Times New Roman"/>
          <w:szCs w:val="21"/>
        </w:rPr>
        <w:t>建筑的时间延迟</w:t>
      </w:r>
      <w:r>
        <w:rPr>
          <w:rFonts w:hint="eastAsia" w:ascii="Times New Roman" w:hAnsi="Times New Roman" w:cs="Times New Roman"/>
          <w:szCs w:val="21"/>
          <w:lang w:val="en-US" w:eastAsia="zh-CN"/>
        </w:rPr>
        <w:t>1.24</w:t>
      </w:r>
      <w:r>
        <w:rPr>
          <w:rFonts w:hint="eastAsia" w:ascii="Times New Roman" w:hAnsi="Times New Roman" w:cs="Times New Roman"/>
          <w:szCs w:val="21"/>
        </w:rPr>
        <w:t>%~</w:t>
      </w:r>
      <w:r>
        <w:rPr>
          <w:rFonts w:hint="eastAsia" w:ascii="Times New Roman" w:hAnsi="Times New Roman" w:cs="Times New Roman"/>
          <w:szCs w:val="21"/>
          <w:lang w:val="en-US" w:eastAsia="zh-CN"/>
        </w:rPr>
        <w:t>4.60</w:t>
      </w:r>
      <w:r>
        <w:rPr>
          <w:rFonts w:hint="eastAsia" w:ascii="Times New Roman" w:hAnsi="Times New Roman" w:cs="Times New Roman"/>
          <w:szCs w:val="21"/>
        </w:rPr>
        <w:t>%，这归因于太阳辐照对</w:t>
      </w:r>
      <w:r>
        <w:rPr>
          <w:rFonts w:hint="eastAsia" w:ascii="Times New Roman" w:hAnsi="Times New Roman" w:cs="Times New Roman"/>
          <w:szCs w:val="21"/>
          <w:lang w:val="en-US" w:eastAsia="zh-CN"/>
        </w:rPr>
        <w:t>远端</w:t>
      </w:r>
      <w:r>
        <w:rPr>
          <w:rFonts w:hint="eastAsia" w:ascii="Times New Roman" w:hAnsi="Times New Roman" w:cs="Times New Roman"/>
          <w:szCs w:val="21"/>
        </w:rPr>
        <w:t>氢气云的加热效果更显著，体现了热浮力对气云扩散的促进作用，侧面反映出天气条件对氢气云扩散的影响机制。因此，近场应急响应需考虑</w:t>
      </w:r>
      <w:r>
        <w:rPr>
          <w:rFonts w:hint="eastAsia" w:ascii="Times New Roman" w:hAnsi="Times New Roman" w:cs="Times New Roman"/>
          <w:szCs w:val="21"/>
          <w:lang w:val="en-US" w:eastAsia="zh-CN"/>
        </w:rPr>
        <w:t>顶部受限</w:t>
      </w:r>
      <w:r>
        <w:rPr>
          <w:rFonts w:hint="eastAsia" w:ascii="Times New Roman" w:hAnsi="Times New Roman" w:cs="Times New Roman"/>
          <w:szCs w:val="21"/>
        </w:rPr>
        <w:t>导致的</w:t>
      </w:r>
      <w:r>
        <w:rPr>
          <w:rFonts w:hint="eastAsia" w:ascii="Times New Roman" w:hAnsi="Times New Roman" w:cs="Times New Roman"/>
          <w:szCs w:val="21"/>
          <w:lang w:val="en-US" w:eastAsia="zh-CN"/>
        </w:rPr>
        <w:t>7</w:t>
      </w:r>
      <w:r>
        <w:rPr>
          <w:rFonts w:hint="eastAsia" w:ascii="Times New Roman" w:hAnsi="Times New Roman" w:cs="Times New Roman"/>
          <w:szCs w:val="21"/>
        </w:rPr>
        <w:t>%时间裕度，远场监测应关注太阳辐照带来的</w:t>
      </w:r>
      <w:r>
        <w:rPr>
          <w:rFonts w:hint="eastAsia" w:ascii="Times New Roman" w:hAnsi="Times New Roman" w:cs="Times New Roman"/>
          <w:szCs w:val="21"/>
          <w:lang w:val="en-US" w:eastAsia="zh-CN"/>
        </w:rPr>
        <w:t>3</w:t>
      </w:r>
      <w:r>
        <w:rPr>
          <w:rFonts w:hint="eastAsia" w:ascii="Times New Roman" w:hAnsi="Times New Roman" w:cs="Times New Roman"/>
          <w:szCs w:val="21"/>
        </w:rPr>
        <w:t>%时间延迟。</w:t>
      </w:r>
    </w:p>
    <w:p w14:paraId="14CB58D7">
      <w:pPr>
        <w:widowControl/>
        <w:spacing w:line="240" w:lineRule="atLeast"/>
        <w:ind w:firstLine="420"/>
        <w:jc w:val="center"/>
        <w:rPr>
          <w:rFonts w:ascii="Times New Roman" w:hAnsi="Times New Roman" w:eastAsia="宋体" w:cs="Times New Roman"/>
          <w:b/>
          <w:szCs w:val="21"/>
        </w:rPr>
      </w:pPr>
      <w:r>
        <w:rPr>
          <w:rFonts w:ascii="Times New Roman" w:hAnsi="Times New Roman" w:eastAsia="宋体" w:cs="Times New Roman"/>
          <w:szCs w:val="21"/>
        </w:rPr>
        <w:t>表</w:t>
      </w:r>
      <w:r>
        <w:rPr>
          <w:rFonts w:hint="eastAsia" w:ascii="Times New Roman" w:hAnsi="Times New Roman" w:eastAsia="宋体" w:cs="Times New Roman"/>
          <w:szCs w:val="21"/>
          <w:lang w:val="en-US" w:eastAsia="zh-CN"/>
        </w:rPr>
        <w:t>3</w:t>
      </w:r>
      <w:r>
        <w:rPr>
          <w:rFonts w:ascii="Times New Roman" w:hAnsi="Times New Roman" w:eastAsia="宋体" w:cs="Times New Roman"/>
          <w:szCs w:val="21"/>
        </w:rPr>
        <w:t xml:space="preserve"> </w:t>
      </w:r>
      <w:r>
        <w:rPr>
          <w:rFonts w:hint="eastAsia" w:ascii="Times New Roman" w:hAnsi="Times New Roman" w:eastAsia="宋体" w:cs="Times New Roman"/>
          <w:szCs w:val="21"/>
        </w:rPr>
        <w:t>氢气云到达各建筑设施的最短时间</w:t>
      </w:r>
      <w:r>
        <w:rPr>
          <w:rFonts w:hint="eastAsia" w:ascii="Times New Roman" w:hAnsi="Times New Roman" w:eastAsia="宋体" w:cs="Times New Roman"/>
          <w:szCs w:val="21"/>
          <w:lang w:val="en-US" w:eastAsia="zh-CN"/>
        </w:rPr>
        <w:t xml:space="preserve">   s</w:t>
      </w:r>
      <w:r>
        <w:rPr>
          <w:rFonts w:ascii="Times New Roman" w:hAnsi="Times New Roman" w:eastAsia="宋体" w:cs="Times New Roman"/>
          <w:b/>
          <w:szCs w:val="21"/>
        </w:rPr>
        <w:t xml:space="preserve">   </w:t>
      </w:r>
    </w:p>
    <w:tbl>
      <w:tblPr>
        <w:tblStyle w:val="14"/>
        <w:tblW w:w="4990" w:type="pct"/>
        <w:jc w:val="center"/>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776"/>
        <w:gridCol w:w="937"/>
        <w:gridCol w:w="1574"/>
        <w:gridCol w:w="1553"/>
      </w:tblGrid>
      <w:tr w14:paraId="195D6FCF">
        <w:trPr>
          <w:tblHeader/>
          <w:jc w:val="center"/>
        </w:trPr>
        <w:tc>
          <w:tcPr>
            <w:tcW w:w="801" w:type="pct"/>
            <w:tcBorders>
              <w:top w:val="single" w:color="auto" w:sz="12" w:space="0"/>
              <w:bottom w:val="single" w:color="auto" w:sz="4" w:space="0"/>
            </w:tcBorders>
            <w:vAlign w:val="center"/>
          </w:tcPr>
          <w:p w14:paraId="581BE275">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建筑</w:t>
            </w:r>
          </w:p>
        </w:tc>
        <w:tc>
          <w:tcPr>
            <w:tcW w:w="968" w:type="pct"/>
            <w:tcBorders>
              <w:top w:val="single" w:color="auto" w:sz="12" w:space="0"/>
              <w:bottom w:val="single" w:color="auto" w:sz="4" w:space="0"/>
            </w:tcBorders>
            <w:vAlign w:val="center"/>
          </w:tcPr>
          <w:p w14:paraId="40CB7EBE">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案例0</w:t>
            </w:r>
          </w:p>
        </w:tc>
        <w:tc>
          <w:tcPr>
            <w:tcW w:w="1625" w:type="pct"/>
            <w:tcBorders>
              <w:top w:val="single" w:color="auto" w:sz="12" w:space="0"/>
              <w:bottom w:val="single" w:color="auto" w:sz="4" w:space="0"/>
            </w:tcBorders>
            <w:vAlign w:val="center"/>
          </w:tcPr>
          <w:p w14:paraId="59CA0980">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案例1</w:t>
            </w:r>
          </w:p>
        </w:tc>
        <w:tc>
          <w:tcPr>
            <w:tcW w:w="1604" w:type="pct"/>
            <w:tcBorders>
              <w:top w:val="single" w:color="auto" w:sz="12" w:space="0"/>
              <w:bottom w:val="single" w:color="auto" w:sz="4" w:space="0"/>
            </w:tcBorders>
            <w:vAlign w:val="center"/>
          </w:tcPr>
          <w:p w14:paraId="36DB6278">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案例2</w:t>
            </w:r>
          </w:p>
        </w:tc>
      </w:tr>
      <w:tr w14:paraId="4D22F14C">
        <w:trPr>
          <w:jc w:val="center"/>
        </w:trPr>
        <w:tc>
          <w:tcPr>
            <w:tcW w:w="801" w:type="pct"/>
            <w:tcBorders>
              <w:top w:val="nil"/>
              <w:bottom w:val="nil"/>
              <w:right w:val="nil"/>
            </w:tcBorders>
            <w:vAlign w:val="center"/>
          </w:tcPr>
          <w:p w14:paraId="3097265A">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937" w:type="dxa"/>
            <w:tcBorders>
              <w:top w:val="nil"/>
              <w:left w:val="nil"/>
              <w:bottom w:val="nil"/>
              <w:right w:val="nil"/>
            </w:tcBorders>
            <w:vAlign w:val="center"/>
          </w:tcPr>
          <w:p w14:paraId="31A70F7B">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15.00 </w:t>
            </w:r>
          </w:p>
        </w:tc>
        <w:tc>
          <w:tcPr>
            <w:tcW w:w="1574" w:type="dxa"/>
            <w:tcBorders>
              <w:top w:val="nil"/>
              <w:left w:val="nil"/>
              <w:bottom w:val="nil"/>
              <w:right w:val="nil"/>
            </w:tcBorders>
            <w:vAlign w:val="center"/>
          </w:tcPr>
          <w:p w14:paraId="5398452B">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16.02 (+6.78%)</w:t>
            </w:r>
          </w:p>
        </w:tc>
        <w:tc>
          <w:tcPr>
            <w:tcW w:w="1553" w:type="dxa"/>
            <w:tcBorders>
              <w:top w:val="nil"/>
              <w:left w:val="nil"/>
              <w:bottom w:val="nil"/>
              <w:right w:val="nil"/>
            </w:tcBorders>
            <w:vAlign w:val="center"/>
          </w:tcPr>
          <w:p w14:paraId="50C94C7B">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15.01(+0.03%) </w:t>
            </w:r>
          </w:p>
        </w:tc>
      </w:tr>
      <w:tr w14:paraId="3BA51965">
        <w:trPr>
          <w:jc w:val="center"/>
        </w:trPr>
        <w:tc>
          <w:tcPr>
            <w:tcW w:w="801" w:type="pct"/>
            <w:tcBorders>
              <w:top w:val="nil"/>
              <w:bottom w:val="nil"/>
              <w:right w:val="nil"/>
            </w:tcBorders>
            <w:vAlign w:val="center"/>
          </w:tcPr>
          <w:p w14:paraId="508FDADB">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937" w:type="dxa"/>
            <w:tcBorders>
              <w:top w:val="nil"/>
              <w:left w:val="nil"/>
              <w:bottom w:val="nil"/>
              <w:right w:val="nil"/>
            </w:tcBorders>
            <w:vAlign w:val="center"/>
          </w:tcPr>
          <w:p w14:paraId="39CBF321">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25.02 </w:t>
            </w:r>
          </w:p>
        </w:tc>
        <w:tc>
          <w:tcPr>
            <w:tcW w:w="1574" w:type="dxa"/>
            <w:tcBorders>
              <w:top w:val="nil"/>
              <w:left w:val="nil"/>
              <w:bottom w:val="nil"/>
              <w:right w:val="nil"/>
            </w:tcBorders>
            <w:vAlign w:val="center"/>
          </w:tcPr>
          <w:p w14:paraId="32551951">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27.00 (+7.91%)</w:t>
            </w:r>
          </w:p>
        </w:tc>
        <w:tc>
          <w:tcPr>
            <w:tcW w:w="1553" w:type="dxa"/>
            <w:tcBorders>
              <w:top w:val="nil"/>
              <w:left w:val="nil"/>
              <w:bottom w:val="nil"/>
              <w:right w:val="nil"/>
            </w:tcBorders>
            <w:vAlign w:val="center"/>
          </w:tcPr>
          <w:p w14:paraId="0E6A18BF">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26.00(+3.91%) </w:t>
            </w:r>
          </w:p>
        </w:tc>
      </w:tr>
      <w:tr w14:paraId="35C442D1">
        <w:trPr>
          <w:jc w:val="center"/>
        </w:trPr>
        <w:tc>
          <w:tcPr>
            <w:tcW w:w="801" w:type="pct"/>
            <w:tcBorders>
              <w:top w:val="nil"/>
              <w:bottom w:val="nil"/>
              <w:right w:val="nil"/>
            </w:tcBorders>
            <w:vAlign w:val="center"/>
          </w:tcPr>
          <w:p w14:paraId="47CC11FB">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7</w:t>
            </w:r>
          </w:p>
        </w:tc>
        <w:tc>
          <w:tcPr>
            <w:tcW w:w="937" w:type="dxa"/>
            <w:tcBorders>
              <w:top w:val="nil"/>
              <w:left w:val="nil"/>
              <w:bottom w:val="nil"/>
              <w:right w:val="nil"/>
            </w:tcBorders>
            <w:vAlign w:val="center"/>
          </w:tcPr>
          <w:p w14:paraId="7ADA9F4D">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43.04 </w:t>
            </w:r>
          </w:p>
        </w:tc>
        <w:tc>
          <w:tcPr>
            <w:tcW w:w="1574" w:type="dxa"/>
            <w:tcBorders>
              <w:top w:val="nil"/>
              <w:left w:val="nil"/>
              <w:bottom w:val="nil"/>
              <w:right w:val="nil"/>
            </w:tcBorders>
            <w:vAlign w:val="center"/>
          </w:tcPr>
          <w:p w14:paraId="004745BC">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43.51 (+1.11%)</w:t>
            </w:r>
          </w:p>
        </w:tc>
        <w:tc>
          <w:tcPr>
            <w:tcW w:w="1553" w:type="dxa"/>
            <w:tcBorders>
              <w:top w:val="nil"/>
              <w:left w:val="nil"/>
              <w:bottom w:val="nil"/>
              <w:right w:val="nil"/>
            </w:tcBorders>
            <w:vAlign w:val="center"/>
          </w:tcPr>
          <w:p w14:paraId="4417C30C">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45.02(+4.60%) </w:t>
            </w:r>
          </w:p>
        </w:tc>
      </w:tr>
      <w:tr w14:paraId="683F2F16">
        <w:trPr>
          <w:jc w:val="center"/>
        </w:trPr>
        <w:tc>
          <w:tcPr>
            <w:tcW w:w="801" w:type="pct"/>
            <w:tcBorders>
              <w:top w:val="nil"/>
              <w:bottom w:val="nil"/>
              <w:right w:val="nil"/>
            </w:tcBorders>
            <w:vAlign w:val="center"/>
          </w:tcPr>
          <w:p w14:paraId="45440B3D">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937" w:type="dxa"/>
            <w:tcBorders>
              <w:top w:val="nil"/>
              <w:left w:val="nil"/>
              <w:bottom w:val="nil"/>
              <w:right w:val="nil"/>
            </w:tcBorders>
            <w:vAlign w:val="center"/>
          </w:tcPr>
          <w:p w14:paraId="5E700FA8">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61.03 </w:t>
            </w:r>
          </w:p>
        </w:tc>
        <w:tc>
          <w:tcPr>
            <w:tcW w:w="1574" w:type="dxa"/>
            <w:tcBorders>
              <w:top w:val="nil"/>
              <w:left w:val="nil"/>
              <w:bottom w:val="nil"/>
              <w:right w:val="nil"/>
            </w:tcBorders>
            <w:vAlign w:val="center"/>
          </w:tcPr>
          <w:p w14:paraId="189BC11B">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62.01 (+1.61%)</w:t>
            </w:r>
          </w:p>
        </w:tc>
        <w:tc>
          <w:tcPr>
            <w:tcW w:w="1553" w:type="dxa"/>
            <w:tcBorders>
              <w:top w:val="nil"/>
              <w:left w:val="nil"/>
              <w:bottom w:val="nil"/>
              <w:right w:val="nil"/>
            </w:tcBorders>
            <w:vAlign w:val="center"/>
          </w:tcPr>
          <w:p w14:paraId="672BFDF0">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62.00(+1.60%) </w:t>
            </w:r>
          </w:p>
        </w:tc>
      </w:tr>
      <w:tr w14:paraId="774C6515">
        <w:trPr>
          <w:jc w:val="center"/>
        </w:trPr>
        <w:tc>
          <w:tcPr>
            <w:tcW w:w="801" w:type="pct"/>
            <w:tcBorders>
              <w:top w:val="nil"/>
              <w:bottom w:val="nil"/>
              <w:right w:val="nil"/>
            </w:tcBorders>
            <w:vAlign w:val="center"/>
          </w:tcPr>
          <w:p w14:paraId="5AFE5694">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5</w:t>
            </w:r>
          </w:p>
        </w:tc>
        <w:tc>
          <w:tcPr>
            <w:tcW w:w="937" w:type="dxa"/>
            <w:tcBorders>
              <w:top w:val="nil"/>
              <w:left w:val="nil"/>
              <w:bottom w:val="nil"/>
              <w:right w:val="nil"/>
            </w:tcBorders>
            <w:vAlign w:val="center"/>
          </w:tcPr>
          <w:p w14:paraId="6A4C41B5">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67.03 </w:t>
            </w:r>
          </w:p>
        </w:tc>
        <w:tc>
          <w:tcPr>
            <w:tcW w:w="1574" w:type="dxa"/>
            <w:tcBorders>
              <w:top w:val="nil"/>
              <w:left w:val="nil"/>
              <w:bottom w:val="nil"/>
              <w:right w:val="nil"/>
            </w:tcBorders>
            <w:vAlign w:val="center"/>
          </w:tcPr>
          <w:p w14:paraId="31F5EC21">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67.06 (+0.04%)</w:t>
            </w:r>
          </w:p>
        </w:tc>
        <w:tc>
          <w:tcPr>
            <w:tcW w:w="1553" w:type="dxa"/>
            <w:tcBorders>
              <w:top w:val="nil"/>
              <w:left w:val="nil"/>
              <w:bottom w:val="nil"/>
              <w:right w:val="nil"/>
            </w:tcBorders>
            <w:vAlign w:val="center"/>
          </w:tcPr>
          <w:p w14:paraId="46FAD0D5">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68.50(+2.19%) </w:t>
            </w:r>
          </w:p>
        </w:tc>
      </w:tr>
      <w:tr w14:paraId="2B0DF59F">
        <w:trPr>
          <w:jc w:val="center"/>
        </w:trPr>
        <w:tc>
          <w:tcPr>
            <w:tcW w:w="801" w:type="pct"/>
            <w:tcBorders>
              <w:top w:val="nil"/>
              <w:bottom w:val="single" w:color="auto" w:sz="12" w:space="0"/>
              <w:right w:val="nil"/>
            </w:tcBorders>
            <w:vAlign w:val="center"/>
          </w:tcPr>
          <w:p w14:paraId="48CEC00E">
            <w:pPr>
              <w:spacing w:line="240" w:lineRule="atLeast"/>
              <w:jc w:val="center"/>
              <w:rPr>
                <w:rFonts w:ascii="Times New Roman" w:hAnsi="Times New Roman" w:eastAsia="宋体" w:cs="Times New Roman"/>
                <w:szCs w:val="21"/>
              </w:rPr>
            </w:pPr>
            <w:r>
              <w:rPr>
                <w:rFonts w:hint="eastAsia" w:ascii="Times New Roman" w:hAnsi="Times New Roman" w:eastAsia="宋体" w:cs="Times New Roman"/>
                <w:szCs w:val="21"/>
              </w:rPr>
              <w:t>6</w:t>
            </w:r>
          </w:p>
        </w:tc>
        <w:tc>
          <w:tcPr>
            <w:tcW w:w="937" w:type="dxa"/>
            <w:tcBorders>
              <w:top w:val="nil"/>
              <w:left w:val="nil"/>
              <w:bottom w:val="single" w:color="auto" w:sz="12" w:space="0"/>
              <w:right w:val="nil"/>
            </w:tcBorders>
            <w:vAlign w:val="center"/>
          </w:tcPr>
          <w:p w14:paraId="3EAAA271">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78.03 </w:t>
            </w:r>
          </w:p>
        </w:tc>
        <w:tc>
          <w:tcPr>
            <w:tcW w:w="1574" w:type="dxa"/>
            <w:tcBorders>
              <w:top w:val="nil"/>
              <w:left w:val="nil"/>
              <w:bottom w:val="single" w:color="auto" w:sz="12" w:space="0"/>
              <w:right w:val="nil"/>
            </w:tcBorders>
            <w:vAlign w:val="center"/>
          </w:tcPr>
          <w:p w14:paraId="15B1E63B">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76.01 (-2.59%)</w:t>
            </w:r>
          </w:p>
        </w:tc>
        <w:tc>
          <w:tcPr>
            <w:tcW w:w="1553" w:type="dxa"/>
            <w:tcBorders>
              <w:top w:val="nil"/>
              <w:left w:val="nil"/>
              <w:bottom w:val="single" w:color="auto" w:sz="12" w:space="0"/>
              <w:right w:val="nil"/>
            </w:tcBorders>
            <w:vAlign w:val="center"/>
          </w:tcPr>
          <w:p w14:paraId="6CFBD3EE">
            <w:pPr>
              <w:keepNext w:val="0"/>
              <w:keepLines w:val="0"/>
              <w:widowControl/>
              <w:suppressLineNumbers w:val="0"/>
              <w:spacing w:line="240" w:lineRule="atLeast"/>
              <w:jc w:val="center"/>
              <w:textAlignment w:val="auto"/>
              <w:rPr>
                <w:rFonts w:ascii="Times New Roman" w:hAnsi="Times New Roman" w:eastAsia="宋体" w:cs="Times New Roman"/>
                <w:szCs w:val="21"/>
              </w:rPr>
            </w:pPr>
            <w:r>
              <w:rPr>
                <w:rFonts w:hint="eastAsia" w:ascii="Times New Roman" w:hAnsi="Times New Roman" w:eastAsia="宋体" w:cs="Times New Roman"/>
                <w:i w:val="0"/>
                <w:iCs w:val="0"/>
                <w:kern w:val="2"/>
                <w:sz w:val="21"/>
                <w:szCs w:val="21"/>
                <w:u w:val="none"/>
                <w:lang w:val="en-US" w:eastAsia="zh-CN" w:bidi="ar"/>
              </w:rPr>
              <w:t xml:space="preserve">79.00(+1.24%) </w:t>
            </w:r>
          </w:p>
        </w:tc>
      </w:tr>
    </w:tbl>
    <w:p w14:paraId="14D2F3BE">
      <w:pPr>
        <w:widowControl/>
        <w:spacing w:line="240" w:lineRule="atLeast"/>
        <w:ind w:firstLine="420"/>
        <w:rPr>
          <w:rFonts w:hint="default" w:ascii="Times New Roman" w:hAnsi="Times New Roman" w:cs="Times New Roman"/>
          <w:szCs w:val="21"/>
          <w:lang w:val="en-US"/>
        </w:rPr>
      </w:pPr>
      <w:r>
        <w:rPr>
          <w:rFonts w:hint="eastAsia" w:ascii="Times New Roman" w:hAnsi="Times New Roman" w:cs="Times New Roman"/>
          <w:szCs w:val="21"/>
        </w:rPr>
        <w:t>通过对图7所示</w:t>
      </w:r>
      <w:r>
        <w:rPr>
          <w:rFonts w:hint="eastAsia" w:ascii="Times New Roman" w:hAnsi="Times New Roman" w:cs="Times New Roman"/>
          <w:szCs w:val="21"/>
          <w:lang w:val="en-US" w:eastAsia="zh-CN"/>
        </w:rPr>
        <w:t>不同案例下</w:t>
      </w:r>
      <w:r>
        <w:rPr>
          <w:rFonts w:hint="eastAsia" w:ascii="Times New Roman" w:hAnsi="Times New Roman" w:cs="Times New Roman"/>
          <w:szCs w:val="21"/>
        </w:rPr>
        <w:t>各建筑监测点氢浓度变化</w:t>
      </w:r>
      <w:r>
        <w:rPr>
          <w:rFonts w:hint="eastAsia" w:ascii="Times New Roman" w:hAnsi="Times New Roman" w:cs="Times New Roman"/>
          <w:szCs w:val="21"/>
          <w:lang w:val="en-US" w:eastAsia="zh-CN"/>
        </w:rPr>
        <w:t>进行</w:t>
      </w:r>
      <w:r>
        <w:rPr>
          <w:rFonts w:hint="eastAsia" w:ascii="Times New Roman" w:hAnsi="Times New Roman" w:cs="Times New Roman"/>
          <w:szCs w:val="21"/>
        </w:rPr>
        <w:t>分析，</w:t>
      </w:r>
      <w:r>
        <w:rPr>
          <w:rFonts w:hint="eastAsia" w:ascii="Times New Roman" w:hAnsi="Times New Roman" w:cs="Times New Roman"/>
          <w:szCs w:val="21"/>
          <w:lang w:val="en-US" w:eastAsia="zh-CN"/>
        </w:rPr>
        <w:t>可以发现</w:t>
      </w:r>
      <w:r>
        <w:rPr>
          <w:rFonts w:hint="eastAsia" w:ascii="Times New Roman" w:hAnsi="Times New Roman" w:cs="Times New Roman"/>
          <w:szCs w:val="21"/>
        </w:rPr>
        <w:t>建筑设施2是唯一监测到氢浓度超过</w:t>
      </w:r>
      <w:r>
        <w:rPr>
          <w:rFonts w:hint="eastAsia" w:ascii="Times New Roman" w:hAnsi="Times New Roman" w:cs="Times New Roman"/>
          <w:szCs w:val="21"/>
          <w:lang w:val="en-US" w:eastAsia="zh-CN"/>
        </w:rPr>
        <w:t>可燃浓度下限</w:t>
      </w:r>
      <w:r>
        <w:rPr>
          <w:rFonts w:hint="eastAsia" w:ascii="Times New Roman" w:hAnsi="Times New Roman" w:cs="Times New Roman"/>
          <w:szCs w:val="21"/>
        </w:rPr>
        <w:t>4%的区域。在基准工况下，</w:t>
      </w:r>
      <w:r>
        <w:rPr>
          <w:rFonts w:hint="eastAsia" w:ascii="Times New Roman" w:hAnsi="Times New Roman" w:cs="Times New Roman"/>
          <w:szCs w:val="21"/>
          <w:lang w:val="en-US" w:eastAsia="zh-CN"/>
        </w:rPr>
        <w:t>建筑设施2</w:t>
      </w:r>
      <w:r>
        <w:rPr>
          <w:rFonts w:hint="eastAsia" w:ascii="Times New Roman" w:hAnsi="Times New Roman" w:cs="Times New Roman"/>
          <w:szCs w:val="21"/>
        </w:rPr>
        <w:t>的危险暴露时间为7 s。值得注意的是，天花板遮挡效应和太阳辐射的引入均显著加剧了建筑设施2的安全风险，导致危险暴露时间分别延长至12 s和19</w:t>
      </w:r>
      <w:r>
        <w:rPr>
          <w:rFonts w:hint="eastAsia" w:ascii="Times New Roman" w:hAnsi="Times New Roman" w:cs="Times New Roman"/>
          <w:szCs w:val="21"/>
          <w:lang w:val="en-US" w:eastAsia="zh-CN"/>
        </w:rPr>
        <w:t>.</w:t>
      </w:r>
      <w:r>
        <w:rPr>
          <w:rFonts w:hint="eastAsia" w:ascii="Times New Roman" w:hAnsi="Times New Roman" w:cs="Times New Roman"/>
          <w:szCs w:val="21"/>
        </w:rPr>
        <w:t>5 s。</w:t>
      </w:r>
    </w:p>
    <w:p w14:paraId="77F709FA">
      <w:pPr>
        <w:widowControl/>
        <w:spacing w:line="240" w:lineRule="atLeast"/>
        <w:jc w:val="center"/>
        <w:rPr>
          <w:rFonts w:hint="eastAsia" w:ascii="Times New Roman" w:hAnsi="Times New Roman" w:cs="Times New Roman"/>
          <w:szCs w:val="21"/>
        </w:rPr>
      </w:pPr>
      <w:r>
        <w:rPr>
          <w:rFonts w:ascii="Times New Roman" w:hAnsi="Times New Roman"/>
        </w:rPr>
        <w:drawing>
          <wp:inline distT="0" distB="0" distL="114300" distR="114300">
            <wp:extent cx="2879725" cy="3357880"/>
            <wp:effectExtent l="0" t="0" r="635" b="10160"/>
            <wp:docPr id="4" name="图片 4" descr="Graph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Graph7"/>
                    <pic:cNvPicPr>
                      <a:picLocks noChangeAspect="1"/>
                    </pic:cNvPicPr>
                  </pic:nvPicPr>
                  <pic:blipFill>
                    <a:blip r:embed="rId11"/>
                    <a:stretch>
                      <a:fillRect/>
                    </a:stretch>
                  </pic:blipFill>
                  <pic:spPr>
                    <a:xfrm>
                      <a:off x="0" y="0"/>
                      <a:ext cx="2879725" cy="3357880"/>
                    </a:xfrm>
                    <a:prstGeom prst="rect">
                      <a:avLst/>
                    </a:prstGeom>
                  </pic:spPr>
                </pic:pic>
              </a:graphicData>
            </a:graphic>
          </wp:inline>
        </w:drawing>
      </w:r>
    </w:p>
    <w:p w14:paraId="69EB2FAD">
      <w:pPr>
        <w:spacing w:line="240" w:lineRule="atLeast"/>
        <w:jc w:val="center"/>
        <w:rPr>
          <w:rFonts w:ascii="Times New Roman" w:hAnsi="Times New Roman" w:cs="Times New Roman"/>
          <w:szCs w:val="21"/>
        </w:rPr>
      </w:pPr>
      <w:r>
        <w:rPr>
          <w:rFonts w:hint="eastAsia" w:ascii="Times New Roman" w:hAnsi="Times New Roman" w:cs="Times New Roman"/>
          <w:szCs w:val="21"/>
        </w:rPr>
        <w:t>图</w:t>
      </w:r>
      <w:r>
        <w:rPr>
          <w:rFonts w:hint="eastAsia" w:ascii="Times New Roman" w:hAnsi="Times New Roman" w:cs="Times New Roman"/>
          <w:szCs w:val="21"/>
          <w:lang w:val="en-US" w:eastAsia="zh-CN"/>
        </w:rPr>
        <w:t xml:space="preserve">7 </w:t>
      </w:r>
      <w:r>
        <w:rPr>
          <w:rFonts w:hint="eastAsia" w:ascii="Times New Roman" w:hAnsi="Times New Roman" w:cs="Times New Roman"/>
          <w:szCs w:val="21"/>
        </w:rPr>
        <w:t>各建筑监控点氢浓度变化</w:t>
      </w:r>
    </w:p>
    <w:p w14:paraId="5C6872BC">
      <w:pPr>
        <w:widowControl/>
        <w:spacing w:line="240" w:lineRule="atLeast"/>
        <w:ind w:firstLine="420"/>
        <w:rPr>
          <w:rFonts w:hint="eastAsia" w:ascii="Times New Roman" w:hAnsi="Times New Roman" w:cs="Times New Roman"/>
          <w:szCs w:val="21"/>
        </w:rPr>
      </w:pPr>
      <w:r>
        <w:rPr>
          <w:rFonts w:hint="eastAsia" w:ascii="Times New Roman" w:hAnsi="Times New Roman" w:cs="Times New Roman"/>
          <w:szCs w:val="21"/>
        </w:rPr>
        <w:t>如图</w:t>
      </w:r>
      <w:r>
        <w:rPr>
          <w:rFonts w:hint="eastAsia" w:ascii="Times New Roman" w:hAnsi="Times New Roman" w:cs="Times New Roman"/>
          <w:szCs w:val="21"/>
          <w:lang w:val="en-US" w:eastAsia="zh-CN"/>
        </w:rPr>
        <w:t>8</w:t>
      </w:r>
      <w:r>
        <w:rPr>
          <w:rFonts w:hint="eastAsia" w:ascii="Times New Roman" w:hAnsi="Times New Roman" w:cs="Times New Roman"/>
          <w:szCs w:val="21"/>
        </w:rPr>
        <w:t>所示，</w:t>
      </w:r>
      <w:r>
        <w:rPr>
          <w:rFonts w:hint="eastAsia" w:ascii="Times New Roman" w:hAnsi="Times New Roman" w:cs="Times New Roman"/>
          <w:i/>
          <w:iCs/>
          <w:szCs w:val="21"/>
        </w:rPr>
        <w:t>y</w:t>
      </w:r>
      <w:r>
        <w:rPr>
          <w:rFonts w:hint="eastAsia" w:ascii="Times New Roman" w:hAnsi="Times New Roman" w:cs="Times New Roman"/>
          <w:szCs w:val="21"/>
        </w:rPr>
        <w:t>=0 m平面上的氢浓度云时空演化表明：在泄漏初期（10 s），天花板的</w:t>
      </w:r>
      <w:r>
        <w:rPr>
          <w:rFonts w:hint="eastAsia" w:ascii="Times New Roman" w:hAnsi="Times New Roman" w:cs="Times New Roman"/>
          <w:szCs w:val="21"/>
          <w:lang w:val="en-US" w:eastAsia="zh-CN"/>
        </w:rPr>
        <w:t>遮挡</w:t>
      </w:r>
      <w:r>
        <w:rPr>
          <w:rFonts w:hint="eastAsia" w:ascii="Times New Roman" w:hAnsi="Times New Roman" w:cs="Times New Roman"/>
          <w:szCs w:val="21"/>
        </w:rPr>
        <w:t>显著改变了扩散模式，使氢气云高度降低至2</w:t>
      </w:r>
      <w:r>
        <w:rPr>
          <w:rFonts w:hint="eastAsia" w:ascii="Times New Roman" w:hAnsi="Times New Roman" w:cs="Times New Roman"/>
          <w:szCs w:val="21"/>
          <w:lang w:val="en-US" w:eastAsia="zh-CN"/>
        </w:rPr>
        <w:t>7</w:t>
      </w:r>
      <w:r>
        <w:rPr>
          <w:rFonts w:hint="eastAsia" w:ascii="Times New Roman" w:hAnsi="Times New Roman" w:cs="Times New Roman"/>
          <w:szCs w:val="21"/>
        </w:rPr>
        <w:t xml:space="preserve"> m（较基准工况下降</w:t>
      </w:r>
      <w:r>
        <w:rPr>
          <w:rFonts w:hint="eastAsia" w:ascii="Times New Roman" w:hAnsi="Times New Roman" w:cs="Times New Roman"/>
          <w:szCs w:val="21"/>
          <w:lang w:val="en-US" w:eastAsia="zh-CN"/>
        </w:rPr>
        <w:t>28.9</w:t>
      </w:r>
      <w:r>
        <w:rPr>
          <w:rFonts w:hint="eastAsia" w:ascii="Times New Roman" w:hAnsi="Times New Roman" w:cs="Times New Roman"/>
          <w:szCs w:val="21"/>
        </w:rPr>
        <w:t>%），同时下风距离延伸至</w:t>
      </w:r>
      <w:r>
        <w:rPr>
          <w:rFonts w:hint="eastAsia" w:ascii="Times New Roman" w:hAnsi="Times New Roman" w:cs="Times New Roman"/>
          <w:szCs w:val="21"/>
          <w:lang w:val="en-US" w:eastAsia="zh-CN"/>
        </w:rPr>
        <w:t>96</w:t>
      </w:r>
      <w:r>
        <w:rPr>
          <w:rFonts w:hint="eastAsia" w:ascii="Times New Roman" w:hAnsi="Times New Roman" w:cs="Times New Roman"/>
          <w:szCs w:val="21"/>
        </w:rPr>
        <w:t xml:space="preserve"> m（增加</w:t>
      </w:r>
      <w:r>
        <w:rPr>
          <w:rFonts w:hint="eastAsia" w:ascii="Times New Roman" w:hAnsi="Times New Roman" w:cs="Times New Roman"/>
          <w:szCs w:val="21"/>
          <w:lang w:val="en-US" w:eastAsia="zh-CN"/>
        </w:rPr>
        <w:t>10.3</w:t>
      </w:r>
      <w:r>
        <w:rPr>
          <w:rFonts w:hint="eastAsia" w:ascii="Times New Roman" w:hAnsi="Times New Roman" w:cs="Times New Roman"/>
          <w:szCs w:val="21"/>
        </w:rPr>
        <w:t>%），这一现象证实了储罐上方的物理遮挡对垂直扩散的抑制作用会增强水平输运。随着时间演进（30~100 s），受天花板限制的气云表现出更</w:t>
      </w:r>
      <w:r>
        <w:rPr>
          <w:rFonts w:hint="eastAsia" w:ascii="Times New Roman" w:hAnsi="Times New Roman" w:cs="Times New Roman"/>
          <w:szCs w:val="21"/>
          <w:lang w:val="en-US" w:eastAsia="zh-CN"/>
        </w:rPr>
        <w:t>聚集</w:t>
      </w:r>
      <w:r>
        <w:rPr>
          <w:rFonts w:hint="eastAsia" w:ascii="Times New Roman" w:hAnsi="Times New Roman" w:cs="Times New Roman"/>
          <w:szCs w:val="21"/>
        </w:rPr>
        <w:t>的浓度分布特征，</w:t>
      </w:r>
      <w:r>
        <w:rPr>
          <w:rFonts w:hint="eastAsia" w:ascii="Times New Roman" w:hAnsi="Times New Roman" w:cs="Times New Roman"/>
          <w:szCs w:val="21"/>
          <w:lang w:val="en-US" w:eastAsia="zh-CN"/>
        </w:rPr>
        <w:t>气云与地面接触区域减少，近地面危险范围缩小，</w:t>
      </w:r>
      <w:r>
        <w:rPr>
          <w:rFonts w:hint="eastAsia" w:ascii="Times New Roman" w:hAnsi="Times New Roman" w:cs="Times New Roman"/>
          <w:szCs w:val="21"/>
        </w:rPr>
        <w:t>这源于早期垂直扩散受限导致气-地接触面积增加，从而强化了对流换热</w:t>
      </w:r>
      <w:r>
        <w:rPr>
          <w:rFonts w:hint="eastAsia" w:ascii="Times New Roman" w:hAnsi="Times New Roman" w:cs="Times New Roman"/>
          <w:szCs w:val="21"/>
          <w:lang w:eastAsia="zh-CN"/>
        </w:rPr>
        <w:t>，</w:t>
      </w:r>
      <w:r>
        <w:rPr>
          <w:rFonts w:hint="eastAsia" w:ascii="Times New Roman" w:hAnsi="Times New Roman" w:cs="Times New Roman"/>
          <w:szCs w:val="21"/>
        </w:rPr>
        <w:t>并加速了</w:t>
      </w:r>
      <w:r>
        <w:rPr>
          <w:rFonts w:hint="eastAsia" w:ascii="Times New Roman" w:hAnsi="Times New Roman" w:cs="Times New Roman"/>
          <w:szCs w:val="21"/>
          <w:lang w:val="en-US" w:eastAsia="zh-CN"/>
        </w:rPr>
        <w:t>气云</w:t>
      </w:r>
      <w:r>
        <w:rPr>
          <w:rFonts w:hint="eastAsia" w:ascii="Times New Roman" w:hAnsi="Times New Roman" w:cs="Times New Roman"/>
          <w:szCs w:val="21"/>
        </w:rPr>
        <w:t>稀释。</w:t>
      </w:r>
    </w:p>
    <w:p w14:paraId="6CB33AF8">
      <w:pPr>
        <w:widowControl/>
        <w:spacing w:line="240" w:lineRule="atLeast"/>
        <w:ind w:firstLine="420"/>
        <w:rPr>
          <w:rFonts w:hint="eastAsia" w:ascii="Times New Roman" w:hAnsi="Times New Roman" w:cs="Times New Roman"/>
          <w:szCs w:val="21"/>
        </w:rPr>
      </w:pPr>
      <w:r>
        <w:rPr>
          <w:rFonts w:hint="eastAsia" w:ascii="Times New Roman" w:hAnsi="Times New Roman" w:cs="Times New Roman"/>
          <w:szCs w:val="21"/>
        </w:rPr>
        <w:t>此外，对比分析</w:t>
      </w:r>
      <w:r>
        <w:rPr>
          <w:rFonts w:hint="eastAsia" w:ascii="Times New Roman" w:hAnsi="Times New Roman" w:cs="Times New Roman"/>
          <w:szCs w:val="21"/>
          <w:lang w:val="en-US" w:eastAsia="zh-CN"/>
        </w:rPr>
        <w:t>表明</w:t>
      </w:r>
      <w:r>
        <w:rPr>
          <w:rFonts w:hint="eastAsia" w:ascii="Times New Roman" w:hAnsi="Times New Roman" w:cs="Times New Roman"/>
          <w:szCs w:val="21"/>
        </w:rPr>
        <w:t>，太阳辐</w:t>
      </w:r>
      <w:r>
        <w:rPr>
          <w:rFonts w:hint="eastAsia" w:ascii="Times New Roman" w:hAnsi="Times New Roman" w:cs="Times New Roman"/>
          <w:szCs w:val="21"/>
          <w:lang w:val="en-US" w:eastAsia="zh-CN"/>
        </w:rPr>
        <w:t>照对</w:t>
      </w:r>
      <w:r>
        <w:rPr>
          <w:rFonts w:hint="eastAsia" w:ascii="Times New Roman" w:hAnsi="Times New Roman" w:cs="Times New Roman"/>
          <w:szCs w:val="21"/>
        </w:rPr>
        <w:t>泄漏初期</w:t>
      </w:r>
      <w:r>
        <w:rPr>
          <w:rFonts w:hint="eastAsia" w:ascii="Times New Roman" w:hAnsi="Times New Roman" w:cs="Times New Roman"/>
          <w:szCs w:val="21"/>
          <w:lang w:val="en-US" w:eastAsia="zh-CN"/>
        </w:rPr>
        <w:t>氢气扩散范围的影响可忽略不计</w:t>
      </w:r>
      <w:r>
        <w:rPr>
          <w:rFonts w:hint="eastAsia" w:ascii="Times New Roman" w:hAnsi="Times New Roman" w:cs="Times New Roman"/>
          <w:szCs w:val="21"/>
        </w:rPr>
        <w:t>，但在</w:t>
      </w:r>
      <w:r>
        <w:rPr>
          <w:rFonts w:hint="eastAsia" w:ascii="Times New Roman" w:hAnsi="Times New Roman" w:cs="Times New Roman"/>
          <w:szCs w:val="21"/>
          <w:lang w:val="en-US" w:eastAsia="zh-CN"/>
        </w:rPr>
        <w:t>泄漏</w:t>
      </w:r>
      <w:r>
        <w:rPr>
          <w:rFonts w:hint="eastAsia" w:ascii="Times New Roman" w:hAnsi="Times New Roman" w:cs="Times New Roman"/>
          <w:szCs w:val="21"/>
        </w:rPr>
        <w:t>后期（&gt;30 s）将诱导形成更</w:t>
      </w:r>
      <w:r>
        <w:rPr>
          <w:rFonts w:hint="eastAsia" w:ascii="Times New Roman" w:hAnsi="Times New Roman" w:cs="Times New Roman"/>
          <w:szCs w:val="21"/>
          <w:lang w:val="en-US" w:eastAsia="zh-CN"/>
        </w:rPr>
        <w:t>稀薄</w:t>
      </w:r>
      <w:r>
        <w:rPr>
          <w:rFonts w:hint="eastAsia" w:ascii="Times New Roman" w:hAnsi="Times New Roman" w:cs="Times New Roman"/>
          <w:szCs w:val="21"/>
        </w:rPr>
        <w:t>的气云团结构，具体表现为</w:t>
      </w:r>
      <w:r>
        <w:rPr>
          <w:rFonts w:hint="eastAsia" w:ascii="Times New Roman" w:hAnsi="Times New Roman" w:cs="Times New Roman"/>
          <w:szCs w:val="21"/>
          <w:lang w:val="en-US" w:eastAsia="zh-CN"/>
        </w:rPr>
        <w:t>近场区域上部气云边界高度降低</w:t>
      </w:r>
      <w:r>
        <w:rPr>
          <w:rFonts w:hint="eastAsia" w:ascii="Times New Roman" w:hAnsi="Times New Roman" w:cs="Times New Roman"/>
          <w:szCs w:val="21"/>
        </w:rPr>
        <w:t>，下风</w:t>
      </w:r>
      <w:r>
        <w:rPr>
          <w:rFonts w:hint="eastAsia" w:ascii="Times New Roman" w:hAnsi="Times New Roman" w:cs="Times New Roman"/>
          <w:szCs w:val="21"/>
          <w:lang w:val="en-US" w:eastAsia="zh-CN"/>
        </w:rPr>
        <w:t>区域</w:t>
      </w:r>
      <w:r>
        <w:rPr>
          <w:rFonts w:hint="eastAsia" w:ascii="Times New Roman" w:hAnsi="Times New Roman" w:cs="Times New Roman"/>
          <w:szCs w:val="21"/>
        </w:rPr>
        <w:t>气云</w:t>
      </w:r>
      <w:r>
        <w:rPr>
          <w:rFonts w:hint="eastAsia" w:ascii="Times New Roman" w:hAnsi="Times New Roman" w:cs="Times New Roman"/>
          <w:szCs w:val="21"/>
          <w:lang w:val="en-US" w:eastAsia="zh-CN"/>
        </w:rPr>
        <w:t>倾角增大以及100 s时云团分布呈现更明显的离散分布特征，</w:t>
      </w:r>
      <w:r>
        <w:rPr>
          <w:rFonts w:hint="eastAsia" w:ascii="Times New Roman" w:hAnsi="Times New Roman" w:cs="Times New Roman"/>
          <w:szCs w:val="21"/>
        </w:rPr>
        <w:t>这归因于太阳辐照增强了近地面气云</w:t>
      </w:r>
      <w:r>
        <w:rPr>
          <w:rFonts w:hint="eastAsia" w:ascii="Times New Roman" w:hAnsi="Times New Roman" w:cs="Times New Roman"/>
          <w:szCs w:val="21"/>
          <w:lang w:val="en-US" w:eastAsia="zh-CN"/>
        </w:rPr>
        <w:t>与环境</w:t>
      </w:r>
      <w:r>
        <w:rPr>
          <w:rFonts w:hint="eastAsia" w:ascii="Times New Roman" w:hAnsi="Times New Roman" w:cs="Times New Roman"/>
          <w:szCs w:val="21"/>
        </w:rPr>
        <w:t>的热量交换，热羽流作用将促进</w:t>
      </w:r>
      <w:r>
        <w:rPr>
          <w:rFonts w:hint="eastAsia" w:ascii="Times New Roman" w:hAnsi="Times New Roman" w:cs="Times New Roman"/>
          <w:szCs w:val="21"/>
          <w:lang w:val="en-US" w:eastAsia="zh-CN"/>
        </w:rPr>
        <w:t>云</w:t>
      </w:r>
      <w:r>
        <w:rPr>
          <w:rFonts w:hint="eastAsia" w:ascii="Times New Roman" w:hAnsi="Times New Roman" w:cs="Times New Roman"/>
          <w:szCs w:val="21"/>
        </w:rPr>
        <w:t>团抬升。</w:t>
      </w:r>
    </w:p>
    <w:p w14:paraId="4D3A7431">
      <w:pPr>
        <w:spacing w:line="240" w:lineRule="atLeast"/>
        <w:jc w:val="center"/>
        <w:rPr>
          <w:rFonts w:hint="eastAsia" w:ascii="Times New Roman" w:hAnsi="Times New Roman" w:cs="Times New Roman" w:eastAsiaTheme="minorEastAsia"/>
          <w:szCs w:val="21"/>
          <w:lang w:eastAsia="zh-CN"/>
        </w:rPr>
      </w:pPr>
      <w:r>
        <w:rPr>
          <w:rFonts w:hint="eastAsia" w:ascii="Times New Roman" w:hAnsi="Times New Roman" w:cs="Times New Roman" w:eastAsiaTheme="minorEastAsia"/>
          <w:szCs w:val="21"/>
          <w:lang w:eastAsia="zh-CN"/>
        </w:rPr>
        <w:drawing>
          <wp:inline distT="0" distB="0" distL="114300" distR="114300">
            <wp:extent cx="2938780" cy="5474970"/>
            <wp:effectExtent l="0" t="0" r="2540" b="11430"/>
            <wp:docPr id="13" name="图片 13" descr="48edc4758636374c1858c78a3b32d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48edc4758636374c1858c78a3b32d45"/>
                    <pic:cNvPicPr>
                      <a:picLocks noChangeAspect="1"/>
                    </pic:cNvPicPr>
                  </pic:nvPicPr>
                  <pic:blipFill>
                    <a:blip r:embed="rId12"/>
                    <a:stretch>
                      <a:fillRect/>
                    </a:stretch>
                  </pic:blipFill>
                  <pic:spPr>
                    <a:xfrm>
                      <a:off x="0" y="0"/>
                      <a:ext cx="2938780" cy="5474970"/>
                    </a:xfrm>
                    <a:prstGeom prst="rect">
                      <a:avLst/>
                    </a:prstGeom>
                  </pic:spPr>
                </pic:pic>
              </a:graphicData>
            </a:graphic>
          </wp:inline>
        </w:drawing>
      </w:r>
    </w:p>
    <w:p w14:paraId="47FD100D">
      <w:pPr>
        <w:spacing w:line="240" w:lineRule="atLeast"/>
        <w:jc w:val="center"/>
        <w:rPr>
          <w:rFonts w:hint="eastAsia" w:ascii="Times New Roman" w:hAnsi="Times New Roman" w:cs="Times New Roman"/>
          <w:szCs w:val="21"/>
        </w:rPr>
      </w:pPr>
      <w:r>
        <w:rPr>
          <w:rFonts w:hint="eastAsia" w:ascii="Times New Roman" w:hAnsi="Times New Roman" w:cs="Times New Roman"/>
          <w:szCs w:val="21"/>
        </w:rPr>
        <w:t>图</w:t>
      </w:r>
      <w:r>
        <w:rPr>
          <w:rFonts w:hint="eastAsia" w:ascii="Times New Roman" w:hAnsi="Times New Roman" w:cs="Times New Roman"/>
          <w:szCs w:val="21"/>
          <w:lang w:val="en-US" w:eastAsia="zh-CN"/>
        </w:rPr>
        <w:t>8</w:t>
      </w:r>
      <w:r>
        <w:rPr>
          <w:rFonts w:ascii="Times New Roman" w:hAnsi="Times New Roman" w:cs="Times New Roman"/>
          <w:szCs w:val="21"/>
        </w:rPr>
        <w:t xml:space="preserve"> </w:t>
      </w:r>
      <w:r>
        <w:rPr>
          <w:rFonts w:hint="eastAsia" w:ascii="Times New Roman" w:hAnsi="Times New Roman" w:cs="Times New Roman"/>
          <w:i/>
          <w:iCs/>
          <w:szCs w:val="21"/>
        </w:rPr>
        <w:t>y</w:t>
      </w:r>
      <w:r>
        <w:rPr>
          <w:rFonts w:hint="eastAsia" w:ascii="Times New Roman" w:hAnsi="Times New Roman" w:cs="Times New Roman"/>
          <w:szCs w:val="21"/>
        </w:rPr>
        <w:t>=0 m平面氢气云浓度变化</w:t>
      </w:r>
    </w:p>
    <w:p w14:paraId="555EE5A5">
      <w:pPr>
        <w:widowControl/>
        <w:spacing w:line="240" w:lineRule="atLeast"/>
        <w:outlineLvl w:val="1"/>
        <w:rPr>
          <w:rFonts w:hint="default" w:ascii="Times New Roman" w:hAnsi="Times New Roman" w:eastAsia="宋体" w:cs="Times New Roman"/>
          <w:b/>
          <w:kern w:val="0"/>
          <w:szCs w:val="21"/>
          <w:lang w:val="en-US" w:eastAsia="zh-CN"/>
        </w:rPr>
      </w:pPr>
      <w:r>
        <w:rPr>
          <w:rFonts w:hint="eastAsia" w:ascii="Times New Roman" w:hAnsi="Times New Roman" w:eastAsia="宋体" w:cs="Times New Roman"/>
          <w:b/>
          <w:kern w:val="0"/>
          <w:szCs w:val="21"/>
        </w:rPr>
        <w:t>2.4</w:t>
      </w:r>
      <w:r>
        <w:rPr>
          <w:rFonts w:hint="eastAsia" w:ascii="Times New Roman" w:hAnsi="Times New Roman" w:eastAsia="宋体" w:cs="Times New Roman"/>
          <w:b/>
          <w:kern w:val="0"/>
          <w:szCs w:val="21"/>
          <w:lang w:val="en-US" w:eastAsia="zh-CN"/>
        </w:rPr>
        <w:t xml:space="preserve"> </w:t>
      </w:r>
      <w:r>
        <w:rPr>
          <w:rFonts w:hint="eastAsia" w:ascii="Times New Roman" w:hAnsi="Times New Roman" w:eastAsia="宋体" w:cs="Times New Roman"/>
          <w:b/>
          <w:kern w:val="0"/>
          <w:szCs w:val="21"/>
        </w:rPr>
        <w:t>火灾</w:t>
      </w:r>
      <w:r>
        <w:rPr>
          <w:rFonts w:hint="eastAsia" w:ascii="Times New Roman" w:hAnsi="Times New Roman" w:eastAsia="宋体" w:cs="Times New Roman"/>
          <w:b/>
          <w:kern w:val="0"/>
          <w:szCs w:val="21"/>
          <w:lang w:val="en-US" w:eastAsia="zh-CN"/>
        </w:rPr>
        <w:t>的演化特征</w:t>
      </w:r>
    </w:p>
    <w:p w14:paraId="741418F0">
      <w:pPr>
        <w:widowControl/>
        <w:spacing w:line="240" w:lineRule="atLeast"/>
        <w:ind w:firstLine="420"/>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为研究泄漏事件中意外着火后，库区附近的火势及危险范围，保持顶部受限案例的泄漏设置，在泄漏口附近1.5 m高度处布置了一个导火源。</w:t>
      </w:r>
    </w:p>
    <w:p w14:paraId="55CB7018">
      <w:pPr>
        <w:widowControl/>
        <w:spacing w:line="240" w:lineRule="atLeast"/>
        <w:ind w:firstLine="420"/>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通过对图9所示的火灾发生后氢火焰发展的动态变化进行分析，可以发现，火焰在1.5 s时即蔓延到库区的天花板高度（10 m），3 s时顺风传播距离达到30 m，9 s时火焰高度扩展到30 m。这表明，液氢泄漏后的火灾具有发展迅速、影响范围广的特点。15 s后，火焰强度呈现衰减趋势（热释放速率降低），火势有所减小，但仍能对库区建筑范围内设施产生持续影响。60 s后，火势减小至10 m尺度，360 m</w:t>
      </w:r>
      <w:r>
        <w:rPr>
          <w:rFonts w:hint="eastAsia" w:ascii="Times New Roman" w:hAnsi="Times New Roman" w:cs="Times New Roman"/>
          <w:szCs w:val="21"/>
          <w:vertAlign w:val="superscript"/>
          <w:lang w:val="en-US" w:eastAsia="zh-CN"/>
        </w:rPr>
        <w:t>3</w:t>
      </w:r>
      <w:r>
        <w:rPr>
          <w:rFonts w:hint="eastAsia" w:ascii="Times New Roman" w:hAnsi="Times New Roman" w:cs="Times New Roman"/>
          <w:szCs w:val="21"/>
          <w:lang w:val="en-US" w:eastAsia="zh-CN"/>
        </w:rPr>
        <w:t>的液氢燃料在60 s内几乎燃烧殆尽。此外，结果显示火焰的最大横向尺度可达15 m，因此在进行库区设施布局设计时，对于液氢储罐间距的控制，应充分考虑这一关键距离。可以发现，风场对火焰的发展方向有显著影响，故火灾事故中的疏散及事故后的应急响应，应确保能够实时监控周围环境风的动态变化。</w:t>
      </w:r>
    </w:p>
    <w:p w14:paraId="349CC59B">
      <w:pPr>
        <w:widowControl/>
        <w:spacing w:line="240" w:lineRule="atLeast"/>
        <w:rPr>
          <w:rFonts w:hint="eastAsia" w:ascii="Times New Roman" w:hAnsi="Times New Roman" w:eastAsia="宋体" w:cs="Times New Roman"/>
          <w:b/>
          <w:kern w:val="0"/>
          <w:szCs w:val="21"/>
          <w:lang w:eastAsia="zh-CN"/>
        </w:rPr>
      </w:pPr>
      <w:r>
        <w:rPr>
          <w:rFonts w:hint="eastAsia" w:ascii="Times New Roman" w:hAnsi="Times New Roman" w:eastAsia="宋体" w:cs="Times New Roman"/>
          <w:b/>
          <w:kern w:val="0"/>
          <w:szCs w:val="21"/>
          <w:lang w:eastAsia="zh-CN"/>
        </w:rPr>
        <w:drawing>
          <wp:inline distT="0" distB="0" distL="114300" distR="114300">
            <wp:extent cx="3060065" cy="1236345"/>
            <wp:effectExtent l="0" t="0" r="3175" b="13335"/>
            <wp:docPr id="5" name="图片 5" descr="175040183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750401831964"/>
                    <pic:cNvPicPr>
                      <a:picLocks noChangeAspect="1"/>
                    </pic:cNvPicPr>
                  </pic:nvPicPr>
                  <pic:blipFill>
                    <a:blip r:embed="rId13"/>
                    <a:stretch>
                      <a:fillRect/>
                    </a:stretch>
                  </pic:blipFill>
                  <pic:spPr>
                    <a:xfrm>
                      <a:off x="0" y="0"/>
                      <a:ext cx="3060065" cy="1236345"/>
                    </a:xfrm>
                    <a:prstGeom prst="rect">
                      <a:avLst/>
                    </a:prstGeom>
                  </pic:spPr>
                </pic:pic>
              </a:graphicData>
            </a:graphic>
          </wp:inline>
        </w:drawing>
      </w:r>
    </w:p>
    <w:p w14:paraId="52B1D581">
      <w:pPr>
        <w:widowControl/>
        <w:spacing w:line="240" w:lineRule="atLeast"/>
        <w:jc w:val="center"/>
        <w:rPr>
          <w:rFonts w:hint="eastAsia" w:ascii="Times New Roman" w:hAnsi="Times New Roman" w:cs="Times New Roman"/>
          <w:szCs w:val="21"/>
          <w:lang w:val="en-US" w:eastAsia="zh-CN"/>
        </w:rPr>
      </w:pPr>
      <w:r>
        <w:rPr>
          <w:rFonts w:hint="eastAsia" w:ascii="Times New Roman" w:hAnsi="Times New Roman" w:cs="Times New Roman"/>
          <w:szCs w:val="21"/>
        </w:rPr>
        <w:t>图</w:t>
      </w:r>
      <w:r>
        <w:rPr>
          <w:rFonts w:hint="eastAsia" w:ascii="Times New Roman" w:hAnsi="Times New Roman" w:cs="Times New Roman"/>
          <w:szCs w:val="21"/>
          <w:lang w:val="en-US" w:eastAsia="zh-CN"/>
        </w:rPr>
        <w:t>9</w:t>
      </w:r>
      <w:r>
        <w:rPr>
          <w:rFonts w:ascii="Times New Roman" w:hAnsi="Times New Roman" w:cs="Times New Roman"/>
          <w:szCs w:val="21"/>
        </w:rPr>
        <w:t xml:space="preserve"> </w:t>
      </w:r>
      <w:r>
        <w:rPr>
          <w:rFonts w:hint="eastAsia" w:ascii="Times New Roman" w:hAnsi="Times New Roman" w:cs="Times New Roman"/>
          <w:szCs w:val="21"/>
          <w:lang w:val="en-US" w:eastAsia="zh-CN"/>
        </w:rPr>
        <w:t>氢火焰发展图</w:t>
      </w:r>
    </w:p>
    <w:p w14:paraId="33B362CF">
      <w:pPr>
        <w:widowControl/>
        <w:spacing w:line="240" w:lineRule="atLeast"/>
        <w:ind w:firstLine="420"/>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图10所示的氢火焰温度分布显示，温度分布与氢火焰范围一致，液氢燃烧后火焰核心区温度超过700 ℃。在此高温环境下，建筑结构材料将发生显著的性能退化，温度超过600 ℃后钢材会出现屈服强度损失（&gt;50%）即塑形变形，设施中的塑料管材将迅速被热分解，导致相关设施失效。特别是当考虑灾害链风险，相邻储罐及库区范围内的其他设备都存在潜在相互作用，极易引发二次灾害。</w:t>
      </w:r>
    </w:p>
    <w:p w14:paraId="51EEDE8E">
      <w:pPr>
        <w:widowControl/>
        <w:spacing w:line="240" w:lineRule="atLeast"/>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drawing>
          <wp:inline distT="0" distB="0" distL="114300" distR="114300">
            <wp:extent cx="3060065" cy="1397000"/>
            <wp:effectExtent l="0" t="0" r="3175" b="5080"/>
            <wp:docPr id="9" name="图片 9" descr="da0ebc6ecbb397b49cc44c20daa68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da0ebc6ecbb397b49cc44c20daa685b"/>
                    <pic:cNvPicPr>
                      <a:picLocks noChangeAspect="1"/>
                    </pic:cNvPicPr>
                  </pic:nvPicPr>
                  <pic:blipFill>
                    <a:blip r:embed="rId14"/>
                    <a:stretch>
                      <a:fillRect/>
                    </a:stretch>
                  </pic:blipFill>
                  <pic:spPr>
                    <a:xfrm>
                      <a:off x="0" y="0"/>
                      <a:ext cx="3060065" cy="1397000"/>
                    </a:xfrm>
                    <a:prstGeom prst="rect">
                      <a:avLst/>
                    </a:prstGeom>
                  </pic:spPr>
                </pic:pic>
              </a:graphicData>
            </a:graphic>
          </wp:inline>
        </w:drawing>
      </w:r>
    </w:p>
    <w:p w14:paraId="23C8452D">
      <w:pPr>
        <w:widowControl/>
        <w:spacing w:line="240" w:lineRule="atLeast"/>
        <w:jc w:val="center"/>
        <w:rPr>
          <w:rFonts w:hint="default" w:ascii="Times New Roman" w:hAnsi="Times New Roman" w:cs="Times New Roman" w:eastAsiaTheme="minorEastAsia"/>
          <w:szCs w:val="21"/>
          <w:lang w:val="en-US" w:eastAsia="zh-CN"/>
        </w:rPr>
      </w:pPr>
      <w:r>
        <w:rPr>
          <w:rFonts w:hint="eastAsia" w:ascii="Times New Roman" w:hAnsi="Times New Roman" w:cs="Times New Roman"/>
          <w:szCs w:val="21"/>
        </w:rPr>
        <w:t>图</w:t>
      </w:r>
      <w:r>
        <w:rPr>
          <w:rFonts w:hint="eastAsia" w:ascii="Times New Roman" w:hAnsi="Times New Roman" w:cs="Times New Roman"/>
          <w:szCs w:val="21"/>
          <w:lang w:val="en-US" w:eastAsia="zh-CN"/>
        </w:rPr>
        <w:t>10</w:t>
      </w:r>
      <w:r>
        <w:rPr>
          <w:rFonts w:ascii="Times New Roman" w:hAnsi="Times New Roman" w:cs="Times New Roman"/>
          <w:szCs w:val="21"/>
        </w:rPr>
        <w:t xml:space="preserve"> </w:t>
      </w:r>
      <w:r>
        <w:rPr>
          <w:rFonts w:hint="eastAsia" w:ascii="Times New Roman" w:hAnsi="Times New Roman" w:cs="Times New Roman"/>
          <w:i/>
          <w:iCs/>
          <w:szCs w:val="21"/>
          <w:lang w:val="en-US" w:eastAsia="zh-CN"/>
        </w:rPr>
        <w:t>y</w:t>
      </w:r>
      <w:r>
        <w:rPr>
          <w:rFonts w:hint="eastAsia" w:ascii="Times New Roman" w:hAnsi="Times New Roman" w:cs="Times New Roman"/>
          <w:szCs w:val="21"/>
          <w:lang w:val="en-US" w:eastAsia="zh-CN"/>
        </w:rPr>
        <w:t>=0 m平面氢火焰温度分布</w:t>
      </w:r>
    </w:p>
    <w:p w14:paraId="0C18C5BE">
      <w:pPr>
        <w:widowControl/>
        <w:spacing w:line="240" w:lineRule="atLeast"/>
        <w:outlineLvl w:val="0"/>
        <w:rPr>
          <w:rFonts w:hint="eastAsia" w:ascii="Times New Roman" w:hAnsi="Times New Roman" w:eastAsia="宋体" w:cs="Times New Roman"/>
          <w:b/>
          <w:bCs/>
          <w:kern w:val="0"/>
          <w:sz w:val="24"/>
          <w:szCs w:val="24"/>
        </w:rPr>
      </w:pPr>
      <w:r>
        <w:rPr>
          <w:rFonts w:hint="eastAsia" w:ascii="Times New Roman" w:hAnsi="Times New Roman" w:eastAsia="宋体" w:cs="Times New Roman"/>
          <w:b/>
          <w:bCs/>
          <w:kern w:val="0"/>
          <w:sz w:val="24"/>
          <w:szCs w:val="24"/>
        </w:rPr>
        <w:t>3</w:t>
      </w:r>
      <w:r>
        <w:rPr>
          <w:rFonts w:hint="eastAsia" w:ascii="Times New Roman" w:hAnsi="Times New Roman" w:eastAsia="宋体" w:cs="Times New Roman"/>
          <w:b/>
          <w:bCs/>
          <w:kern w:val="0"/>
          <w:sz w:val="24"/>
          <w:szCs w:val="24"/>
          <w:lang w:val="en-US" w:eastAsia="zh-CN"/>
        </w:rPr>
        <w:t xml:space="preserve"> </w:t>
      </w:r>
      <w:r>
        <w:rPr>
          <w:rFonts w:hint="eastAsia" w:ascii="Times New Roman" w:hAnsi="Times New Roman" w:eastAsia="宋体" w:cs="Times New Roman"/>
          <w:b/>
          <w:bCs/>
          <w:kern w:val="0"/>
          <w:sz w:val="24"/>
          <w:szCs w:val="24"/>
        </w:rPr>
        <w:t>结论</w:t>
      </w:r>
    </w:p>
    <w:p w14:paraId="7C3D7CE0">
      <w:pPr>
        <w:widowControl/>
        <w:spacing w:line="240" w:lineRule="atLeast"/>
        <w:ind w:firstLine="420"/>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本文采用</w:t>
      </w:r>
      <w:r>
        <w:rPr>
          <w:rFonts w:hint="default" w:ascii="Times New Roman" w:hAnsi="Times New Roman" w:cs="Times New Roman"/>
          <w:szCs w:val="21"/>
          <w:lang w:val="en-US" w:eastAsia="zh-CN"/>
        </w:rPr>
        <w:t> Fire Dynamics Simulator （FDS） </w:t>
      </w:r>
      <w:r>
        <w:rPr>
          <w:rFonts w:hint="eastAsia" w:ascii="Times New Roman" w:hAnsi="Times New Roman" w:cs="Times New Roman"/>
          <w:szCs w:val="21"/>
          <w:lang w:val="en-US" w:eastAsia="zh-CN"/>
        </w:rPr>
        <w:t>模拟了某大型液氢库区发生大规模液氢泄漏后的氢蒸气云扩散行为及火灾的动态特性。分析了可燃氢云的空间分布变化，剖析了顶部受限、太阳辐</w:t>
      </w:r>
      <w:r>
        <w:rPr>
          <w:rFonts w:hint="eastAsia" w:ascii="Times New Roman" w:hAnsi="Times New Roman" w:eastAsia="宋体" w:cs="Times New Roman"/>
          <w:kern w:val="0"/>
          <w:szCs w:val="21"/>
          <w:lang w:val="en-US" w:eastAsia="zh-CN"/>
        </w:rPr>
        <w:t>照</w:t>
      </w:r>
      <w:r>
        <w:rPr>
          <w:rFonts w:hint="eastAsia" w:ascii="Times New Roman" w:hAnsi="Times New Roman" w:cs="Times New Roman"/>
          <w:szCs w:val="21"/>
          <w:lang w:val="en-US" w:eastAsia="zh-CN"/>
        </w:rPr>
        <w:t>对氢云扩散行为及库区安全性的影响。并探究了泄漏事故中意外着火后，库区附近的火势及危险范围。</w:t>
      </w:r>
    </w:p>
    <w:p w14:paraId="3D5DB59E">
      <w:pPr>
        <w:widowControl/>
        <w:spacing w:line="240" w:lineRule="atLeast"/>
        <w:ind w:firstLine="420"/>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可燃氢云的空间分布变化证实，气云的横向扩散并不足以对建筑设施2造成影响，风场主导气云的扩散路径。天花板结构通过抑制泄漏初期垂直方向的扩散而增强水平输运，导致气-地接触面积增加及近场区域危险暴露时间延长，表现为建筑设施2危险时间增加至12 s。而太阳辐照带来的热效应会改变氢气云的浮力特性，加快泄漏初期液氢的蒸发扩散，导致建筑设施2危险暴露时间延长至19.5 s，与此同时，热量交换增加将促使气云在泄漏后期</w:t>
      </w:r>
      <w:r>
        <w:rPr>
          <w:rFonts w:hint="eastAsia" w:ascii="Times New Roman" w:hAnsi="Times New Roman" w:cs="Times New Roman"/>
          <w:color w:val="auto"/>
          <w:kern w:val="0"/>
          <w:szCs w:val="21"/>
          <w:lang w:val="en-US" w:eastAsia="zh-CN"/>
        </w:rPr>
        <w:t>表现出更稀薄的特征</w:t>
      </w:r>
      <w:r>
        <w:rPr>
          <w:rFonts w:hint="eastAsia" w:ascii="Times New Roman" w:hAnsi="Times New Roman" w:cs="Times New Roman"/>
          <w:szCs w:val="21"/>
          <w:lang w:val="en-US" w:eastAsia="zh-CN"/>
        </w:rPr>
        <w:t xml:space="preserve">，致使氢气云到达远场建筑延迟。模拟结果证实，液氢火灾具有极其快速的发展特征，火焰在极短时间内即可达到显著高度，并伴随着大范围的横向扩展，最大可达15 m。更为重要的是，液氢燃烧后火焰核心区温度超过700 </w:t>
      </w:r>
      <w:r>
        <w:rPr>
          <w:rFonts w:hint="default" w:ascii="Times New Roman" w:hAnsi="Times New Roman" w:eastAsia="微软雅黑" w:cs="Times New Roman"/>
          <w:szCs w:val="21"/>
          <w:lang w:val="en-US" w:eastAsia="zh-CN"/>
        </w:rPr>
        <w:t>℃</w:t>
      </w:r>
      <w:r>
        <w:rPr>
          <w:rFonts w:hint="eastAsia" w:ascii="Times New Roman" w:hAnsi="Times New Roman" w:cs="Times New Roman"/>
          <w:szCs w:val="21"/>
          <w:lang w:val="en-US" w:eastAsia="zh-CN"/>
        </w:rPr>
        <w:t>，火灾产生的高温环境会导致周围建筑结构材料发生严重性能退化，钢材强度显著下降，非金属材料发生热分解，从而极大增加了次生灾害发生的可能性。综上所述，对顶部受限以及太阳辐照的量化研究为复杂环境下氢能设施的潜在风险提供了新的认识，对意外火灾的动态特性研究可为日常火灾预防、以及制定适当的火灾响应策略提供有用的数据支撑。</w:t>
      </w:r>
    </w:p>
    <w:p w14:paraId="780FE674">
      <w:pPr>
        <w:widowControl/>
        <w:spacing w:line="240" w:lineRule="atLeast"/>
        <w:rPr>
          <w:rFonts w:hint="eastAsia" w:ascii="Times New Roman" w:hAnsi="Times New Roman" w:cs="Times New Roman"/>
          <w:szCs w:val="21"/>
          <w:lang w:val="en-US" w:eastAsia="zh-CN"/>
        </w:rPr>
      </w:pPr>
    </w:p>
    <w:p w14:paraId="2D66AF0A">
      <w:pPr>
        <w:widowControl/>
        <w:autoSpaceDE w:val="0"/>
        <w:autoSpaceDN w:val="0"/>
        <w:adjustRightInd w:val="0"/>
        <w:spacing w:line="240" w:lineRule="atLeast"/>
        <w:ind w:left="360" w:hanging="420" w:hangingChars="200"/>
        <w:jc w:val="left"/>
        <w:rPr>
          <w:rFonts w:ascii="Times New Roman" w:hAnsi="Times New Roman" w:eastAsia="宋体" w:cs="Times New Roman"/>
          <w:kern w:val="0"/>
          <w:szCs w:val="21"/>
        </w:rPr>
      </w:pPr>
      <w:r>
        <w:rPr>
          <w:rFonts w:ascii="Times New Roman" w:hAnsi="Times New Roman" w:eastAsia="宋体" w:cs="Times New Roman"/>
          <w:kern w:val="0"/>
          <w:szCs w:val="21"/>
        </w:rPr>
        <w:t>参考文献（References）</w:t>
      </w:r>
    </w:p>
    <w:p w14:paraId="48753EB1">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fldChar w:fldCharType="begin"/>
      </w:r>
      <w:r>
        <w:rPr>
          <w:rFonts w:hint="default" w:ascii="Times New Roman" w:hAnsi="Times New Roman" w:cs="Times New Roman"/>
          <w:sz w:val="18"/>
          <w:szCs w:val="18"/>
          <w:lang w:eastAsia="zh-CN"/>
        </w:rPr>
        <w:instrText xml:space="preserve"> ADDIN ZOTERO_BIBL {"uncited":[],"omitted":[],"custom":[]} CSL_BIBLIOGRAPHY </w:instrText>
      </w:r>
      <w:r>
        <w:rPr>
          <w:rFonts w:hint="default" w:ascii="Times New Roman" w:hAnsi="Times New Roman" w:cs="Times New Roman"/>
          <w:sz w:val="18"/>
          <w:szCs w:val="18"/>
        </w:rPr>
        <w:fldChar w:fldCharType="separate"/>
      </w:r>
      <w:r>
        <w:rPr>
          <w:rFonts w:hint="default" w:ascii="Times New Roman" w:hAnsi="Times New Roman" w:cs="Times New Roman"/>
          <w:sz w:val="18"/>
          <w:szCs w:val="18"/>
        </w:rPr>
        <w:t>[1]</w:t>
      </w:r>
      <w:r>
        <w:rPr>
          <w:rFonts w:hint="default" w:ascii="Times New Roman" w:hAnsi="Times New Roman" w:cs="Times New Roman"/>
          <w:sz w:val="18"/>
          <w:szCs w:val="18"/>
        </w:rPr>
        <w:tab/>
      </w:r>
      <w:r>
        <w:rPr>
          <w:rFonts w:hint="default" w:ascii="Times New Roman" w:hAnsi="Times New Roman" w:cs="Times New Roman"/>
          <w:sz w:val="18"/>
          <w:szCs w:val="18"/>
        </w:rPr>
        <w:t>LIU Z F. Analysis of Current Utilization of Hydrogen Energy[J/OL]. Scientific and Social Research, 2024, 6(4): 92-96.</w:t>
      </w:r>
    </w:p>
    <w:p w14:paraId="0DE5A6C4">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w:t>
      </w:r>
      <w:r>
        <w:rPr>
          <w:rFonts w:hint="default" w:ascii="Times New Roman" w:hAnsi="Times New Roman" w:cs="Times New Roman"/>
          <w:sz w:val="18"/>
          <w:szCs w:val="18"/>
        </w:rPr>
        <w:tab/>
      </w:r>
      <w:r>
        <w:rPr>
          <w:rFonts w:hint="default" w:ascii="Times New Roman" w:hAnsi="Times New Roman" w:cs="Times New Roman"/>
          <w:sz w:val="18"/>
          <w:szCs w:val="18"/>
        </w:rPr>
        <w:t>KUBILAY KARAYEL G, JAVANI N, DINCER I. A comprehensive assessment of energy storage options for green hydrogen[J/OL]. Energy Conversion and Management, 2023, 291: 117311.</w:t>
      </w:r>
    </w:p>
    <w:p w14:paraId="48FCBCC1">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[3]</w:t>
      </w:r>
      <w:r>
        <w:rPr>
          <w:rFonts w:hint="default" w:ascii="Times New Roman" w:hAnsi="Times New Roman" w:cs="Times New Roman"/>
          <w:sz w:val="18"/>
          <w:szCs w:val="18"/>
        </w:rPr>
        <w:tab/>
      </w:r>
      <w:r>
        <w:rPr>
          <w:rFonts w:hint="default" w:ascii="Times New Roman" w:hAnsi="Times New Roman" w:cs="Times New Roman"/>
          <w:sz w:val="18"/>
          <w:szCs w:val="18"/>
        </w:rPr>
        <w:t>李雪芳, 何倩, 柯道友, 等. 高压氢气小孔泄漏射流分层流动模型与验证[J/OL]. 清华大学学报（自然科学版）, 2018, 58(12): 1095-1100.</w:t>
      </w:r>
    </w:p>
    <w:p w14:paraId="02BCC870">
      <w:pPr>
        <w:autoSpaceDE w:val="0"/>
        <w:autoSpaceDN w:val="0"/>
        <w:adjustRightInd w:val="0"/>
        <w:spacing w:line="240" w:lineRule="atLeast"/>
        <w:ind w:left="357" w:leftChars="170" w:firstLine="0" w:firstLineChars="0"/>
        <w:rPr>
          <w:rFonts w:hint="default" w:ascii="Times New Roman" w:hAnsi="Times New Roman" w:cs="Times New Roman"/>
          <w:sz w:val="18"/>
          <w:szCs w:val="18"/>
        </w:rPr>
      </w:pPr>
      <w:r>
        <w:rPr>
          <w:rFonts w:hint="default" w:ascii="Times New Roman" w:hAnsi="Times New Roman" w:cs="Times New Roman"/>
          <w:sz w:val="18"/>
          <w:szCs w:val="18"/>
        </w:rPr>
        <w:t>LI X</w:t>
      </w:r>
      <w:r>
        <w:rPr>
          <w:rFonts w:hint="default" w:ascii="Times New Roman" w:hAnsi="Times New Roman" w:cs="Times New Roman"/>
          <w:sz w:val="18"/>
          <w:szCs w:val="18"/>
          <w:lang w:val="en-US" w:eastAsia="zh-CN"/>
        </w:rPr>
        <w:t xml:space="preserve"> F</w:t>
      </w:r>
      <w:r>
        <w:rPr>
          <w:rFonts w:hint="default" w:ascii="Times New Roman" w:hAnsi="Times New Roman" w:cs="Times New Roman"/>
          <w:sz w:val="18"/>
          <w:szCs w:val="18"/>
        </w:rPr>
        <w:t>, HE Q, CHRISTOPHER D M, et al. Validation of flow partitioning model for high pressure hydrogen jets through small orifices[J/OL]. Journal of Tsinghua University (Science and Technology), 2018, 58(12): 1095-1100.</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rPr>
        <w:t>(in Chinese)</w:t>
      </w:r>
    </w:p>
    <w:p w14:paraId="2C1E6A6B">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[4]</w:t>
      </w:r>
      <w:r>
        <w:rPr>
          <w:rFonts w:hint="default" w:ascii="Times New Roman" w:hAnsi="Times New Roman" w:cs="Times New Roman"/>
          <w:sz w:val="18"/>
          <w:szCs w:val="18"/>
        </w:rPr>
        <w:tab/>
      </w:r>
      <w:r>
        <w:rPr>
          <w:rFonts w:hint="default" w:ascii="Times New Roman" w:hAnsi="Times New Roman" w:cs="Times New Roman"/>
          <w:sz w:val="18"/>
          <w:szCs w:val="18"/>
        </w:rPr>
        <w:t>扈学超, 毕笑天, 刘策, 等. 氢燃料微预混火焰燃烧不稳定性实验研究[J/OL]. 清华大学学报（自然科学版）, 2023, 63(4): 572-584.</w:t>
      </w:r>
    </w:p>
    <w:p w14:paraId="420A2225">
      <w:pPr>
        <w:autoSpaceDE w:val="0"/>
        <w:autoSpaceDN w:val="0"/>
        <w:adjustRightInd w:val="0"/>
        <w:spacing w:line="240" w:lineRule="atLeast"/>
        <w:ind w:left="357" w:leftChars="170" w:firstLine="0" w:firstLineChars="0"/>
        <w:rPr>
          <w:rFonts w:hint="default" w:ascii="Times New Roman" w:hAnsi="Times New Roman" w:cs="Times New Roman"/>
          <w:sz w:val="18"/>
          <w:szCs w:val="18"/>
        </w:rPr>
      </w:pPr>
      <w:r>
        <w:rPr>
          <w:rFonts w:hint="default" w:ascii="Times New Roman" w:hAnsi="Times New Roman" w:cs="Times New Roman"/>
          <w:sz w:val="18"/>
          <w:szCs w:val="18"/>
        </w:rPr>
        <w:t>HU X</w:t>
      </w:r>
      <w:r>
        <w:rPr>
          <w:rFonts w:hint="default" w:ascii="Times New Roman" w:hAnsi="Times New Roman" w:cs="Times New Roman"/>
          <w:sz w:val="18"/>
          <w:szCs w:val="18"/>
          <w:lang w:val="en-US" w:eastAsia="zh-CN"/>
        </w:rPr>
        <w:t xml:space="preserve"> C</w:t>
      </w:r>
      <w:r>
        <w:rPr>
          <w:rFonts w:hint="default" w:ascii="Times New Roman" w:hAnsi="Times New Roman" w:cs="Times New Roman"/>
          <w:sz w:val="18"/>
          <w:szCs w:val="18"/>
        </w:rPr>
        <w:t>, BI X</w:t>
      </w:r>
      <w:r>
        <w:rPr>
          <w:rFonts w:hint="default" w:ascii="Times New Roman" w:hAnsi="Times New Roman" w:cs="Times New Roman"/>
          <w:sz w:val="18"/>
          <w:szCs w:val="18"/>
          <w:lang w:val="en-US" w:eastAsia="zh-CN"/>
        </w:rPr>
        <w:t xml:space="preserve"> T</w:t>
      </w:r>
      <w:r>
        <w:rPr>
          <w:rFonts w:hint="default" w:ascii="Times New Roman" w:hAnsi="Times New Roman" w:cs="Times New Roman"/>
          <w:sz w:val="18"/>
          <w:szCs w:val="18"/>
        </w:rPr>
        <w:t>, LIU C, et al. Study of combustion characteristics and flame stabilization mechanism of hydrogen-containing micromix jet flames[J/OL]. Journal of Tsinghua University (Science and Technology), 2023, 63(4): 572-584.</w:t>
      </w:r>
      <w:r>
        <w:rPr>
          <w:rFonts w:hint="default" w:ascii="Times New Roman" w:hAnsi="Times New Roman" w:cs="Times New Roman"/>
          <w:sz w:val="18"/>
          <w:szCs w:val="18"/>
          <w:lang w:val="en-US" w:eastAsia="zh-CN"/>
        </w:rPr>
        <w:t xml:space="preserve"> </w:t>
      </w:r>
      <w:r>
        <w:rPr>
          <w:rFonts w:hint="default" w:ascii="Times New Roman" w:hAnsi="Times New Roman" w:cs="Times New Roman"/>
          <w:sz w:val="18"/>
          <w:szCs w:val="18"/>
        </w:rPr>
        <w:t>(in Chinese)</w:t>
      </w:r>
    </w:p>
    <w:p w14:paraId="4A6EA707">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[5]</w:t>
      </w:r>
      <w:r>
        <w:rPr>
          <w:rFonts w:hint="default" w:ascii="Times New Roman" w:hAnsi="Times New Roman" w:cs="Times New Roman"/>
          <w:sz w:val="18"/>
          <w:szCs w:val="18"/>
        </w:rPr>
        <w:tab/>
      </w:r>
      <w:r>
        <w:rPr>
          <w:rFonts w:hint="default" w:ascii="Times New Roman" w:hAnsi="Times New Roman" w:cs="Times New Roman"/>
          <w:sz w:val="18"/>
          <w:szCs w:val="18"/>
        </w:rPr>
        <w:t>SUN R F, PU L, HE Y C, et al. Phase change modeling of air at the liquid hydrogen release[J/OL]. International Journal of Hydrogen Energy, 2024, 50: 717-731.</w:t>
      </w:r>
    </w:p>
    <w:p w14:paraId="40A194E2">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[6]</w:t>
      </w:r>
      <w:r>
        <w:rPr>
          <w:rFonts w:hint="default" w:ascii="Times New Roman" w:hAnsi="Times New Roman" w:cs="Times New Roman"/>
          <w:sz w:val="18"/>
          <w:szCs w:val="18"/>
        </w:rPr>
        <w:tab/>
      </w:r>
      <w:r>
        <w:rPr>
          <w:rFonts w:hint="default" w:ascii="Times New Roman" w:hAnsi="Times New Roman" w:cs="Times New Roman"/>
          <w:sz w:val="18"/>
          <w:szCs w:val="18"/>
        </w:rPr>
        <w:t>SUN Z, WANG Z, FEI Z, et al. Numerical study on mitigation effect of fence on the vapor dispersion of liquid hydrogen leak in a dike[J/OL]. International Journal of Hydrogen Energy, 2025, 111: 667-680.</w:t>
      </w:r>
    </w:p>
    <w:p w14:paraId="30EDA2FD">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[7]</w:t>
      </w:r>
      <w:r>
        <w:rPr>
          <w:rFonts w:hint="default" w:ascii="Times New Roman" w:hAnsi="Times New Roman" w:cs="Times New Roman"/>
          <w:sz w:val="18"/>
          <w:szCs w:val="18"/>
        </w:rPr>
        <w:tab/>
      </w:r>
      <w:r>
        <w:rPr>
          <w:rFonts w:hint="default" w:ascii="Times New Roman" w:hAnsi="Times New Roman" w:cs="Times New Roman"/>
          <w:sz w:val="18"/>
          <w:szCs w:val="18"/>
        </w:rPr>
        <w:t>LIU W, MARKERT F, GIULIANI L, et al. Analyzing the gas temperature of a hydrogen jet fire in a compartment with the Fire Dynamics Simulator[J/OL]. International Journal of Hydrogen Energy, 2024, 53: 1097-1106.</w:t>
      </w:r>
    </w:p>
    <w:p w14:paraId="391128EC">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[8]</w:t>
      </w:r>
      <w:r>
        <w:rPr>
          <w:rFonts w:hint="default" w:ascii="Times New Roman" w:hAnsi="Times New Roman" w:cs="Times New Roman"/>
          <w:sz w:val="18"/>
          <w:szCs w:val="18"/>
        </w:rPr>
        <w:tab/>
      </w:r>
      <w:r>
        <w:rPr>
          <w:rFonts w:hint="default" w:ascii="Times New Roman" w:hAnsi="Times New Roman" w:cs="Times New Roman"/>
          <w:sz w:val="18"/>
          <w:szCs w:val="18"/>
        </w:rPr>
        <w:t>CHOI S Y, OH C B, DO K H, et al. A Computational Study of Hydrogen Dispersion and Explosion after Large-Scale Leakage of Liquid Hydrogen[J/OL]. Applied Sciences, 2023, 13(23): 12838.</w:t>
      </w:r>
    </w:p>
    <w:p w14:paraId="2E830627">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[9]</w:t>
      </w:r>
      <w:r>
        <w:rPr>
          <w:rFonts w:hint="default" w:ascii="Times New Roman" w:hAnsi="Times New Roman" w:cs="Times New Roman"/>
          <w:sz w:val="18"/>
          <w:szCs w:val="18"/>
        </w:rPr>
        <w:tab/>
      </w:r>
      <w:r>
        <w:rPr>
          <w:rFonts w:hint="default" w:ascii="Times New Roman" w:hAnsi="Times New Roman" w:cs="Times New Roman"/>
          <w:sz w:val="18"/>
          <w:szCs w:val="18"/>
        </w:rPr>
        <w:t>LEE C Y, PARK S K. Numerical Study on the Characteristics of Hydrogen Leakage, Diffusion and Ventilation in Ships[J/OL]. Energies, 2025, 18(2): 448.</w:t>
      </w:r>
    </w:p>
    <w:p w14:paraId="0F252B2F">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[10]</w:t>
      </w:r>
      <w:r>
        <w:rPr>
          <w:rFonts w:hint="default" w:ascii="Times New Roman" w:hAnsi="Times New Roman" w:cs="Times New Roman"/>
          <w:sz w:val="18"/>
          <w:szCs w:val="18"/>
        </w:rPr>
        <w:tab/>
      </w:r>
      <w:r>
        <w:rPr>
          <w:rFonts w:hint="default" w:ascii="Times New Roman" w:hAnsi="Times New Roman" w:cs="Times New Roman"/>
          <w:sz w:val="18"/>
          <w:szCs w:val="18"/>
        </w:rPr>
        <w:t>VENETSANOS A G, PAPANIKOLAOU E, BARTZIS J G. The ADREA-HF CFD code for consequence assessment of hydrogen applications[J/OL]. International Journal of Hydrogen Energy, 2010, 35(8): 3908-3918.</w:t>
      </w:r>
    </w:p>
    <w:p w14:paraId="0930E259">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[11]</w:t>
      </w:r>
      <w:r>
        <w:rPr>
          <w:rFonts w:hint="default" w:ascii="Times New Roman" w:hAnsi="Times New Roman" w:cs="Times New Roman"/>
          <w:sz w:val="18"/>
          <w:szCs w:val="18"/>
        </w:rPr>
        <w:tab/>
      </w:r>
      <w:r>
        <w:rPr>
          <w:rFonts w:hint="default" w:ascii="Times New Roman" w:hAnsi="Times New Roman" w:cs="Times New Roman"/>
          <w:sz w:val="18"/>
          <w:szCs w:val="18"/>
        </w:rPr>
        <w:t>CHITOSE K, OKAMOTO M, TAKENO K, et al. Analysis of a Large Scale Liquid Hydrogen Dispersion Using the Multi-Phase Hydrodynamics Analysis Code (CHAMPAGNE)[J/OL]. Journal of Energy Resources Technology, 2002, 124(4): 283-289.</w:t>
      </w:r>
    </w:p>
    <w:p w14:paraId="7BE575CB">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[12]</w:t>
      </w:r>
      <w:r>
        <w:rPr>
          <w:rFonts w:hint="default" w:ascii="Times New Roman" w:hAnsi="Times New Roman" w:cs="Times New Roman"/>
          <w:sz w:val="18"/>
          <w:szCs w:val="18"/>
        </w:rPr>
        <w:tab/>
      </w:r>
      <w:r>
        <w:rPr>
          <w:rFonts w:hint="default" w:ascii="Times New Roman" w:hAnsi="Times New Roman" w:cs="Times New Roman"/>
          <w:sz w:val="18"/>
          <w:szCs w:val="18"/>
        </w:rPr>
        <w:t>HUNG M C, LIN C Y, HSIAO G L K. Safe Firefighting Distances Using FDS and ALOHA for Oil Tank Fires[J/OL]. Fire, 2024, 7(12): 445.</w:t>
      </w:r>
    </w:p>
    <w:p w14:paraId="6E173B88">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[13]</w:t>
      </w:r>
      <w:r>
        <w:rPr>
          <w:rFonts w:hint="default" w:ascii="Times New Roman" w:hAnsi="Times New Roman" w:cs="Times New Roman"/>
          <w:sz w:val="18"/>
          <w:szCs w:val="18"/>
        </w:rPr>
        <w:tab/>
      </w:r>
      <w:r>
        <w:rPr>
          <w:rFonts w:hint="default" w:ascii="Times New Roman" w:hAnsi="Times New Roman" w:cs="Times New Roman"/>
          <w:sz w:val="18"/>
          <w:szCs w:val="18"/>
        </w:rPr>
        <w:t>WITCOFSKI R D, CHIRIVELLA J E. Experimental and analytical analyses of the mechanisms governing the dispersion of flammable clouds formed by liquid hydrogen spills[J/OL]. International Journal of Hydrogen Energy, 1984, 9(5): 425-435.</w:t>
      </w:r>
    </w:p>
    <w:p w14:paraId="13261C17">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[14]</w:t>
      </w:r>
      <w:r>
        <w:rPr>
          <w:rFonts w:hint="default" w:ascii="Times New Roman" w:hAnsi="Times New Roman" w:cs="Times New Roman"/>
          <w:sz w:val="18"/>
          <w:szCs w:val="18"/>
        </w:rPr>
        <w:tab/>
      </w:r>
      <w:r>
        <w:rPr>
          <w:rFonts w:hint="default" w:ascii="Times New Roman" w:hAnsi="Times New Roman" w:cs="Times New Roman"/>
          <w:sz w:val="18"/>
          <w:szCs w:val="18"/>
        </w:rPr>
        <w:t>STATHARAS J C, VENETSANOS A G, BARTZIS J G, et al. Analysis of data from spilling experiments performed with liquid hydrogen[J/OL]. Journal of Hazardous Materials, 2000, 77(1): 57-75.</w:t>
      </w:r>
    </w:p>
    <w:p w14:paraId="043D1C0E">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[15]</w:t>
      </w:r>
      <w:r>
        <w:rPr>
          <w:rFonts w:hint="default" w:ascii="Times New Roman" w:hAnsi="Times New Roman" w:cs="Times New Roman"/>
          <w:sz w:val="18"/>
          <w:szCs w:val="18"/>
        </w:rPr>
        <w:tab/>
      </w:r>
      <w:r>
        <w:rPr>
          <w:rFonts w:hint="default" w:ascii="Times New Roman" w:hAnsi="Times New Roman" w:cs="Times New Roman"/>
          <w:sz w:val="18"/>
          <w:szCs w:val="18"/>
        </w:rPr>
        <w:t>HEDLEY D, HAWKSWORTH S J, RATTIGAN W, et al. Large scale passive ventilation trials of hydrogen[J/OL]. International Journal of Hydrogen Energy, 2014, 39(35): 20325-20330.</w:t>
      </w:r>
    </w:p>
    <w:p w14:paraId="364CC71F">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[16]</w:t>
      </w:r>
      <w:r>
        <w:rPr>
          <w:rFonts w:hint="default" w:ascii="Times New Roman" w:hAnsi="Times New Roman" w:cs="Times New Roman"/>
          <w:sz w:val="18"/>
          <w:szCs w:val="18"/>
        </w:rPr>
        <w:tab/>
      </w:r>
      <w:r>
        <w:rPr>
          <w:rFonts w:hint="default" w:ascii="Times New Roman" w:hAnsi="Times New Roman" w:cs="Times New Roman"/>
          <w:sz w:val="18"/>
          <w:szCs w:val="18"/>
        </w:rPr>
        <w:t>SHU Z Y, LEI G, LIANG W Q, et al. Experimental investigation of hydrogen dispersion characteristics with liquid helium spills in moist air[J/OL]. Process Safety and Environmental Protection, 2022, 162: 923-931.</w:t>
      </w:r>
    </w:p>
    <w:p w14:paraId="4B6F56C4">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[17]</w:t>
      </w:r>
      <w:r>
        <w:rPr>
          <w:rFonts w:hint="default" w:ascii="Times New Roman" w:hAnsi="Times New Roman" w:cs="Times New Roman"/>
          <w:sz w:val="18"/>
          <w:szCs w:val="18"/>
        </w:rPr>
        <w:tab/>
      </w:r>
      <w:r>
        <w:rPr>
          <w:rFonts w:hint="default" w:ascii="Times New Roman" w:hAnsi="Times New Roman" w:cs="Times New Roman"/>
          <w:sz w:val="18"/>
          <w:szCs w:val="18"/>
        </w:rPr>
        <w:t>SHU Z Y, LEI G, LIANG W Q, et al. Investigation of Hydrogen Dispersion Characteristics with Liquid Helium Spills[J/OL]. Journal of Physics: Conference Series, 2022, 2208(1): 012020.</w:t>
      </w:r>
    </w:p>
    <w:p w14:paraId="70C8203F">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[18]</w:t>
      </w:r>
      <w:r>
        <w:rPr>
          <w:rFonts w:hint="default" w:ascii="Times New Roman" w:hAnsi="Times New Roman" w:cs="Times New Roman"/>
          <w:sz w:val="18"/>
          <w:szCs w:val="18"/>
        </w:rPr>
        <w:tab/>
      </w:r>
      <w:r>
        <w:rPr>
          <w:rFonts w:hint="default" w:ascii="Times New Roman" w:hAnsi="Times New Roman" w:cs="Times New Roman"/>
          <w:sz w:val="18"/>
          <w:szCs w:val="18"/>
        </w:rPr>
        <w:t>TANG X, PU L, SHAO X Y, et al. Dispersion behavior and safety study of liquid hydrogen leakage under different application situations[J/OL]. International Journal of Hydrogen Energy, 2020, 45(55): 31278-31288.</w:t>
      </w:r>
    </w:p>
    <w:p w14:paraId="5C505E43">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[19]</w:t>
      </w:r>
      <w:r>
        <w:rPr>
          <w:rFonts w:hint="default" w:ascii="Times New Roman" w:hAnsi="Times New Roman" w:cs="Times New Roman"/>
          <w:sz w:val="18"/>
          <w:szCs w:val="18"/>
        </w:rPr>
        <w:tab/>
      </w:r>
      <w:r>
        <w:rPr>
          <w:rFonts w:hint="default" w:ascii="Times New Roman" w:hAnsi="Times New Roman" w:cs="Times New Roman"/>
          <w:sz w:val="18"/>
          <w:szCs w:val="18"/>
        </w:rPr>
        <w:t>FU X, LI G D, CHEN S Y, et al. Study on Liquid Hydrogen Leakage and Diffusion Behavior in a Hydrogen Production Station[J/OL]. Fire, 2024, 7(7): 217.</w:t>
      </w:r>
    </w:p>
    <w:p w14:paraId="5D95B68C">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[20]</w:t>
      </w:r>
      <w:r>
        <w:rPr>
          <w:rFonts w:hint="default" w:ascii="Times New Roman" w:hAnsi="Times New Roman" w:cs="Times New Roman"/>
          <w:sz w:val="18"/>
          <w:szCs w:val="18"/>
        </w:rPr>
        <w:tab/>
      </w:r>
      <w:r>
        <w:rPr>
          <w:rFonts w:hint="default" w:ascii="Times New Roman" w:hAnsi="Times New Roman" w:cs="Times New Roman"/>
          <w:sz w:val="18"/>
          <w:szCs w:val="18"/>
        </w:rPr>
        <w:t>LI Y J, WANG Z R, SHI X M, et al. Safety analysis of hydrogen leakage accident with a mobile hydrogen refueling station[J/OL]. Process Safety and Environmental Protection, 2023, 171: 619-629.</w:t>
      </w:r>
    </w:p>
    <w:p w14:paraId="14BD3D34">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[21]</w:t>
      </w:r>
      <w:r>
        <w:rPr>
          <w:rFonts w:hint="default" w:ascii="Times New Roman" w:hAnsi="Times New Roman" w:cs="Times New Roman"/>
          <w:sz w:val="18"/>
          <w:szCs w:val="18"/>
        </w:rPr>
        <w:tab/>
      </w:r>
      <w:r>
        <w:rPr>
          <w:rFonts w:hint="default" w:ascii="Times New Roman" w:hAnsi="Times New Roman" w:cs="Times New Roman"/>
          <w:sz w:val="18"/>
          <w:szCs w:val="18"/>
        </w:rPr>
        <w:t>李文然, 雷亚彤, 李春晓, 等. 低温运载火箭加注技术研究进展及海上发射应用展望[C/OL]//第十九届上海航天科技论坛暨上海市宇航学会2024学术年会. 中国上海, 2024: 136-144.</w:t>
      </w:r>
    </w:p>
    <w:p w14:paraId="2F25AE53">
      <w:pPr>
        <w:autoSpaceDE w:val="0"/>
        <w:autoSpaceDN w:val="0"/>
        <w:adjustRightInd w:val="0"/>
        <w:spacing w:line="240" w:lineRule="atLeast"/>
        <w:ind w:left="357" w:leftChars="170" w:firstLine="0" w:firstLineChars="0"/>
        <w:rPr>
          <w:rFonts w:hint="default" w:ascii="Times New Roman" w:hAnsi="Times New Roman" w:cs="Times New Roman"/>
          <w:sz w:val="18"/>
          <w:szCs w:val="18"/>
        </w:rPr>
      </w:pPr>
      <w:r>
        <w:rPr>
          <w:rFonts w:hint="default" w:ascii="Times New Roman" w:hAnsi="Times New Roman" w:cs="Times New Roman"/>
          <w:sz w:val="18"/>
          <w:szCs w:val="18"/>
        </w:rPr>
        <w:t>Li W R, Lei Y T, Li C X, et al. Research progress in cryogenic launch vehicle propellant loading technologies and prospects for maritime launch applications[C/OL]//Proceedings of the 19th Shanghai Aerospace Science and Technology Forum &amp; 2024 Academic Annual Conference of Shanghai Society of Astronautics. Shanghai, China, 2024: 136-144.</w:t>
      </w:r>
      <w:r>
        <w:rPr>
          <w:rFonts w:hint="default" w:ascii="Times New Roman" w:hAnsi="Times New Roman" w:cs="Times New Roman"/>
          <w:sz w:val="18"/>
          <w:szCs w:val="18"/>
          <w:lang w:val="en-US" w:eastAsia="zh-CN"/>
        </w:rPr>
        <w:t xml:space="preserve"> </w:t>
      </w:r>
      <w:r>
        <w:rPr>
          <w:rFonts w:hint="default" w:ascii="Times New Roman" w:hAnsi="Times New Roman" w:cs="Times New Roman"/>
          <w:sz w:val="18"/>
          <w:szCs w:val="18"/>
        </w:rPr>
        <w:t>(in Chinese)</w:t>
      </w:r>
    </w:p>
    <w:p w14:paraId="3088290D">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[22]</w:t>
      </w:r>
      <w:r>
        <w:rPr>
          <w:rFonts w:hint="default" w:ascii="Times New Roman" w:hAnsi="Times New Roman" w:cs="Times New Roman"/>
          <w:sz w:val="18"/>
          <w:szCs w:val="18"/>
        </w:rPr>
        <w:tab/>
      </w:r>
      <w:r>
        <w:rPr>
          <w:rFonts w:hint="default" w:ascii="Times New Roman" w:hAnsi="Times New Roman" w:cs="Times New Roman"/>
          <w:sz w:val="18"/>
          <w:szCs w:val="18"/>
        </w:rPr>
        <w:t>TAMURA Y, OHKUMA T, OKADA H, et al. Wind loading standards and design criteria in Japan[J/OL]. Journal of Wind Engineering and Industrial Aerodynamics, 1999, 83(1): 555-566.</w:t>
      </w:r>
    </w:p>
    <w:p w14:paraId="290819A9">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[23]</w:t>
      </w:r>
      <w:r>
        <w:rPr>
          <w:rFonts w:hint="default" w:ascii="Times New Roman" w:hAnsi="Times New Roman" w:cs="Times New Roman"/>
          <w:sz w:val="18"/>
          <w:szCs w:val="18"/>
        </w:rPr>
        <w:tab/>
      </w:r>
      <w:r>
        <w:rPr>
          <w:rFonts w:hint="default" w:ascii="Times New Roman" w:hAnsi="Times New Roman" w:cs="Times New Roman"/>
          <w:sz w:val="18"/>
          <w:szCs w:val="18"/>
        </w:rPr>
        <w:t>CHOI S, JEONG B. CFD simulation of gas dispersion at hydrogen bunkering station[J/OL]. Journal of International Maritime Safety, Environmental Affairs, and Shipping, 2023, 7(4): 2261350.</w:t>
      </w:r>
    </w:p>
    <w:p w14:paraId="74C89386">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[24]</w:t>
      </w:r>
      <w:r>
        <w:rPr>
          <w:rFonts w:hint="default" w:ascii="Times New Roman" w:hAnsi="Times New Roman" w:cs="Times New Roman"/>
          <w:sz w:val="18"/>
          <w:szCs w:val="18"/>
        </w:rPr>
        <w:tab/>
      </w:r>
      <w:r>
        <w:rPr>
          <w:rFonts w:hint="default" w:ascii="Times New Roman" w:hAnsi="Times New Roman" w:cs="Times New Roman"/>
          <w:sz w:val="18"/>
          <w:szCs w:val="18"/>
        </w:rPr>
        <w:t>LIM S J, WOO D H, LEE Y H. Numerical analysis on extinguishing of sprinklers in a hydrogen pool fire[J/OL]. International Journal of Hydrogen Energy, 2024, 54: 118-126.</w:t>
      </w:r>
    </w:p>
    <w:p w14:paraId="564D1413">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[25]</w:t>
      </w:r>
      <w:r>
        <w:rPr>
          <w:rFonts w:hint="default" w:ascii="Times New Roman" w:hAnsi="Times New Roman" w:cs="Times New Roman"/>
          <w:sz w:val="18"/>
          <w:szCs w:val="18"/>
        </w:rPr>
        <w:tab/>
      </w:r>
      <w:r>
        <w:rPr>
          <w:rFonts w:hint="default" w:ascii="Times New Roman" w:hAnsi="Times New Roman" w:cs="Times New Roman"/>
          <w:sz w:val="18"/>
          <w:szCs w:val="18"/>
        </w:rPr>
        <w:t xml:space="preserve">MCGRATTAN K, HOSTIKKA S, FLOYD J, </w:t>
      </w:r>
      <w:r>
        <w:rPr>
          <w:rFonts w:hint="default" w:ascii="Times New Roman" w:hAnsi="Times New Roman" w:cs="Times New Roman"/>
          <w:sz w:val="18"/>
          <w:szCs w:val="18"/>
          <w:lang w:val="en-US" w:eastAsia="zh-CN"/>
        </w:rPr>
        <w:t>et al</w:t>
      </w:r>
      <w:r>
        <w:rPr>
          <w:rFonts w:hint="default" w:ascii="Times New Roman" w:hAnsi="Times New Roman" w:cs="Times New Roman"/>
          <w:sz w:val="18"/>
          <w:szCs w:val="18"/>
        </w:rPr>
        <w:t>. Fire Dynamics Simulator  Technical Reference Guide  Volume 1: Mathematical Model[CP/OL]. Gaithersburg, MD: National Institute of Standards and Technology, 2024.</w:t>
      </w:r>
    </w:p>
    <w:p w14:paraId="2665F582">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[26]</w:t>
      </w:r>
      <w:r>
        <w:rPr>
          <w:rFonts w:hint="default" w:ascii="Times New Roman" w:hAnsi="Times New Roman" w:cs="Times New Roman"/>
          <w:sz w:val="18"/>
          <w:szCs w:val="18"/>
        </w:rPr>
        <w:tab/>
      </w:r>
      <w:r>
        <w:rPr>
          <w:rFonts w:hint="default" w:ascii="Times New Roman" w:hAnsi="Times New Roman" w:cs="Times New Roman"/>
          <w:sz w:val="18"/>
          <w:szCs w:val="18"/>
        </w:rPr>
        <w:t>ZHANG Z, LEI G, SUN R, et al. An Experimental Study on the Large-Volume Liquid Hydrogen Release in an Open Space[J/OL]. Applied Sciences, 2024, 14(9): 3645.</w:t>
      </w:r>
    </w:p>
    <w:p w14:paraId="68610D73">
      <w:pPr>
        <w:autoSpaceDE w:val="0"/>
        <w:autoSpaceDN w:val="0"/>
        <w:adjustRightInd w:val="0"/>
        <w:spacing w:line="240" w:lineRule="atLeast"/>
        <w:ind w:left="360" w:hanging="360" w:hangingChars="200"/>
        <w:rPr>
          <w:rFonts w:hint="default" w:ascii="Times New Roman" w:hAnsi="Times New Roman" w:cs="Times New Roman"/>
          <w:sz w:val="18"/>
          <w:szCs w:val="18"/>
        </w:rPr>
      </w:pPr>
      <w:r>
        <w:rPr>
          <w:rFonts w:hint="default" w:ascii="Times New Roman" w:hAnsi="Times New Roman" w:cs="Times New Roman"/>
          <w:sz w:val="18"/>
          <w:szCs w:val="18"/>
        </w:rPr>
        <w:t>[27]</w:t>
      </w:r>
      <w:r>
        <w:rPr>
          <w:rFonts w:hint="default" w:ascii="Times New Roman" w:hAnsi="Times New Roman" w:cs="Times New Roman"/>
          <w:sz w:val="18"/>
          <w:szCs w:val="18"/>
        </w:rPr>
        <w:tab/>
      </w:r>
      <w:r>
        <w:rPr>
          <w:rFonts w:hint="default" w:ascii="Times New Roman" w:hAnsi="Times New Roman" w:cs="Times New Roman"/>
          <w:sz w:val="18"/>
          <w:szCs w:val="18"/>
        </w:rPr>
        <w:t>张召, 郑直, 陈强, 等. 液氢泄漏扩散行为的数值及实验研究[J]. 低温工程, 2024(5): 73-78, 97.</w:t>
      </w:r>
    </w:p>
    <w:p w14:paraId="5D44980A">
      <w:pPr>
        <w:autoSpaceDE w:val="0"/>
        <w:autoSpaceDN w:val="0"/>
        <w:adjustRightInd w:val="0"/>
        <w:spacing w:line="240" w:lineRule="atLeast"/>
        <w:ind w:left="357" w:leftChars="170" w:firstLine="0" w:firstLineChars="0"/>
        <w:rPr>
          <w:rFonts w:ascii="Times New Roman" w:hAnsi="Times New Roman" w:cs="Times New Roman"/>
          <w:sz w:val="18"/>
          <w:szCs w:val="18"/>
        </w:rPr>
        <w:sectPr>
          <w:type w:val="continuous"/>
          <w:pgSz w:w="11906" w:h="16838"/>
          <w:pgMar w:top="1440" w:right="1106" w:bottom="1440" w:left="1106" w:header="851" w:footer="992" w:gutter="0"/>
          <w:cols w:equalWidth="0" w:num="2">
            <w:col w:w="4634" w:space="425"/>
            <w:col w:w="4634"/>
          </w:cols>
          <w:titlePg/>
          <w:docGrid w:type="linesAndChars" w:linePitch="312" w:charSpace="0"/>
        </w:sectPr>
      </w:pPr>
      <w:r>
        <w:rPr>
          <w:rFonts w:hint="default" w:ascii="Times New Roman" w:hAnsi="Times New Roman" w:cs="Times New Roman"/>
          <w:sz w:val="18"/>
          <w:szCs w:val="18"/>
        </w:rPr>
        <w:t>ZHANG Z, ZHENG Z, CHEN Q, et al. Numerical and experimental study on leakage and diffusion behavior of liquid hydrogen[J]. Cryogenics, 2024(5): 73-78, 97.</w:t>
      </w:r>
      <w:r>
        <w:rPr>
          <w:rFonts w:hint="default" w:ascii="Times New Roman" w:hAnsi="Times New Roman" w:cs="Times New Roman"/>
          <w:sz w:val="18"/>
          <w:szCs w:val="18"/>
          <w:lang w:val="en-US" w:eastAsia="zh-CN"/>
        </w:rPr>
        <w:t xml:space="preserve"> </w:t>
      </w:r>
      <w:r>
        <w:rPr>
          <w:rFonts w:hint="default" w:ascii="Times New Roman" w:hAnsi="Times New Roman" w:cs="Times New Roman"/>
          <w:sz w:val="18"/>
          <w:szCs w:val="18"/>
        </w:rPr>
        <w:t>(in Chinese)</w:t>
      </w:r>
    </w:p>
    <w:p w14:paraId="37109C7A">
      <w:pPr>
        <w:widowControl/>
        <w:autoSpaceDE/>
        <w:autoSpaceDN/>
        <w:adjustRightInd/>
        <w:spacing w:line="240" w:lineRule="atLeast"/>
        <w:ind w:left="0" w:firstLine="0" w:firstLineChars="0"/>
        <w:jc w:val="center"/>
        <w:rPr>
          <w:rFonts w:hint="default" w:ascii="Times New Roman" w:hAnsi="Times New Roman" w:cs="Times New Roman"/>
          <w:sz w:val="18"/>
          <w:szCs w:val="18"/>
        </w:rPr>
      </w:pPr>
    </w:p>
    <w:p w14:paraId="372DB579">
      <w:pPr>
        <w:autoSpaceDE w:val="0"/>
        <w:autoSpaceDN w:val="0"/>
        <w:adjustRightInd w:val="0"/>
        <w:spacing w:line="240" w:lineRule="atLeast"/>
        <w:ind w:left="360" w:hanging="360" w:hangingChars="200"/>
        <w:rPr>
          <w:rFonts w:ascii="Times New Roman" w:hAnsi="Times New Roman" w:cs="Times New Roman"/>
          <w:sz w:val="18"/>
          <w:szCs w:val="18"/>
        </w:rPr>
        <w:sectPr>
          <w:type w:val="continuous"/>
          <w:pgSz w:w="11906" w:h="16838"/>
          <w:pgMar w:top="1440" w:right="1106" w:bottom="1440" w:left="1106" w:header="851" w:footer="992" w:gutter="0"/>
          <w:cols w:equalWidth="0" w:num="2">
            <w:col w:w="4634" w:space="425"/>
            <w:col w:w="4634"/>
          </w:cols>
          <w:titlePg/>
          <w:docGrid w:type="linesAndChars" w:linePitch="312" w:charSpace="0"/>
        </w:sectPr>
      </w:pPr>
      <w:r>
        <w:rPr>
          <w:rFonts w:hint="default" w:ascii="Times New Roman" w:hAnsi="Times New Roman" w:cs="Times New Roman"/>
          <w:sz w:val="18"/>
          <w:szCs w:val="18"/>
        </w:rPr>
        <w:fldChar w:fldCharType="end"/>
      </w:r>
      <w:bookmarkEnd w:id="6"/>
    </w:p>
    <w:p w14:paraId="1998250F">
      <w:pPr>
        <w:widowControl/>
        <w:spacing w:line="240" w:lineRule="atLeast"/>
        <w:jc w:val="center"/>
        <w:rPr>
          <w:rFonts w:ascii="Times New Roman" w:hAnsi="Times New Roman" w:eastAsia="宋体" w:cs="Times New Roman"/>
          <w:color w:val="FF0000"/>
          <w:kern w:val="0"/>
          <w:szCs w:val="21"/>
        </w:rPr>
      </w:pPr>
    </w:p>
    <w:p w14:paraId="7AA86408">
      <w:pPr>
        <w:widowControl/>
        <w:spacing w:line="240" w:lineRule="atLeast"/>
        <w:jc w:val="center"/>
        <w:rPr>
          <w:rFonts w:ascii="Times New Roman" w:hAnsi="Times New Roman" w:eastAsia="宋体" w:cs="Times New Roman"/>
          <w:color w:val="FF0000"/>
          <w:kern w:val="0"/>
          <w:szCs w:val="21"/>
        </w:rPr>
      </w:pPr>
    </w:p>
    <w:p w14:paraId="140C8990">
      <w:pPr>
        <w:widowControl/>
        <w:spacing w:line="240" w:lineRule="atLeast"/>
        <w:jc w:val="center"/>
        <w:rPr>
          <w:rFonts w:hint="default" w:ascii="Times New Roman" w:hAnsi="Times New Roman" w:eastAsia="黑体" w:cs="Times New Roman"/>
          <w:kern w:val="0"/>
          <w:sz w:val="36"/>
          <w:szCs w:val="36"/>
          <w:lang w:val="en-US"/>
        </w:rPr>
      </w:pPr>
      <w:r>
        <w:rPr>
          <w:rFonts w:hint="eastAsia" w:ascii="Times New Roman" w:hAnsi="Times New Roman" w:eastAsia="黑体" w:cs="Times New Roman"/>
          <w:kern w:val="0"/>
          <w:sz w:val="36"/>
          <w:szCs w:val="36"/>
        </w:rPr>
        <w:t>Full-</w:t>
      </w:r>
      <w:r>
        <w:rPr>
          <w:rFonts w:hint="eastAsia" w:ascii="Times New Roman" w:hAnsi="Times New Roman" w:eastAsia="黑体" w:cs="Times New Roman"/>
          <w:kern w:val="0"/>
          <w:sz w:val="36"/>
          <w:szCs w:val="36"/>
          <w:lang w:val="en-US" w:eastAsia="zh-CN"/>
        </w:rPr>
        <w:t>s</w:t>
      </w:r>
      <w:r>
        <w:rPr>
          <w:rFonts w:hint="eastAsia" w:ascii="Times New Roman" w:hAnsi="Times New Roman" w:eastAsia="黑体" w:cs="Times New Roman"/>
          <w:kern w:val="0"/>
          <w:sz w:val="36"/>
          <w:szCs w:val="36"/>
        </w:rPr>
        <w:t xml:space="preserve">cale </w:t>
      </w:r>
      <w:r>
        <w:rPr>
          <w:rFonts w:hint="eastAsia" w:ascii="Times New Roman" w:hAnsi="Times New Roman" w:eastAsia="黑体" w:cs="Times New Roman"/>
          <w:kern w:val="0"/>
          <w:sz w:val="36"/>
          <w:szCs w:val="36"/>
          <w:lang w:val="en-US" w:eastAsia="zh-CN"/>
        </w:rPr>
        <w:t>s</w:t>
      </w:r>
      <w:r>
        <w:rPr>
          <w:rFonts w:hint="eastAsia" w:ascii="Times New Roman" w:hAnsi="Times New Roman" w:eastAsia="黑体" w:cs="Times New Roman"/>
          <w:kern w:val="0"/>
          <w:sz w:val="36"/>
          <w:szCs w:val="36"/>
        </w:rPr>
        <w:t xml:space="preserve">imulation and </w:t>
      </w:r>
      <w:r>
        <w:rPr>
          <w:rFonts w:hint="eastAsia" w:ascii="Times New Roman" w:hAnsi="Times New Roman" w:eastAsia="黑体" w:cs="Times New Roman"/>
          <w:kern w:val="0"/>
          <w:sz w:val="36"/>
          <w:szCs w:val="36"/>
          <w:lang w:val="en-US" w:eastAsia="zh-CN"/>
        </w:rPr>
        <w:t>s</w:t>
      </w:r>
      <w:r>
        <w:rPr>
          <w:rFonts w:hint="eastAsia" w:ascii="Times New Roman" w:hAnsi="Times New Roman" w:eastAsia="黑体" w:cs="Times New Roman"/>
          <w:kern w:val="0"/>
          <w:sz w:val="36"/>
          <w:szCs w:val="36"/>
        </w:rPr>
        <w:t xml:space="preserve">afety </w:t>
      </w:r>
      <w:r>
        <w:rPr>
          <w:rFonts w:hint="eastAsia" w:ascii="Times New Roman" w:hAnsi="Times New Roman" w:eastAsia="黑体" w:cs="Times New Roman"/>
          <w:kern w:val="0"/>
          <w:sz w:val="36"/>
          <w:szCs w:val="36"/>
          <w:lang w:val="en-US" w:eastAsia="zh-CN"/>
        </w:rPr>
        <w:t>a</w:t>
      </w:r>
      <w:r>
        <w:rPr>
          <w:rFonts w:hint="eastAsia" w:ascii="Times New Roman" w:hAnsi="Times New Roman" w:eastAsia="黑体" w:cs="Times New Roman"/>
          <w:kern w:val="0"/>
          <w:sz w:val="36"/>
          <w:szCs w:val="36"/>
        </w:rPr>
        <w:t xml:space="preserve">nalysis of  </w:t>
      </w:r>
      <w:r>
        <w:rPr>
          <w:rFonts w:hint="eastAsia" w:ascii="Times New Roman" w:hAnsi="Times New Roman" w:eastAsia="黑体" w:cs="Times New Roman"/>
          <w:kern w:val="0"/>
          <w:sz w:val="36"/>
          <w:szCs w:val="36"/>
          <w:lang w:val="en-US" w:eastAsia="zh-CN"/>
        </w:rPr>
        <w:t>l</w:t>
      </w:r>
      <w:r>
        <w:rPr>
          <w:rFonts w:hint="eastAsia" w:ascii="Times New Roman" w:hAnsi="Times New Roman" w:eastAsia="黑体" w:cs="Times New Roman"/>
          <w:kern w:val="0"/>
          <w:sz w:val="36"/>
          <w:szCs w:val="36"/>
        </w:rPr>
        <w:t xml:space="preserve">eakage and </w:t>
      </w:r>
      <w:r>
        <w:rPr>
          <w:rFonts w:hint="eastAsia" w:ascii="Times New Roman" w:hAnsi="Times New Roman" w:eastAsia="黑体" w:cs="Times New Roman"/>
          <w:kern w:val="0"/>
          <w:sz w:val="36"/>
          <w:szCs w:val="36"/>
          <w:lang w:val="en-US" w:eastAsia="zh-CN"/>
        </w:rPr>
        <w:t>d</w:t>
      </w:r>
      <w:r>
        <w:rPr>
          <w:rFonts w:hint="eastAsia" w:ascii="Times New Roman" w:hAnsi="Times New Roman" w:eastAsia="黑体" w:cs="Times New Roman"/>
          <w:kern w:val="0"/>
          <w:sz w:val="36"/>
          <w:szCs w:val="36"/>
        </w:rPr>
        <w:t xml:space="preserve">ispersion in </w:t>
      </w:r>
      <w:r>
        <w:rPr>
          <w:rFonts w:hint="eastAsia" w:ascii="Times New Roman" w:hAnsi="Times New Roman" w:eastAsia="黑体" w:cs="Times New Roman"/>
          <w:kern w:val="0"/>
          <w:sz w:val="36"/>
          <w:szCs w:val="36"/>
          <w:lang w:val="en-US" w:eastAsia="zh-CN"/>
        </w:rPr>
        <w:t>large-scale liquid hydrogen storage areas</w:t>
      </w:r>
    </w:p>
    <w:p w14:paraId="73DF76A6">
      <w:pPr>
        <w:widowControl/>
        <w:spacing w:line="240" w:lineRule="atLeast"/>
        <w:rPr>
          <w:rFonts w:ascii="Times New Roman" w:hAnsi="Times New Roman" w:eastAsia="宋体" w:cs="Times New Roman"/>
          <w:b/>
          <w:bCs/>
          <w:kern w:val="0"/>
          <w:szCs w:val="21"/>
        </w:rPr>
      </w:pPr>
    </w:p>
    <w:p w14:paraId="70D54180">
      <w:pPr>
        <w:widowControl/>
        <w:spacing w:line="240" w:lineRule="atLeast"/>
        <w:rPr>
          <w:rFonts w:ascii="Times New Roman" w:hAnsi="Times New Roman" w:eastAsia="宋体" w:cs="Times New Roman"/>
          <w:color w:val="FF0000"/>
          <w:kern w:val="0"/>
          <w:szCs w:val="21"/>
        </w:rPr>
      </w:pPr>
      <w:bookmarkStart w:id="15" w:name="_GoBack"/>
      <w:bookmarkEnd w:id="15"/>
      <w:r>
        <w:rPr>
          <w:rFonts w:ascii="Times New Roman" w:hAnsi="Times New Roman" w:eastAsia="宋体" w:cs="Times New Roman"/>
          <w:b/>
          <w:bCs/>
          <w:kern w:val="0"/>
          <w:szCs w:val="21"/>
        </w:rPr>
        <w:t>Abstract:</w:t>
      </w:r>
      <w:r>
        <w:rPr>
          <w:rFonts w:ascii="Times New Roman" w:hAnsi="Times New Roman" w:eastAsia="宋体" w:cs="Times New Roman"/>
          <w:color w:val="FF0000"/>
          <w:kern w:val="0"/>
          <w:szCs w:val="21"/>
        </w:rPr>
        <w:t xml:space="preserve"> </w:t>
      </w:r>
      <w:r>
        <w:rPr>
          <w:rFonts w:ascii="Times New Roman" w:hAnsi="Times New Roman" w:eastAsia="宋体" w:cs="Times New Roman"/>
          <w:kern w:val="0"/>
          <w:szCs w:val="21"/>
        </w:rPr>
        <w:t xml:space="preserve">Investigating </w:t>
      </w:r>
      <w:r>
        <w:rPr>
          <w:rFonts w:hint="eastAsia" w:ascii="Times New Roman" w:hAnsi="Times New Roman" w:eastAsia="宋体" w:cs="Times New Roman"/>
          <w:kern w:val="0"/>
          <w:szCs w:val="21"/>
        </w:rPr>
        <w:t xml:space="preserve">the safety risks associated with large-scale liquid hydrogen leaks in </w:t>
      </w:r>
      <w:r>
        <w:rPr>
          <w:rFonts w:ascii="Times New Roman" w:hAnsi="Times New Roman" w:eastAsia="宋体" w:cs="Times New Roman"/>
          <w:kern w:val="0"/>
          <w:szCs w:val="21"/>
        </w:rPr>
        <w:t>large-scale liquid hydrogen storage</w:t>
      </w:r>
      <w:r>
        <w:rPr>
          <w:rFonts w:hint="eastAsia" w:ascii="Times New Roman" w:hAnsi="Times New Roman" w:eastAsia="宋体" w:cs="Times New Roman"/>
          <w:kern w:val="0"/>
          <w:szCs w:val="21"/>
        </w:rPr>
        <w:t xml:space="preserve"> areas</w:t>
      </w:r>
      <w:r>
        <w:rPr>
          <w:rFonts w:ascii="Times New Roman" w:hAnsi="Times New Roman" w:eastAsia="宋体" w:cs="Times New Roman"/>
          <w:kern w:val="0"/>
          <w:szCs w:val="21"/>
        </w:rPr>
        <w:t xml:space="preserve"> is of significant practical importance for achieving lifecycle risk control in launch sites. This study </w:t>
      </w:r>
      <w:r>
        <w:rPr>
          <w:rFonts w:hint="eastAsia" w:ascii="Times New Roman" w:hAnsi="Times New Roman" w:eastAsia="宋体" w:cs="Times New Roman"/>
          <w:kern w:val="0"/>
          <w:szCs w:val="21"/>
        </w:rPr>
        <w:t>establishes an FDS (Fire Dynamics Simulator) simulation model</w:t>
      </w:r>
      <w:r>
        <w:rPr>
          <w:rFonts w:ascii="Times New Roman" w:hAnsi="Times New Roman" w:eastAsia="宋体" w:cs="Times New Roman"/>
          <w:kern w:val="0"/>
          <w:szCs w:val="21"/>
        </w:rPr>
        <w:t xml:space="preserve"> to simulate post-leakage hydrogen dispersion and accidental fire scenarios, analyzing the lateral dispersion scale of hydrogen clouds and the impacts of </w:t>
      </w:r>
      <w:r>
        <w:rPr>
          <w:rFonts w:hint="eastAsia" w:ascii="Times New Roman" w:hAnsi="Times New Roman" w:eastAsia="宋体" w:cs="Times New Roman"/>
          <w:kern w:val="0"/>
          <w:szCs w:val="21"/>
        </w:rPr>
        <w:t>upper boundary confinement</w:t>
      </w:r>
      <w:r>
        <w:rPr>
          <w:rFonts w:ascii="Times New Roman" w:hAnsi="Times New Roman" w:eastAsia="宋体" w:cs="Times New Roman"/>
          <w:kern w:val="0"/>
          <w:szCs w:val="21"/>
        </w:rPr>
        <w:t xml:space="preserve"> and solar radiation on launch site safety. The study further examines flame propagation dynamics and hazard zones following ignition.</w:t>
      </w:r>
      <w:r>
        <w:rPr>
          <w:rFonts w:hint="eastAsia" w:ascii="Times New Roman" w:hAnsi="Times New Roman" w:eastAsia="宋体" w:cs="Times New Roman"/>
          <w:kern w:val="0"/>
          <w:szCs w:val="21"/>
          <w:lang w:val="en-US" w:eastAsia="zh-CN"/>
        </w:rPr>
        <w:t xml:space="preserve"> Spatial distribution analysis reveals that </w:t>
      </w:r>
      <w:r>
        <w:rPr>
          <w:rFonts w:hint="eastAsia" w:ascii="Times New Roman" w:hAnsi="Times New Roman" w:eastAsia="宋体" w:cs="Times New Roman"/>
          <w:kern w:val="0"/>
          <w:szCs w:val="21"/>
        </w:rPr>
        <w:t>when architectural structures are offset from prevailing wind directions, the lateral dispersion of combustible hydrogen clouds remains insufficient to pose significant impact</w:t>
      </w:r>
      <w:r>
        <w:rPr>
          <w:rFonts w:hint="eastAsia" w:ascii="Times New Roman" w:hAnsi="Times New Roman" w:eastAsia="宋体" w:cs="Times New Roman"/>
          <w:kern w:val="0"/>
          <w:szCs w:val="21"/>
          <w:lang w:val="en-US" w:eastAsia="zh-CN"/>
        </w:rPr>
        <w:t xml:space="preserve">. The ceiling structure suppresses vertical dispersion during early leakage stages while enhancing horizontal transport, thereby prolonging hazardous exposure duration in proximal areas. The thermal effects induced by solar irradiation accelerate the evaporation and dispersion of liquid hydrogen during the initial phase, leading to prolonged hazardous exposure duration in near-field regions. Concurrently, the enhanced heat exchange promotes the formation of more diluted gas clouds in later stages, consequently delaying the arrival of hydrogen clouds at far-field regions. Simulation results demonstrate that </w:t>
      </w:r>
      <w:r>
        <w:rPr>
          <w:rFonts w:ascii="Times New Roman" w:hAnsi="Times New Roman" w:eastAsia="宋体" w:cs="Times New Roman"/>
          <w:kern w:val="0"/>
          <w:szCs w:val="21"/>
        </w:rPr>
        <w:t>liquid hydrogen</w:t>
      </w:r>
      <w:r>
        <w:rPr>
          <w:rFonts w:hint="eastAsia" w:ascii="Times New Roman" w:hAnsi="Times New Roman" w:eastAsia="宋体" w:cs="Times New Roman"/>
          <w:kern w:val="0"/>
          <w:szCs w:val="21"/>
          <w:lang w:val="en-US" w:eastAsia="zh-CN"/>
        </w:rPr>
        <w:t xml:space="preserve"> fire exhibit rapid propagation and extreme thermal hazards, leading to significant material degradation and secondary disaster risks. </w:t>
      </w:r>
      <w:r>
        <w:rPr>
          <w:rFonts w:hint="eastAsia" w:ascii="Times New Roman" w:hAnsi="Times New Roman" w:eastAsia="宋体" w:cs="Times New Roman"/>
          <w:kern w:val="0"/>
          <w:szCs w:val="21"/>
        </w:rPr>
        <w:t>These results provide critical technical support for safety design optimization and emergency response protocols in large-scale liquid hydrogen storage areas.</w:t>
      </w:r>
    </w:p>
    <w:p w14:paraId="6D64BE3E">
      <w:pPr>
        <w:widowControl/>
        <w:spacing w:line="240" w:lineRule="atLeast"/>
        <w:rPr>
          <w:rFonts w:ascii="Times New Roman" w:hAnsi="Times New Roman" w:cs="Times New Roman"/>
          <w:kern w:val="0"/>
          <w:szCs w:val="21"/>
        </w:rPr>
      </w:pPr>
      <w:r>
        <w:rPr>
          <w:rFonts w:ascii="Times New Roman" w:hAnsi="Times New Roman" w:eastAsia="宋体" w:cs="Times New Roman"/>
          <w:b/>
          <w:bCs/>
          <w:kern w:val="0"/>
          <w:szCs w:val="21"/>
        </w:rPr>
        <w:t>Key words:</w:t>
      </w:r>
      <w:r>
        <w:rPr>
          <w:rFonts w:ascii="Times New Roman" w:hAnsi="Times New Roman" w:eastAsia="宋体" w:cs="Times New Roman"/>
          <w:kern w:val="0"/>
          <w:szCs w:val="21"/>
        </w:rPr>
        <w:t xml:space="preserve"> </w:t>
      </w:r>
      <w:r>
        <w:rPr>
          <w:rFonts w:hint="eastAsia" w:ascii="Times New Roman" w:hAnsi="Times New Roman" w:eastAsia="宋体" w:cs="Times New Roman"/>
          <w:kern w:val="0"/>
          <w:szCs w:val="21"/>
        </w:rPr>
        <w:t>hydrogen safety</w:t>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 xml:space="preserve"> </w:t>
      </w:r>
      <w:r>
        <w:rPr>
          <w:rFonts w:hint="default" w:ascii="Times New Roman" w:hAnsi="Times New Roman" w:eastAsia="宋体" w:cs="Times New Roman"/>
          <w:kern w:val="0"/>
          <w:szCs w:val="21"/>
        </w:rPr>
        <w:fldChar w:fldCharType="begin"/>
      </w:r>
      <w:r>
        <w:rPr>
          <w:rFonts w:hint="default" w:ascii="Times New Roman" w:hAnsi="Times New Roman" w:eastAsia="宋体" w:cs="Times New Roman"/>
          <w:kern w:val="0"/>
          <w:szCs w:val="21"/>
        </w:rPr>
        <w:instrText xml:space="preserve"> HYPERLINK "https://www.mdpi.com/search?q=liquid+hydrogen" </w:instrText>
      </w:r>
      <w:r>
        <w:rPr>
          <w:rFonts w:hint="default" w:ascii="Times New Roman" w:hAnsi="Times New Roman" w:eastAsia="宋体" w:cs="Times New Roman"/>
          <w:kern w:val="0"/>
          <w:szCs w:val="21"/>
        </w:rPr>
        <w:fldChar w:fldCharType="separate"/>
      </w:r>
      <w:r>
        <w:rPr>
          <w:rFonts w:hint="default" w:ascii="Times New Roman" w:hAnsi="Times New Roman" w:eastAsia="宋体" w:cs="Times New Roman"/>
          <w:kern w:val="0"/>
          <w:szCs w:val="21"/>
        </w:rPr>
        <w:t>liquid hydrogen</w:t>
      </w:r>
      <w:r>
        <w:rPr>
          <w:rFonts w:hint="default" w:ascii="Times New Roman" w:hAnsi="Times New Roman" w:eastAsia="宋体" w:cs="Times New Roman"/>
          <w:kern w:val="0"/>
          <w:szCs w:val="21"/>
        </w:rPr>
        <w:fldChar w:fldCharType="end"/>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 xml:space="preserve"> </w:t>
      </w:r>
      <w:r>
        <w:rPr>
          <w:rFonts w:hint="eastAsia" w:ascii="Times New Roman" w:hAnsi="Times New Roman" w:eastAsia="宋体" w:cs="Times New Roman"/>
          <w:kern w:val="0"/>
          <w:szCs w:val="21"/>
        </w:rPr>
        <w:t>leakage and diffusion</w:t>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 xml:space="preserve"> </w:t>
      </w:r>
      <w:r>
        <w:rPr>
          <w:rFonts w:hint="eastAsia" w:ascii="Times New Roman" w:hAnsi="Times New Roman" w:eastAsia="宋体" w:cs="Times New Roman"/>
          <w:kern w:val="0"/>
          <w:szCs w:val="21"/>
        </w:rPr>
        <w:t>fire hazards</w:t>
      </w:r>
      <w:r>
        <w:rPr>
          <w:rFonts w:ascii="Times New Roman" w:hAnsi="Times New Roman" w:eastAsia="宋体" w:cs="Times New Roman"/>
          <w:kern w:val="0"/>
          <w:szCs w:val="21"/>
        </w:rPr>
        <w:t>;</w:t>
      </w:r>
      <w:r>
        <w:rPr>
          <w:rFonts w:hint="eastAsia" w:ascii="Times New Roman" w:hAnsi="Times New Roman" w:eastAsia="宋体" w:cs="Times New Roman"/>
          <w:kern w:val="0"/>
          <w:szCs w:val="21"/>
          <w:lang w:val="en-US" w:eastAsia="zh-CN"/>
        </w:rPr>
        <w:t xml:space="preserve"> </w:t>
      </w:r>
      <w:r>
        <w:rPr>
          <w:rFonts w:hint="eastAsia" w:ascii="Times New Roman" w:hAnsi="Times New Roman" w:eastAsia="宋体" w:cs="Times New Roman"/>
          <w:kern w:val="0"/>
          <w:szCs w:val="21"/>
        </w:rPr>
        <w:t>numerical simulation</w:t>
      </w:r>
    </w:p>
    <w:sectPr>
      <w:type w:val="continuous"/>
      <w:pgSz w:w="11906" w:h="16838"/>
      <w:pgMar w:top="1440" w:right="1106" w:bottom="1440" w:left="1106" w:header="851" w:footer="992" w:gutter="0"/>
      <w:cols w:space="425"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宋体-简"/>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黑体-简"/>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Cambria">
    <w:altName w:val="苹方-简"/>
    <w:panose1 w:val="02040503050406030204"/>
    <w:charset w:val="00"/>
    <w:family w:val="roman"/>
    <w:pitch w:val="default"/>
    <w:sig w:usb0="00000000" w:usb1="00000000" w:usb2="02000000" w:usb3="00000000" w:csb0="2000019F" w:csb1="00000000"/>
  </w:font>
  <w:font w:name="Cambria Math">
    <w:altName w:val="Kingsoft Math"/>
    <w:panose1 w:val="02040503050406030204"/>
    <w:charset w:val="00"/>
    <w:family w:val="roman"/>
    <w:pitch w:val="default"/>
    <w:sig w:usb0="00000000" w:usb1="00000000" w:usb2="02000000" w:usb3="00000000" w:csb0="2000019F" w:csb1="00000000"/>
  </w:font>
  <w:font w:name="微软雅黑">
    <w:altName w:val="汉仪旗黑"/>
    <w:panose1 w:val="020B0503020204020204"/>
    <w:charset w:val="86"/>
    <w:family w:val="auto"/>
    <w:pitch w:val="default"/>
    <w:sig w:usb0="00000000" w:usb1="00000000" w:usb2="00000016" w:usb3="00000000" w:csb0="0004001F" w:csb1="00000000"/>
  </w:font>
  <w:font w:name="宋体-简">
    <w:panose1 w:val="02010800040101010101"/>
    <w:charset w:val="86"/>
    <w:family w:val="auto"/>
    <w:pitch w:val="default"/>
    <w:sig w:usb0="00000001" w:usb1="080F0000" w:usb2="00000000" w:usb3="00000000" w:csb0="00040000" w:csb1="00000000"/>
  </w:font>
  <w:font w:name="黑体-简">
    <w:panose1 w:val="02000000000000000000"/>
    <w:charset w:val="86"/>
    <w:family w:val="auto"/>
    <w:pitch w:val="default"/>
    <w:sig w:usb0="8000002F" w:usb1="0800004A" w:usb2="00000000" w:usb3="00000000" w:csb0="203E0000" w:csb1="00000000"/>
  </w:font>
  <w:font w:name="Kingsoft Math">
    <w:panose1 w:val="02040503050406030204"/>
    <w:charset w:val="00"/>
    <w:family w:val="auto"/>
    <w:pitch w:val="default"/>
    <w:sig w:usb0="80000087" w:usb1="00002068" w:usb2="00000000" w:usb3="00000000" w:csb0="2000019F" w:csb1="00000000"/>
  </w:font>
  <w:font w:name="汉仪旗黑">
    <w:panose1 w:val="00020600040101010101"/>
    <w:charset w:val="86"/>
    <w:family w:val="auto"/>
    <w:pitch w:val="default"/>
    <w:sig w:usb0="A00002BF" w:usb1="1ACF7CFA" w:usb2="00000016" w:usb3="00000000" w:csb0="0004009F" w:csb1="DFD70000"/>
  </w:font>
  <w:font w:name="Helvetica Neue">
    <w:panose1 w:val="02000503000000020004"/>
    <w:charset w:val="00"/>
    <w:family w:val="auto"/>
    <w:pitch w:val="default"/>
    <w:sig w:usb0="E50002FF" w:usb1="500079DB" w:usb2="00000010" w:usb3="00000000" w:csb0="00000000" w:csb1="00000000"/>
  </w:font>
  <w:font w:name="苹方-简">
    <w:panose1 w:val="020B0400000000000000"/>
    <w:charset w:val="86"/>
    <w:family w:val="auto"/>
    <w:pitch w:val="default"/>
    <w:sig w:usb0="A00002FF" w:usb1="7ACFFDFB" w:usb2="00000017" w:usb3="00000000" w:csb0="00040001" w:csb1="00000000"/>
  </w:font>
  <w:font w:name="Kingsoft Sign">
    <w:panose1 w:val="05050102010706020507"/>
    <w:charset w:val="00"/>
    <w:family w:val="auto"/>
    <w:pitch w:val="default"/>
    <w:sig w:usb0="00000000" w:usb1="10000000" w:usb2="00000000" w:usb3="00000000" w:csb0="00000001" w:csb1="00000000"/>
  </w:font>
  <w:font w:name="DejaVu Math TeX Gyre">
    <w:panose1 w:val="02000503000000000000"/>
    <w:charset w:val="00"/>
    <w:family w:val="auto"/>
    <w:pitch w:val="default"/>
    <w:sig w:usb0="A10000EF" w:usb1="4201F9EE" w:usb2="02000000" w:usb3="00000000" w:csb0="60000193" w:csb1="0DD4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2D09D">
    <w:pPr>
      <w:widowControl/>
      <w:jc w:val="left"/>
      <w:rPr>
        <w:rFonts w:hint="eastAsia" w:ascii="宋体" w:hAnsi="宋体" w:eastAsia="宋体" w:cs="宋体"/>
        <w:kern w:val="0"/>
        <w:sz w:val="18"/>
        <w:szCs w:val="1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0362A3"/>
    <w:multiLevelType w:val="multilevel"/>
    <w:tmpl w:val="AB0362A3"/>
    <w:lvl w:ilvl="0" w:tentative="0">
      <w:start w:val="1"/>
      <w:numFmt w:val="decimal"/>
      <w:suff w:val="space"/>
      <w:lvlText w:val="%1"/>
      <w:lvlJc w:val="left"/>
      <w:pPr>
        <w:ind w:left="0" w:firstLine="0"/>
      </w:pPr>
      <w:rPr>
        <w:rFonts w:hint="default"/>
      </w:rPr>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ZlZTEzMzA4MWIzMjg5MDkwMzBjYjlkZmYwMzZlMTUifQ=="/>
  </w:docVars>
  <w:rsids>
    <w:rsidRoot w:val="00172A27"/>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5919"/>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2A27"/>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5D8"/>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56BF5"/>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4AA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562F"/>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1BEA"/>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0AD1"/>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1AA0306"/>
    <w:rsid w:val="01AD4DF0"/>
    <w:rsid w:val="01EC72D6"/>
    <w:rsid w:val="029C58B6"/>
    <w:rsid w:val="04293318"/>
    <w:rsid w:val="042C6338"/>
    <w:rsid w:val="05542478"/>
    <w:rsid w:val="05793C8D"/>
    <w:rsid w:val="060001D2"/>
    <w:rsid w:val="062C186B"/>
    <w:rsid w:val="06AF260B"/>
    <w:rsid w:val="07576E4D"/>
    <w:rsid w:val="07856F7F"/>
    <w:rsid w:val="089800AF"/>
    <w:rsid w:val="089B79AC"/>
    <w:rsid w:val="0B264BB7"/>
    <w:rsid w:val="0B7B716B"/>
    <w:rsid w:val="0BE257DB"/>
    <w:rsid w:val="0C1856AB"/>
    <w:rsid w:val="0CE065E0"/>
    <w:rsid w:val="0CED040D"/>
    <w:rsid w:val="0CEE17D2"/>
    <w:rsid w:val="0CF956B3"/>
    <w:rsid w:val="0FAE09D7"/>
    <w:rsid w:val="10E5231F"/>
    <w:rsid w:val="11B30A76"/>
    <w:rsid w:val="12531C9B"/>
    <w:rsid w:val="13763F01"/>
    <w:rsid w:val="13B2704C"/>
    <w:rsid w:val="13DB3054"/>
    <w:rsid w:val="14085B98"/>
    <w:rsid w:val="15545B7C"/>
    <w:rsid w:val="1562473D"/>
    <w:rsid w:val="16EE1CEC"/>
    <w:rsid w:val="174E4D30"/>
    <w:rsid w:val="17B2302E"/>
    <w:rsid w:val="18E536DB"/>
    <w:rsid w:val="19ED0C23"/>
    <w:rsid w:val="1A5D4245"/>
    <w:rsid w:val="1B47527C"/>
    <w:rsid w:val="1B5B4795"/>
    <w:rsid w:val="1B6D177B"/>
    <w:rsid w:val="1B8D1DE8"/>
    <w:rsid w:val="1B9B2757"/>
    <w:rsid w:val="1C0F0A4F"/>
    <w:rsid w:val="1C7620DD"/>
    <w:rsid w:val="1D0A5106"/>
    <w:rsid w:val="1DFE22DF"/>
    <w:rsid w:val="1F95044B"/>
    <w:rsid w:val="1FF57440"/>
    <w:rsid w:val="200972FD"/>
    <w:rsid w:val="20B304E6"/>
    <w:rsid w:val="216455CB"/>
    <w:rsid w:val="219C708E"/>
    <w:rsid w:val="21DE1701"/>
    <w:rsid w:val="21E62252"/>
    <w:rsid w:val="221C5933"/>
    <w:rsid w:val="24B16FF3"/>
    <w:rsid w:val="24F84776"/>
    <w:rsid w:val="2512352F"/>
    <w:rsid w:val="266A062A"/>
    <w:rsid w:val="26853786"/>
    <w:rsid w:val="26A85F73"/>
    <w:rsid w:val="279D7857"/>
    <w:rsid w:val="27A10F51"/>
    <w:rsid w:val="27B0764C"/>
    <w:rsid w:val="29153A58"/>
    <w:rsid w:val="2987256D"/>
    <w:rsid w:val="2A924AAB"/>
    <w:rsid w:val="2A9674D6"/>
    <w:rsid w:val="2AD91DF4"/>
    <w:rsid w:val="2BAA2FC9"/>
    <w:rsid w:val="2C256D45"/>
    <w:rsid w:val="2D377E06"/>
    <w:rsid w:val="2D6C5D01"/>
    <w:rsid w:val="2EF97A8D"/>
    <w:rsid w:val="2F3D23DC"/>
    <w:rsid w:val="306A7918"/>
    <w:rsid w:val="307856A7"/>
    <w:rsid w:val="30DB0D25"/>
    <w:rsid w:val="30FC1627"/>
    <w:rsid w:val="310E0E7D"/>
    <w:rsid w:val="315B683E"/>
    <w:rsid w:val="318A0E4C"/>
    <w:rsid w:val="31987E1F"/>
    <w:rsid w:val="32807B59"/>
    <w:rsid w:val="32955E47"/>
    <w:rsid w:val="329C7984"/>
    <w:rsid w:val="34F779E6"/>
    <w:rsid w:val="355157DD"/>
    <w:rsid w:val="35636441"/>
    <w:rsid w:val="35AE747B"/>
    <w:rsid w:val="35CA19F8"/>
    <w:rsid w:val="36CA18CC"/>
    <w:rsid w:val="37040D59"/>
    <w:rsid w:val="38BB18EB"/>
    <w:rsid w:val="3922341F"/>
    <w:rsid w:val="39475874"/>
    <w:rsid w:val="39A513BE"/>
    <w:rsid w:val="39FE2EB0"/>
    <w:rsid w:val="3A920816"/>
    <w:rsid w:val="3B6D2489"/>
    <w:rsid w:val="3BFE66BE"/>
    <w:rsid w:val="3DDE5FD0"/>
    <w:rsid w:val="3E3F4A88"/>
    <w:rsid w:val="3EA02EFB"/>
    <w:rsid w:val="3EC82FB3"/>
    <w:rsid w:val="3F275F2C"/>
    <w:rsid w:val="3FB3156E"/>
    <w:rsid w:val="3FD249C2"/>
    <w:rsid w:val="419D2C99"/>
    <w:rsid w:val="41B07A8E"/>
    <w:rsid w:val="41E67C6B"/>
    <w:rsid w:val="430144DE"/>
    <w:rsid w:val="43365FA3"/>
    <w:rsid w:val="43525542"/>
    <w:rsid w:val="43D67557"/>
    <w:rsid w:val="442D18F9"/>
    <w:rsid w:val="447D68D2"/>
    <w:rsid w:val="44A952DB"/>
    <w:rsid w:val="459E4A6E"/>
    <w:rsid w:val="45DD7344"/>
    <w:rsid w:val="4ACE3700"/>
    <w:rsid w:val="4B25463D"/>
    <w:rsid w:val="4B3A6FE7"/>
    <w:rsid w:val="4D4E01F5"/>
    <w:rsid w:val="4DA906FC"/>
    <w:rsid w:val="4DB8502D"/>
    <w:rsid w:val="4F4E00B6"/>
    <w:rsid w:val="50746AF7"/>
    <w:rsid w:val="507C3E1E"/>
    <w:rsid w:val="51497F84"/>
    <w:rsid w:val="521B69AA"/>
    <w:rsid w:val="534722A1"/>
    <w:rsid w:val="53552CC7"/>
    <w:rsid w:val="53843BD4"/>
    <w:rsid w:val="54AF027F"/>
    <w:rsid w:val="564018E2"/>
    <w:rsid w:val="5653771C"/>
    <w:rsid w:val="56B070DD"/>
    <w:rsid w:val="570235A6"/>
    <w:rsid w:val="571166BB"/>
    <w:rsid w:val="575536F1"/>
    <w:rsid w:val="582E1520"/>
    <w:rsid w:val="583E1337"/>
    <w:rsid w:val="58710273"/>
    <w:rsid w:val="588E32F5"/>
    <w:rsid w:val="59486D73"/>
    <w:rsid w:val="59BB3517"/>
    <w:rsid w:val="5A4C63EF"/>
    <w:rsid w:val="5A7D0C9E"/>
    <w:rsid w:val="5AC90885"/>
    <w:rsid w:val="5B531813"/>
    <w:rsid w:val="5C480E38"/>
    <w:rsid w:val="5C514191"/>
    <w:rsid w:val="5C7848EA"/>
    <w:rsid w:val="5C7A0488"/>
    <w:rsid w:val="5C9A78E6"/>
    <w:rsid w:val="5CCB35DA"/>
    <w:rsid w:val="5CD76156"/>
    <w:rsid w:val="5CDA79DE"/>
    <w:rsid w:val="5E0C65C1"/>
    <w:rsid w:val="5E4933FE"/>
    <w:rsid w:val="5EDA6D5D"/>
    <w:rsid w:val="60AF54A2"/>
    <w:rsid w:val="61CA2A1B"/>
    <w:rsid w:val="63232B6E"/>
    <w:rsid w:val="63637746"/>
    <w:rsid w:val="640A537A"/>
    <w:rsid w:val="64A70518"/>
    <w:rsid w:val="655573EA"/>
    <w:rsid w:val="66326DE1"/>
    <w:rsid w:val="66935B58"/>
    <w:rsid w:val="66E77BCB"/>
    <w:rsid w:val="68C82FBD"/>
    <w:rsid w:val="692D031C"/>
    <w:rsid w:val="69BA3375"/>
    <w:rsid w:val="6AA329C7"/>
    <w:rsid w:val="6B4074DD"/>
    <w:rsid w:val="6C3666D2"/>
    <w:rsid w:val="6C580012"/>
    <w:rsid w:val="6C9C3206"/>
    <w:rsid w:val="6D213317"/>
    <w:rsid w:val="6ED07197"/>
    <w:rsid w:val="6F665D41"/>
    <w:rsid w:val="6F8E6C94"/>
    <w:rsid w:val="6FCF56A0"/>
    <w:rsid w:val="6FFCC90F"/>
    <w:rsid w:val="70F11836"/>
    <w:rsid w:val="716F0EE9"/>
    <w:rsid w:val="729559E8"/>
    <w:rsid w:val="73EC4A73"/>
    <w:rsid w:val="7435511E"/>
    <w:rsid w:val="74CF41A0"/>
    <w:rsid w:val="76602BE9"/>
    <w:rsid w:val="76822B4E"/>
    <w:rsid w:val="77824AC0"/>
    <w:rsid w:val="78654DF4"/>
    <w:rsid w:val="79BE0C60"/>
    <w:rsid w:val="7A3E1702"/>
    <w:rsid w:val="7A3E5BF0"/>
    <w:rsid w:val="7B193C74"/>
    <w:rsid w:val="7B42141C"/>
    <w:rsid w:val="7C4F7185"/>
    <w:rsid w:val="7CD460A4"/>
    <w:rsid w:val="7D0A41BC"/>
    <w:rsid w:val="7DEF46C2"/>
    <w:rsid w:val="7E694D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9"/>
    <w:qFormat/>
    <w:uiPriority w:val="9"/>
    <w:pPr>
      <w:keepNext/>
      <w:keepLines/>
      <w:spacing w:before="160" w:after="160" w:line="578" w:lineRule="auto"/>
      <w:outlineLvl w:val="0"/>
    </w:pPr>
    <w:rPr>
      <w:b/>
      <w:bCs/>
      <w:kern w:val="44"/>
      <w:sz w:val="44"/>
      <w:szCs w:val="44"/>
    </w:rPr>
  </w:style>
  <w:style w:type="paragraph" w:styleId="3">
    <w:name w:val="heading 2"/>
    <w:basedOn w:val="1"/>
    <w:next w:val="1"/>
    <w:link w:val="30"/>
    <w:unhideWhenUsed/>
    <w:qFormat/>
    <w:uiPriority w:val="9"/>
    <w:pPr>
      <w:keepNext/>
      <w:keepLines/>
      <w:spacing w:before="120" w:after="120" w:line="415" w:lineRule="auto"/>
      <w:outlineLvl w:val="1"/>
    </w:pPr>
    <w:rPr>
      <w:rFonts w:asciiTheme="majorHAnsi" w:hAnsiTheme="majorHAnsi" w:eastAsiaTheme="majorEastAsia" w:cstheme="majorBidi"/>
      <w:b/>
      <w:bCs/>
      <w:sz w:val="32"/>
      <w:szCs w:val="32"/>
    </w:rPr>
  </w:style>
  <w:style w:type="paragraph" w:styleId="4">
    <w:name w:val="heading 4"/>
    <w:basedOn w:val="1"/>
    <w:next w:val="1"/>
    <w:link w:val="37"/>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semiHidden/>
    <w:unhideWhenUsed/>
    <w:qFormat/>
    <w:uiPriority w:val="35"/>
    <w:rPr>
      <w:rFonts w:eastAsia="黑体" w:asciiTheme="majorHAnsi" w:hAnsiTheme="majorHAnsi" w:cstheme="majorBidi"/>
      <w:sz w:val="20"/>
      <w:szCs w:val="20"/>
    </w:rPr>
  </w:style>
  <w:style w:type="paragraph" w:styleId="6">
    <w:name w:val="annotation text"/>
    <w:basedOn w:val="1"/>
    <w:link w:val="35"/>
    <w:semiHidden/>
    <w:unhideWhenUsed/>
    <w:qFormat/>
    <w:uiPriority w:val="99"/>
    <w:pPr>
      <w:jc w:val="left"/>
    </w:pPr>
  </w:style>
  <w:style w:type="paragraph" w:styleId="7">
    <w:name w:val="Balloon Text"/>
    <w:basedOn w:val="1"/>
    <w:link w:val="26"/>
    <w:semiHidden/>
    <w:unhideWhenUsed/>
    <w:qFormat/>
    <w:uiPriority w:val="99"/>
    <w:rPr>
      <w:sz w:val="18"/>
      <w:szCs w:val="18"/>
    </w:rPr>
  </w:style>
  <w:style w:type="paragraph" w:styleId="8">
    <w:name w:val="footer"/>
    <w:basedOn w:val="1"/>
    <w:link w:val="23"/>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footnote text"/>
    <w:basedOn w:val="1"/>
    <w:link w:val="25"/>
    <w:semiHidden/>
    <w:unhideWhenUsed/>
    <w:qFormat/>
    <w:uiPriority w:val="99"/>
    <w:pPr>
      <w:snapToGrid w:val="0"/>
      <w:jc w:val="left"/>
    </w:pPr>
    <w:rPr>
      <w:sz w:val="18"/>
      <w:szCs w:val="18"/>
    </w:rPr>
  </w:style>
  <w:style w:type="paragraph" w:styleId="11">
    <w:name w:val="Normal (Web)"/>
    <w:basedOn w:val="1"/>
    <w:semiHidden/>
    <w:unhideWhenUsed/>
    <w:qFormat/>
    <w:uiPriority w:val="99"/>
    <w:rPr>
      <w:sz w:val="24"/>
    </w:rPr>
  </w:style>
  <w:style w:type="paragraph" w:styleId="12">
    <w:name w:val="annotation subject"/>
    <w:basedOn w:val="6"/>
    <w:next w:val="6"/>
    <w:link w:val="36"/>
    <w:semiHidden/>
    <w:unhideWhenUsed/>
    <w:qFormat/>
    <w:uiPriority w:val="99"/>
    <w:rPr>
      <w:b/>
      <w:bCs/>
    </w:rPr>
  </w:style>
  <w:style w:type="table" w:styleId="14">
    <w:name w:val="Table Grid"/>
    <w:basedOn w:val="13"/>
    <w:qFormat/>
    <w:uiPriority w:val="0"/>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22"/>
    <w:rPr>
      <w:b/>
      <w:bCs/>
    </w:rPr>
  </w:style>
  <w:style w:type="character" w:styleId="17">
    <w:name w:val="FollowedHyperlink"/>
    <w:basedOn w:val="15"/>
    <w:semiHidden/>
    <w:unhideWhenUsed/>
    <w:qFormat/>
    <w:uiPriority w:val="99"/>
    <w:rPr>
      <w:color w:val="800080" w:themeColor="followedHyperlink"/>
      <w:u w:val="single"/>
      <w14:textFill>
        <w14:solidFill>
          <w14:schemeClr w14:val="folHlink"/>
        </w14:solidFill>
      </w14:textFill>
    </w:rPr>
  </w:style>
  <w:style w:type="character" w:styleId="18">
    <w:name w:val="Emphasis"/>
    <w:basedOn w:val="15"/>
    <w:qFormat/>
    <w:uiPriority w:val="20"/>
    <w:rPr>
      <w:i/>
      <w:iCs/>
    </w:rPr>
  </w:style>
  <w:style w:type="character" w:styleId="19">
    <w:name w:val="Hyperlink"/>
    <w:basedOn w:val="15"/>
    <w:unhideWhenUsed/>
    <w:qFormat/>
    <w:uiPriority w:val="99"/>
    <w:rPr>
      <w:color w:val="0000FF"/>
      <w:u w:val="single"/>
    </w:rPr>
  </w:style>
  <w:style w:type="character" w:styleId="20">
    <w:name w:val="annotation reference"/>
    <w:basedOn w:val="15"/>
    <w:semiHidden/>
    <w:unhideWhenUsed/>
    <w:qFormat/>
    <w:uiPriority w:val="99"/>
    <w:rPr>
      <w:sz w:val="21"/>
      <w:szCs w:val="21"/>
    </w:rPr>
  </w:style>
  <w:style w:type="character" w:styleId="21">
    <w:name w:val="footnote reference"/>
    <w:basedOn w:val="15"/>
    <w:semiHidden/>
    <w:unhideWhenUsed/>
    <w:qFormat/>
    <w:uiPriority w:val="99"/>
    <w:rPr>
      <w:vertAlign w:val="superscript"/>
    </w:rPr>
  </w:style>
  <w:style w:type="character" w:customStyle="1" w:styleId="22">
    <w:name w:val="style6"/>
    <w:basedOn w:val="15"/>
    <w:qFormat/>
    <w:uiPriority w:val="0"/>
  </w:style>
  <w:style w:type="character" w:customStyle="1" w:styleId="23">
    <w:name w:val="页脚 字符"/>
    <w:basedOn w:val="15"/>
    <w:link w:val="8"/>
    <w:qFormat/>
    <w:uiPriority w:val="99"/>
    <w:rPr>
      <w:rFonts w:ascii="宋体" w:hAnsi="宋体" w:eastAsia="宋体" w:cs="宋体"/>
      <w:kern w:val="0"/>
      <w:sz w:val="24"/>
      <w:szCs w:val="24"/>
    </w:rPr>
  </w:style>
  <w:style w:type="character" w:customStyle="1" w:styleId="24">
    <w:name w:val="页眉 字符"/>
    <w:basedOn w:val="15"/>
    <w:link w:val="9"/>
    <w:qFormat/>
    <w:uiPriority w:val="99"/>
    <w:rPr>
      <w:sz w:val="18"/>
      <w:szCs w:val="18"/>
    </w:rPr>
  </w:style>
  <w:style w:type="character" w:customStyle="1" w:styleId="25">
    <w:name w:val="脚注文本 字符"/>
    <w:basedOn w:val="15"/>
    <w:link w:val="10"/>
    <w:semiHidden/>
    <w:qFormat/>
    <w:uiPriority w:val="99"/>
    <w:rPr>
      <w:sz w:val="18"/>
      <w:szCs w:val="18"/>
    </w:rPr>
  </w:style>
  <w:style w:type="character" w:customStyle="1" w:styleId="26">
    <w:name w:val="批注框文本 字符"/>
    <w:basedOn w:val="15"/>
    <w:link w:val="7"/>
    <w:semiHidden/>
    <w:qFormat/>
    <w:uiPriority w:val="99"/>
    <w:rPr>
      <w:sz w:val="18"/>
      <w:szCs w:val="18"/>
    </w:rPr>
  </w:style>
  <w:style w:type="paragraph" w:styleId="27">
    <w:name w:val="List Paragraph"/>
    <w:basedOn w:val="1"/>
    <w:qFormat/>
    <w:uiPriority w:val="34"/>
    <w:pPr>
      <w:ind w:firstLine="420" w:firstLineChars="200"/>
    </w:pPr>
  </w:style>
  <w:style w:type="paragraph" w:styleId="28">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 w:type="character" w:customStyle="1" w:styleId="29">
    <w:name w:val="标题 1 字符"/>
    <w:basedOn w:val="15"/>
    <w:link w:val="2"/>
    <w:qFormat/>
    <w:uiPriority w:val="9"/>
    <w:rPr>
      <w:b/>
      <w:bCs/>
      <w:kern w:val="44"/>
      <w:sz w:val="44"/>
      <w:szCs w:val="44"/>
    </w:rPr>
  </w:style>
  <w:style w:type="character" w:customStyle="1" w:styleId="30">
    <w:name w:val="标题 2 字符"/>
    <w:basedOn w:val="15"/>
    <w:link w:val="3"/>
    <w:qFormat/>
    <w:uiPriority w:val="9"/>
    <w:rPr>
      <w:rFonts w:asciiTheme="majorHAnsi" w:hAnsiTheme="majorHAnsi" w:eastAsiaTheme="majorEastAsia" w:cstheme="majorBidi"/>
      <w:b/>
      <w:bCs/>
      <w:sz w:val="32"/>
      <w:szCs w:val="32"/>
    </w:rPr>
  </w:style>
  <w:style w:type="paragraph" w:customStyle="1" w:styleId="31">
    <w:name w:val="列出段落1"/>
    <w:basedOn w:val="1"/>
    <w:qFormat/>
    <w:uiPriority w:val="0"/>
    <w:pPr>
      <w:ind w:firstLine="420" w:firstLineChars="200"/>
    </w:pPr>
    <w:rPr>
      <w:rFonts w:ascii="Times New Roman" w:hAnsi="Times New Roman" w:eastAsia="宋体" w:cs="Arial"/>
      <w:kern w:val="0"/>
      <w:sz w:val="24"/>
      <w:szCs w:val="24"/>
    </w:rPr>
  </w:style>
  <w:style w:type="character" w:customStyle="1" w:styleId="32">
    <w:name w:val="未处理的提及1"/>
    <w:basedOn w:val="15"/>
    <w:semiHidden/>
    <w:unhideWhenUsed/>
    <w:qFormat/>
    <w:uiPriority w:val="99"/>
    <w:rPr>
      <w:color w:val="808080"/>
      <w:shd w:val="clear" w:color="auto" w:fill="E6E6E6"/>
    </w:rPr>
  </w:style>
  <w:style w:type="character" w:customStyle="1" w:styleId="33">
    <w:name w:val="apple-converted-space"/>
    <w:basedOn w:val="15"/>
    <w:qFormat/>
    <w:uiPriority w:val="0"/>
  </w:style>
  <w:style w:type="character" w:styleId="34">
    <w:name w:val="Placeholder Text"/>
    <w:basedOn w:val="15"/>
    <w:semiHidden/>
    <w:qFormat/>
    <w:uiPriority w:val="99"/>
    <w:rPr>
      <w:color w:val="808080"/>
    </w:rPr>
  </w:style>
  <w:style w:type="character" w:customStyle="1" w:styleId="35">
    <w:name w:val="批注文字 字符"/>
    <w:basedOn w:val="15"/>
    <w:link w:val="6"/>
    <w:semiHidden/>
    <w:qFormat/>
    <w:uiPriority w:val="99"/>
  </w:style>
  <w:style w:type="character" w:customStyle="1" w:styleId="36">
    <w:name w:val="批注主题 字符"/>
    <w:basedOn w:val="35"/>
    <w:link w:val="12"/>
    <w:semiHidden/>
    <w:qFormat/>
    <w:uiPriority w:val="99"/>
    <w:rPr>
      <w:b/>
      <w:bCs/>
    </w:rPr>
  </w:style>
  <w:style w:type="character" w:customStyle="1" w:styleId="37">
    <w:name w:val="标题 4 字符"/>
    <w:basedOn w:val="15"/>
    <w:link w:val="4"/>
    <w:semiHidden/>
    <w:qFormat/>
    <w:uiPriority w:val="9"/>
    <w:rPr>
      <w:rFonts w:asciiTheme="majorHAnsi" w:hAnsiTheme="majorHAnsi" w:eastAsiaTheme="majorEastAsia" w:cstheme="majorBidi"/>
      <w:b/>
      <w:bCs/>
      <w:sz w:val="28"/>
      <w:szCs w:val="28"/>
    </w:rPr>
  </w:style>
  <w:style w:type="character" w:customStyle="1" w:styleId="38">
    <w:name w:val="未处理的提及2"/>
    <w:basedOn w:val="15"/>
    <w:semiHidden/>
    <w:unhideWhenUsed/>
    <w:qFormat/>
    <w:uiPriority w:val="99"/>
    <w:rPr>
      <w:color w:val="605E5C"/>
      <w:shd w:val="clear" w:color="auto" w:fill="E1DFDD"/>
    </w:rPr>
  </w:style>
  <w:style w:type="paragraph" w:customStyle="1" w:styleId="3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表"/>
    <w:basedOn w:val="5"/>
    <w:qFormat/>
    <w:uiPriority w:val="0"/>
    <w:pPr>
      <w:spacing w:before="240" w:after="120"/>
      <w:jc w:val="center"/>
    </w:pPr>
    <w:rPr>
      <w:rFonts w:ascii="Times New Roman" w:hAnsi="Times New Roman" w:eastAsia="宋体" w:cs="Times New Roman"/>
      <w:sz w:val="22"/>
      <w:lang w:val="zh-CN"/>
    </w:rPr>
  </w:style>
  <w:style w:type="paragraph" w:customStyle="1" w:styleId="41">
    <w:name w:val="表格样式"/>
    <w:qFormat/>
    <w:uiPriority w:val="0"/>
    <w:pPr>
      <w:jc w:val="both"/>
    </w:pPr>
    <w:rPr>
      <w:rFonts w:ascii="宋体" w:hAnsi="宋体" w:eastAsia="宋体" w:cs="Times New Roman"/>
      <w:kern w:val="2"/>
      <w:sz w:val="18"/>
      <w:szCs w:val="21"/>
      <w:lang w:val="en-US" w:eastAsia="zh-CN" w:bidi="ar-SA"/>
    </w:rPr>
  </w:style>
  <w:style w:type="paragraph" w:customStyle="1" w:styleId="42">
    <w:name w:val="中文表序样式"/>
    <w:basedOn w:val="1"/>
    <w:link w:val="43"/>
    <w:qFormat/>
    <w:uiPriority w:val="0"/>
    <w:pPr>
      <w:widowControl/>
      <w:jc w:val="center"/>
    </w:pPr>
    <w:rPr>
      <w:rFonts w:ascii="Times New Roman" w:hAnsi="Times New Roman" w:eastAsia="宋体" w:cs="Times New Roman"/>
      <w:b/>
      <w:sz w:val="18"/>
      <w:szCs w:val="18"/>
    </w:rPr>
  </w:style>
  <w:style w:type="character" w:customStyle="1" w:styleId="43">
    <w:name w:val="中文表序样式 Char"/>
    <w:basedOn w:val="15"/>
    <w:link w:val="42"/>
    <w:qFormat/>
    <w:uiPriority w:val="0"/>
    <w:rPr>
      <w:rFonts w:ascii="Times New Roman" w:hAnsi="Times New Roman" w:eastAsia="宋体" w:cs="Times New Roman"/>
      <w:b/>
      <w:sz w:val="18"/>
      <w:szCs w:val="18"/>
    </w:rPr>
  </w:style>
  <w:style w:type="character" w:customStyle="1" w:styleId="44">
    <w:name w:val="未处理的提及3"/>
    <w:basedOn w:val="15"/>
    <w:semiHidden/>
    <w:unhideWhenUsed/>
    <w:qFormat/>
    <w:uiPriority w:val="99"/>
    <w:rPr>
      <w:color w:val="605E5C"/>
      <w:shd w:val="clear" w:color="auto" w:fill="E1DFDD"/>
    </w:rPr>
  </w:style>
  <w:style w:type="paragraph" w:customStyle="1" w:styleId="45">
    <w:name w:val="书目1"/>
    <w:basedOn w:val="1"/>
    <w:qFormat/>
    <w:uiPriority w:val="0"/>
    <w:pPr>
      <w:tabs>
        <w:tab w:val="left" w:pos="384"/>
      </w:tabs>
      <w:ind w:left="384" w:hanging="384"/>
    </w:pPr>
  </w:style>
  <w:style w:type="paragraph" w:customStyle="1" w:styleId="46">
    <w:name w:val="Bibliography"/>
    <w:basedOn w:val="1"/>
    <w:qFormat/>
    <w:uiPriority w:val="0"/>
    <w:pPr>
      <w:tabs>
        <w:tab w:val="left" w:pos="504"/>
      </w:tabs>
      <w:ind w:left="504" w:hanging="504"/>
    </w:p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9.xml"/><Relationship Id="rId23" Type="http://schemas.openxmlformats.org/officeDocument/2006/relationships/customXml" Target="../customXml/item8.xml"/><Relationship Id="rId22" Type="http://schemas.openxmlformats.org/officeDocument/2006/relationships/customXml" Target="../customXml/item7.xml"/><Relationship Id="rId21" Type="http://schemas.openxmlformats.org/officeDocument/2006/relationships/customXml" Target="../customXml/item6.xml"/><Relationship Id="rId20" Type="http://schemas.openxmlformats.org/officeDocument/2006/relationships/customXml" Target="../customXml/item5.xml"/><Relationship Id="rId2" Type="http://schemas.openxmlformats.org/officeDocument/2006/relationships/settings" Target="settings.xml"/><Relationship Id="rId19" Type="http://schemas.openxmlformats.org/officeDocument/2006/relationships/customXml" Target="../customXml/item4.xml"/><Relationship Id="rId18" Type="http://schemas.openxmlformats.org/officeDocument/2006/relationships/customXml" Target="../customXml/item3.xml"/><Relationship Id="rId17" Type="http://schemas.openxmlformats.org/officeDocument/2006/relationships/customXml" Target="../customXml/item2.xml"/><Relationship Id="rId16" Type="http://schemas.openxmlformats.org/officeDocument/2006/relationships/customXml" Target="../customXml/item1.xml"/><Relationship Id="rId15" Type="http://schemas.openxmlformats.org/officeDocument/2006/relationships/numbering" Target="numbering.xml"/><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9.639"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446"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268"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9.951"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0,'0'0</inkml:trace>
</inkml:ink>
</file>

<file path=customXml/item5.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163"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171"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5.167"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028"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9.xml><?xml version="1.0" encoding="utf-8"?>
<b:Sources xmlns="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4EAB2A64-D528-4499-9246-6390C4E52F7A}">
  <ds:schemaRefs/>
</ds:datastoreItem>
</file>

<file path=customXml/itemProps2.xml><?xml version="1.0" encoding="utf-8"?>
<ds:datastoreItem xmlns:ds="http://schemas.openxmlformats.org/officeDocument/2006/customXml" ds:itemID="{A24CD530-54B2-4D4C-A1F1-FF10573DFF46}">
  <ds:schemaRefs/>
</ds:datastoreItem>
</file>

<file path=customXml/itemProps3.xml><?xml version="1.0" encoding="utf-8"?>
<ds:datastoreItem xmlns:ds="http://schemas.openxmlformats.org/officeDocument/2006/customXml" ds:itemID="{290044E2-0BA4-467E-9E53-FFCB639A368E}">
  <ds:schemaRefs/>
</ds:datastoreItem>
</file>

<file path=customXml/itemProps4.xml><?xml version="1.0" encoding="utf-8"?>
<ds:datastoreItem xmlns:ds="http://schemas.openxmlformats.org/officeDocument/2006/customXml" ds:itemID="{C4632F00-5510-4446-BFC6-AFD51E328A87}">
  <ds:schemaRefs/>
</ds:datastoreItem>
</file>

<file path=customXml/itemProps5.xml><?xml version="1.0" encoding="utf-8"?>
<ds:datastoreItem xmlns:ds="http://schemas.openxmlformats.org/officeDocument/2006/customXml" ds:itemID="{2CF8A7BC-A6C9-488E-AE21-F47F958DEE91}">
  <ds:schemaRefs/>
</ds:datastoreItem>
</file>

<file path=customXml/itemProps6.xml><?xml version="1.0" encoding="utf-8"?>
<ds:datastoreItem xmlns:ds="http://schemas.openxmlformats.org/officeDocument/2006/customXml" ds:itemID="{DF7E2C67-A2F6-4770-A022-CC6D6CEBEFC9}">
  <ds:schemaRefs/>
</ds:datastoreItem>
</file>

<file path=customXml/itemProps7.xml><?xml version="1.0" encoding="utf-8"?>
<ds:datastoreItem xmlns:ds="http://schemas.openxmlformats.org/officeDocument/2006/customXml" ds:itemID="{C3CB785B-7851-45EB-A695-18D06BBAF8F4}">
  <ds:schemaRefs/>
</ds:datastoreItem>
</file>

<file path=customXml/itemProps8.xml><?xml version="1.0" encoding="utf-8"?>
<ds:datastoreItem xmlns:ds="http://schemas.openxmlformats.org/officeDocument/2006/customXml" ds:itemID="{92508B80-DB3B-412D-8990-6D42959CC3CB}">
  <ds:schemaRefs/>
</ds:datastoreItem>
</file>

<file path=customXml/itemProps9.xml><?xml version="1.0" encoding="utf-8"?>
<ds:datastoreItem xmlns:ds="http://schemas.openxmlformats.org/officeDocument/2006/customXml" ds:itemID="{C7A88465-52B4-4798-9793-C7B9D2CD2FC2}">
  <ds:schemaRefs/>
</ds:datastoreItem>
</file>

<file path=docProps/app.xml><?xml version="1.0" encoding="utf-8"?>
<Properties xmlns="http://schemas.openxmlformats.org/officeDocument/2006/extended-properties" xmlns:vt="http://schemas.openxmlformats.org/officeDocument/2006/docPropsVTypes">
  <Template>Normal.dotm</Template>
  <Company>siom</Company>
  <Pages>9</Pages>
  <Words>8179</Words>
  <Characters>14499</Characters>
  <Lines>327</Lines>
  <Paragraphs>92</Paragraphs>
  <TotalTime>0</TotalTime>
  <ScaleCrop>false</ScaleCrop>
  <LinksUpToDate>false</LinksUpToDate>
  <CharactersWithSpaces>18478</CharactersWithSpaces>
  <Application>WPS Office_12.1.25201.25201_F1E327BC-269C-435d-A152-05C5408002CA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2022-07-03T19:46:00Z</dcterms:created>
  <dc:creator>刘森</dc:creator>
  <cp:lastModifiedBy>ToMoRoW </cp:lastModifiedBy>
  <dcterms:modified xsi:type="dcterms:W3CDTF">2026-03-18T22:26:34Z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2052-12.1.25201.25201</vt:lpwstr>
  </property>
  <property fmtid="{D5CDD505-2E9C-101B-9397-08002B2CF9AE}" pid="3" name="ICV">
    <vt:lpwstr>6A416EC6E65D4814A418179D2B31FEEB_13</vt:lpwstr>
  </property>
  <property fmtid="{D5CDD505-2E9C-101B-9397-08002B2CF9AE}" pid="4" name="ZOTERO_PREF_1">
    <vt:lpwstr>&lt;data data-version="3" zotero-version="7.0.16"&gt;&lt;session id="P465B5dR"/&gt;&lt;style id="http://www.zotero.org/styles/gb-t-7714—2015（清华自然科学版）" hasBibliography="1" bibliographyStyleHasBeenSet="1"/&gt;&lt;prefs&gt;&lt;pref name="fieldType" value="Field"/&gt;&lt;/prefs&gt;&lt;/data&gt;</vt:lpwstr>
  </property>
  <property fmtid="{D5CDD505-2E9C-101B-9397-08002B2CF9AE}" pid="5" name="KSOTemplateDocerSaveRecord">
    <vt:lpwstr>eyJoZGlkIjoiNmE5YWQ5MTE2Yzg4MDJjNDlhMGMzMWI1ZDEwNjc0N2UiLCJ1c2VySWQiOiIxNTMzNTkzNDAwIn0=</vt:lpwstr>
  </property>
</Properties>
</file>