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2983" w:type="dxa"/>
        <w:tblInd w:w="108" w:type="dxa"/>
        <w:tblLook w:val="04A0" w:firstRow="1" w:lastRow="0" w:firstColumn="1" w:lastColumn="0" w:noHBand="0" w:noVBand="1"/>
      </w:tblPr>
      <w:tblGrid>
        <w:gridCol w:w="2983"/>
      </w:tblGrid>
      <w:tr w:rsidR="00C709F1" w14:paraId="2B01327C" w14:textId="77777777" w:rsidTr="00C709F1">
        <w:trPr>
          <w:trHeight w:val="154"/>
        </w:trPr>
        <w:tc>
          <w:tcPr>
            <w:tcW w:w="2983" w:type="dxa"/>
          </w:tcPr>
          <w:p w14:paraId="4EA8563D" w14:textId="77777777" w:rsidR="00C709F1" w:rsidRDefault="00C709F1">
            <w:pPr>
              <w:tabs>
                <w:tab w:val="left" w:pos="0"/>
                <w:tab w:val="left" w:pos="735"/>
                <w:tab w:val="left" w:pos="3990"/>
              </w:tabs>
              <w:jc w:val="center"/>
              <w:rPr>
                <w:rFonts w:ascii="黑体" w:eastAsia="黑体"/>
                <w:color w:val="000000" w:themeColor="text1"/>
                <w:sz w:val="18"/>
                <w:szCs w:val="18"/>
              </w:rPr>
            </w:pPr>
            <w:bookmarkStart w:id="0" w:name="_Hlk524964356"/>
          </w:p>
        </w:tc>
      </w:tr>
      <w:tr w:rsidR="00C709F1" w14:paraId="71AF72D5" w14:textId="77777777" w:rsidTr="00C709F1">
        <w:trPr>
          <w:trHeight w:val="70"/>
        </w:trPr>
        <w:tc>
          <w:tcPr>
            <w:tcW w:w="2983" w:type="dxa"/>
          </w:tcPr>
          <w:p w14:paraId="75379DD9" w14:textId="77777777" w:rsidR="00C709F1" w:rsidRDefault="00C709F1">
            <w:pPr>
              <w:tabs>
                <w:tab w:val="left" w:pos="0"/>
                <w:tab w:val="left" w:pos="735"/>
                <w:tab w:val="left" w:pos="3990"/>
              </w:tabs>
              <w:jc w:val="right"/>
              <w:rPr>
                <w:rFonts w:ascii="黑体" w:eastAsia="黑体"/>
                <w:color w:val="000000" w:themeColor="text1"/>
                <w:sz w:val="18"/>
                <w:szCs w:val="18"/>
              </w:rPr>
            </w:pPr>
          </w:p>
        </w:tc>
      </w:tr>
    </w:tbl>
    <w:p w14:paraId="7C6690B3" w14:textId="45E80912" w:rsidR="00331419" w:rsidRPr="00CD183E" w:rsidRDefault="00000000">
      <w:pPr>
        <w:tabs>
          <w:tab w:val="left" w:pos="0"/>
          <w:tab w:val="left" w:pos="735"/>
          <w:tab w:val="left" w:pos="3990"/>
        </w:tabs>
        <w:spacing w:beforeLines="200" w:before="624" w:afterLines="50" w:after="156" w:line="360" w:lineRule="auto"/>
        <w:jc w:val="center"/>
        <w:rPr>
          <w:rFonts w:ascii="宋体" w:hAnsi="宋体" w:hint="eastAsia"/>
          <w:b/>
          <w:bCs/>
          <w:color w:val="000000" w:themeColor="text1"/>
          <w:sz w:val="44"/>
          <w:szCs w:val="44"/>
        </w:rPr>
      </w:pPr>
      <w:bookmarkStart w:id="1" w:name="_Hlk117957398"/>
      <w:bookmarkStart w:id="2" w:name="_Hlk536212652"/>
      <w:r w:rsidRPr="00CD183E">
        <w:rPr>
          <w:rFonts w:ascii="宋体" w:hAnsi="宋体" w:hint="eastAsia"/>
          <w:b/>
          <w:bCs/>
          <w:color w:val="000000" w:themeColor="text1"/>
          <w:sz w:val="44"/>
          <w:szCs w:val="44"/>
        </w:rPr>
        <w:t>海上风电</w:t>
      </w:r>
      <w:r w:rsidR="00AF7E99" w:rsidRPr="00CD183E">
        <w:rPr>
          <w:rFonts w:ascii="宋体" w:hAnsi="宋体" w:hint="eastAsia"/>
          <w:b/>
          <w:bCs/>
          <w:color w:val="000000" w:themeColor="text1"/>
          <w:sz w:val="44"/>
          <w:szCs w:val="44"/>
        </w:rPr>
        <w:t>全生命期资产闭环智慧管理方法及应用</w:t>
      </w:r>
    </w:p>
    <w:bookmarkEnd w:id="1"/>
    <w:bookmarkEnd w:id="2"/>
    <w:p w14:paraId="32C4D289" w14:textId="77777777" w:rsidR="00331419" w:rsidRPr="00C709F1" w:rsidRDefault="00331419">
      <w:pPr>
        <w:tabs>
          <w:tab w:val="left" w:pos="0"/>
          <w:tab w:val="left" w:pos="735"/>
        </w:tabs>
        <w:spacing w:line="400" w:lineRule="exact"/>
        <w:rPr>
          <w:color w:val="000000" w:themeColor="text1"/>
          <w:szCs w:val="21"/>
        </w:rPr>
      </w:pPr>
    </w:p>
    <w:p w14:paraId="76711CA4" w14:textId="77777777" w:rsidR="00331419" w:rsidRPr="00CD183E" w:rsidRDefault="00331419">
      <w:pPr>
        <w:tabs>
          <w:tab w:val="left" w:pos="0"/>
          <w:tab w:val="left" w:pos="735"/>
        </w:tabs>
        <w:spacing w:line="400" w:lineRule="exact"/>
        <w:rPr>
          <w:rFonts w:ascii="黑体" w:eastAsia="黑体" w:hAnsi="黑体" w:hint="eastAsia"/>
          <w:b/>
          <w:color w:val="000000" w:themeColor="text1"/>
          <w:szCs w:val="21"/>
        </w:rPr>
        <w:sectPr w:rsidR="00331419" w:rsidRPr="00CD183E">
          <w:footerReference w:type="even" r:id="rId9"/>
          <w:pgSz w:w="11906" w:h="16838"/>
          <w:pgMar w:top="1246" w:right="1091" w:bottom="1246" w:left="1155" w:header="851" w:footer="992" w:gutter="0"/>
          <w:cols w:space="425"/>
          <w:titlePg/>
          <w:docGrid w:type="lines" w:linePitch="312"/>
        </w:sectPr>
      </w:pPr>
    </w:p>
    <w:p w14:paraId="6C64BE0E" w14:textId="7656D872" w:rsidR="00331419" w:rsidRPr="00CD183E" w:rsidRDefault="00000000" w:rsidP="00CD183E">
      <w:pPr>
        <w:spacing w:line="240" w:lineRule="atLeast"/>
        <w:rPr>
          <w:szCs w:val="21"/>
        </w:rPr>
      </w:pPr>
      <w:r w:rsidRPr="00CD183E">
        <w:rPr>
          <w:rFonts w:ascii="黑体" w:eastAsia="黑体" w:hAnsi="黑体" w:hint="eastAsia"/>
          <w:szCs w:val="21"/>
        </w:rPr>
        <w:t>摘  要</w:t>
      </w:r>
      <w:r w:rsidRPr="00CD183E">
        <w:rPr>
          <w:rFonts w:hint="eastAsia"/>
          <w:szCs w:val="21"/>
        </w:rPr>
        <w:t>：</w:t>
      </w:r>
      <w:r w:rsidR="000F1815" w:rsidRPr="00CD183E">
        <w:rPr>
          <w:rFonts w:hint="eastAsia"/>
          <w:szCs w:val="21"/>
        </w:rPr>
        <w:t>随着国家对海上风电上网补贴政策的逐步取消，海上风电进入了降本增效的关键时期，迫切需要新的全</w:t>
      </w:r>
      <w:r w:rsidR="003A6D00">
        <w:rPr>
          <w:rFonts w:hint="eastAsia"/>
          <w:szCs w:val="21"/>
        </w:rPr>
        <w:t>生命</w:t>
      </w:r>
      <w:r w:rsidR="000F1815" w:rsidRPr="00CD183E">
        <w:rPr>
          <w:rFonts w:hint="eastAsia"/>
          <w:szCs w:val="21"/>
        </w:rPr>
        <w:t>期建设、运行管理模式促进海上风电产业的高质量发展。基于我国海上风电管理发展现状，本文首先提出了全面感知</w:t>
      </w:r>
      <w:r w:rsidR="000F1815" w:rsidRPr="00CD183E">
        <w:rPr>
          <w:rFonts w:hint="eastAsia"/>
          <w:szCs w:val="21"/>
        </w:rPr>
        <w:t>-</w:t>
      </w:r>
      <w:r w:rsidR="000F1815" w:rsidRPr="00CD183E">
        <w:rPr>
          <w:rFonts w:hint="eastAsia"/>
          <w:szCs w:val="21"/>
        </w:rPr>
        <w:t>真实分析</w:t>
      </w:r>
      <w:r w:rsidR="000F1815" w:rsidRPr="00CD183E">
        <w:rPr>
          <w:rFonts w:hint="eastAsia"/>
          <w:szCs w:val="21"/>
        </w:rPr>
        <w:t>-</w:t>
      </w:r>
      <w:r w:rsidR="000F1815" w:rsidRPr="00CD183E">
        <w:rPr>
          <w:rFonts w:hint="eastAsia"/>
          <w:szCs w:val="21"/>
        </w:rPr>
        <w:t>实时控制</w:t>
      </w:r>
      <w:r w:rsidR="000F1815" w:rsidRPr="00CD183E">
        <w:rPr>
          <w:rFonts w:hint="eastAsia"/>
          <w:szCs w:val="21"/>
        </w:rPr>
        <w:t>-</w:t>
      </w:r>
      <w:r w:rsidR="000F1815" w:rsidRPr="00CD183E">
        <w:rPr>
          <w:rFonts w:hint="eastAsia"/>
          <w:szCs w:val="21"/>
        </w:rPr>
        <w:t>持续优化的海上风电项目全生命期闭环管理方法，构建了</w:t>
      </w:r>
      <w:r w:rsidR="00E2008C">
        <w:rPr>
          <w:rFonts w:hint="eastAsia"/>
          <w:szCs w:val="21"/>
        </w:rPr>
        <w:t>资产管理的</w:t>
      </w:r>
      <w:r w:rsidR="000F1815" w:rsidRPr="00CD183E">
        <w:rPr>
          <w:rFonts w:hint="eastAsia"/>
          <w:szCs w:val="21"/>
        </w:rPr>
        <w:t>成本、绩效、风险评估模型；随后构建了全生命期智慧管理系统架构，研发了集项目开发、智慧基建、智慧运维和延寿退役的全</w:t>
      </w:r>
      <w:r w:rsidR="003A6D00">
        <w:rPr>
          <w:rFonts w:hint="eastAsia"/>
          <w:szCs w:val="21"/>
        </w:rPr>
        <w:t>生命</w:t>
      </w:r>
      <w:r w:rsidR="000F1815" w:rsidRPr="00CD183E">
        <w:rPr>
          <w:rFonts w:hint="eastAsia"/>
          <w:szCs w:val="21"/>
        </w:rPr>
        <w:t>期智慧管理功能模块。研究成果在江苏某海上风电场得到应用，提高了资产设备可靠性、降低</w:t>
      </w:r>
      <w:r w:rsidR="00E2008C">
        <w:rPr>
          <w:rFonts w:hint="eastAsia"/>
          <w:szCs w:val="21"/>
        </w:rPr>
        <w:t>了</w:t>
      </w:r>
      <w:r w:rsidR="000F1815" w:rsidRPr="00CD183E">
        <w:rPr>
          <w:rFonts w:hint="eastAsia"/>
          <w:szCs w:val="21"/>
        </w:rPr>
        <w:t>开发运维成本</w:t>
      </w:r>
      <w:r w:rsidR="00E2008C">
        <w:rPr>
          <w:rFonts w:hint="eastAsia"/>
          <w:szCs w:val="21"/>
        </w:rPr>
        <w:t>，</w:t>
      </w:r>
      <w:r w:rsidR="000F1815" w:rsidRPr="00CD183E">
        <w:rPr>
          <w:rFonts w:hint="eastAsia"/>
          <w:szCs w:val="21"/>
        </w:rPr>
        <w:t>提升</w:t>
      </w:r>
      <w:r w:rsidR="00E2008C">
        <w:rPr>
          <w:rFonts w:hint="eastAsia"/>
          <w:szCs w:val="21"/>
        </w:rPr>
        <w:t>了</w:t>
      </w:r>
      <w:r w:rsidR="000F1815" w:rsidRPr="00CD183E">
        <w:rPr>
          <w:rFonts w:hint="eastAsia"/>
          <w:szCs w:val="21"/>
        </w:rPr>
        <w:t>发电量，可供同类工程实现智慧化管理提供参考。</w:t>
      </w:r>
    </w:p>
    <w:p w14:paraId="6FDC104D" w14:textId="77777777" w:rsidR="00331419" w:rsidRPr="00CD183E" w:rsidRDefault="00331419">
      <w:pPr>
        <w:rPr>
          <w:rFonts w:eastAsia="华文楷体"/>
          <w:color w:val="000000" w:themeColor="text1"/>
          <w:szCs w:val="21"/>
        </w:rPr>
      </w:pPr>
    </w:p>
    <w:p w14:paraId="686A457E" w14:textId="53CDDFAF" w:rsidR="00331419" w:rsidRPr="00CD183E" w:rsidRDefault="00000000" w:rsidP="00CD183E">
      <w:pPr>
        <w:spacing w:line="240" w:lineRule="atLeast"/>
        <w:rPr>
          <w:rFonts w:ascii="黑体" w:eastAsia="黑体" w:hAnsi="黑体" w:hint="eastAsia"/>
          <w:szCs w:val="21"/>
        </w:rPr>
      </w:pPr>
      <w:r w:rsidRPr="00CD183E">
        <w:rPr>
          <w:rFonts w:ascii="黑体" w:eastAsia="黑体" w:hAnsi="黑体" w:hint="eastAsia"/>
          <w:szCs w:val="21"/>
        </w:rPr>
        <w:t>关键词</w:t>
      </w:r>
      <w:r w:rsidRPr="00CD183E">
        <w:rPr>
          <w:rFonts w:ascii="黑体" w:eastAsia="黑体" w:hAnsi="黑体"/>
          <w:szCs w:val="21"/>
        </w:rPr>
        <w:t>:</w:t>
      </w:r>
      <w:r w:rsidR="000F1815" w:rsidRPr="00CD183E">
        <w:rPr>
          <w:rFonts w:hint="eastAsia"/>
          <w:szCs w:val="21"/>
        </w:rPr>
        <w:t>海上风电；全生命期；</w:t>
      </w:r>
      <w:r w:rsidR="00E2008C">
        <w:rPr>
          <w:rFonts w:hint="eastAsia"/>
          <w:szCs w:val="21"/>
        </w:rPr>
        <w:t>智能建造；</w:t>
      </w:r>
      <w:r w:rsidR="000F1815" w:rsidRPr="00CD183E">
        <w:rPr>
          <w:rFonts w:hint="eastAsia"/>
          <w:szCs w:val="21"/>
        </w:rPr>
        <w:t>闭环管理；资产</w:t>
      </w:r>
      <w:r w:rsidR="00E2008C">
        <w:rPr>
          <w:rFonts w:hint="eastAsia"/>
          <w:szCs w:val="21"/>
        </w:rPr>
        <w:t>管理</w:t>
      </w:r>
    </w:p>
    <w:p w14:paraId="4FF8E5CA" w14:textId="07119CBC" w:rsidR="00331419" w:rsidRPr="00CD183E" w:rsidRDefault="00000000" w:rsidP="00CD183E">
      <w:pPr>
        <w:spacing w:line="240" w:lineRule="atLeast"/>
        <w:rPr>
          <w:rFonts w:ascii="黑体" w:eastAsia="黑体" w:hAnsi="黑体" w:hint="eastAsia"/>
          <w:szCs w:val="21"/>
        </w:rPr>
      </w:pPr>
      <w:r w:rsidRPr="00CD183E">
        <w:rPr>
          <w:rFonts w:ascii="黑体" w:eastAsia="黑体" w:hAnsi="黑体" w:hint="eastAsia"/>
          <w:szCs w:val="21"/>
        </w:rPr>
        <w:t>中图分类号：</w:t>
      </w:r>
      <w:r w:rsidR="000F1815" w:rsidRPr="00CD183E">
        <w:rPr>
          <w:rFonts w:hint="eastAsia"/>
          <w:szCs w:val="21"/>
        </w:rPr>
        <w:t>C93</w:t>
      </w:r>
      <w:r w:rsidR="00CD183E" w:rsidRPr="00CD183E">
        <w:rPr>
          <w:rFonts w:hint="eastAsia"/>
          <w:szCs w:val="21"/>
        </w:rPr>
        <w:t>1</w:t>
      </w:r>
      <w:r w:rsidRPr="00CD183E">
        <w:rPr>
          <w:rFonts w:ascii="黑体" w:eastAsia="黑体" w:hAnsi="黑体"/>
          <w:szCs w:val="21"/>
        </w:rPr>
        <w:t xml:space="preserve">      </w:t>
      </w:r>
      <w:r w:rsidRPr="00CD183E">
        <w:rPr>
          <w:rFonts w:ascii="黑体" w:eastAsia="黑体" w:hAnsi="黑体" w:hint="eastAsia"/>
          <w:szCs w:val="21"/>
        </w:rPr>
        <w:t>文献标志码：</w:t>
      </w:r>
      <w:r w:rsidRPr="00CD183E">
        <w:rPr>
          <w:szCs w:val="21"/>
        </w:rPr>
        <w:t>A</w:t>
      </w:r>
    </w:p>
    <w:p w14:paraId="162BC77A" w14:textId="77777777" w:rsidR="00331419" w:rsidRDefault="00331419">
      <w:pPr>
        <w:rPr>
          <w:color w:val="000000" w:themeColor="text1"/>
          <w:sz w:val="18"/>
          <w:szCs w:val="18"/>
        </w:rPr>
      </w:pPr>
    </w:p>
    <w:p w14:paraId="28905F73" w14:textId="5FCDC371" w:rsidR="00331419" w:rsidRPr="00CD183E" w:rsidRDefault="00CA011E" w:rsidP="00CD183E">
      <w:pPr>
        <w:spacing w:line="240" w:lineRule="atLeast"/>
        <w:ind w:firstLine="420"/>
        <w:rPr>
          <w:szCs w:val="21"/>
        </w:rPr>
      </w:pPr>
      <w:r w:rsidRPr="00CD183E">
        <w:rPr>
          <w:rFonts w:hint="eastAsia"/>
          <w:szCs w:val="21"/>
        </w:rPr>
        <w:t>随着全球能源和环境问题的日益突出，推动能源革命，建设清洁、可持续的能源体系已成为全球共识。当前，风能是世界范围内最具开发前景、技术最为成熟以及发展最快的可再生能源之一，其中海上风电具有资源储量大、年利用小时数高、靠近电力负荷中心、不占用土地资源、对生产生活影响小等独特优势，更适合大规模一体化开发，已成为新能源开发的重点方向，在世界各国的能源战略地位不断提升</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_Ref196410956 \r \h</w:instrText>
      </w:r>
      <w:r w:rsidR="00CD183E" w:rsidRP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[1]</w:t>
      </w:r>
      <w:r w:rsidR="00CD183E" w:rsidRPr="00CD183E">
        <w:rPr>
          <w:szCs w:val="21"/>
          <w:vertAlign w:val="superscript"/>
        </w:rPr>
        <w:fldChar w:fldCharType="end"/>
      </w:r>
      <w:r w:rsidRPr="00CD183E">
        <w:rPr>
          <w:rFonts w:hint="eastAsia"/>
          <w:szCs w:val="21"/>
        </w:rPr>
        <w:t>。截至</w:t>
      </w:r>
      <w:r w:rsidRPr="00CD183E">
        <w:rPr>
          <w:rFonts w:hint="eastAsia"/>
          <w:szCs w:val="21"/>
        </w:rPr>
        <w:t>2024</w:t>
      </w:r>
      <w:r w:rsidRPr="00CD183E">
        <w:rPr>
          <w:rFonts w:hint="eastAsia"/>
          <w:szCs w:val="21"/>
        </w:rPr>
        <w:t>年，我国海上风电累计装机容量</w:t>
      </w:r>
      <w:r w:rsidRPr="00CD183E">
        <w:rPr>
          <w:rFonts w:hint="eastAsia"/>
          <w:szCs w:val="21"/>
        </w:rPr>
        <w:t>45.2 GW</w:t>
      </w:r>
      <w:r w:rsidRPr="00CD183E">
        <w:rPr>
          <w:rFonts w:hint="eastAsia"/>
          <w:szCs w:val="21"/>
        </w:rPr>
        <w:t>，超一半全球海上风电总装机容量，成为世界最大的海上风电市场。我国海上风能资源主要集中在江苏、</w:t>
      </w:r>
      <w:r w:rsidRPr="00CD183E">
        <w:rPr>
          <w:rFonts w:hint="eastAsia"/>
          <w:szCs w:val="21"/>
        </w:rPr>
        <w:t>广东、福建、浙江和山东等沿海省份，靠近东部及南部的长三角和珠三角负荷中心，可就近消纳，减少远距离输电损耗。</w:t>
      </w:r>
      <w:r w:rsidR="00E2008C">
        <w:rPr>
          <w:rFonts w:hint="eastAsia"/>
          <w:szCs w:val="21"/>
        </w:rPr>
        <w:t>此外，</w:t>
      </w:r>
      <w:r w:rsidRPr="00CD183E">
        <w:rPr>
          <w:rFonts w:hint="eastAsia"/>
          <w:szCs w:val="21"/>
        </w:rPr>
        <w:t>海上风电的年利用小时数比陆上风电高出约</w:t>
      </w:r>
      <w:r w:rsidRPr="00CD183E">
        <w:rPr>
          <w:rFonts w:hint="eastAsia"/>
          <w:szCs w:val="21"/>
        </w:rPr>
        <w:t>500</w:t>
      </w:r>
      <w:r w:rsidRPr="00CD183E">
        <w:rPr>
          <w:rFonts w:hint="eastAsia"/>
          <w:szCs w:val="21"/>
        </w:rPr>
        <w:t>小时，平均可达</w:t>
      </w:r>
      <w:r w:rsidRPr="00CD183E">
        <w:rPr>
          <w:rFonts w:hint="eastAsia"/>
          <w:szCs w:val="21"/>
        </w:rPr>
        <w:t>2500</w:t>
      </w:r>
      <w:r w:rsidRPr="00CD183E">
        <w:rPr>
          <w:rFonts w:hint="eastAsia"/>
          <w:szCs w:val="21"/>
        </w:rPr>
        <w:t>小时，部分优质海域如广东、福建等地甚至超过</w:t>
      </w:r>
      <w:r w:rsidRPr="00CD183E">
        <w:rPr>
          <w:rFonts w:hint="eastAsia"/>
          <w:szCs w:val="21"/>
        </w:rPr>
        <w:t>4000</w:t>
      </w:r>
      <w:r w:rsidRPr="00CD183E">
        <w:rPr>
          <w:rFonts w:hint="eastAsia"/>
          <w:szCs w:val="21"/>
        </w:rPr>
        <w:t>小时，更稳定的出力特性与陆上电网形成时空互补，平滑出力波动，提升电网稳定性。因此，海上风电规模化开发</w:t>
      </w:r>
      <w:r w:rsidR="00E2008C">
        <w:rPr>
          <w:rFonts w:hint="eastAsia"/>
          <w:szCs w:val="21"/>
        </w:rPr>
        <w:t>是我国</w:t>
      </w:r>
      <w:r w:rsidRPr="00CD183E">
        <w:rPr>
          <w:rFonts w:hint="eastAsia"/>
          <w:szCs w:val="21"/>
        </w:rPr>
        <w:t>能源转型、节能减碳</w:t>
      </w:r>
      <w:r w:rsidR="00E2008C">
        <w:rPr>
          <w:rFonts w:hint="eastAsia"/>
          <w:szCs w:val="21"/>
        </w:rPr>
        <w:t>的</w:t>
      </w:r>
      <w:r w:rsidR="00942763">
        <w:rPr>
          <w:rFonts w:hint="eastAsia"/>
          <w:szCs w:val="21"/>
        </w:rPr>
        <w:t>重要</w:t>
      </w:r>
      <w:r w:rsidR="00E2008C">
        <w:rPr>
          <w:rFonts w:hint="eastAsia"/>
          <w:szCs w:val="21"/>
        </w:rPr>
        <w:t>手段</w:t>
      </w:r>
      <w:r w:rsidRPr="00CD183E">
        <w:rPr>
          <w:rFonts w:hint="eastAsia"/>
          <w:szCs w:val="21"/>
        </w:rPr>
        <w:t>，在构建新能源为主体的新型电力系统中起到至关重要的作用。</w:t>
      </w:r>
    </w:p>
    <w:p w14:paraId="6F6382F7" w14:textId="7352DBCF" w:rsidR="004C3F69" w:rsidRPr="00CD183E" w:rsidRDefault="00CA011E" w:rsidP="00CD183E">
      <w:pPr>
        <w:spacing w:line="240" w:lineRule="atLeast"/>
        <w:ind w:firstLine="420"/>
        <w:rPr>
          <w:szCs w:val="21"/>
        </w:rPr>
      </w:pPr>
      <w:r w:rsidRPr="00CD183E">
        <w:rPr>
          <w:szCs w:val="21"/>
        </w:rPr>
        <w:t>得益于海上风电建设关键技术突破和管理水平提升，欧洲海上风电市场已经步入平价时代，海上风电项目平准化度电成本（</w:t>
      </w:r>
      <w:proofErr w:type="spellStart"/>
      <w:r w:rsidRPr="00CD183E">
        <w:rPr>
          <w:szCs w:val="21"/>
        </w:rPr>
        <w:t>LCoE</w:t>
      </w:r>
      <w:proofErr w:type="spellEnd"/>
      <w:r w:rsidRPr="00CD183E">
        <w:rPr>
          <w:szCs w:val="21"/>
        </w:rPr>
        <w:t>, Levelized Cost of Energy</w:t>
      </w:r>
      <w:r w:rsidRPr="00CD183E">
        <w:rPr>
          <w:szCs w:val="21"/>
        </w:rPr>
        <w:t>）已低于</w:t>
      </w:r>
      <w:r w:rsidRPr="00CD183E">
        <w:rPr>
          <w:szCs w:val="21"/>
        </w:rPr>
        <w:t>0.5</w:t>
      </w:r>
      <w:r w:rsidRPr="00CD183E">
        <w:rPr>
          <w:szCs w:val="21"/>
        </w:rPr>
        <w:t>元</w:t>
      </w:r>
      <w:r w:rsidRPr="00CD183E">
        <w:rPr>
          <w:szCs w:val="21"/>
        </w:rPr>
        <w:t>/</w:t>
      </w:r>
      <w:r w:rsidRPr="00CD183E">
        <w:rPr>
          <w:szCs w:val="21"/>
        </w:rPr>
        <w:t>千瓦时。然而，我国海上风电起步较晚，面临建设条件复杂、核心器件制造滞后和运行维护智能化程度低等问题，已投产海上风电项目平均单位千瓦造价约</w:t>
      </w:r>
      <w:r w:rsidRPr="00CD183E">
        <w:rPr>
          <w:szCs w:val="21"/>
        </w:rPr>
        <w:t>1.85</w:t>
      </w:r>
      <w:r w:rsidRPr="00CD183E">
        <w:rPr>
          <w:szCs w:val="21"/>
        </w:rPr>
        <w:t>万元，高出平价要求</w:t>
      </w:r>
      <w:r w:rsidRPr="00CD183E">
        <w:rPr>
          <w:szCs w:val="21"/>
        </w:rPr>
        <w:t>1.24</w:t>
      </w:r>
      <w:r w:rsidRPr="00CD183E">
        <w:rPr>
          <w:szCs w:val="21"/>
        </w:rPr>
        <w:t>万元</w:t>
      </w:r>
      <w:r w:rsidRPr="00CD183E">
        <w:rPr>
          <w:szCs w:val="21"/>
        </w:rPr>
        <w:t>/</w:t>
      </w:r>
      <w:r w:rsidRPr="00CD183E">
        <w:rPr>
          <w:szCs w:val="21"/>
        </w:rPr>
        <w:t>千瓦约</w:t>
      </w:r>
      <w:r w:rsidRPr="00CD183E">
        <w:rPr>
          <w:szCs w:val="21"/>
        </w:rPr>
        <w:t>48.4%</w:t>
      </w:r>
      <w:r w:rsidRPr="00CD183E">
        <w:rPr>
          <w:szCs w:val="21"/>
        </w:rPr>
        <w:t>。因此，迫切需要从设计、施工、运维等全生命期角度各环节降本增效，保证海上风电产业可持续高质量发展。</w:t>
      </w:r>
    </w:p>
    <w:p w14:paraId="06B59481" w14:textId="7CBA8479" w:rsidR="00CA011E" w:rsidRDefault="00CA011E" w:rsidP="00CD183E">
      <w:pPr>
        <w:spacing w:line="240" w:lineRule="atLeast"/>
        <w:ind w:firstLine="420"/>
        <w:rPr>
          <w:szCs w:val="21"/>
        </w:rPr>
      </w:pPr>
      <w:r w:rsidRPr="00CA011E">
        <w:rPr>
          <w:rFonts w:hint="eastAsia"/>
          <w:szCs w:val="21"/>
        </w:rPr>
        <w:t>海洋环境远比陆地环境复杂，其给海上风电施工和运维管理带来的主要难点包括：</w:t>
      </w:r>
      <w:r w:rsidRPr="00CA011E">
        <w:rPr>
          <w:szCs w:val="21"/>
        </w:rPr>
        <w:t>1</w:t>
      </w:r>
      <w:r w:rsidRPr="00CA011E">
        <w:rPr>
          <w:rFonts w:hint="eastAsia"/>
          <w:szCs w:val="21"/>
        </w:rPr>
        <w:t>）多源数据实时在线采集融合与利用难：海上风电企业各部门管理系统不互通和编码不统一，造成信息难以在线整合和利用，导致数据资产的浪费</w:t>
      </w:r>
      <w:r w:rsidRPr="00CD183E">
        <w:rPr>
          <w:szCs w:val="21"/>
          <w:vertAlign w:val="superscript"/>
        </w:rPr>
        <w:fldChar w:fldCharType="begin"/>
      </w:r>
      <w:r w:rsidRPr="00CD183E">
        <w:rPr>
          <w:szCs w:val="21"/>
          <w:vertAlign w:val="superscript"/>
        </w:rPr>
        <w:instrText xml:space="preserve"> </w:instrText>
      </w:r>
      <w:r w:rsidRPr="00CD183E">
        <w:rPr>
          <w:rFonts w:hint="eastAsia"/>
          <w:szCs w:val="21"/>
          <w:vertAlign w:val="superscript"/>
        </w:rPr>
        <w:instrText>REF _Ref167547508 \r \h</w:instrText>
      </w:r>
      <w:r w:rsidRPr="00CD183E">
        <w:rPr>
          <w:szCs w:val="21"/>
          <w:vertAlign w:val="superscript"/>
        </w:rPr>
        <w:instrText xml:space="preserve">  \* MERGEFORMAT </w:instrText>
      </w:r>
      <w:r w:rsidRPr="00CD183E">
        <w:rPr>
          <w:szCs w:val="21"/>
          <w:vertAlign w:val="superscript"/>
        </w:rPr>
      </w:r>
      <w:r w:rsidRPr="00CD183E">
        <w:rPr>
          <w:szCs w:val="21"/>
          <w:vertAlign w:val="superscript"/>
        </w:rPr>
        <w:fldChar w:fldCharType="separate"/>
      </w:r>
      <w:r w:rsidRPr="00CD183E">
        <w:rPr>
          <w:szCs w:val="21"/>
          <w:vertAlign w:val="superscript"/>
        </w:rPr>
        <w:t>[2]</w:t>
      </w:r>
      <w:r w:rsidRPr="00CD183E">
        <w:rPr>
          <w:szCs w:val="21"/>
          <w:vertAlign w:val="superscript"/>
        </w:rPr>
        <w:fldChar w:fldCharType="end"/>
      </w:r>
      <w:r w:rsidRPr="00CA011E">
        <w:rPr>
          <w:rFonts w:hint="eastAsia"/>
          <w:szCs w:val="21"/>
        </w:rPr>
        <w:t>；</w:t>
      </w:r>
      <w:r w:rsidRPr="00CA011E">
        <w:rPr>
          <w:szCs w:val="21"/>
        </w:rPr>
        <w:t>2</w:t>
      </w:r>
      <w:r w:rsidRPr="00CA011E">
        <w:rPr>
          <w:rFonts w:hint="eastAsia"/>
          <w:szCs w:val="21"/>
        </w:rPr>
        <w:t>）全生命期一体化仿真评估与协同设</w:t>
      </w:r>
      <w:r w:rsidR="004C3F69" w:rsidRPr="00CD183E">
        <w:rPr>
          <w:rFonts w:hint="eastAsia"/>
          <w:szCs w:val="21"/>
        </w:rPr>
        <w:t>计难：当前海上风电资产</w:t>
      </w:r>
      <w:r w:rsidR="00CD183E" w:rsidRPr="00CD183E">
        <w:rPr>
          <w:rFonts w:hint="eastAsia"/>
          <w:szCs w:val="21"/>
        </w:rPr>
        <w:t>管理多集中在运维阶段</w:t>
      </w:r>
      <w:r w:rsidR="00CD183E" w:rsidRPr="00CD183E">
        <w:rPr>
          <w:rFonts w:hint="eastAsia"/>
          <w:szCs w:val="21"/>
          <w:vertAlign w:val="superscript"/>
        </w:rPr>
        <w:t>[</w:t>
      </w:r>
      <w:r w:rsidR="00CD183E" w:rsidRPr="00CD183E">
        <w:rPr>
          <w:szCs w:val="21"/>
          <w:vertAlign w:val="superscript"/>
        </w:rPr>
        <w:t>3-6]</w:t>
      </w:r>
      <w:r w:rsidR="00CD183E" w:rsidRPr="00CD183E">
        <w:rPr>
          <w:rFonts w:hint="eastAsia"/>
          <w:szCs w:val="21"/>
        </w:rPr>
        <w:t>，决定运维期资产质量的</w:t>
      </w:r>
      <w:r w:rsidR="00CD183E">
        <w:rPr>
          <w:rFonts w:hint="eastAsia"/>
          <w:szCs w:val="21"/>
        </w:rPr>
        <w:t>设</w:t>
      </w:r>
      <w:r w:rsidR="00485819" w:rsidRPr="00CD183E">
        <w:rPr>
          <w:rFonts w:hint="eastAsia"/>
          <w:szCs w:val="21"/>
        </w:rPr>
        <w:t>计期和基建期各管理要素的管理模型和评估方法不完善，难以实现资产管理全生命期内的全局优化</w:t>
      </w:r>
      <w:r w:rsidR="00485819" w:rsidRPr="00CD183E">
        <w:rPr>
          <w:szCs w:val="21"/>
          <w:vertAlign w:val="superscript"/>
        </w:rPr>
        <w:fldChar w:fldCharType="begin"/>
      </w:r>
      <w:r w:rsidR="00485819" w:rsidRPr="00CD183E">
        <w:rPr>
          <w:szCs w:val="21"/>
          <w:vertAlign w:val="superscript"/>
        </w:rPr>
        <w:instrText xml:space="preserve"> </w:instrText>
      </w:r>
      <w:r w:rsidR="00485819" w:rsidRPr="00CD183E">
        <w:rPr>
          <w:rFonts w:hint="eastAsia"/>
          <w:szCs w:val="21"/>
          <w:vertAlign w:val="superscript"/>
        </w:rPr>
        <w:instrText>REF _Ref167547576 \r \h</w:instrText>
      </w:r>
      <w:r w:rsidR="00485819" w:rsidRPr="00CD183E">
        <w:rPr>
          <w:szCs w:val="21"/>
          <w:vertAlign w:val="superscript"/>
        </w:rPr>
        <w:instrText xml:space="preserve"> </w:instrText>
      </w:r>
      <w:r w:rsidR="00485819">
        <w:rPr>
          <w:szCs w:val="21"/>
          <w:vertAlign w:val="superscript"/>
        </w:rPr>
        <w:instrText xml:space="preserve"> \* MERGEFORMAT </w:instrText>
      </w:r>
      <w:r w:rsidR="00485819" w:rsidRPr="00CD183E">
        <w:rPr>
          <w:szCs w:val="21"/>
          <w:vertAlign w:val="superscript"/>
        </w:rPr>
      </w:r>
      <w:r w:rsidR="00485819" w:rsidRPr="00CD183E">
        <w:rPr>
          <w:szCs w:val="21"/>
          <w:vertAlign w:val="superscript"/>
        </w:rPr>
        <w:fldChar w:fldCharType="separate"/>
      </w:r>
      <w:r w:rsidR="00485819" w:rsidRPr="00CD183E">
        <w:rPr>
          <w:szCs w:val="21"/>
          <w:vertAlign w:val="superscript"/>
        </w:rPr>
        <w:t>[7]</w:t>
      </w:r>
      <w:r w:rsidR="00485819" w:rsidRPr="00CD183E">
        <w:rPr>
          <w:szCs w:val="21"/>
          <w:vertAlign w:val="superscript"/>
        </w:rPr>
        <w:fldChar w:fldCharType="end"/>
      </w:r>
      <w:r w:rsidR="00485819" w:rsidRPr="00CD183E">
        <w:rPr>
          <w:rFonts w:hint="eastAsia"/>
          <w:szCs w:val="21"/>
        </w:rPr>
        <w:t>；</w:t>
      </w:r>
    </w:p>
    <w:p w14:paraId="615464B4" w14:textId="0EF114DA" w:rsidR="00485819" w:rsidRPr="00CD183E" w:rsidRDefault="00485819" w:rsidP="00CD183E">
      <w:pPr>
        <w:spacing w:line="240" w:lineRule="atLeast"/>
        <w:ind w:firstLine="420"/>
        <w:rPr>
          <w:szCs w:val="21"/>
        </w:rPr>
        <w:sectPr w:rsidR="00485819" w:rsidRPr="00CD183E" w:rsidSect="00CA011E">
          <w:type w:val="continuous"/>
          <w:pgSz w:w="11906" w:h="16838"/>
          <w:pgMar w:top="1089" w:right="879" w:bottom="624" w:left="1157" w:header="851" w:footer="893" w:gutter="0"/>
          <w:cols w:num="2" w:space="425"/>
          <w:docGrid w:type="lines" w:linePitch="312"/>
        </w:sectPr>
      </w:pPr>
    </w:p>
    <w:p w14:paraId="154331AC" w14:textId="215982B9" w:rsidR="00485819" w:rsidRPr="00CA011E" w:rsidRDefault="00485819" w:rsidP="00485819">
      <w:pPr>
        <w:spacing w:line="360" w:lineRule="exact"/>
        <w:rPr>
          <w:kern w:val="0"/>
          <w:szCs w:val="21"/>
        </w:rPr>
      </w:pPr>
      <w:r>
        <w:rPr>
          <w:rFonts w:eastAsia="黑体" w:hint="eastAsia"/>
          <w:sz w:val="18"/>
          <w:szCs w:val="18"/>
        </w:rPr>
        <w:t>———————</w:t>
      </w:r>
    </w:p>
    <w:p w14:paraId="14DB6F69" w14:textId="3EA65D44" w:rsidR="00CA011E" w:rsidRPr="00CD183E" w:rsidRDefault="00CA011E" w:rsidP="00CD183E">
      <w:pPr>
        <w:spacing w:line="240" w:lineRule="atLeast"/>
        <w:rPr>
          <w:szCs w:val="21"/>
        </w:rPr>
      </w:pPr>
      <w:r w:rsidRPr="00CD183E">
        <w:rPr>
          <w:szCs w:val="21"/>
        </w:rPr>
        <w:t>3</w:t>
      </w:r>
      <w:r w:rsidRPr="00CD183E">
        <w:rPr>
          <w:rFonts w:hint="eastAsia"/>
          <w:szCs w:val="21"/>
        </w:rPr>
        <w:t>）全生命期资产设备在线诊断、调控与优化难：设备复杂状态信息通常难以通过单一诊断指标反映，运营管理缺乏长期故障溯源、在线实时成本分析手段，无法实现全</w:t>
      </w:r>
      <w:r w:rsidR="003A6D00">
        <w:rPr>
          <w:rFonts w:hint="eastAsia"/>
          <w:szCs w:val="21"/>
        </w:rPr>
        <w:t>生命期</w:t>
      </w:r>
      <w:r w:rsidRPr="00CD183E">
        <w:rPr>
          <w:rFonts w:hint="eastAsia"/>
          <w:szCs w:val="21"/>
        </w:rPr>
        <w:t>合理调控优化运行并安排维修等辅助决策。</w:t>
      </w:r>
      <w:r w:rsidR="00E2008C">
        <w:rPr>
          <w:rFonts w:hint="eastAsia"/>
          <w:szCs w:val="21"/>
        </w:rPr>
        <w:t>因此，</w:t>
      </w:r>
      <w:r w:rsidRPr="00CD183E">
        <w:rPr>
          <w:rFonts w:hint="eastAsia"/>
          <w:szCs w:val="21"/>
        </w:rPr>
        <w:t>目前海上风电项目全生命期智能化管理还处于初级阶段，尚未有全生命期管理的应用实例，但吴智权和王政霞</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_Ref196411130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[8]</w:t>
      </w:r>
      <w:r w:rsidR="00CD183E" w:rsidRPr="00CD183E">
        <w:rPr>
          <w:szCs w:val="21"/>
          <w:vertAlign w:val="superscript"/>
        </w:rPr>
        <w:fldChar w:fldCharType="end"/>
      </w:r>
      <w:r w:rsidRPr="00CD183E">
        <w:rPr>
          <w:rFonts w:hint="eastAsia"/>
          <w:szCs w:val="21"/>
        </w:rPr>
        <w:t>和韩斌等</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_Ref167547590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[9]</w:t>
      </w:r>
      <w:r w:rsidR="00CD183E" w:rsidRPr="00CD183E">
        <w:rPr>
          <w:szCs w:val="21"/>
          <w:vertAlign w:val="superscript"/>
        </w:rPr>
        <w:fldChar w:fldCharType="end"/>
      </w:r>
      <w:r w:rsidRPr="00CD183E">
        <w:rPr>
          <w:rFonts w:hint="eastAsia"/>
          <w:szCs w:val="21"/>
        </w:rPr>
        <w:t>学者在陆上数字化智慧风场建设的基础上，对海上风电项目数字化、智能化管理展开了积极探索。已有如智慧海</w:t>
      </w:r>
      <w:r w:rsidRPr="00CD183E">
        <w:rPr>
          <w:rFonts w:hint="eastAsia"/>
          <w:szCs w:val="21"/>
        </w:rPr>
        <w:t>上风电场的架构体系</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_Ref167547605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[10]</w:t>
      </w:r>
      <w:r w:rsidR="00CD183E" w:rsidRPr="00CD183E">
        <w:rPr>
          <w:szCs w:val="21"/>
          <w:vertAlign w:val="superscript"/>
        </w:rPr>
        <w:fldChar w:fldCharType="end"/>
      </w:r>
      <w:r w:rsidRPr="00CD183E">
        <w:rPr>
          <w:rFonts w:hint="eastAsia"/>
          <w:szCs w:val="21"/>
        </w:rPr>
        <w:t>和设备资产智慧化监控与管理的发展路径</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_Ref196411151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[11]</w:t>
      </w:r>
      <w:r w:rsidR="00CD183E" w:rsidRPr="00CD183E">
        <w:rPr>
          <w:szCs w:val="21"/>
          <w:vertAlign w:val="superscript"/>
        </w:rPr>
        <w:fldChar w:fldCharType="end"/>
      </w:r>
      <w:r w:rsidRPr="00CD183E">
        <w:rPr>
          <w:rFonts w:hint="eastAsia"/>
          <w:szCs w:val="21"/>
        </w:rPr>
        <w:t>的提出。进一步地，金飞等</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_Ref167547619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[12]</w:t>
      </w:r>
      <w:r w:rsidR="00CD183E" w:rsidRPr="00CD183E">
        <w:rPr>
          <w:szCs w:val="21"/>
          <w:vertAlign w:val="superscript"/>
        </w:rPr>
        <w:fldChar w:fldCharType="end"/>
      </w:r>
      <w:r w:rsidRPr="00CD183E">
        <w:rPr>
          <w:rFonts w:hint="eastAsia"/>
          <w:szCs w:val="21"/>
        </w:rPr>
        <w:t>以</w:t>
      </w:r>
      <w:r w:rsidRPr="00CD183E">
        <w:rPr>
          <w:szCs w:val="21"/>
        </w:rPr>
        <w:t>BIM</w:t>
      </w:r>
      <w:r w:rsidRPr="00CD183E">
        <w:rPr>
          <w:rFonts w:hint="eastAsia"/>
          <w:szCs w:val="21"/>
        </w:rPr>
        <w:t>技术为核心构建了海上风电工程全生命期数字孪生解决方案。海上风电作为资产密集型企业，资产的价值创造依赖于优良的资产管理，需要建立起一个贯穿全生命期各管理部门的企业级资产智慧管理平台，挖掘提炼数据资产价值，实现“业务流、信息流、价值流”的三流合一</w:t>
      </w:r>
      <w:r w:rsidR="00CD183E" w:rsidRPr="00CD183E">
        <w:rPr>
          <w:szCs w:val="21"/>
          <w:vertAlign w:val="superscript"/>
        </w:rPr>
        <w:fldChar w:fldCharType="begin"/>
      </w:r>
      <w:r w:rsidR="00CD183E" w:rsidRPr="00CD183E">
        <w:rPr>
          <w:szCs w:val="21"/>
          <w:vertAlign w:val="superscript"/>
        </w:rPr>
        <w:instrText xml:space="preserve"> </w:instrText>
      </w:r>
      <w:r w:rsidR="00CD183E" w:rsidRPr="00CD183E">
        <w:rPr>
          <w:rFonts w:hint="eastAsia"/>
          <w:szCs w:val="21"/>
          <w:vertAlign w:val="superscript"/>
        </w:rPr>
        <w:instrText>REF _Ref167547630 \r \h</w:instrText>
      </w:r>
      <w:r w:rsidR="00CD183E" w:rsidRPr="00CD183E">
        <w:rPr>
          <w:szCs w:val="21"/>
          <w:vertAlign w:val="superscript"/>
        </w:rPr>
        <w:instrText xml:space="preserve"> </w:instrText>
      </w:r>
      <w:r w:rsidR="00CD183E">
        <w:rPr>
          <w:szCs w:val="21"/>
          <w:vertAlign w:val="superscript"/>
        </w:rPr>
        <w:instrText xml:space="preserve"> \* MERGEFORMAT </w:instrText>
      </w:r>
      <w:r w:rsidR="00CD183E" w:rsidRPr="00CD183E">
        <w:rPr>
          <w:szCs w:val="21"/>
          <w:vertAlign w:val="superscript"/>
        </w:rPr>
      </w:r>
      <w:r w:rsidR="00CD183E" w:rsidRPr="00CD183E">
        <w:rPr>
          <w:szCs w:val="21"/>
          <w:vertAlign w:val="superscript"/>
        </w:rPr>
        <w:fldChar w:fldCharType="separate"/>
      </w:r>
      <w:r w:rsidR="00CD183E" w:rsidRPr="00CD183E">
        <w:rPr>
          <w:szCs w:val="21"/>
          <w:vertAlign w:val="superscript"/>
        </w:rPr>
        <w:t>[13]</w:t>
      </w:r>
      <w:r w:rsidR="00CD183E" w:rsidRPr="00CD183E">
        <w:rPr>
          <w:szCs w:val="21"/>
          <w:vertAlign w:val="superscript"/>
        </w:rPr>
        <w:fldChar w:fldCharType="end"/>
      </w:r>
      <w:r w:rsidRPr="00CD183E">
        <w:rPr>
          <w:rFonts w:hint="eastAsia"/>
          <w:szCs w:val="21"/>
        </w:rPr>
        <w:t>，通过云计算、模糊处理、优化函数分析技术或人工智能技术，针对管理过程中的决策环节给出自主优化决策方案及依据，辅助项目</w:t>
      </w:r>
      <w:r w:rsidRPr="00CD183E">
        <w:rPr>
          <w:rFonts w:hint="eastAsia"/>
          <w:szCs w:val="21"/>
        </w:rPr>
        <w:lastRenderedPageBreak/>
        <w:t>管理实现价值创造</w:t>
      </w:r>
      <w:r w:rsidR="004C3F69" w:rsidRPr="00CD183E">
        <w:rPr>
          <w:rFonts w:hint="eastAsia"/>
          <w:szCs w:val="21"/>
          <w:vertAlign w:val="superscript"/>
        </w:rPr>
        <w:t>[14-15]</w:t>
      </w:r>
      <w:r w:rsidRPr="00CD183E">
        <w:rPr>
          <w:rFonts w:hint="eastAsia"/>
          <w:szCs w:val="21"/>
        </w:rPr>
        <w:t>。</w:t>
      </w:r>
    </w:p>
    <w:p w14:paraId="6482118A" w14:textId="6DE1FCAF" w:rsidR="00CA011E" w:rsidRPr="00CD183E" w:rsidRDefault="00CA011E" w:rsidP="00CD183E">
      <w:pPr>
        <w:spacing w:line="240" w:lineRule="atLeast"/>
        <w:ind w:firstLine="420"/>
        <w:rPr>
          <w:szCs w:val="21"/>
        </w:rPr>
      </w:pPr>
      <w:r w:rsidRPr="00CD183E">
        <w:rPr>
          <w:rFonts w:hint="eastAsia"/>
          <w:szCs w:val="21"/>
        </w:rPr>
        <w:t>综上所述，海上风电项目全生命期智慧管理理论方法尚不成熟，全生命期资产管理模型和评估方法仍不完善。因此，本文首先提出海上风电项目全生命期资产闭环管理方法，然后构建全生命期</w:t>
      </w:r>
      <w:r w:rsidR="00E2008C">
        <w:rPr>
          <w:rFonts w:hint="eastAsia"/>
          <w:szCs w:val="21"/>
        </w:rPr>
        <w:t>智慧</w:t>
      </w:r>
      <w:r w:rsidRPr="00CD183E">
        <w:rPr>
          <w:rFonts w:hint="eastAsia"/>
          <w:szCs w:val="21"/>
        </w:rPr>
        <w:t>管理系统架构，进一步研发集项目开发、智慧基建、智慧运维和延寿退役的全</w:t>
      </w:r>
      <w:r w:rsidR="003A6D00">
        <w:rPr>
          <w:rFonts w:hint="eastAsia"/>
          <w:szCs w:val="21"/>
        </w:rPr>
        <w:t>生命</w:t>
      </w:r>
      <w:r w:rsidRPr="00CD183E">
        <w:rPr>
          <w:rFonts w:hint="eastAsia"/>
          <w:szCs w:val="21"/>
        </w:rPr>
        <w:t>期</w:t>
      </w:r>
      <w:r w:rsidR="00E2008C">
        <w:rPr>
          <w:rFonts w:hint="eastAsia"/>
          <w:szCs w:val="21"/>
        </w:rPr>
        <w:t>智慧</w:t>
      </w:r>
      <w:r w:rsidRPr="00CD183E">
        <w:rPr>
          <w:rFonts w:hint="eastAsia"/>
          <w:szCs w:val="21"/>
        </w:rPr>
        <w:t>管理功能模块，最后介绍成果在江苏某海上风电场的应用实例及效果评价。</w:t>
      </w:r>
    </w:p>
    <w:p w14:paraId="79FD0A94" w14:textId="43527CF7" w:rsidR="00331419" w:rsidRDefault="00000000">
      <w:pPr>
        <w:tabs>
          <w:tab w:val="left" w:pos="420"/>
          <w:tab w:val="left" w:pos="735"/>
        </w:tabs>
        <w:spacing w:beforeLines="50" w:before="156" w:line="360" w:lineRule="exact"/>
        <w:ind w:left="420" w:hangingChars="175" w:hanging="420"/>
        <w:outlineLvl w:val="0"/>
        <w:rPr>
          <w:rFonts w:eastAsia="华文中宋"/>
          <w:color w:val="000000" w:themeColor="text1"/>
          <w:sz w:val="24"/>
          <w:szCs w:val="24"/>
        </w:rPr>
      </w:pPr>
      <w:r>
        <w:rPr>
          <w:rFonts w:eastAsia="华文中宋"/>
          <w:color w:val="000000" w:themeColor="text1"/>
          <w:sz w:val="24"/>
          <w:szCs w:val="24"/>
        </w:rPr>
        <w:t>1</w:t>
      </w:r>
      <w:r>
        <w:rPr>
          <w:rFonts w:eastAsia="华文中宋" w:hint="eastAsia"/>
          <w:color w:val="000000" w:themeColor="text1"/>
          <w:sz w:val="24"/>
          <w:szCs w:val="24"/>
        </w:rPr>
        <w:t xml:space="preserve">  </w:t>
      </w:r>
      <w:r w:rsidR="004C3F69" w:rsidRPr="004C3F69">
        <w:rPr>
          <w:rFonts w:eastAsia="华文中宋" w:hint="eastAsia"/>
          <w:color w:val="000000" w:themeColor="text1"/>
          <w:sz w:val="24"/>
          <w:szCs w:val="24"/>
        </w:rPr>
        <w:t>全生命期资产闭环智慧管理方法</w:t>
      </w:r>
    </w:p>
    <w:p w14:paraId="3B3DCB4B" w14:textId="06FD3A18" w:rsidR="00331419" w:rsidRPr="00485819" w:rsidRDefault="00000000">
      <w:pPr>
        <w:tabs>
          <w:tab w:val="left" w:pos="0"/>
          <w:tab w:val="left" w:pos="735"/>
        </w:tabs>
        <w:spacing w:line="360" w:lineRule="auto"/>
        <w:outlineLvl w:val="1"/>
        <w:rPr>
          <w:b/>
          <w:bCs/>
          <w:color w:val="000000" w:themeColor="text1"/>
          <w:szCs w:val="21"/>
        </w:rPr>
      </w:pPr>
      <w:r w:rsidRPr="00485819">
        <w:rPr>
          <w:b/>
          <w:bCs/>
          <w:color w:val="000000" w:themeColor="text1"/>
          <w:szCs w:val="21"/>
        </w:rPr>
        <w:t xml:space="preserve">1.1  </w:t>
      </w:r>
      <w:r w:rsidR="004C3F69" w:rsidRPr="00485819">
        <w:rPr>
          <w:b/>
          <w:bCs/>
          <w:color w:val="000000" w:themeColor="text1"/>
          <w:szCs w:val="21"/>
        </w:rPr>
        <w:t>闭环智慧管理机制</w:t>
      </w:r>
    </w:p>
    <w:p w14:paraId="05140FF8" w14:textId="1D6C5FDE" w:rsidR="005317CF" w:rsidRPr="00CD183E" w:rsidRDefault="005317CF" w:rsidP="00CD183E">
      <w:pPr>
        <w:spacing w:line="240" w:lineRule="atLeast"/>
        <w:ind w:firstLine="420"/>
        <w:rPr>
          <w:szCs w:val="21"/>
        </w:rPr>
      </w:pPr>
      <w:r w:rsidRPr="00CD183E">
        <w:rPr>
          <w:rFonts w:hint="eastAsia"/>
          <w:szCs w:val="21"/>
        </w:rPr>
        <w:t>海上风电全生命期包含规划设计、采购建设、运行维护和延寿退役等四阶段。海上风电项目全生命期管理的过程就是资产形成、使用和退役的过程，其管理水平体现为资产最终的价值创造能力，其中，运行维护阶段是资产创造价值的关键时期，需制定生产维护计划保证海上风电场的安全运行，反馈优化运维调度策略。因此，管理活动应围绕风电机组、塔基、海缆等关键资产的价值创造能力开展。</w:t>
      </w:r>
    </w:p>
    <w:p w14:paraId="5C521FB6" w14:textId="7962CD8F" w:rsidR="005317CF" w:rsidRPr="00CD183E" w:rsidRDefault="005317CF" w:rsidP="00CD183E">
      <w:pPr>
        <w:spacing w:line="240" w:lineRule="atLeast"/>
        <w:ind w:firstLine="420"/>
        <w:rPr>
          <w:szCs w:val="21"/>
        </w:rPr>
      </w:pPr>
      <w:r w:rsidRPr="00CD183E">
        <w:rPr>
          <w:rFonts w:hint="eastAsia"/>
          <w:szCs w:val="21"/>
        </w:rPr>
        <w:t>海上风电项目全生命期资产闭环智慧管理机制，包括全面感知、真实分析、实时控制和持续优化的闭环</w:t>
      </w:r>
      <w:r w:rsidR="0095720D">
        <w:rPr>
          <w:rFonts w:hint="eastAsia"/>
          <w:szCs w:val="21"/>
        </w:rPr>
        <w:t>控制理论、方法及其</w:t>
      </w:r>
      <w:r w:rsidRPr="00CD183E">
        <w:rPr>
          <w:rFonts w:hint="eastAsia"/>
          <w:szCs w:val="21"/>
        </w:rPr>
        <w:t>演化路径，如图</w:t>
      </w:r>
      <w:r w:rsidRPr="00CD183E">
        <w:rPr>
          <w:rFonts w:hint="eastAsia"/>
          <w:szCs w:val="21"/>
        </w:rPr>
        <w:t>1</w:t>
      </w:r>
      <w:r w:rsidRPr="00CD183E">
        <w:rPr>
          <w:rFonts w:hint="eastAsia"/>
          <w:szCs w:val="21"/>
        </w:rPr>
        <w:t>所示。全面感知是利用传感、传输和物联网等技术全面地获取海洋环境、资产设备状态及生产信息等关键数据；真实分析是利用各类信息和数据开展智能计算和数值反演，对资产管理要素涉及的成本、风险和效益等指标进行分析预测；实时控制是在已知的资产状态和环境情况（包括市场环境以及政策等）下，利用智能算法全面科学地制定全生命期各阶段每项资产的工作内容和计划，通过智能设备和软件平台，按照标准和规则高效执行工作任务，实时动态调整控制资产状态；持续优化是在管理要素偏差原因分析的基础上，聚焦安全、降本、增效、提质等目标，提出具体的反馈改进措施与优化方案，包括进度计划、资源需求、成本预算、风险管控等管理要素，对后续资产管理闭环工作内容、结构和算法的调整优化提供科学的理论依据。持续优化管理工作闭环后进入到下一项资产管理工作中，不断深化认识、反馈措施对资产表现的影响机理，持续提高资产管理水平。</w:t>
      </w:r>
    </w:p>
    <w:p w14:paraId="6A558768" w14:textId="14D32995" w:rsidR="005317CF" w:rsidRDefault="005317CF" w:rsidP="005317CF">
      <w:pPr>
        <w:tabs>
          <w:tab w:val="left" w:pos="0"/>
          <w:tab w:val="left" w:pos="735"/>
        </w:tabs>
        <w:spacing w:line="360" w:lineRule="auto"/>
        <w:jc w:val="center"/>
        <w:rPr>
          <w:color w:val="000000" w:themeColor="text1"/>
          <w:szCs w:val="21"/>
        </w:rPr>
      </w:pPr>
      <w:r>
        <w:rPr>
          <w:noProof/>
          <w:color w:val="000000" w:themeColor="text1"/>
          <w:szCs w:val="21"/>
        </w:rPr>
        <w:drawing>
          <wp:inline distT="0" distB="0" distL="0" distR="0" wp14:anchorId="24A50856" wp14:editId="2937DBF8">
            <wp:extent cx="2519680" cy="1949003"/>
            <wp:effectExtent l="0" t="0" r="0" b="0"/>
            <wp:docPr id="33803666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724"/>
                    <a:stretch/>
                  </pic:blipFill>
                  <pic:spPr bwMode="auto">
                    <a:xfrm>
                      <a:off x="0" y="0"/>
                      <a:ext cx="2520000" cy="1949251"/>
                    </a:xfrm>
                    <a:prstGeom prst="rect">
                      <a:avLst/>
                    </a:prstGeom>
                    <a:noFill/>
                    <a:ln>
                      <a:noFill/>
                    </a:ln>
                    <a:extLst>
                      <a:ext uri="{53640926-AAD7-44D8-BBD7-CCE9431645EC}">
                        <a14:shadowObscured xmlns:a14="http://schemas.microsoft.com/office/drawing/2010/main"/>
                      </a:ext>
                    </a:extLst>
                  </pic:spPr>
                </pic:pic>
              </a:graphicData>
            </a:graphic>
          </wp:inline>
        </w:drawing>
      </w:r>
    </w:p>
    <w:p w14:paraId="4573DC70" w14:textId="1FB0D1EC" w:rsidR="005317CF" w:rsidRPr="005271DE" w:rsidRDefault="005317CF" w:rsidP="00CD183E">
      <w:pPr>
        <w:spacing w:line="360" w:lineRule="auto"/>
        <w:jc w:val="center"/>
        <w:rPr>
          <w:color w:val="000000" w:themeColor="text1"/>
          <w:szCs w:val="21"/>
        </w:rPr>
      </w:pPr>
      <w:r w:rsidRPr="005271DE">
        <w:rPr>
          <w:color w:val="000000" w:themeColor="text1"/>
          <w:szCs w:val="21"/>
        </w:rPr>
        <w:t>图</w:t>
      </w:r>
      <w:r w:rsidRPr="005271DE">
        <w:rPr>
          <w:color w:val="000000" w:themeColor="text1"/>
          <w:szCs w:val="21"/>
        </w:rPr>
        <w:t>1</w:t>
      </w:r>
      <w:r w:rsidR="009727E4" w:rsidRPr="005271DE">
        <w:rPr>
          <w:color w:val="000000" w:themeColor="text1"/>
          <w:szCs w:val="21"/>
        </w:rPr>
        <w:t xml:space="preserve"> </w:t>
      </w:r>
      <w:r w:rsidRPr="005271DE">
        <w:rPr>
          <w:color w:val="000000" w:themeColor="text1"/>
          <w:szCs w:val="21"/>
        </w:rPr>
        <w:t>海上风电全生命期资产闭环智慧管理机制</w:t>
      </w:r>
    </w:p>
    <w:p w14:paraId="42AA687C" w14:textId="0EA1E089" w:rsidR="005317CF" w:rsidRPr="00CD183E" w:rsidRDefault="005317CF" w:rsidP="00CD183E">
      <w:pPr>
        <w:spacing w:line="240" w:lineRule="atLeast"/>
        <w:ind w:firstLine="420"/>
        <w:rPr>
          <w:szCs w:val="21"/>
        </w:rPr>
      </w:pPr>
      <w:r w:rsidRPr="00CD183E">
        <w:rPr>
          <w:rFonts w:hint="eastAsia"/>
          <w:szCs w:val="21"/>
        </w:rPr>
        <w:t>目前，智慧城市、智慧水利、智慧交通等基础设施智慧管理的发展和应用</w:t>
      </w:r>
      <w:r w:rsidRPr="00CD183E">
        <w:rPr>
          <w:rFonts w:hint="eastAsia"/>
          <w:szCs w:val="21"/>
          <w:vertAlign w:val="superscript"/>
        </w:rPr>
        <w:t>[16-18]</w:t>
      </w:r>
      <w:r w:rsidRPr="00CD183E">
        <w:rPr>
          <w:rFonts w:hint="eastAsia"/>
          <w:szCs w:val="21"/>
        </w:rPr>
        <w:t>中，提炼出智慧管理的定义为：将现代信息技术（如物联网、大数据、人工智能和数字孪生等）与工程管理实践深度融合，</w:t>
      </w:r>
      <w:r w:rsidR="0095720D">
        <w:rPr>
          <w:rFonts w:hint="eastAsia"/>
          <w:szCs w:val="21"/>
        </w:rPr>
        <w:t>运用</w:t>
      </w:r>
      <w:r w:rsidR="0095720D" w:rsidRPr="00942763">
        <w:rPr>
          <w:rFonts w:hint="eastAsia"/>
          <w:szCs w:val="21"/>
        </w:rPr>
        <w:t>全面感知、真实分析、实时控制和持续优化的闭环控制理论和</w:t>
      </w:r>
      <w:r w:rsidR="0095720D">
        <w:rPr>
          <w:rFonts w:hint="eastAsia"/>
          <w:szCs w:val="21"/>
        </w:rPr>
        <w:t>方法</w:t>
      </w:r>
      <w:r w:rsidR="0095720D" w:rsidRPr="00CD183E">
        <w:rPr>
          <w:szCs w:val="21"/>
        </w:rPr>
        <w:t>，</w:t>
      </w:r>
      <w:r w:rsidRPr="00CD183E">
        <w:rPr>
          <w:rFonts w:hint="eastAsia"/>
          <w:szCs w:val="21"/>
        </w:rPr>
        <w:t>通过数据驱动、智能分析和</w:t>
      </w:r>
      <w:r w:rsidR="00E2008C">
        <w:rPr>
          <w:rFonts w:hint="eastAsia"/>
          <w:szCs w:val="21"/>
        </w:rPr>
        <w:t>优化</w:t>
      </w:r>
      <w:r w:rsidRPr="00CD183E">
        <w:rPr>
          <w:rFonts w:hint="eastAsia"/>
          <w:szCs w:val="21"/>
        </w:rPr>
        <w:t>控制，优化工程项目的全生命期管理，实现</w:t>
      </w:r>
      <w:r w:rsidR="0095720D">
        <w:rPr>
          <w:rFonts w:hint="eastAsia"/>
          <w:szCs w:val="21"/>
        </w:rPr>
        <w:t>智能化</w:t>
      </w:r>
      <w:r w:rsidR="00E2008C" w:rsidRPr="00CD183E">
        <w:rPr>
          <w:rFonts w:hint="eastAsia"/>
          <w:szCs w:val="21"/>
        </w:rPr>
        <w:t>管控</w:t>
      </w:r>
      <w:r w:rsidR="00E2008C">
        <w:rPr>
          <w:rFonts w:hint="eastAsia"/>
          <w:szCs w:val="21"/>
        </w:rPr>
        <w:t>、</w:t>
      </w:r>
      <w:r w:rsidR="0095720D">
        <w:rPr>
          <w:rFonts w:hint="eastAsia"/>
          <w:szCs w:val="21"/>
        </w:rPr>
        <w:t>智慧化</w:t>
      </w:r>
      <w:r w:rsidRPr="00CD183E">
        <w:rPr>
          <w:rFonts w:hint="eastAsia"/>
          <w:szCs w:val="21"/>
        </w:rPr>
        <w:t>决策、动态化协同。图</w:t>
      </w:r>
      <w:r w:rsidRPr="00CD183E">
        <w:rPr>
          <w:rFonts w:hint="eastAsia"/>
          <w:szCs w:val="21"/>
        </w:rPr>
        <w:t>1</w:t>
      </w:r>
      <w:r w:rsidRPr="00CD183E">
        <w:rPr>
          <w:rFonts w:hint="eastAsia"/>
          <w:szCs w:val="21"/>
        </w:rPr>
        <w:t>所示的闭环管理机制体现了智慧管理的内涵，一是体现了现代通信技术、数字智能技术、项目管理知识与风力发电技术的结合，利用感知、传输和交互技术，来实时掌握各阶段资产状态，保证基础数据及时真实可靠；二是体现了闭环控制的特性，通过问题导向和目标导向的结合，聚焦资产状态以及资产效益的偏差，聚焦海上突发极端气象问题如台风等，进行分析、优化、控制，确保资产处在安全和良好运行状态；三是体现了利用智能技术，发挥数据资源优势，对判别规则和运行参数进行动态优化，尤其是对复杂动态气象环境下海上风电场风资源进行精准预测，并结合电力市场要求，优化发电资产的运行策略，这些策略贯穿在项目规划、工作计划、资源组织、行为评估、效果反馈和改进提升中，提升价值创造能力。</w:t>
      </w:r>
    </w:p>
    <w:p w14:paraId="1055471D" w14:textId="11A7B79E" w:rsidR="005317CF" w:rsidRPr="00CD183E" w:rsidRDefault="005317CF" w:rsidP="00E2008C">
      <w:pPr>
        <w:spacing w:line="240" w:lineRule="atLeast"/>
        <w:ind w:firstLine="420"/>
        <w:rPr>
          <w:szCs w:val="21"/>
        </w:rPr>
        <w:sectPr w:rsidR="005317CF" w:rsidRPr="00CD183E">
          <w:type w:val="continuous"/>
          <w:pgSz w:w="11906" w:h="16838"/>
          <w:pgMar w:top="1089" w:right="879" w:bottom="624" w:left="1157" w:header="851" w:footer="893" w:gutter="0"/>
          <w:cols w:num="2" w:space="425"/>
          <w:docGrid w:type="lines" w:linePitch="312"/>
        </w:sectPr>
      </w:pPr>
      <w:r w:rsidRPr="00CD183E">
        <w:rPr>
          <w:rFonts w:hint="eastAsia"/>
          <w:szCs w:val="21"/>
        </w:rPr>
        <w:t>基于闭环智慧管理机制与海上风电项目面临的主要挑战，图</w:t>
      </w:r>
      <w:r w:rsidRPr="00CD183E">
        <w:rPr>
          <w:rFonts w:hint="eastAsia"/>
          <w:szCs w:val="21"/>
        </w:rPr>
        <w:t>2</w:t>
      </w:r>
      <w:r w:rsidRPr="00CD183E">
        <w:rPr>
          <w:rFonts w:hint="eastAsia"/>
          <w:szCs w:val="21"/>
        </w:rPr>
        <w:t>给出了海上风电项目资产闭环智慧管理的关键过程及参数。在全面感知海上风电场资产生命期各阶段的时空变化的基础上，首先需要建立数学模型对环境与工程状态进行表征，基于环境和工程的各项指标进一步对资产管理展开真实分析评估，涵盖规划设计、智慧基建、智慧运维和延寿退役等关键资产管理活动。通过智能算法对关键资产管理活动</w:t>
      </w:r>
      <w:r w:rsidR="00E2008C">
        <w:rPr>
          <w:rFonts w:hint="eastAsia"/>
          <w:szCs w:val="21"/>
        </w:rPr>
        <w:t>进行</w:t>
      </w:r>
      <w:r w:rsidR="00E2008C" w:rsidRPr="00CD183E">
        <w:rPr>
          <w:rFonts w:hint="eastAsia"/>
          <w:szCs w:val="21"/>
        </w:rPr>
        <w:t>指标对比分析，进而开发智能装备及平台</w:t>
      </w:r>
      <w:r w:rsidR="00E2008C">
        <w:rPr>
          <w:rFonts w:hint="eastAsia"/>
          <w:szCs w:val="21"/>
        </w:rPr>
        <w:t>进行管理</w:t>
      </w:r>
      <w:r w:rsidR="00E2008C" w:rsidRPr="00CD183E">
        <w:rPr>
          <w:rFonts w:hint="eastAsia"/>
          <w:szCs w:val="21"/>
        </w:rPr>
        <w:t>过程控制，根据应用反馈来更新感知</w:t>
      </w:r>
      <w:r w:rsidR="00E2008C" w:rsidRPr="00CD183E">
        <w:rPr>
          <w:rFonts w:hint="eastAsia"/>
          <w:szCs w:val="21"/>
        </w:rPr>
        <w:t>-</w:t>
      </w:r>
      <w:r w:rsidR="00E2008C" w:rsidRPr="00CD183E">
        <w:rPr>
          <w:rFonts w:hint="eastAsia"/>
          <w:szCs w:val="21"/>
        </w:rPr>
        <w:t>分析</w:t>
      </w:r>
      <w:r w:rsidR="00E2008C" w:rsidRPr="00CD183E">
        <w:rPr>
          <w:rFonts w:hint="eastAsia"/>
          <w:szCs w:val="21"/>
        </w:rPr>
        <w:t>-</w:t>
      </w:r>
      <w:r w:rsidR="00E2008C" w:rsidRPr="00CD183E">
        <w:rPr>
          <w:rFonts w:hint="eastAsia"/>
          <w:szCs w:val="21"/>
        </w:rPr>
        <w:t>控制的关键参数与指标和智能算法，实现实时智能调控，完成持续优化过程。</w:t>
      </w:r>
      <w:r w:rsidRPr="00CD183E">
        <w:rPr>
          <w:rFonts w:hint="eastAsia"/>
          <w:szCs w:val="21"/>
        </w:rPr>
        <w:t>以智慧运维为例，全面感知通过气象站、激光测风雷达、加速度传感器、应力应变传感器及温度传感器等，对海上风电资产设备的环境与状态数据进行全面采集，基于气象数</w:t>
      </w:r>
      <w:r w:rsidRPr="00CD183E">
        <w:rPr>
          <w:rFonts w:hint="eastAsia"/>
          <w:szCs w:val="21"/>
        </w:rPr>
        <w:lastRenderedPageBreak/>
        <w:t>据、机组状态数据系统动态计算运维窗口期、机组发电与健康状态，实时进行场群级或单台机组变桨、偏航控制，对异常机组进行故障诊断并自动生成维修</w:t>
      </w:r>
      <w:r w:rsidRPr="00CD183E">
        <w:rPr>
          <w:rFonts w:hint="eastAsia"/>
          <w:szCs w:val="21"/>
        </w:rPr>
        <w:t>工单及备件清单，根据运维窗口期智能生成维修计划，最后总结多次运维的成本、绩效和风险指标，对智能算法和决策手段展开反馈优化</w:t>
      </w:r>
      <w:r w:rsidR="00485819">
        <w:rPr>
          <w:rFonts w:hint="eastAsia"/>
          <w:szCs w:val="21"/>
        </w:rPr>
        <w:t>。</w:t>
      </w:r>
    </w:p>
    <w:p w14:paraId="287E13DD" w14:textId="09A987F9" w:rsidR="005317CF" w:rsidRDefault="005317CF" w:rsidP="00485819">
      <w:pPr>
        <w:tabs>
          <w:tab w:val="left" w:pos="0"/>
          <w:tab w:val="left" w:pos="735"/>
        </w:tabs>
        <w:spacing w:line="360" w:lineRule="exact"/>
        <w:rPr>
          <w:color w:val="000000" w:themeColor="text1"/>
          <w:szCs w:val="21"/>
        </w:rPr>
      </w:pPr>
    </w:p>
    <w:p w14:paraId="382A2DFD" w14:textId="77777777" w:rsidR="005317CF" w:rsidRDefault="005317CF" w:rsidP="005317CF">
      <w:pPr>
        <w:tabs>
          <w:tab w:val="left" w:pos="0"/>
          <w:tab w:val="left" w:pos="735"/>
        </w:tabs>
        <w:spacing w:line="360" w:lineRule="auto"/>
        <w:rPr>
          <w:color w:val="000000" w:themeColor="text1"/>
          <w:szCs w:val="21"/>
        </w:rPr>
        <w:sectPr w:rsidR="005317CF">
          <w:type w:val="continuous"/>
          <w:pgSz w:w="11906" w:h="16838"/>
          <w:pgMar w:top="1089" w:right="879" w:bottom="624" w:left="1157" w:header="851" w:footer="893" w:gutter="0"/>
          <w:cols w:num="2" w:space="425"/>
          <w:docGrid w:type="lines" w:linePitch="312"/>
        </w:sectPr>
      </w:pPr>
    </w:p>
    <w:p w14:paraId="2173716A" w14:textId="46318DB6" w:rsidR="005317CF" w:rsidRDefault="005317CF" w:rsidP="005317CF">
      <w:pPr>
        <w:spacing w:line="360" w:lineRule="auto"/>
        <w:jc w:val="center"/>
        <w:rPr>
          <w:rFonts w:ascii="黑体" w:eastAsia="黑体" w:hAnsi="黑体" w:hint="eastAsia"/>
          <w:color w:val="000000" w:themeColor="text1"/>
          <w:sz w:val="18"/>
          <w:szCs w:val="18"/>
        </w:rPr>
        <w:sectPr w:rsidR="005317CF" w:rsidSect="005317CF">
          <w:type w:val="continuous"/>
          <w:pgSz w:w="11906" w:h="16838"/>
          <w:pgMar w:top="1089" w:right="879" w:bottom="624" w:left="1157" w:header="851" w:footer="893" w:gutter="0"/>
          <w:cols w:space="425"/>
          <w:docGrid w:type="lines" w:linePitch="312"/>
        </w:sectPr>
      </w:pPr>
      <w:r>
        <w:rPr>
          <w:rFonts w:ascii="黑体" w:eastAsia="黑体" w:hAnsi="黑体"/>
          <w:noProof/>
          <w:color w:val="000000" w:themeColor="text1"/>
          <w:sz w:val="18"/>
          <w:szCs w:val="18"/>
        </w:rPr>
        <w:drawing>
          <wp:inline distT="0" distB="0" distL="0" distR="0" wp14:anchorId="3FB080EE" wp14:editId="210AA801">
            <wp:extent cx="4265821" cy="2493242"/>
            <wp:effectExtent l="0" t="0" r="1905" b="2540"/>
            <wp:docPr id="7886636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4523" cy="2510017"/>
                    </a:xfrm>
                    <a:prstGeom prst="rect">
                      <a:avLst/>
                    </a:prstGeom>
                    <a:noFill/>
                  </pic:spPr>
                </pic:pic>
              </a:graphicData>
            </a:graphic>
          </wp:inline>
        </w:drawing>
      </w:r>
    </w:p>
    <w:p w14:paraId="41D2FD4D" w14:textId="3A65DCDE" w:rsidR="005317CF" w:rsidRPr="005271DE" w:rsidRDefault="005317CF" w:rsidP="00CD183E">
      <w:pPr>
        <w:spacing w:line="360" w:lineRule="auto"/>
        <w:jc w:val="center"/>
        <w:rPr>
          <w:color w:val="000000" w:themeColor="text1"/>
          <w:szCs w:val="21"/>
        </w:rPr>
        <w:sectPr w:rsidR="005317CF" w:rsidRPr="005271DE" w:rsidSect="005317CF">
          <w:type w:val="continuous"/>
          <w:pgSz w:w="11906" w:h="16838"/>
          <w:pgMar w:top="1089" w:right="879" w:bottom="624" w:left="1157" w:header="851" w:footer="893" w:gutter="0"/>
          <w:cols w:space="425"/>
          <w:docGrid w:type="lines" w:linePitch="312"/>
        </w:sectPr>
      </w:pPr>
      <w:r w:rsidRPr="005271DE">
        <w:rPr>
          <w:rFonts w:hint="eastAsia"/>
          <w:color w:val="000000" w:themeColor="text1"/>
          <w:szCs w:val="21"/>
        </w:rPr>
        <w:t>图</w:t>
      </w:r>
      <w:r w:rsidRPr="005271DE">
        <w:rPr>
          <w:color w:val="000000" w:themeColor="text1"/>
          <w:szCs w:val="21"/>
        </w:rPr>
        <w:t>2</w:t>
      </w:r>
      <w:r w:rsidR="009727E4" w:rsidRPr="005271DE">
        <w:rPr>
          <w:rFonts w:hint="eastAsia"/>
          <w:color w:val="000000" w:themeColor="text1"/>
          <w:szCs w:val="21"/>
        </w:rPr>
        <w:t xml:space="preserve"> </w:t>
      </w:r>
      <w:r w:rsidRPr="005271DE">
        <w:rPr>
          <w:rFonts w:hint="eastAsia"/>
          <w:color w:val="000000" w:themeColor="text1"/>
          <w:szCs w:val="21"/>
        </w:rPr>
        <w:t>海上风电各阶段资产闭环管理关键要素和参数</w:t>
      </w:r>
    </w:p>
    <w:p w14:paraId="746B2643" w14:textId="352DC2D9" w:rsidR="00331419" w:rsidRPr="00485819" w:rsidRDefault="00000000">
      <w:pPr>
        <w:tabs>
          <w:tab w:val="left" w:pos="0"/>
          <w:tab w:val="left" w:pos="735"/>
        </w:tabs>
        <w:spacing w:line="360" w:lineRule="auto"/>
        <w:outlineLvl w:val="1"/>
        <w:rPr>
          <w:b/>
          <w:bCs/>
          <w:color w:val="000000" w:themeColor="text1"/>
          <w:szCs w:val="21"/>
        </w:rPr>
      </w:pPr>
      <w:r w:rsidRPr="00485819">
        <w:rPr>
          <w:b/>
          <w:bCs/>
          <w:color w:val="000000" w:themeColor="text1"/>
          <w:szCs w:val="21"/>
        </w:rPr>
        <w:t>1.2</w:t>
      </w:r>
      <w:r w:rsidRPr="00485819">
        <w:rPr>
          <w:rFonts w:hint="eastAsia"/>
          <w:b/>
          <w:bCs/>
          <w:color w:val="000000" w:themeColor="text1"/>
          <w:szCs w:val="21"/>
        </w:rPr>
        <w:t xml:space="preserve">  </w:t>
      </w:r>
      <w:r w:rsidR="00E1698F" w:rsidRPr="00485819">
        <w:rPr>
          <w:rFonts w:hint="eastAsia"/>
          <w:b/>
          <w:bCs/>
          <w:color w:val="000000" w:themeColor="text1"/>
          <w:szCs w:val="21"/>
        </w:rPr>
        <w:t>资产闭环管理评估模型</w:t>
      </w:r>
    </w:p>
    <w:p w14:paraId="4DA7BB9F" w14:textId="3644DDE7" w:rsidR="00331419" w:rsidRPr="00CD183E" w:rsidRDefault="00E1698F" w:rsidP="00CD183E">
      <w:pPr>
        <w:pStyle w:val="15"/>
      </w:pPr>
      <w:r w:rsidRPr="00CD183E">
        <w:rPr>
          <w:rFonts w:hint="eastAsia"/>
        </w:rPr>
        <w:t>传统资产管理评估一般基于职能部门分工管理的模式，重点关注资产的安全性</w:t>
      </w:r>
      <w:r w:rsidR="00E2008C" w:rsidRPr="00CD183E">
        <w:rPr>
          <w:rFonts w:hint="eastAsia"/>
        </w:rPr>
        <w:t>和成本效益</w:t>
      </w:r>
      <w:r w:rsidRPr="00CD183E">
        <w:rPr>
          <w:rFonts w:hint="eastAsia"/>
        </w:rPr>
        <w:t>，而对其价值属性的关注相对薄弱。随着资产管理理念的提升和现代化资产管理手段的不断完善，一些资产全生命期管理评估模型开始应用于企业资产管理工作中，如全生命期成本（</w:t>
      </w:r>
      <w:r w:rsidRPr="00CD183E">
        <w:rPr>
          <w:rFonts w:hint="eastAsia"/>
        </w:rPr>
        <w:t>Life cycle Cost</w:t>
      </w:r>
      <w:r w:rsidRPr="00CD183E">
        <w:rPr>
          <w:rFonts w:hint="eastAsia"/>
        </w:rPr>
        <w:t>）模型关注资产</w:t>
      </w:r>
      <w:r w:rsidR="00E2008C">
        <w:rPr>
          <w:rFonts w:hint="eastAsia"/>
        </w:rPr>
        <w:t>成本</w:t>
      </w:r>
      <w:r w:rsidRPr="00CD183E">
        <w:rPr>
          <w:rFonts w:hint="eastAsia"/>
        </w:rPr>
        <w:t>从规划到报废的全过程跟踪管理，注重降低资产综合成本；胡云石</w:t>
      </w:r>
      <w:r w:rsidRPr="00CD183E">
        <w:rPr>
          <w:vertAlign w:val="superscript"/>
        </w:rPr>
        <w:fldChar w:fldCharType="begin"/>
      </w:r>
      <w:r w:rsidRPr="00CD183E">
        <w:rPr>
          <w:vertAlign w:val="superscript"/>
        </w:rPr>
        <w:instrText xml:space="preserve"> </w:instrText>
      </w:r>
      <w:r w:rsidRPr="00CD183E">
        <w:rPr>
          <w:rFonts w:hint="eastAsia"/>
          <w:vertAlign w:val="superscript"/>
        </w:rPr>
        <w:instrText>REF _Ref167547630 \r \h</w:instrText>
      </w:r>
      <w:r w:rsidRPr="00CD183E">
        <w:rPr>
          <w:vertAlign w:val="superscript"/>
        </w:rPr>
        <w:instrText xml:space="preserve">  \* MERGEFORMAT </w:instrText>
      </w:r>
      <w:r w:rsidRPr="00CD183E">
        <w:rPr>
          <w:vertAlign w:val="superscript"/>
        </w:rPr>
      </w:r>
      <w:r w:rsidRPr="00CD183E">
        <w:rPr>
          <w:vertAlign w:val="superscript"/>
        </w:rPr>
        <w:fldChar w:fldCharType="separate"/>
      </w:r>
      <w:r w:rsidRPr="00CD183E">
        <w:rPr>
          <w:vertAlign w:val="superscript"/>
        </w:rPr>
        <w:t>[13]</w:t>
      </w:r>
      <w:r w:rsidRPr="00CD183E">
        <w:rPr>
          <w:vertAlign w:val="superscript"/>
        </w:rPr>
        <w:fldChar w:fldCharType="end"/>
      </w:r>
      <w:r w:rsidRPr="00CD183E">
        <w:rPr>
          <w:rFonts w:hint="eastAsia"/>
        </w:rPr>
        <w:t>构建的资产全生命期管理信息系统，注重协同资产低成本与高性能之间的关系；孟韬</w:t>
      </w:r>
      <w:r w:rsidRPr="00CD183E">
        <w:rPr>
          <w:vertAlign w:val="superscript"/>
        </w:rPr>
        <w:fldChar w:fldCharType="begin"/>
      </w:r>
      <w:r w:rsidRPr="00CD183E">
        <w:rPr>
          <w:vertAlign w:val="superscript"/>
        </w:rPr>
        <w:instrText xml:space="preserve"> REF _Ref196322057 \r \h  \* MERGEFORMAT </w:instrText>
      </w:r>
      <w:r w:rsidRPr="00CD183E">
        <w:rPr>
          <w:vertAlign w:val="superscript"/>
        </w:rPr>
      </w:r>
      <w:r w:rsidRPr="00CD183E">
        <w:rPr>
          <w:vertAlign w:val="superscript"/>
        </w:rPr>
        <w:fldChar w:fldCharType="separate"/>
      </w:r>
      <w:r w:rsidRPr="00CD183E">
        <w:rPr>
          <w:vertAlign w:val="superscript"/>
        </w:rPr>
        <w:t>[19]</w:t>
      </w:r>
      <w:r w:rsidRPr="00CD183E">
        <w:rPr>
          <w:vertAlign w:val="superscript"/>
        </w:rPr>
        <w:fldChar w:fldCharType="end"/>
      </w:r>
      <w:r w:rsidRPr="00CD183E">
        <w:rPr>
          <w:rFonts w:hint="eastAsia"/>
        </w:rPr>
        <w:t>提出了电力企业资产全生命期安全、效能和成本的综合效益加权评价模型，关注资产全生命期完成后的综合评价分析</w:t>
      </w:r>
      <w:r w:rsidR="00E2008C">
        <w:rPr>
          <w:rFonts w:hint="eastAsia"/>
        </w:rPr>
        <w:t>，但缺少对资产服役过程中的评估</w:t>
      </w:r>
      <w:r w:rsidRPr="00CD183E">
        <w:rPr>
          <w:rFonts w:hint="eastAsia"/>
        </w:rPr>
        <w:t>。</w:t>
      </w:r>
    </w:p>
    <w:p w14:paraId="339D9BDC" w14:textId="5B97B7CE" w:rsidR="00E1698F" w:rsidRPr="00CD183E" w:rsidRDefault="00E1698F" w:rsidP="00CD183E">
      <w:pPr>
        <w:spacing w:line="240" w:lineRule="atLeast"/>
        <w:ind w:firstLine="420"/>
        <w:rPr>
          <w:szCs w:val="21"/>
        </w:rPr>
      </w:pPr>
      <w:r w:rsidRPr="00CD183E">
        <w:rPr>
          <w:szCs w:val="21"/>
        </w:rPr>
        <w:t>海上风电项目全生命期资产管理涉及部门众多、周期较长，不同部门之间的资产管理目标具有独立性，易导致各项控制指标的局部优化。因此企业需要在资产管理的过程中权衡成本、绩效和风险，实现三者的综合最优，为企业创造最大化的利润。本文基于团队关于海上风电全生命期资产分解结构和智能建造理论成果</w:t>
      </w:r>
      <w:r w:rsidRPr="00E2008C">
        <w:rPr>
          <w:szCs w:val="21"/>
          <w:vertAlign w:val="superscript"/>
        </w:rPr>
        <w:fldChar w:fldCharType="begin"/>
      </w:r>
      <w:r w:rsidRPr="00E2008C">
        <w:rPr>
          <w:szCs w:val="21"/>
          <w:vertAlign w:val="superscript"/>
        </w:rPr>
        <w:instrText xml:space="preserve"> REF _Ref167547508 \r \h  \* MERGEFORMAT </w:instrText>
      </w:r>
      <w:r w:rsidRPr="00E2008C">
        <w:rPr>
          <w:szCs w:val="21"/>
          <w:vertAlign w:val="superscript"/>
        </w:rPr>
      </w:r>
      <w:r w:rsidRPr="00E2008C">
        <w:rPr>
          <w:szCs w:val="21"/>
          <w:vertAlign w:val="superscript"/>
        </w:rPr>
        <w:fldChar w:fldCharType="separate"/>
      </w:r>
      <w:r w:rsidRPr="00E2008C">
        <w:rPr>
          <w:szCs w:val="21"/>
          <w:vertAlign w:val="superscript"/>
        </w:rPr>
        <w:t>[2]</w:t>
      </w:r>
      <w:r w:rsidRPr="00E2008C">
        <w:rPr>
          <w:szCs w:val="21"/>
          <w:vertAlign w:val="superscript"/>
        </w:rPr>
        <w:fldChar w:fldCharType="end"/>
      </w:r>
      <w:r w:rsidRPr="00E2008C">
        <w:rPr>
          <w:szCs w:val="21"/>
          <w:vertAlign w:val="superscript"/>
        </w:rPr>
        <w:fldChar w:fldCharType="begin"/>
      </w:r>
      <w:r w:rsidRPr="00E2008C">
        <w:rPr>
          <w:szCs w:val="21"/>
          <w:vertAlign w:val="superscript"/>
        </w:rPr>
        <w:instrText xml:space="preserve"> REF _Ref167547636 \r \h  \* MERGEFORMAT </w:instrText>
      </w:r>
      <w:r w:rsidRPr="00E2008C">
        <w:rPr>
          <w:szCs w:val="21"/>
          <w:vertAlign w:val="superscript"/>
        </w:rPr>
      </w:r>
      <w:r w:rsidRPr="00E2008C">
        <w:rPr>
          <w:szCs w:val="21"/>
          <w:vertAlign w:val="superscript"/>
        </w:rPr>
        <w:fldChar w:fldCharType="separate"/>
      </w:r>
      <w:r w:rsidRPr="00E2008C">
        <w:rPr>
          <w:szCs w:val="21"/>
          <w:vertAlign w:val="superscript"/>
        </w:rPr>
        <w:t>[14]</w:t>
      </w:r>
      <w:r w:rsidRPr="00E2008C">
        <w:rPr>
          <w:szCs w:val="21"/>
          <w:vertAlign w:val="superscript"/>
        </w:rPr>
        <w:fldChar w:fldCharType="end"/>
      </w:r>
      <w:r w:rsidRPr="00CD183E">
        <w:rPr>
          <w:szCs w:val="21"/>
        </w:rPr>
        <w:t>，提出海上风电资产闭环管理评估模型（</w:t>
      </w:r>
      <w:r w:rsidRPr="00CD183E">
        <w:rPr>
          <w:szCs w:val="21"/>
        </w:rPr>
        <w:t>CERM</w:t>
      </w:r>
      <w:r w:rsidRPr="00CD183E">
        <w:rPr>
          <w:szCs w:val="21"/>
        </w:rPr>
        <w:t>：</w:t>
      </w:r>
      <w:r w:rsidRPr="00CD183E">
        <w:rPr>
          <w:szCs w:val="21"/>
        </w:rPr>
        <w:t>Cost-Efficiency-Risk Management</w:t>
      </w:r>
      <w:r w:rsidRPr="00CD183E">
        <w:rPr>
          <w:szCs w:val="21"/>
        </w:rPr>
        <w:t>），将各阶段各项资产管理工作具体的管理要素归纳为成本、绩效和风险等可量化评价的指标，单个资产的某一时刻的状态可表示为</w:t>
      </w:r>
      <w:r w:rsidRPr="00CD183E">
        <w:rPr>
          <w:i/>
          <w:iCs/>
          <w:szCs w:val="21"/>
        </w:rPr>
        <w:t>S</w:t>
      </w:r>
      <w:r w:rsidRPr="00CD183E">
        <w:rPr>
          <w:szCs w:val="21"/>
          <w:vertAlign w:val="subscript"/>
        </w:rPr>
        <w:t>t</w:t>
      </w:r>
      <w:r w:rsidRPr="00CD183E">
        <w:rPr>
          <w:szCs w:val="21"/>
        </w:rPr>
        <w:t>（</w:t>
      </w:r>
      <w:r w:rsidRPr="00CD183E">
        <w:rPr>
          <w:i/>
          <w:iCs/>
          <w:szCs w:val="21"/>
        </w:rPr>
        <w:t>c</w:t>
      </w:r>
      <w:r w:rsidRPr="00CD183E">
        <w:rPr>
          <w:szCs w:val="21"/>
        </w:rPr>
        <w:t xml:space="preserve">, </w:t>
      </w:r>
      <w:r w:rsidRPr="00CD183E">
        <w:rPr>
          <w:i/>
          <w:iCs/>
          <w:szCs w:val="21"/>
        </w:rPr>
        <w:t>e</w:t>
      </w:r>
      <w:r w:rsidRPr="00CD183E">
        <w:rPr>
          <w:szCs w:val="21"/>
        </w:rPr>
        <w:t xml:space="preserve">, </w:t>
      </w:r>
      <w:r w:rsidRPr="00CD183E">
        <w:rPr>
          <w:i/>
          <w:iCs/>
          <w:szCs w:val="21"/>
        </w:rPr>
        <w:t>r</w:t>
      </w:r>
      <w:r w:rsidRPr="00CD183E">
        <w:rPr>
          <w:szCs w:val="21"/>
        </w:rPr>
        <w:t>），其中</w:t>
      </w:r>
      <w:r w:rsidRPr="00CD183E">
        <w:rPr>
          <w:i/>
          <w:iCs/>
          <w:szCs w:val="21"/>
        </w:rPr>
        <w:t>c</w:t>
      </w:r>
      <w:r w:rsidRPr="00CD183E">
        <w:rPr>
          <w:szCs w:val="21"/>
        </w:rPr>
        <w:t>、</w:t>
      </w:r>
      <w:r w:rsidRPr="00CD183E">
        <w:rPr>
          <w:i/>
          <w:iCs/>
          <w:szCs w:val="21"/>
        </w:rPr>
        <w:t>e</w:t>
      </w:r>
      <w:r w:rsidRPr="00CD183E">
        <w:rPr>
          <w:szCs w:val="21"/>
        </w:rPr>
        <w:t>、</w:t>
      </w:r>
      <w:r w:rsidRPr="00CD183E">
        <w:rPr>
          <w:i/>
          <w:iCs/>
          <w:szCs w:val="21"/>
        </w:rPr>
        <w:t>r</w:t>
      </w:r>
      <w:r w:rsidRPr="00CD183E">
        <w:rPr>
          <w:szCs w:val="21"/>
        </w:rPr>
        <w:t>分别代表某时刻下资产预估的成本水平、绩效水平和风险水平。</w:t>
      </w:r>
    </w:p>
    <w:p w14:paraId="28092102" w14:textId="77777777" w:rsidR="00E1698F" w:rsidRPr="00E1698F" w:rsidRDefault="00E1698F" w:rsidP="00E1698F">
      <w:pPr>
        <w:tabs>
          <w:tab w:val="left" w:pos="0"/>
          <w:tab w:val="left" w:pos="735"/>
          <w:tab w:val="left" w:pos="3990"/>
        </w:tabs>
        <w:spacing w:line="360" w:lineRule="exact"/>
        <w:ind w:firstLineChars="200" w:firstLine="420"/>
        <w:rPr>
          <w:szCs w:val="21"/>
        </w:rPr>
      </w:pPr>
      <w:r w:rsidRPr="00E1698F">
        <w:rPr>
          <w:rFonts w:hint="eastAsia"/>
          <w:szCs w:val="21"/>
        </w:rPr>
        <w:t>（</w:t>
      </w:r>
      <w:r w:rsidRPr="00E1698F">
        <w:rPr>
          <w:rFonts w:hint="eastAsia"/>
          <w:szCs w:val="21"/>
        </w:rPr>
        <w:t>1</w:t>
      </w:r>
      <w:r w:rsidRPr="00E1698F">
        <w:rPr>
          <w:rFonts w:hint="eastAsia"/>
          <w:szCs w:val="21"/>
        </w:rPr>
        <w:t>）成本评估</w:t>
      </w:r>
    </w:p>
    <w:p w14:paraId="01440167" w14:textId="18155387" w:rsidR="00E1698F" w:rsidRPr="00E1698F" w:rsidRDefault="00E1698F" w:rsidP="00CD183E">
      <w:pPr>
        <w:spacing w:line="240" w:lineRule="atLeast"/>
        <w:ind w:firstLine="420"/>
        <w:rPr>
          <w:szCs w:val="21"/>
        </w:rPr>
      </w:pPr>
      <w:r w:rsidRPr="00E1698F">
        <w:rPr>
          <w:rFonts w:hint="eastAsia"/>
          <w:szCs w:val="21"/>
        </w:rPr>
        <w:t>传统基建项目资产管理模型，通常只考虑从项</w:t>
      </w:r>
      <w:r w:rsidRPr="00E1698F">
        <w:rPr>
          <w:rFonts w:hint="eastAsia"/>
          <w:szCs w:val="21"/>
        </w:rPr>
        <w:t>目前期到竣工移交为止的初次投入费用，并没有充分考虑资产投运后的运维费用，然而对于海上风电项目来说，运维费用所占的比重随着向深远海发展将越来越大。因此有必要统筹全生命期各环节，建立全生命期度电成本动态评估计算方法，如式（</w:t>
      </w:r>
      <w:r w:rsidRPr="00E1698F">
        <w:rPr>
          <w:szCs w:val="21"/>
        </w:rPr>
        <w:t>1</w:t>
      </w:r>
      <w:r w:rsidRPr="00E1698F">
        <w:rPr>
          <w:rFonts w:hint="eastAsia"/>
          <w:szCs w:val="21"/>
        </w:rPr>
        <w:t>）：</w:t>
      </w:r>
    </w:p>
    <w:p w14:paraId="7F0E17F6" w14:textId="01299535" w:rsidR="00E1698F" w:rsidRPr="00E1698F" w:rsidRDefault="00E1698F" w:rsidP="00E1698F">
      <w:pPr>
        <w:tabs>
          <w:tab w:val="center" w:pos="0"/>
          <w:tab w:val="center" w:pos="2100"/>
          <w:tab w:val="right" w:pos="4620"/>
        </w:tabs>
        <w:spacing w:line="360" w:lineRule="auto"/>
        <w:jc w:val="center"/>
        <w:rPr>
          <w:sz w:val="18"/>
          <w:szCs w:val="18"/>
        </w:rPr>
      </w:pPr>
      <w:r>
        <w:rPr>
          <w:sz w:val="18"/>
          <w:szCs w:val="18"/>
        </w:rPr>
        <w:tab/>
      </w:r>
      <w:r w:rsidRPr="00E1698F">
        <w:rPr>
          <w:sz w:val="18"/>
          <w:szCs w:val="18"/>
        </w:rPr>
        <w:object w:dxaOrig="3800" w:dyaOrig="1160" w14:anchorId="3891C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51pt" o:ole="">
            <v:imagedata r:id="rId12" o:title=""/>
          </v:shape>
          <o:OLEObject Type="Embed" ProgID="Equation.DSMT4" ShapeID="_x0000_i1025" DrawAspect="Content" ObjectID="_1837586767" r:id="rId13"/>
        </w:object>
      </w:r>
      <w:r>
        <w:rPr>
          <w:sz w:val="18"/>
          <w:szCs w:val="18"/>
        </w:rPr>
        <w:tab/>
      </w:r>
      <w:r w:rsidRPr="00043C29">
        <w:rPr>
          <w:rFonts w:hint="eastAsia"/>
          <w:szCs w:val="21"/>
        </w:rPr>
        <w:t>（</w:t>
      </w:r>
      <w:r w:rsidRPr="00043C29">
        <w:rPr>
          <w:szCs w:val="21"/>
        </w:rPr>
        <w:t>1</w:t>
      </w:r>
      <w:r w:rsidRPr="00043C29">
        <w:rPr>
          <w:rFonts w:hint="eastAsia"/>
          <w:szCs w:val="21"/>
        </w:rPr>
        <w:t>）</w:t>
      </w:r>
    </w:p>
    <w:p w14:paraId="2D3A4B42" w14:textId="77777777" w:rsidR="00E1698F" w:rsidRPr="00E1698F" w:rsidRDefault="00E1698F" w:rsidP="00CD183E">
      <w:pPr>
        <w:pStyle w:val="15"/>
        <w:ind w:firstLine="0"/>
      </w:pPr>
      <w:r w:rsidRPr="00E1698F">
        <w:rPr>
          <w:rFonts w:hint="eastAsia"/>
        </w:rPr>
        <w:t>式中，</w:t>
      </w:r>
      <w:r w:rsidRPr="00E1698F">
        <w:rPr>
          <w:i/>
        </w:rPr>
        <w:t>C</w:t>
      </w:r>
      <w:r w:rsidRPr="00E1698F">
        <w:rPr>
          <w:i/>
          <w:vertAlign w:val="subscript"/>
        </w:rPr>
        <w:t>I</w:t>
      </w:r>
      <w:r w:rsidRPr="00E1698F">
        <w:rPr>
          <w:vertAlign w:val="subscript"/>
        </w:rPr>
        <w:t>0</w:t>
      </w:r>
      <w:r w:rsidRPr="00E1698F">
        <w:rPr>
          <w:rFonts w:hint="eastAsia"/>
        </w:rPr>
        <w:t>为资产的购置费用等初期资本性投入；</w:t>
      </w:r>
      <w:proofErr w:type="spellStart"/>
      <w:r w:rsidRPr="00E1698F">
        <w:rPr>
          <w:i/>
        </w:rPr>
        <w:t>C</w:t>
      </w:r>
      <w:r w:rsidRPr="00E1698F">
        <w:rPr>
          <w:i/>
          <w:vertAlign w:val="subscript"/>
        </w:rPr>
        <w:t>OM,t</w:t>
      </w:r>
      <w:proofErr w:type="spellEnd"/>
      <w:r w:rsidRPr="00E1698F">
        <w:rPr>
          <w:rFonts w:hint="eastAsia"/>
        </w:rPr>
        <w:t>代表第</w:t>
      </w:r>
      <w:r w:rsidRPr="00E1698F">
        <w:rPr>
          <w:i/>
        </w:rPr>
        <w:t>t</w:t>
      </w:r>
      <w:r w:rsidRPr="00E1698F">
        <w:rPr>
          <w:rFonts w:hint="eastAsia"/>
        </w:rPr>
        <w:t>年的运营费用和维护费用；</w:t>
      </w:r>
      <w:proofErr w:type="spellStart"/>
      <w:r w:rsidRPr="00E1698F">
        <w:rPr>
          <w:i/>
        </w:rPr>
        <w:t>R</w:t>
      </w:r>
      <w:r w:rsidRPr="00E1698F">
        <w:rPr>
          <w:vertAlign w:val="subscript"/>
        </w:rPr>
        <w:t>tax</w:t>
      </w:r>
      <w:proofErr w:type="spellEnd"/>
      <w:r w:rsidRPr="00E1698F">
        <w:rPr>
          <w:rFonts w:hint="eastAsia"/>
        </w:rPr>
        <w:t>为税率；</w:t>
      </w:r>
      <w:r w:rsidRPr="00E1698F">
        <w:rPr>
          <w:i/>
        </w:rPr>
        <w:t>Dep</w:t>
      </w:r>
      <w:r w:rsidRPr="00E1698F">
        <w:rPr>
          <w:i/>
          <w:vertAlign w:val="subscript"/>
        </w:rPr>
        <w:t>t</w:t>
      </w:r>
      <w:r w:rsidRPr="00E1698F">
        <w:rPr>
          <w:rFonts w:hint="eastAsia"/>
        </w:rPr>
        <w:t>为海上风电场按照会计规则计算出的第</w:t>
      </w:r>
      <w:r w:rsidRPr="00E1698F">
        <w:rPr>
          <w:i/>
        </w:rPr>
        <w:t>t</w:t>
      </w:r>
      <w:r w:rsidRPr="00E1698F">
        <w:rPr>
          <w:rFonts w:hint="eastAsia"/>
        </w:rPr>
        <w:t>年折旧费用；</w:t>
      </w:r>
      <w:proofErr w:type="spellStart"/>
      <w:r w:rsidRPr="00E1698F">
        <w:rPr>
          <w:i/>
        </w:rPr>
        <w:t>Dep</w:t>
      </w:r>
      <w:r w:rsidRPr="00E1698F">
        <w:rPr>
          <w:i/>
          <w:vertAlign w:val="subscript"/>
        </w:rPr>
        <w:t>t</w:t>
      </w:r>
      <w:r w:rsidRPr="00E1698F">
        <w:rPr>
          <w:i/>
        </w:rPr>
        <w:t>R</w:t>
      </w:r>
      <w:r w:rsidRPr="00E1698F">
        <w:rPr>
          <w:vertAlign w:val="subscript"/>
        </w:rPr>
        <w:t>tax</w:t>
      </w:r>
      <w:proofErr w:type="spellEnd"/>
      <w:r w:rsidRPr="00E1698F">
        <w:rPr>
          <w:rFonts w:hint="eastAsia"/>
        </w:rPr>
        <w:t>代表第</w:t>
      </w:r>
      <w:r w:rsidRPr="00E1698F">
        <w:rPr>
          <w:i/>
        </w:rPr>
        <w:t>t</w:t>
      </w:r>
      <w:r w:rsidRPr="00E1698F">
        <w:rPr>
          <w:rFonts w:hint="eastAsia"/>
        </w:rPr>
        <w:t>年由固定资产折旧带来的税收减免。资产在预期寿命的第</w:t>
      </w:r>
      <w:r w:rsidRPr="00E1698F">
        <w:rPr>
          <w:i/>
        </w:rPr>
        <w:t>n</w:t>
      </w:r>
      <w:r w:rsidRPr="00E1698F">
        <w:rPr>
          <w:rFonts w:hint="eastAsia"/>
        </w:rPr>
        <w:t>年对其进行处置，处置费用记作</w:t>
      </w:r>
      <w:r w:rsidRPr="00E1698F">
        <w:rPr>
          <w:i/>
        </w:rPr>
        <w:t>D</w:t>
      </w:r>
      <w:r w:rsidRPr="00E1698F">
        <w:rPr>
          <w:i/>
          <w:vertAlign w:val="subscript"/>
        </w:rPr>
        <w:t>n</w:t>
      </w:r>
      <w:r w:rsidRPr="00E1698F">
        <w:rPr>
          <w:rFonts w:hint="eastAsia"/>
        </w:rPr>
        <w:t>，此时的资产残值记作</w:t>
      </w:r>
      <w:proofErr w:type="spellStart"/>
      <w:r w:rsidRPr="00E1698F">
        <w:rPr>
          <w:i/>
        </w:rPr>
        <w:t>Rv</w:t>
      </w:r>
      <w:r w:rsidRPr="00E1698F">
        <w:rPr>
          <w:i/>
          <w:vertAlign w:val="subscript"/>
        </w:rPr>
        <w:t>n</w:t>
      </w:r>
      <w:proofErr w:type="spellEnd"/>
      <w:r w:rsidRPr="00E1698F">
        <w:rPr>
          <w:rFonts w:hint="eastAsia"/>
        </w:rPr>
        <w:t>，</w:t>
      </w:r>
      <w:r w:rsidRPr="00E1698F">
        <w:rPr>
          <w:i/>
        </w:rPr>
        <w:t>d</w:t>
      </w:r>
      <w:r w:rsidRPr="00E1698F">
        <w:rPr>
          <w:rFonts w:hint="eastAsia"/>
        </w:rPr>
        <w:t>为折现率，</w:t>
      </w:r>
      <w:r w:rsidRPr="00E1698F">
        <w:rPr>
          <w:i/>
        </w:rPr>
        <w:t>E</w:t>
      </w:r>
      <w:r w:rsidRPr="00E1698F">
        <w:rPr>
          <w:i/>
          <w:vertAlign w:val="subscript"/>
        </w:rPr>
        <w:t>t</w:t>
      </w:r>
      <w:r w:rsidRPr="00E1698F">
        <w:rPr>
          <w:rFonts w:hint="eastAsia"/>
        </w:rPr>
        <w:t>为海上风力发电机组在第</w:t>
      </w:r>
      <w:r w:rsidRPr="00E1698F">
        <w:rPr>
          <w:i/>
        </w:rPr>
        <w:t>t</w:t>
      </w:r>
      <w:r w:rsidRPr="00E1698F">
        <w:rPr>
          <w:rFonts w:hint="eastAsia"/>
        </w:rPr>
        <w:t>年的年发电量。</w:t>
      </w:r>
    </w:p>
    <w:p w14:paraId="570C8B4D" w14:textId="77777777" w:rsidR="00E1698F" w:rsidRPr="00E1698F" w:rsidRDefault="00E1698F" w:rsidP="00E1698F">
      <w:pPr>
        <w:tabs>
          <w:tab w:val="left" w:pos="0"/>
          <w:tab w:val="left" w:pos="735"/>
          <w:tab w:val="left" w:pos="3990"/>
        </w:tabs>
        <w:spacing w:line="360" w:lineRule="exact"/>
        <w:ind w:firstLineChars="200" w:firstLine="420"/>
        <w:rPr>
          <w:szCs w:val="21"/>
        </w:rPr>
      </w:pPr>
      <w:r w:rsidRPr="00E1698F">
        <w:rPr>
          <w:rFonts w:hint="eastAsia"/>
          <w:szCs w:val="21"/>
        </w:rPr>
        <w:t>（</w:t>
      </w:r>
      <w:r w:rsidRPr="00E1698F">
        <w:rPr>
          <w:rFonts w:hint="eastAsia"/>
          <w:szCs w:val="21"/>
        </w:rPr>
        <w:t>2</w:t>
      </w:r>
      <w:r w:rsidRPr="00E1698F">
        <w:rPr>
          <w:rFonts w:hint="eastAsia"/>
          <w:szCs w:val="21"/>
        </w:rPr>
        <w:t>）绩效评估</w:t>
      </w:r>
    </w:p>
    <w:p w14:paraId="1748DA46" w14:textId="77777777" w:rsidR="00E1698F" w:rsidRPr="00CD183E" w:rsidRDefault="00E1698F" w:rsidP="00CD183E">
      <w:pPr>
        <w:spacing w:line="240" w:lineRule="atLeast"/>
        <w:ind w:firstLine="420"/>
        <w:rPr>
          <w:szCs w:val="21"/>
        </w:rPr>
      </w:pPr>
      <w:r w:rsidRPr="00E1698F">
        <w:rPr>
          <w:rFonts w:hint="eastAsia"/>
          <w:szCs w:val="21"/>
        </w:rPr>
        <w:t>海上风电场一般采用相同机型的风力发电机组和配套的资产设备，同类资产绩效评价具有较强的可重复性，适合建立一套通用的资产价值创造表现指标矩阵进行综合评价，分析需要改进的指标以指导资产绩效管理优化工作。以风力发电机组为例，可将绩效指标划分为资产发电收益达标率、有效发电时间保障率、平均故障率（或资产设备可靠度）等可建模量化的绩效指标，建立资产绩效指标的同向标准化矩阵：</w:t>
      </w:r>
    </w:p>
    <w:p w14:paraId="36D5902A" w14:textId="4575CB9A" w:rsidR="00331419" w:rsidRDefault="00E1698F" w:rsidP="00E1698F">
      <w:pPr>
        <w:tabs>
          <w:tab w:val="center" w:pos="0"/>
          <w:tab w:val="center" w:pos="2100"/>
          <w:tab w:val="right" w:pos="4620"/>
        </w:tabs>
        <w:spacing w:line="360" w:lineRule="auto"/>
        <w:jc w:val="center"/>
        <w:rPr>
          <w:position w:val="-52"/>
          <w:sz w:val="18"/>
          <w:szCs w:val="18"/>
        </w:rPr>
      </w:pPr>
      <w:r>
        <w:rPr>
          <w:sz w:val="18"/>
          <w:szCs w:val="18"/>
        </w:rPr>
        <w:lastRenderedPageBreak/>
        <w:tab/>
      </w:r>
      <w:r w:rsidRPr="00ED5F92">
        <w:rPr>
          <w:position w:val="-52"/>
          <w:sz w:val="18"/>
          <w:szCs w:val="18"/>
        </w:rPr>
        <w:object w:dxaOrig="1520" w:dyaOrig="1140" w14:anchorId="5EAB25C7">
          <v:shape id="_x0000_i1026" type="#_x0000_t75" style="width:77.25pt;height:56.25pt" o:ole="">
            <v:imagedata r:id="rId14" o:title=""/>
          </v:shape>
          <o:OLEObject Type="Embed" ProgID="Equation.DSMT4" ShapeID="_x0000_i1026" DrawAspect="Content" ObjectID="_1837586768" r:id="rId15"/>
        </w:object>
      </w:r>
      <w:r>
        <w:rPr>
          <w:sz w:val="18"/>
          <w:szCs w:val="18"/>
        </w:rPr>
        <w:tab/>
      </w:r>
      <w:r w:rsidRPr="00043C29">
        <w:rPr>
          <w:rFonts w:hint="eastAsia"/>
          <w:position w:val="-52"/>
          <w:szCs w:val="21"/>
        </w:rPr>
        <w:t>（</w:t>
      </w:r>
      <w:r w:rsidRPr="00043C29">
        <w:rPr>
          <w:position w:val="-52"/>
          <w:szCs w:val="21"/>
        </w:rPr>
        <w:t>2</w:t>
      </w:r>
      <w:r w:rsidRPr="00043C29">
        <w:rPr>
          <w:rFonts w:hint="eastAsia"/>
          <w:position w:val="-52"/>
          <w:szCs w:val="21"/>
        </w:rPr>
        <w:t>）</w:t>
      </w:r>
    </w:p>
    <w:p w14:paraId="18FA5AFC" w14:textId="77777777" w:rsidR="00E1698F" w:rsidRPr="00E1698F" w:rsidRDefault="00E1698F" w:rsidP="00CD183E">
      <w:pPr>
        <w:pStyle w:val="15"/>
        <w:ind w:firstLine="0"/>
      </w:pPr>
      <w:r w:rsidRPr="00E1698F">
        <w:rPr>
          <w:rFonts w:hint="eastAsia"/>
        </w:rPr>
        <w:t>其中，</w:t>
      </w:r>
      <w:r w:rsidRPr="00E1698F">
        <w:rPr>
          <w:position w:val="-16"/>
        </w:rPr>
        <w:object w:dxaOrig="1600" w:dyaOrig="520" w14:anchorId="291C95FF">
          <v:shape id="_x0000_i1027" type="#_x0000_t75" style="width:81pt;height:26.25pt" o:ole="">
            <v:imagedata r:id="rId16" o:title=""/>
          </v:shape>
          <o:OLEObject Type="Embed" ProgID="Equation.DSMT4" ShapeID="_x0000_i1027" DrawAspect="Content" ObjectID="_1837586769" r:id="rId17"/>
        </w:object>
      </w:r>
      <w:r w:rsidRPr="00E1698F">
        <w:rPr>
          <w:rFonts w:hint="eastAsia"/>
        </w:rPr>
        <w:t>，</w:t>
      </w:r>
      <w:proofErr w:type="spellStart"/>
      <w:r w:rsidRPr="00E1698F">
        <w:rPr>
          <w:i/>
        </w:rPr>
        <w:t>i</w:t>
      </w:r>
      <w:proofErr w:type="spellEnd"/>
      <w:r w:rsidRPr="00E1698F">
        <w:t>=1,2,…</w:t>
      </w:r>
      <w:r w:rsidRPr="00E1698F">
        <w:rPr>
          <w:i/>
        </w:rPr>
        <w:t>q</w:t>
      </w:r>
      <w:r w:rsidRPr="00E1698F">
        <w:rPr>
          <w:rFonts w:hint="eastAsia"/>
        </w:rPr>
        <w:t>，</w:t>
      </w:r>
      <w:r w:rsidRPr="00E1698F">
        <w:rPr>
          <w:i/>
        </w:rPr>
        <w:t>j</w:t>
      </w:r>
      <w:r w:rsidRPr="00E1698F">
        <w:t>=1,2…</w:t>
      </w:r>
      <w:r w:rsidRPr="00E1698F">
        <w:rPr>
          <w:i/>
        </w:rPr>
        <w:t>p</w:t>
      </w:r>
      <w:r w:rsidRPr="00E1698F">
        <w:rPr>
          <w:rFonts w:hint="eastAsia"/>
        </w:rPr>
        <w:t>；</w:t>
      </w:r>
      <w:r w:rsidRPr="00E1698F">
        <w:rPr>
          <w:position w:val="-12"/>
        </w:rPr>
        <w:object w:dxaOrig="240" w:dyaOrig="300" w14:anchorId="48B3135B">
          <v:shape id="_x0000_i1028" type="#_x0000_t75" style="width:12pt;height:15.75pt" o:ole="">
            <v:imagedata r:id="rId18" o:title=""/>
          </v:shape>
          <o:OLEObject Type="Embed" ProgID="Equation.DSMT4" ShapeID="_x0000_i1028" DrawAspect="Content" ObjectID="_1837586770" r:id="rId19"/>
        </w:object>
      </w:r>
      <w:r w:rsidRPr="00E1698F">
        <w:rPr>
          <w:rFonts w:hint="eastAsia"/>
        </w:rPr>
        <w:t>为第</w:t>
      </w:r>
      <w:proofErr w:type="spellStart"/>
      <w:r w:rsidRPr="00E1698F">
        <w:rPr>
          <w:rFonts w:hint="eastAsia"/>
          <w:i/>
        </w:rPr>
        <w:t>i</w:t>
      </w:r>
      <w:proofErr w:type="spellEnd"/>
      <w:r w:rsidRPr="00E1698F">
        <w:rPr>
          <w:rFonts w:hint="eastAsia"/>
        </w:rPr>
        <w:t>个资产的第</w:t>
      </w:r>
      <w:r w:rsidRPr="00E1698F">
        <w:rPr>
          <w:i/>
        </w:rPr>
        <w:t>j</w:t>
      </w:r>
      <w:r w:rsidRPr="00E1698F">
        <w:rPr>
          <w:rFonts w:hint="eastAsia"/>
        </w:rPr>
        <w:t>个评价指标，当评价指标为正向指标时取正值，反之取负值。根据标准化矩阵确定各项指标综合最优点</w:t>
      </w:r>
      <w:r w:rsidRPr="00E1698F">
        <w:rPr>
          <w:i/>
        </w:rPr>
        <w:t>A</w:t>
      </w:r>
      <w:r w:rsidRPr="00E1698F">
        <w:rPr>
          <w:vertAlign w:val="superscript"/>
        </w:rPr>
        <w:t>+</w:t>
      </w:r>
      <w:r w:rsidRPr="00E1698F">
        <w:rPr>
          <w:rFonts w:hint="eastAsia"/>
        </w:rPr>
        <w:t>和最劣点</w:t>
      </w:r>
      <w:r w:rsidRPr="00E1698F">
        <w:rPr>
          <w:i/>
        </w:rPr>
        <w:t>A</w:t>
      </w:r>
      <w:r w:rsidRPr="00E1698F">
        <w:rPr>
          <w:vertAlign w:val="superscript"/>
        </w:rPr>
        <w:t>-</w:t>
      </w:r>
      <w:r w:rsidRPr="00E1698F">
        <w:rPr>
          <w:rFonts w:hint="eastAsia"/>
        </w:rPr>
        <w:t>，各评价对象与最优点和最劣点的差值可表达为：</w:t>
      </w:r>
    </w:p>
    <w:p w14:paraId="47238593" w14:textId="1B3F5208" w:rsidR="00E1698F" w:rsidRDefault="00E1698F" w:rsidP="00E1698F">
      <w:pPr>
        <w:tabs>
          <w:tab w:val="center" w:pos="0"/>
          <w:tab w:val="center" w:pos="2100"/>
          <w:tab w:val="right" w:pos="4620"/>
        </w:tabs>
        <w:spacing w:line="360" w:lineRule="auto"/>
        <w:jc w:val="center"/>
        <w:rPr>
          <w:sz w:val="18"/>
          <w:szCs w:val="18"/>
        </w:rPr>
      </w:pPr>
      <w:r>
        <w:rPr>
          <w:sz w:val="18"/>
          <w:szCs w:val="18"/>
        </w:rPr>
        <w:tab/>
      </w:r>
      <w:r w:rsidRPr="00E1698F">
        <w:rPr>
          <w:sz w:val="18"/>
          <w:szCs w:val="18"/>
        </w:rPr>
        <w:object w:dxaOrig="2500" w:dyaOrig="400" w14:anchorId="34A1F2C0">
          <v:shape id="_x0000_i1029" type="#_x0000_t75" style="width:125.25pt;height:21pt" o:ole="">
            <v:imagedata r:id="rId20" o:title=""/>
          </v:shape>
          <o:OLEObject Type="Embed" ProgID="Equation.DSMT4" ShapeID="_x0000_i1029" DrawAspect="Content" ObjectID="_1837586771" r:id="rId21"/>
        </w:object>
      </w:r>
      <w:r w:rsidRPr="00E1698F">
        <w:rPr>
          <w:sz w:val="18"/>
          <w:szCs w:val="18"/>
        </w:rPr>
        <w:tab/>
      </w:r>
      <w:r w:rsidRPr="00043C29">
        <w:rPr>
          <w:rFonts w:hint="eastAsia"/>
          <w:sz w:val="20"/>
        </w:rPr>
        <w:t>（</w:t>
      </w:r>
      <w:r w:rsidRPr="00043C29">
        <w:rPr>
          <w:sz w:val="20"/>
        </w:rPr>
        <w:t>3</w:t>
      </w:r>
      <w:r w:rsidRPr="00043C29">
        <w:rPr>
          <w:rFonts w:hint="eastAsia"/>
          <w:sz w:val="20"/>
        </w:rPr>
        <w:t>）</w:t>
      </w:r>
    </w:p>
    <w:p w14:paraId="56057DCD" w14:textId="6D3244DE" w:rsidR="00E1698F" w:rsidRDefault="00E1698F" w:rsidP="00E1698F">
      <w:pPr>
        <w:tabs>
          <w:tab w:val="center" w:pos="0"/>
          <w:tab w:val="center" w:pos="2100"/>
          <w:tab w:val="right" w:pos="4620"/>
        </w:tabs>
        <w:spacing w:line="360" w:lineRule="auto"/>
        <w:jc w:val="center"/>
        <w:rPr>
          <w:sz w:val="18"/>
          <w:szCs w:val="18"/>
        </w:rPr>
      </w:pPr>
      <w:r>
        <w:rPr>
          <w:sz w:val="18"/>
          <w:szCs w:val="18"/>
        </w:rPr>
        <w:tab/>
      </w:r>
      <w:r w:rsidRPr="00E1698F">
        <w:rPr>
          <w:sz w:val="18"/>
          <w:szCs w:val="18"/>
        </w:rPr>
        <w:object w:dxaOrig="2460" w:dyaOrig="400" w14:anchorId="5BD13C7E">
          <v:shape id="_x0000_i1030" type="#_x0000_t75" style="width:121.5pt;height:21pt" o:ole="">
            <v:imagedata r:id="rId22" o:title=""/>
          </v:shape>
          <o:OLEObject Type="Embed" ProgID="Equation.DSMT4" ShapeID="_x0000_i1030" DrawAspect="Content" ObjectID="_1837586772" r:id="rId23"/>
        </w:object>
      </w:r>
      <w:r w:rsidRPr="00E1698F">
        <w:rPr>
          <w:sz w:val="18"/>
          <w:szCs w:val="18"/>
        </w:rPr>
        <w:tab/>
      </w:r>
      <w:r w:rsidRPr="00043C29">
        <w:rPr>
          <w:rFonts w:hint="eastAsia"/>
          <w:sz w:val="20"/>
        </w:rPr>
        <w:t>（</w:t>
      </w:r>
      <w:r w:rsidRPr="00043C29">
        <w:rPr>
          <w:sz w:val="20"/>
        </w:rPr>
        <w:t>4</w:t>
      </w:r>
      <w:r w:rsidRPr="00043C29">
        <w:rPr>
          <w:rFonts w:hint="eastAsia"/>
          <w:sz w:val="20"/>
        </w:rPr>
        <w:t>）</w:t>
      </w:r>
    </w:p>
    <w:p w14:paraId="2639AFCB" w14:textId="44888BCB" w:rsidR="00E1698F" w:rsidRPr="00E1698F" w:rsidRDefault="00E1698F" w:rsidP="00E1698F">
      <w:pPr>
        <w:tabs>
          <w:tab w:val="center" w:pos="0"/>
          <w:tab w:val="center" w:pos="2100"/>
          <w:tab w:val="right" w:pos="4620"/>
        </w:tabs>
        <w:spacing w:line="360" w:lineRule="auto"/>
        <w:jc w:val="center"/>
        <w:rPr>
          <w:sz w:val="18"/>
          <w:szCs w:val="18"/>
        </w:rPr>
      </w:pPr>
      <w:r w:rsidRPr="00E1698F">
        <w:rPr>
          <w:sz w:val="18"/>
          <w:szCs w:val="18"/>
        </w:rPr>
        <w:tab/>
      </w:r>
      <w:r w:rsidRPr="00E1698F">
        <w:rPr>
          <w:sz w:val="18"/>
          <w:szCs w:val="18"/>
        </w:rPr>
        <w:object w:dxaOrig="1719" w:dyaOrig="1440" w14:anchorId="7EF8B4B6">
          <v:shape id="_x0000_i1031" type="#_x0000_t75" style="width:86.25pt;height:1in" o:ole="">
            <v:imagedata r:id="rId24" o:title=""/>
          </v:shape>
          <o:OLEObject Type="Embed" ProgID="Equation.DSMT4" ShapeID="_x0000_i1031" DrawAspect="Content" ObjectID="_1837586773" r:id="rId25"/>
        </w:object>
      </w:r>
      <w:r w:rsidRPr="00E1698F">
        <w:rPr>
          <w:sz w:val="18"/>
          <w:szCs w:val="18"/>
        </w:rPr>
        <w:tab/>
      </w:r>
      <w:r w:rsidRPr="00043C29">
        <w:rPr>
          <w:rFonts w:hint="eastAsia"/>
          <w:sz w:val="20"/>
        </w:rPr>
        <w:t>（</w:t>
      </w:r>
      <w:r w:rsidRPr="00043C29">
        <w:rPr>
          <w:sz w:val="20"/>
        </w:rPr>
        <w:t>5</w:t>
      </w:r>
      <w:r w:rsidRPr="00043C29">
        <w:rPr>
          <w:rFonts w:hint="eastAsia"/>
          <w:sz w:val="20"/>
        </w:rPr>
        <w:t>）</w:t>
      </w:r>
    </w:p>
    <w:p w14:paraId="5541CAF5" w14:textId="77777777" w:rsidR="00E1698F" w:rsidRPr="00E1698F" w:rsidRDefault="00E1698F" w:rsidP="00CD183E">
      <w:pPr>
        <w:pStyle w:val="15"/>
      </w:pPr>
      <w:r w:rsidRPr="00E1698F">
        <w:rPr>
          <w:rFonts w:hint="eastAsia"/>
        </w:rPr>
        <w:t>基于上述公式计算各评价对象的绩效表现，以密切值法为例，排出资产优劣顺序：</w:t>
      </w:r>
    </w:p>
    <w:p w14:paraId="5813FB62" w14:textId="77777777" w:rsidR="00E1698F" w:rsidRPr="00E1698F" w:rsidRDefault="00E1698F" w:rsidP="00E1698F">
      <w:pPr>
        <w:tabs>
          <w:tab w:val="center" w:pos="0"/>
          <w:tab w:val="center" w:pos="2100"/>
          <w:tab w:val="right" w:pos="4620"/>
        </w:tabs>
        <w:spacing w:line="360" w:lineRule="auto"/>
        <w:jc w:val="center"/>
        <w:rPr>
          <w:sz w:val="18"/>
          <w:szCs w:val="18"/>
        </w:rPr>
      </w:pPr>
      <w:r w:rsidRPr="00E1698F">
        <w:rPr>
          <w:sz w:val="18"/>
          <w:szCs w:val="18"/>
        </w:rPr>
        <w:tab/>
      </w:r>
      <w:r w:rsidRPr="00E1698F">
        <w:rPr>
          <w:sz w:val="18"/>
          <w:szCs w:val="18"/>
        </w:rPr>
        <w:object w:dxaOrig="1900" w:dyaOrig="660" w14:anchorId="2FB887E3">
          <v:shape id="_x0000_i1032" type="#_x0000_t75" style="width:97.5pt;height:32.25pt" o:ole="">
            <v:imagedata r:id="rId26" o:title=""/>
          </v:shape>
          <o:OLEObject Type="Embed" ProgID="Equation.DSMT4" ShapeID="_x0000_i1032" DrawAspect="Content" ObjectID="_1837586774" r:id="rId27"/>
        </w:object>
      </w:r>
      <w:r w:rsidRPr="00E1698F">
        <w:rPr>
          <w:sz w:val="18"/>
          <w:szCs w:val="18"/>
        </w:rPr>
        <w:tab/>
      </w:r>
      <w:r w:rsidRPr="00043C29">
        <w:rPr>
          <w:rFonts w:hint="eastAsia"/>
          <w:sz w:val="20"/>
        </w:rPr>
        <w:t>（</w:t>
      </w:r>
      <w:r w:rsidRPr="00043C29">
        <w:rPr>
          <w:sz w:val="20"/>
        </w:rPr>
        <w:t>6</w:t>
      </w:r>
      <w:r w:rsidRPr="00043C29">
        <w:rPr>
          <w:rFonts w:hint="eastAsia"/>
          <w:sz w:val="20"/>
        </w:rPr>
        <w:t>）</w:t>
      </w:r>
    </w:p>
    <w:p w14:paraId="119FCB67" w14:textId="77777777" w:rsidR="00E1698F" w:rsidRPr="00E1698F" w:rsidRDefault="00E1698F" w:rsidP="00CD183E">
      <w:pPr>
        <w:pStyle w:val="15"/>
      </w:pPr>
      <w:r w:rsidRPr="00E1698F">
        <w:rPr>
          <w:rFonts w:hint="eastAsia"/>
        </w:rPr>
        <w:t>其中，当密切值越小时，与最优点越密切，表明该资产的绩效表现越好。基于资产绩效及其指标评估结果，从运行策略、维护计划和提升设备可靠性等方面制定针对性的改进计划，并持续监控资产表现定期重新评估，以提高资产的价值创造能力和长期运营效益。</w:t>
      </w:r>
    </w:p>
    <w:p w14:paraId="5E75C594" w14:textId="77777777" w:rsidR="00E1698F" w:rsidRPr="00E1698F" w:rsidRDefault="00E1698F" w:rsidP="00CD183E">
      <w:pPr>
        <w:pStyle w:val="15"/>
      </w:pPr>
      <w:r w:rsidRPr="00E1698F">
        <w:rPr>
          <w:rFonts w:hint="eastAsia"/>
        </w:rPr>
        <w:t>（</w:t>
      </w:r>
      <w:r w:rsidRPr="00E1698F">
        <w:rPr>
          <w:rFonts w:hint="eastAsia"/>
        </w:rPr>
        <w:t>3</w:t>
      </w:r>
      <w:r w:rsidRPr="00E1698F">
        <w:rPr>
          <w:rFonts w:hint="eastAsia"/>
        </w:rPr>
        <w:t>）风险评估</w:t>
      </w:r>
    </w:p>
    <w:p w14:paraId="6729B60D" w14:textId="05322DF3" w:rsidR="00E1698F" w:rsidRPr="00E1698F" w:rsidRDefault="00E1698F" w:rsidP="00485819">
      <w:pPr>
        <w:pStyle w:val="15"/>
      </w:pPr>
      <w:r w:rsidRPr="00E1698F">
        <w:rPr>
          <w:rFonts w:hint="eastAsia"/>
        </w:rPr>
        <w:t>海上风电项目采用全过程风险管理模式</w:t>
      </w:r>
      <w:r w:rsidRPr="00E1698F">
        <w:rPr>
          <w:vertAlign w:val="superscript"/>
        </w:rPr>
        <w:fldChar w:fldCharType="begin"/>
      </w:r>
      <w:r w:rsidRPr="00E1698F">
        <w:rPr>
          <w:vertAlign w:val="superscript"/>
        </w:rPr>
        <w:instrText xml:space="preserve"> </w:instrText>
      </w:r>
      <w:r w:rsidRPr="00E1698F">
        <w:rPr>
          <w:rFonts w:hint="eastAsia"/>
          <w:vertAlign w:val="superscript"/>
        </w:rPr>
        <w:instrText>REF _Ref167547672 \r \h</w:instrText>
      </w:r>
      <w:r w:rsidRPr="00E1698F">
        <w:rPr>
          <w:vertAlign w:val="superscript"/>
        </w:rPr>
        <w:instrText xml:space="preserve">  \* MERGEFORMAT </w:instrText>
      </w:r>
      <w:r w:rsidRPr="00E1698F">
        <w:rPr>
          <w:vertAlign w:val="superscript"/>
        </w:rPr>
      </w:r>
      <w:r w:rsidRPr="00E1698F">
        <w:rPr>
          <w:vertAlign w:val="superscript"/>
        </w:rPr>
        <w:fldChar w:fldCharType="separate"/>
      </w:r>
      <w:r w:rsidRPr="00E1698F">
        <w:rPr>
          <w:vertAlign w:val="superscript"/>
        </w:rPr>
        <w:t>[19]</w:t>
      </w:r>
      <w:r w:rsidRPr="00E1698F">
        <w:rPr>
          <w:vertAlign w:val="superscript"/>
        </w:rPr>
        <w:fldChar w:fldCharType="end"/>
      </w:r>
      <w:r w:rsidRPr="00E1698F">
        <w:rPr>
          <w:rFonts w:hint="eastAsia"/>
        </w:rPr>
        <w:t>，全生命期内主要的资产风险可归纳为规划设计、经济、设备结构安全、施工安全、运行维护和灾害等风险。鉴于我国海上风电项目起步较晚，项目风险来源多，不确定性强，耦合机制不明，而资产风险的认知和案例数据较少，专家对未来实践的主观判断不足以反映客观情况。在这种情况下，基于有限先验知识的贝叶斯风险决策方法可以有效地对风险进行判断和管理，即通过整合专家知识与历史监测数据，构建并标定各类风险先验概率分布模型，为故障溯源、风险评估和检修维护提供决策依据；进一步地，在项目状态演变过程中可利用实时动态数据对模型进行修正和更新，以提升决策的准确性和适应性，最终实现数据驱动最小化期望损失。以风电机组停机事件为例：有</w:t>
      </w:r>
      <w:r w:rsidRPr="00E1698F">
        <w:rPr>
          <w:i/>
        </w:rPr>
        <w:t>n</w:t>
      </w:r>
      <w:r w:rsidRPr="00E1698F">
        <w:rPr>
          <w:rFonts w:hint="eastAsia"/>
        </w:rPr>
        <w:t>个故障</w:t>
      </w:r>
      <w:r w:rsidRPr="00E1698F">
        <w:rPr>
          <w:i/>
        </w:rPr>
        <w:t>A</w:t>
      </w:r>
      <w:r w:rsidRPr="00E1698F">
        <w:rPr>
          <w:i/>
          <w:vertAlign w:val="subscript"/>
        </w:rPr>
        <w:t>i</w:t>
      </w:r>
      <w:r w:rsidRPr="00E1698F">
        <w:rPr>
          <w:rFonts w:hint="eastAsia"/>
        </w:rPr>
        <w:t>（</w:t>
      </w:r>
      <w:proofErr w:type="spellStart"/>
      <w:r w:rsidRPr="00E1698F">
        <w:rPr>
          <w:i/>
        </w:rPr>
        <w:t>i</w:t>
      </w:r>
      <w:proofErr w:type="spellEnd"/>
      <w:r w:rsidRPr="00E1698F">
        <w:t>=1,2</w:t>
      </w:r>
      <w:r w:rsidRPr="00E1698F">
        <w:rPr>
          <w:rFonts w:hint="eastAsia"/>
        </w:rPr>
        <w:t>，</w:t>
      </w:r>
      <w:r w:rsidRPr="00E1698F">
        <w:t>...</w:t>
      </w:r>
      <w:r w:rsidRPr="00E1698F">
        <w:rPr>
          <w:rFonts w:hint="eastAsia"/>
        </w:rPr>
        <w:t>，</w:t>
      </w:r>
      <w:r w:rsidRPr="00E1698F">
        <w:rPr>
          <w:i/>
        </w:rPr>
        <w:t>n</w:t>
      </w:r>
      <w:r w:rsidRPr="00E1698F">
        <w:rPr>
          <w:rFonts w:hint="eastAsia"/>
        </w:rPr>
        <w:t>）组成一个完备故障组，停机事件</w:t>
      </w:r>
      <w:r w:rsidRPr="00E1698F">
        <w:rPr>
          <w:i/>
        </w:rPr>
        <w:t>B</w:t>
      </w:r>
      <w:r w:rsidRPr="00E1698F">
        <w:rPr>
          <w:rFonts w:hint="eastAsia"/>
        </w:rPr>
        <w:t>仅在完备故障组中的某一故障发生时才发生，根据历史故障数据已知</w:t>
      </w:r>
      <w:r w:rsidRPr="00E1698F">
        <w:rPr>
          <w:i/>
        </w:rPr>
        <w:t>A</w:t>
      </w:r>
      <w:r w:rsidRPr="00E1698F">
        <w:rPr>
          <w:i/>
          <w:vertAlign w:val="subscript"/>
        </w:rPr>
        <w:t>i</w:t>
      </w:r>
      <w:r w:rsidRPr="00E1698F">
        <w:rPr>
          <w:rFonts w:hint="eastAsia"/>
        </w:rPr>
        <w:t>发生的概率为先验概</w:t>
      </w:r>
      <w:r w:rsidRPr="00E1698F">
        <w:rPr>
          <w:rFonts w:hint="eastAsia"/>
        </w:rPr>
        <w:t>率</w:t>
      </w:r>
      <w:r w:rsidRPr="00E1698F">
        <w:rPr>
          <w:rFonts w:hint="eastAsia"/>
          <w:i/>
          <w:iCs/>
        </w:rPr>
        <w:t>P</w:t>
      </w:r>
      <w:r>
        <w:rPr>
          <w:rFonts w:hint="eastAsia"/>
        </w:rPr>
        <w:t>(</w:t>
      </w:r>
      <w:r w:rsidRPr="00E1698F">
        <w:rPr>
          <w:rFonts w:hint="eastAsia"/>
          <w:i/>
          <w:iCs/>
        </w:rPr>
        <w:t>A</w:t>
      </w:r>
      <w:r w:rsidRPr="00E1698F">
        <w:rPr>
          <w:rFonts w:hint="eastAsia"/>
          <w:vertAlign w:val="subscript"/>
        </w:rPr>
        <w:t>i</w:t>
      </w:r>
      <w:r>
        <w:rPr>
          <w:rFonts w:hint="eastAsia"/>
        </w:rPr>
        <w:t>)</w:t>
      </w:r>
      <w:r w:rsidRPr="00E1698F">
        <w:rPr>
          <w:rFonts w:hint="eastAsia"/>
        </w:rPr>
        <w:t>，事件</w:t>
      </w:r>
      <w:r w:rsidRPr="00E1698F">
        <w:rPr>
          <w:i/>
        </w:rPr>
        <w:t>B</w:t>
      </w:r>
      <w:r w:rsidRPr="00E1698F">
        <w:rPr>
          <w:rFonts w:hint="eastAsia"/>
        </w:rPr>
        <w:t>在</w:t>
      </w:r>
      <w:r w:rsidRPr="00E1698F">
        <w:rPr>
          <w:i/>
        </w:rPr>
        <w:t>A</w:t>
      </w:r>
      <w:r w:rsidRPr="00E1698F">
        <w:rPr>
          <w:i/>
          <w:vertAlign w:val="subscript"/>
        </w:rPr>
        <w:t>i</w:t>
      </w:r>
      <w:r w:rsidRPr="00E1698F">
        <w:rPr>
          <w:rFonts w:hint="eastAsia"/>
        </w:rPr>
        <w:t>发生的条件下发生的概率为</w:t>
      </w:r>
      <w:r w:rsidRPr="00E1698F">
        <w:rPr>
          <w:rFonts w:hint="eastAsia"/>
          <w:i/>
          <w:iCs/>
        </w:rPr>
        <w:t>P</w:t>
      </w:r>
      <w:r>
        <w:rPr>
          <w:rFonts w:hint="eastAsia"/>
        </w:rPr>
        <w:t>(</w:t>
      </w:r>
      <w:proofErr w:type="spellStart"/>
      <w:r w:rsidRPr="00E1698F">
        <w:rPr>
          <w:rFonts w:hint="eastAsia"/>
          <w:i/>
          <w:iCs/>
        </w:rPr>
        <w:t>B</w:t>
      </w:r>
      <w:r>
        <w:rPr>
          <w:rFonts w:hint="eastAsia"/>
        </w:rPr>
        <w:t>|</w:t>
      </w:r>
      <w:r w:rsidRPr="00E1698F">
        <w:rPr>
          <w:i/>
        </w:rPr>
        <w:t>A</w:t>
      </w:r>
      <w:r w:rsidRPr="00E1698F">
        <w:rPr>
          <w:i/>
          <w:vertAlign w:val="subscript"/>
        </w:rPr>
        <w:t>i</w:t>
      </w:r>
      <w:proofErr w:type="spellEnd"/>
      <w:r>
        <w:rPr>
          <w:rFonts w:hint="eastAsia"/>
        </w:rPr>
        <w:t>)</w:t>
      </w:r>
      <w:r w:rsidRPr="00E1698F">
        <w:rPr>
          <w:rFonts w:hint="eastAsia"/>
        </w:rPr>
        <w:t>，可由设备故障导致停机的历史记录得到，进一步确认停机事件</w:t>
      </w:r>
      <w:r w:rsidRPr="00E1698F">
        <w:rPr>
          <w:i/>
        </w:rPr>
        <w:t>B</w:t>
      </w:r>
      <w:r w:rsidRPr="00E1698F">
        <w:rPr>
          <w:rFonts w:hint="eastAsia"/>
        </w:rPr>
        <w:t>的发生概率为：</w:t>
      </w:r>
    </w:p>
    <w:p w14:paraId="70A3201C" w14:textId="77777777" w:rsidR="009727E4" w:rsidRPr="00ED5F92" w:rsidRDefault="009727E4" w:rsidP="009727E4">
      <w:pPr>
        <w:tabs>
          <w:tab w:val="center" w:pos="0"/>
          <w:tab w:val="center" w:pos="2100"/>
          <w:tab w:val="right" w:pos="4620"/>
        </w:tabs>
        <w:spacing w:line="360" w:lineRule="auto"/>
        <w:jc w:val="center"/>
        <w:rPr>
          <w:sz w:val="18"/>
          <w:szCs w:val="18"/>
        </w:rPr>
      </w:pPr>
      <w:r w:rsidRPr="00ED5F92">
        <w:rPr>
          <w:sz w:val="18"/>
          <w:szCs w:val="18"/>
        </w:rPr>
        <w:tab/>
      </w:r>
      <w:r w:rsidRPr="009727E4">
        <w:rPr>
          <w:sz w:val="18"/>
          <w:szCs w:val="18"/>
        </w:rPr>
        <w:object w:dxaOrig="2860" w:dyaOrig="540" w14:anchorId="4354C47E">
          <v:shape id="_x0000_i1033" type="#_x0000_t75" style="width:143.25pt;height:28.5pt" o:ole="">
            <v:imagedata r:id="rId28" o:title=""/>
          </v:shape>
          <o:OLEObject Type="Embed" ProgID="Equation.DSMT4" ShapeID="_x0000_i1033" DrawAspect="Content" ObjectID="_1837586775" r:id="rId29"/>
        </w:object>
      </w:r>
      <w:r w:rsidRPr="009727E4">
        <w:rPr>
          <w:sz w:val="18"/>
          <w:szCs w:val="18"/>
        </w:rPr>
        <w:tab/>
      </w:r>
      <w:r w:rsidRPr="00043C29">
        <w:rPr>
          <w:rFonts w:hint="eastAsia"/>
          <w:sz w:val="20"/>
        </w:rPr>
        <w:t>（</w:t>
      </w:r>
      <w:r w:rsidRPr="00043C29">
        <w:rPr>
          <w:sz w:val="20"/>
        </w:rPr>
        <w:t>7</w:t>
      </w:r>
      <w:r w:rsidRPr="00043C29">
        <w:rPr>
          <w:rFonts w:hint="eastAsia"/>
          <w:sz w:val="20"/>
        </w:rPr>
        <w:t>）</w:t>
      </w:r>
    </w:p>
    <w:p w14:paraId="3D13C197" w14:textId="77777777" w:rsidR="009727E4" w:rsidRPr="009727E4" w:rsidRDefault="009727E4" w:rsidP="009727E4">
      <w:pPr>
        <w:jc w:val="left"/>
        <w:rPr>
          <w:szCs w:val="21"/>
        </w:rPr>
      </w:pPr>
      <w:r w:rsidRPr="009727E4">
        <w:rPr>
          <w:rFonts w:hint="eastAsia"/>
          <w:szCs w:val="21"/>
        </w:rPr>
        <w:t>其后验概率表达为：</w:t>
      </w:r>
    </w:p>
    <w:p w14:paraId="39F69B97" w14:textId="77777777" w:rsidR="009727E4" w:rsidRPr="00ED5F92" w:rsidRDefault="009727E4" w:rsidP="009727E4">
      <w:pPr>
        <w:tabs>
          <w:tab w:val="center" w:pos="0"/>
          <w:tab w:val="center" w:pos="2100"/>
          <w:tab w:val="right" w:pos="4620"/>
        </w:tabs>
        <w:spacing w:line="360" w:lineRule="auto"/>
        <w:jc w:val="center"/>
        <w:rPr>
          <w:sz w:val="18"/>
          <w:szCs w:val="18"/>
        </w:rPr>
      </w:pPr>
      <w:r w:rsidRPr="00ED5F92">
        <w:rPr>
          <w:sz w:val="18"/>
          <w:szCs w:val="18"/>
        </w:rPr>
        <w:tab/>
      </w:r>
      <w:r w:rsidRPr="009727E4">
        <w:rPr>
          <w:sz w:val="18"/>
          <w:szCs w:val="18"/>
        </w:rPr>
        <w:object w:dxaOrig="3440" w:dyaOrig="820" w14:anchorId="2602DE9B">
          <v:shape id="_x0000_i1034" type="#_x0000_t75" style="width:171.75pt;height:39.75pt" o:ole="">
            <v:imagedata r:id="rId30" o:title=""/>
          </v:shape>
          <o:OLEObject Type="Embed" ProgID="Equation.DSMT4" ShapeID="_x0000_i1034" DrawAspect="Content" ObjectID="_1837586776" r:id="rId31"/>
        </w:object>
      </w:r>
      <w:r w:rsidRPr="009727E4">
        <w:rPr>
          <w:sz w:val="18"/>
          <w:szCs w:val="18"/>
        </w:rPr>
        <w:tab/>
      </w:r>
      <w:r w:rsidRPr="00043C29">
        <w:rPr>
          <w:rFonts w:hint="eastAsia"/>
          <w:sz w:val="20"/>
        </w:rPr>
        <w:t>（</w:t>
      </w:r>
      <w:r w:rsidRPr="00043C29">
        <w:rPr>
          <w:sz w:val="20"/>
        </w:rPr>
        <w:t>8</w:t>
      </w:r>
      <w:r w:rsidRPr="00043C29">
        <w:rPr>
          <w:rFonts w:hint="eastAsia"/>
          <w:sz w:val="20"/>
        </w:rPr>
        <w:t>）</w:t>
      </w:r>
    </w:p>
    <w:p w14:paraId="44BBD29C" w14:textId="191F6DDB" w:rsidR="009727E4" w:rsidRPr="009727E4" w:rsidRDefault="009727E4" w:rsidP="00CD183E">
      <w:pPr>
        <w:pStyle w:val="15"/>
        <w:ind w:firstLine="0"/>
      </w:pPr>
      <w:r w:rsidRPr="009727E4">
        <w:rPr>
          <w:rFonts w:hint="eastAsia"/>
        </w:rPr>
        <w:t>式（</w:t>
      </w:r>
      <w:r w:rsidRPr="009727E4">
        <w:t>8</w:t>
      </w:r>
      <w:r w:rsidRPr="009727E4">
        <w:rPr>
          <w:rFonts w:hint="eastAsia"/>
        </w:rPr>
        <w:t>）意义为发生停机事件是由故障</w:t>
      </w:r>
      <w:r w:rsidRPr="009727E4">
        <w:rPr>
          <w:i/>
        </w:rPr>
        <w:t>A</w:t>
      </w:r>
      <w:r w:rsidRPr="009727E4">
        <w:rPr>
          <w:i/>
          <w:vertAlign w:val="subscript"/>
        </w:rPr>
        <w:t>i</w:t>
      </w:r>
      <w:r w:rsidRPr="009727E4">
        <w:rPr>
          <w:rFonts w:hint="eastAsia"/>
        </w:rPr>
        <w:t>引发的概率，可直观地展示该海上风电场引发停机的主要故障概率分布。进一步地，基于给定实际风险状态函数</w:t>
      </w:r>
      <w:r w:rsidRPr="009727E4">
        <w:rPr>
          <w:i/>
        </w:rPr>
        <w:t>Cr</w:t>
      </w:r>
      <w:r w:rsidRPr="009727E4">
        <w:rPr>
          <w:rFonts w:hint="eastAsia"/>
        </w:rPr>
        <w:t>采取决策</w:t>
      </w:r>
      <w:r w:rsidR="00485819" w:rsidRPr="00485819">
        <w:rPr>
          <w:rFonts w:ascii="Symbol" w:hAnsi="Symbol" w:hint="eastAsia"/>
          <w:i/>
          <w:iCs/>
        </w:rPr>
        <w:t>d</w:t>
      </w:r>
      <w:r w:rsidR="00485819" w:rsidRPr="00485819">
        <w:rPr>
          <w:rFonts w:hint="eastAsia"/>
          <w:i/>
          <w:iCs/>
          <w:vertAlign w:val="subscript"/>
        </w:rPr>
        <w:t>k</w:t>
      </w:r>
      <w:r w:rsidR="00485819">
        <w:rPr>
          <w:rFonts w:hint="eastAsia"/>
        </w:rPr>
        <w:t>(</w:t>
      </w:r>
      <w:r w:rsidR="00485819" w:rsidRPr="00485819">
        <w:rPr>
          <w:rFonts w:hint="eastAsia"/>
          <w:i/>
          <w:iCs/>
        </w:rPr>
        <w:t>B</w:t>
      </w:r>
      <w:r w:rsidR="00485819">
        <w:rPr>
          <w:rFonts w:hint="eastAsia"/>
        </w:rPr>
        <w:t>)</w:t>
      </w:r>
      <w:r w:rsidRPr="009727E4">
        <w:rPr>
          <w:rFonts w:hint="eastAsia"/>
        </w:rPr>
        <w:t>所带来的之后所有时刻的损失函数</w:t>
      </w:r>
      <w:r w:rsidR="00485819" w:rsidRPr="00E2008C">
        <w:rPr>
          <w:rFonts w:ascii="Symbol" w:hAnsi="Symbol" w:hint="eastAsia"/>
          <w:i/>
          <w:iCs/>
        </w:rPr>
        <w:t>l</w:t>
      </w:r>
      <w:r w:rsidR="00485819">
        <w:rPr>
          <w:rFonts w:ascii="Symbol" w:hAnsi="Symbol" w:hint="eastAsia"/>
        </w:rPr>
        <w:t>(</w:t>
      </w:r>
      <w:r w:rsidR="00485819" w:rsidRPr="00485819">
        <w:rPr>
          <w:rFonts w:ascii="Symbol" w:hAnsi="Symbol" w:hint="eastAsia"/>
          <w:i/>
          <w:iCs/>
        </w:rPr>
        <w:t>d</w:t>
      </w:r>
      <w:r w:rsidR="00485819" w:rsidRPr="00485819">
        <w:rPr>
          <w:rFonts w:hint="eastAsia"/>
          <w:i/>
          <w:iCs/>
          <w:vertAlign w:val="subscript"/>
        </w:rPr>
        <w:t>k</w:t>
      </w:r>
      <w:r w:rsidR="00485819">
        <w:rPr>
          <w:rFonts w:hint="eastAsia"/>
        </w:rPr>
        <w:t>,</w:t>
      </w:r>
      <w:r w:rsidR="00485819" w:rsidRPr="00485819">
        <w:rPr>
          <w:i/>
        </w:rPr>
        <w:t xml:space="preserve"> </w:t>
      </w:r>
      <w:r w:rsidR="00485819" w:rsidRPr="009727E4">
        <w:rPr>
          <w:i/>
        </w:rPr>
        <w:t>Cr</w:t>
      </w:r>
      <w:r w:rsidR="00485819">
        <w:rPr>
          <w:rFonts w:ascii="Symbol" w:hAnsi="Symbol" w:hint="eastAsia"/>
        </w:rPr>
        <w:t>)</w:t>
      </w:r>
      <w:r w:rsidRPr="009727E4">
        <w:rPr>
          <w:rFonts w:hint="eastAsia"/>
        </w:rPr>
        <w:t>，预测贝叶斯后验风险：</w:t>
      </w:r>
    </w:p>
    <w:p w14:paraId="748B93F1" w14:textId="77777777" w:rsidR="009727E4" w:rsidRPr="00ED5F92" w:rsidRDefault="009727E4" w:rsidP="009727E4">
      <w:pPr>
        <w:tabs>
          <w:tab w:val="center" w:pos="0"/>
          <w:tab w:val="center" w:pos="2100"/>
          <w:tab w:val="right" w:pos="4620"/>
        </w:tabs>
        <w:spacing w:line="360" w:lineRule="auto"/>
        <w:jc w:val="center"/>
        <w:rPr>
          <w:sz w:val="18"/>
          <w:szCs w:val="18"/>
        </w:rPr>
      </w:pPr>
      <w:r w:rsidRPr="00ED5F92">
        <w:rPr>
          <w:sz w:val="18"/>
          <w:szCs w:val="18"/>
        </w:rPr>
        <w:tab/>
      </w:r>
      <w:r w:rsidRPr="009727E4">
        <w:rPr>
          <w:sz w:val="18"/>
          <w:szCs w:val="18"/>
        </w:rPr>
        <w:object w:dxaOrig="2460" w:dyaOrig="540" w14:anchorId="4D2A73A3">
          <v:shape id="_x0000_i1035" type="#_x0000_t75" style="width:123pt;height:28.5pt" o:ole="">
            <v:imagedata r:id="rId32" o:title=""/>
          </v:shape>
          <o:OLEObject Type="Embed" ProgID="Equation.DSMT4" ShapeID="_x0000_i1035" DrawAspect="Content" ObjectID="_1837586777" r:id="rId33"/>
        </w:object>
      </w:r>
      <w:r w:rsidRPr="009727E4">
        <w:rPr>
          <w:sz w:val="18"/>
          <w:szCs w:val="18"/>
        </w:rPr>
        <w:tab/>
      </w:r>
      <w:r w:rsidRPr="00043C29">
        <w:rPr>
          <w:rFonts w:hint="eastAsia"/>
          <w:sz w:val="20"/>
        </w:rPr>
        <w:t>（</w:t>
      </w:r>
      <w:r w:rsidRPr="00043C29">
        <w:rPr>
          <w:sz w:val="20"/>
        </w:rPr>
        <w:t>9</w:t>
      </w:r>
      <w:r w:rsidRPr="00043C29">
        <w:rPr>
          <w:rFonts w:hint="eastAsia"/>
          <w:sz w:val="20"/>
        </w:rPr>
        <w:t>）</w:t>
      </w:r>
    </w:p>
    <w:p w14:paraId="6AF994CF" w14:textId="711976D3" w:rsidR="00E1698F" w:rsidRPr="00CD183E" w:rsidRDefault="009727E4" w:rsidP="00E2008C">
      <w:pPr>
        <w:pStyle w:val="15"/>
        <w:ind w:firstLine="0"/>
      </w:pPr>
      <w:r w:rsidRPr="00CD183E">
        <w:rPr>
          <w:rFonts w:hint="eastAsia"/>
        </w:rPr>
        <w:t>其具体含义为采用不同维修策略可能的投入或损失，为判断本阶段各风险的严重程度提供依据，以优先处理重大风险为原则，寻求最优的策略对所有风险进行有效控制。在实际应用中，应根据运行数据、法律法规、相关研究，征求行业专家意见，通过定性或定量的形式确定各风险的先验概率、相关条件概率参数和风险损失，其中规划设计风险和经济风险评估应该在规划设计阶段进行，根据政策、法规、市场的实际情况由专家组织确定；设备结构风险、施工安全风险、运行维护风险概率应以全面感知建设和运行历史数据为依据计算统计概率，并在全生命期内不断收集新的数据进行反馈修正，动态评估海上风电风险状态；灾害风险概率则应采用工程海域长期的观测数据进行风险概率计算。</w:t>
      </w:r>
    </w:p>
    <w:p w14:paraId="3462DC1F" w14:textId="2081BEC1" w:rsidR="00331419" w:rsidRDefault="00000000">
      <w:pPr>
        <w:tabs>
          <w:tab w:val="left" w:pos="420"/>
          <w:tab w:val="left" w:pos="735"/>
        </w:tabs>
        <w:spacing w:beforeLines="50" w:before="156" w:line="360" w:lineRule="exact"/>
        <w:ind w:left="420" w:hangingChars="175" w:hanging="420"/>
        <w:outlineLvl w:val="0"/>
        <w:rPr>
          <w:rFonts w:eastAsia="华文中宋"/>
          <w:color w:val="000000" w:themeColor="text1"/>
          <w:sz w:val="24"/>
          <w:szCs w:val="24"/>
        </w:rPr>
      </w:pPr>
      <w:r>
        <w:rPr>
          <w:rFonts w:eastAsia="华文中宋"/>
          <w:color w:val="000000" w:themeColor="text1"/>
          <w:sz w:val="24"/>
          <w:szCs w:val="24"/>
        </w:rPr>
        <w:t>2</w:t>
      </w:r>
      <w:r>
        <w:rPr>
          <w:rFonts w:eastAsia="华文中宋" w:hint="eastAsia"/>
          <w:color w:val="000000" w:themeColor="text1"/>
          <w:sz w:val="24"/>
          <w:szCs w:val="24"/>
        </w:rPr>
        <w:t xml:space="preserve">  </w:t>
      </w:r>
      <w:r w:rsidR="009727E4" w:rsidRPr="009727E4">
        <w:rPr>
          <w:rFonts w:eastAsia="华文中宋" w:hint="eastAsia"/>
          <w:color w:val="000000" w:themeColor="text1"/>
          <w:sz w:val="24"/>
          <w:szCs w:val="24"/>
        </w:rPr>
        <w:t>全生命期智慧管理系统</w:t>
      </w:r>
    </w:p>
    <w:p w14:paraId="3B360A77" w14:textId="66733FD0" w:rsidR="009727E4" w:rsidRPr="009727E4" w:rsidRDefault="009727E4" w:rsidP="00485819">
      <w:pPr>
        <w:pStyle w:val="15"/>
        <w:rPr>
          <w:color w:val="000000" w:themeColor="text1"/>
        </w:rPr>
      </w:pPr>
      <w:r w:rsidRPr="00485819">
        <w:rPr>
          <w:rFonts w:hint="eastAsia"/>
        </w:rPr>
        <w:t>基于全生命期资产闭环智慧管理方法，围绕安全、质量、进度、造价、环保等管理内容，对资产价值创造活动中资源投入、工艺过程、作业流程、管理程序、实物成本、关键技术、资产性态等管理要素进行重构与设计，建立业主、监理、施工和协作队伍、供应商等全员参与的智慧管理平台，可实现各管理要素的无纸化、扁平化协同管理。管理平台可按照区域公司、电站、风机设备等进行标准化编码，集成资产形成的历史记录信息，对企业运作逻辑进行数字建模，对实时成本、绩效和风险等管理目标进行对比调整，在数字化管理过程中进一步揭示资产价值创造规律，为科学决策和精准溯源提供依据</w:t>
      </w:r>
      <w:r w:rsidRPr="009727E4">
        <w:rPr>
          <w:rFonts w:hint="eastAsia"/>
          <w:color w:val="000000" w:themeColor="text1"/>
        </w:rPr>
        <w:t>。</w:t>
      </w:r>
    </w:p>
    <w:p w14:paraId="484E4447" w14:textId="58375022" w:rsidR="00331419" w:rsidRPr="00485819" w:rsidRDefault="00000000">
      <w:pPr>
        <w:tabs>
          <w:tab w:val="left" w:pos="0"/>
          <w:tab w:val="left" w:pos="735"/>
        </w:tabs>
        <w:spacing w:line="360" w:lineRule="auto"/>
        <w:outlineLvl w:val="1"/>
        <w:rPr>
          <w:b/>
          <w:bCs/>
          <w:color w:val="000000" w:themeColor="text1"/>
          <w:szCs w:val="21"/>
        </w:rPr>
      </w:pPr>
      <w:r w:rsidRPr="00485819">
        <w:rPr>
          <w:rFonts w:hint="eastAsia"/>
          <w:b/>
          <w:bCs/>
          <w:color w:val="000000" w:themeColor="text1"/>
          <w:szCs w:val="21"/>
        </w:rPr>
        <w:t>2</w:t>
      </w:r>
      <w:r w:rsidRPr="00485819">
        <w:rPr>
          <w:b/>
          <w:bCs/>
          <w:color w:val="000000" w:themeColor="text1"/>
          <w:szCs w:val="21"/>
        </w:rPr>
        <w:t>.1</w:t>
      </w:r>
      <w:r w:rsidRPr="00485819">
        <w:rPr>
          <w:rFonts w:hint="eastAsia"/>
          <w:b/>
          <w:bCs/>
          <w:color w:val="000000" w:themeColor="text1"/>
          <w:szCs w:val="21"/>
        </w:rPr>
        <w:t xml:space="preserve">  </w:t>
      </w:r>
      <w:r w:rsidR="009727E4" w:rsidRPr="00485819">
        <w:rPr>
          <w:rFonts w:hint="eastAsia"/>
          <w:b/>
          <w:bCs/>
          <w:color w:val="000000" w:themeColor="text1"/>
          <w:szCs w:val="21"/>
        </w:rPr>
        <w:t>系统架构</w:t>
      </w:r>
    </w:p>
    <w:p w14:paraId="6B708BA4" w14:textId="0B10DAFF" w:rsidR="009727E4" w:rsidRPr="009727E4" w:rsidRDefault="009727E4" w:rsidP="00485819">
      <w:pPr>
        <w:pStyle w:val="15"/>
      </w:pPr>
      <w:r w:rsidRPr="009727E4">
        <w:rPr>
          <w:rFonts w:hint="eastAsia"/>
        </w:rPr>
        <w:t>统筹考虑多个管理阶段的管理功能需求，提出</w:t>
      </w:r>
      <w:r w:rsidRPr="009727E4">
        <w:rPr>
          <w:rFonts w:hint="eastAsia"/>
        </w:rPr>
        <w:lastRenderedPageBreak/>
        <w:t>海上风电项目全生命期智慧管理系统架构，如图</w:t>
      </w:r>
      <w:r w:rsidRPr="009727E4">
        <w:t>3</w:t>
      </w:r>
      <w:r w:rsidRPr="009727E4">
        <w:rPr>
          <w:rFonts w:hint="eastAsia"/>
        </w:rPr>
        <w:t>所示。海上风电场项目全生命期管理涉及多专业的海量数据，数据是管理者评价资产的成本、绩效和风险状态和准确了解海上风电场运行状况的基础，因此有必要对这些信息资产进行有效管理。图</w:t>
      </w:r>
      <w:r w:rsidRPr="009727E4">
        <w:t>3</w:t>
      </w:r>
      <w:r w:rsidRPr="009727E4">
        <w:rPr>
          <w:rFonts w:hint="eastAsia"/>
        </w:rPr>
        <w:t>总结了各类资产生命周期中的主要数据种类，按其采集来源可分为：</w:t>
      </w:r>
      <w:r w:rsidRPr="009727E4">
        <w:t>1</w:t>
      </w:r>
      <w:r w:rsidRPr="009727E4">
        <w:rPr>
          <w:rFonts w:hint="eastAsia"/>
        </w:rPr>
        <w:t>）机组与结构设计模型及相关参数、海洋水文地质勘探数据等一次性输入的各种基础数据；</w:t>
      </w:r>
      <w:r w:rsidRPr="009727E4">
        <w:t>2</w:t>
      </w:r>
      <w:r w:rsidRPr="009727E4">
        <w:rPr>
          <w:rFonts w:hint="eastAsia"/>
        </w:rPr>
        <w:t>）机组、结构的状态监测数据、气象数据等通过传感器或外部接口持续输入的数据；</w:t>
      </w:r>
      <w:r w:rsidRPr="009727E4">
        <w:t>3</w:t>
      </w:r>
      <w:r w:rsidRPr="009727E4">
        <w:rPr>
          <w:rFonts w:hint="eastAsia"/>
        </w:rPr>
        <w:t>）安全隐患数据、质量检查数据、工程造价数据、运行状态数据、维护记录等各专业的日常工作记录数据。</w:t>
      </w:r>
    </w:p>
    <w:p w14:paraId="4A01F71A" w14:textId="3CC4B160" w:rsidR="005271DE" w:rsidRDefault="009727E4" w:rsidP="005271DE">
      <w:pPr>
        <w:tabs>
          <w:tab w:val="left" w:pos="0"/>
          <w:tab w:val="left" w:pos="735"/>
        </w:tabs>
        <w:spacing w:line="360" w:lineRule="exact"/>
        <w:rPr>
          <w:color w:val="000000" w:themeColor="text1"/>
          <w:szCs w:val="21"/>
        </w:rPr>
      </w:pPr>
      <w:r w:rsidRPr="009727E4">
        <w:rPr>
          <w:rFonts w:hint="eastAsia"/>
        </w:rPr>
        <w:t>在各类数据采集设备及系统建设的基础上，通过对异构数据进行数据预处理、数据脱敏、数据清洗和数据变换等步骤，完成异构数据标准化，并建立标准化</w:t>
      </w:r>
      <w:r w:rsidRPr="009727E4">
        <w:rPr>
          <w:rFonts w:hint="eastAsia"/>
        </w:rPr>
        <w:t>的设备资产库、故障知识库、关系数据库和实时</w:t>
      </w:r>
      <w:r w:rsidRPr="009727E4">
        <w:t>/</w:t>
      </w:r>
      <w:r w:rsidRPr="009727E4">
        <w:rPr>
          <w:rFonts w:hint="eastAsia"/>
        </w:rPr>
        <w:t>历史数据库等海上风电资产全生命周期数据库。在系统功能开发方面，围绕规划设计、采购建设、运行维护和延寿退役等四大阶段，开发项目开发、智慧基建、智慧运维和延寿退役等四个功能模块及其若干子模块，明确功能需求，并建立数据驱动的决策模型。利用海上风电资产全生命期数据库中的多维多源数据开展关键控制参数、指标分析，提供支持各类决策的判据和标准。进一步有机整合各项功能模块，形成全生命期成本分析、设备选型、基建管理、状态检修和运行优化等决策功能，通过数据提取、指标计算、统计分析、相关分析和建模分析等直观的数据分析功能来辅助决策。</w:t>
      </w:r>
    </w:p>
    <w:p w14:paraId="48718200" w14:textId="77777777" w:rsidR="005271DE" w:rsidRDefault="005271DE" w:rsidP="005271DE">
      <w:pPr>
        <w:tabs>
          <w:tab w:val="left" w:pos="0"/>
          <w:tab w:val="left" w:pos="735"/>
        </w:tabs>
        <w:spacing w:line="360" w:lineRule="auto"/>
        <w:rPr>
          <w:color w:val="000000" w:themeColor="text1"/>
          <w:szCs w:val="21"/>
        </w:rPr>
        <w:sectPr w:rsidR="005271DE" w:rsidSect="005271DE">
          <w:type w:val="continuous"/>
          <w:pgSz w:w="11906" w:h="16838"/>
          <w:pgMar w:top="1089" w:right="879" w:bottom="624" w:left="1157" w:header="851" w:footer="893" w:gutter="0"/>
          <w:cols w:num="2" w:space="425"/>
          <w:docGrid w:type="lines" w:linePitch="312"/>
        </w:sectPr>
      </w:pPr>
    </w:p>
    <w:p w14:paraId="6B0F134C" w14:textId="7378D2EC" w:rsidR="005271DE" w:rsidRDefault="00E2008C" w:rsidP="005271DE">
      <w:pPr>
        <w:spacing w:line="360" w:lineRule="auto"/>
        <w:jc w:val="center"/>
        <w:rPr>
          <w:rFonts w:ascii="黑体" w:eastAsia="黑体" w:hAnsi="黑体" w:hint="eastAsia"/>
          <w:color w:val="000000" w:themeColor="text1"/>
          <w:sz w:val="18"/>
          <w:szCs w:val="18"/>
        </w:rPr>
        <w:sectPr w:rsidR="005271DE" w:rsidSect="005271DE">
          <w:type w:val="continuous"/>
          <w:pgSz w:w="11906" w:h="16838"/>
          <w:pgMar w:top="1089" w:right="879" w:bottom="624" w:left="1157" w:header="851" w:footer="893" w:gutter="0"/>
          <w:cols w:space="425"/>
          <w:docGrid w:type="lines" w:linePitch="312"/>
        </w:sectPr>
      </w:pPr>
      <w:r>
        <w:rPr>
          <w:rFonts w:ascii="黑体" w:eastAsia="黑体" w:hAnsi="黑体"/>
          <w:noProof/>
          <w:color w:val="000000" w:themeColor="text1"/>
          <w:sz w:val="18"/>
          <w:szCs w:val="18"/>
        </w:rPr>
        <w:drawing>
          <wp:inline distT="0" distB="0" distL="0" distR="0" wp14:anchorId="458B5E1E" wp14:editId="63360F1F">
            <wp:extent cx="3960000" cy="2687243"/>
            <wp:effectExtent l="0" t="0" r="2540" b="0"/>
            <wp:docPr id="1884572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2687243"/>
                    </a:xfrm>
                    <a:prstGeom prst="rect">
                      <a:avLst/>
                    </a:prstGeom>
                    <a:noFill/>
                  </pic:spPr>
                </pic:pic>
              </a:graphicData>
            </a:graphic>
          </wp:inline>
        </w:drawing>
      </w:r>
    </w:p>
    <w:p w14:paraId="3C6432C3" w14:textId="20AE26E8" w:rsidR="005271DE" w:rsidRPr="005271DE" w:rsidRDefault="005271DE" w:rsidP="005271DE">
      <w:pPr>
        <w:spacing w:line="360" w:lineRule="auto"/>
        <w:jc w:val="center"/>
        <w:rPr>
          <w:color w:val="000000" w:themeColor="text1"/>
          <w:szCs w:val="21"/>
        </w:rPr>
      </w:pPr>
      <w:r w:rsidRPr="005271DE">
        <w:rPr>
          <w:rFonts w:hint="eastAsia"/>
          <w:color w:val="000000" w:themeColor="text1"/>
          <w:szCs w:val="21"/>
        </w:rPr>
        <w:t>图</w:t>
      </w:r>
      <w:r w:rsidRPr="005271DE">
        <w:rPr>
          <w:rFonts w:hint="eastAsia"/>
          <w:color w:val="000000" w:themeColor="text1"/>
          <w:szCs w:val="21"/>
        </w:rPr>
        <w:t xml:space="preserve">3 </w:t>
      </w:r>
      <w:r w:rsidRPr="005271DE">
        <w:rPr>
          <w:rFonts w:hint="eastAsia"/>
          <w:color w:val="000000" w:themeColor="text1"/>
          <w:szCs w:val="21"/>
        </w:rPr>
        <w:t>海上风电项目全生命期智慧管理平台架构</w:t>
      </w:r>
    </w:p>
    <w:p w14:paraId="06010FEF" w14:textId="6AFC28E5" w:rsidR="005271DE" w:rsidRPr="005271DE" w:rsidRDefault="005271DE" w:rsidP="005271DE">
      <w:pPr>
        <w:spacing w:line="360" w:lineRule="auto"/>
        <w:rPr>
          <w:rFonts w:ascii="宋体" w:hAnsi="宋体" w:hint="eastAsia"/>
          <w:color w:val="000000" w:themeColor="text1"/>
          <w:szCs w:val="21"/>
        </w:rPr>
        <w:sectPr w:rsidR="005271DE" w:rsidRPr="005271DE" w:rsidSect="005271DE">
          <w:type w:val="continuous"/>
          <w:pgSz w:w="11906" w:h="16838"/>
          <w:pgMar w:top="1089" w:right="879" w:bottom="624" w:left="1157" w:header="851" w:footer="893" w:gutter="0"/>
          <w:cols w:space="425"/>
          <w:docGrid w:type="lines" w:linePitch="312"/>
        </w:sectPr>
      </w:pPr>
    </w:p>
    <w:p w14:paraId="5E6995B3" w14:textId="00134133" w:rsidR="009727E4" w:rsidRPr="00485819" w:rsidRDefault="009727E4" w:rsidP="009727E4">
      <w:pPr>
        <w:tabs>
          <w:tab w:val="left" w:pos="0"/>
          <w:tab w:val="left" w:pos="735"/>
        </w:tabs>
        <w:spacing w:line="360" w:lineRule="auto"/>
        <w:outlineLvl w:val="1"/>
        <w:rPr>
          <w:b/>
          <w:bCs/>
          <w:color w:val="000000" w:themeColor="text1"/>
          <w:szCs w:val="21"/>
        </w:rPr>
      </w:pPr>
      <w:r w:rsidRPr="00485819">
        <w:rPr>
          <w:rFonts w:hint="eastAsia"/>
          <w:b/>
          <w:bCs/>
          <w:color w:val="000000" w:themeColor="text1"/>
          <w:szCs w:val="21"/>
        </w:rPr>
        <w:t>2</w:t>
      </w:r>
      <w:r w:rsidRPr="00485819">
        <w:rPr>
          <w:b/>
          <w:bCs/>
          <w:color w:val="000000" w:themeColor="text1"/>
          <w:szCs w:val="21"/>
        </w:rPr>
        <w:t xml:space="preserve">.2 </w:t>
      </w:r>
      <w:r w:rsidRPr="00485819">
        <w:rPr>
          <w:rFonts w:hint="eastAsia"/>
          <w:b/>
          <w:bCs/>
          <w:color w:val="000000" w:themeColor="text1"/>
          <w:szCs w:val="21"/>
        </w:rPr>
        <w:t xml:space="preserve"> </w:t>
      </w:r>
      <w:r w:rsidRPr="00485819">
        <w:rPr>
          <w:rFonts w:hint="eastAsia"/>
          <w:b/>
          <w:bCs/>
          <w:color w:val="000000" w:themeColor="text1"/>
          <w:szCs w:val="21"/>
        </w:rPr>
        <w:t>关键功能模块研发</w:t>
      </w:r>
    </w:p>
    <w:p w14:paraId="13A0DFB4" w14:textId="77777777" w:rsidR="009727E4" w:rsidRDefault="009727E4" w:rsidP="00485819">
      <w:pPr>
        <w:pStyle w:val="15"/>
        <w:rPr>
          <w:shd w:val="clear" w:color="auto" w:fill="FFFFFF"/>
        </w:rPr>
      </w:pPr>
      <w:r>
        <w:rPr>
          <w:rFonts w:hint="eastAsia"/>
          <w:shd w:val="clear" w:color="auto" w:fill="FFFFFF"/>
        </w:rPr>
        <w:t>（</w:t>
      </w:r>
      <w:r>
        <w:rPr>
          <w:rFonts w:hint="eastAsia"/>
          <w:shd w:val="clear" w:color="auto" w:fill="FFFFFF"/>
        </w:rPr>
        <w:t>1</w:t>
      </w:r>
      <w:r>
        <w:rPr>
          <w:rFonts w:hint="eastAsia"/>
          <w:shd w:val="clear" w:color="auto" w:fill="FFFFFF"/>
        </w:rPr>
        <w:t>）</w:t>
      </w:r>
      <w:r w:rsidRPr="009727E4">
        <w:rPr>
          <w:rFonts w:hint="eastAsia"/>
          <w:shd w:val="clear" w:color="auto" w:fill="FFFFFF"/>
        </w:rPr>
        <w:t>基于设备可靠性设计的项目开发</w:t>
      </w:r>
    </w:p>
    <w:p w14:paraId="1DB2B08B" w14:textId="7A700A64" w:rsidR="009727E4" w:rsidRPr="009727E4" w:rsidRDefault="009727E4" w:rsidP="00485819">
      <w:pPr>
        <w:pStyle w:val="15"/>
        <w:rPr>
          <w:shd w:val="clear" w:color="auto" w:fill="FFFFFF"/>
        </w:rPr>
      </w:pPr>
      <w:r w:rsidRPr="009727E4">
        <w:rPr>
          <w:rFonts w:hint="eastAsia"/>
          <w:shd w:val="clear" w:color="auto" w:fill="FFFFFF"/>
        </w:rPr>
        <w:t>项目开发阶段的主要任务之一是形成设计方案，对方案的实施效果进行全生命期内的评估对比，根据设计方案的预期实施效果反馈优化，并结合建设、运行数据的修正，对海上风电资产设备状态进行评估。海上风力发电机组的海洋服役环境恶劣，载荷复杂多变，故障率高、维修成本高、可维护性差，因此其可靠性设计是设计阶段最主要的工作之一。可靠性设计以研究资产设备全生命期的故障发生原因与发展规律为基础，通过系统化的设计方法和技术手段，达到预防故障、降低故障率、提高设备质量为目的的工程技术。针对资产设备状态难以动态评价和故障难以溯源的问题，对海上风电资产全生命期各阶段展开设备可靠性设计，以指导资产可靠性分配、提高资产设备制造质量、提供故障溯源依据和辅助运维策略制定（见图</w:t>
      </w:r>
      <w:r w:rsidRPr="009727E4">
        <w:rPr>
          <w:shd w:val="clear" w:color="auto" w:fill="FFFFFF"/>
        </w:rPr>
        <w:t>4</w:t>
      </w:r>
      <w:r w:rsidRPr="009727E4">
        <w:rPr>
          <w:rFonts w:hint="eastAsia"/>
          <w:shd w:val="clear" w:color="auto" w:fill="FFFFFF"/>
        </w:rPr>
        <w:t>）。</w:t>
      </w:r>
    </w:p>
    <w:p w14:paraId="53F6920C" w14:textId="6B1358E4" w:rsidR="009727E4" w:rsidRPr="009727E4" w:rsidRDefault="009727E4" w:rsidP="00485819">
      <w:pPr>
        <w:pStyle w:val="15"/>
        <w:rPr>
          <w:rFonts w:ascii="宋体" w:hAnsi="宋体" w:hint="eastAsia"/>
          <w:b/>
          <w:sz w:val="18"/>
          <w:szCs w:val="18"/>
        </w:rPr>
        <w:sectPr w:rsidR="009727E4" w:rsidRPr="009727E4" w:rsidSect="009727E4">
          <w:type w:val="continuous"/>
          <w:pgSz w:w="11906" w:h="16838"/>
          <w:pgMar w:top="1089" w:right="879" w:bottom="624" w:left="1157" w:header="851" w:footer="893" w:gutter="0"/>
          <w:cols w:num="2" w:space="425"/>
          <w:docGrid w:type="lines" w:linePitch="312"/>
        </w:sectPr>
      </w:pPr>
      <w:r w:rsidRPr="009727E4">
        <w:rPr>
          <w:rFonts w:hint="eastAsia"/>
          <w:shd w:val="clear" w:color="auto" w:fill="FFFFFF"/>
        </w:rPr>
        <w:t>在设计阶段，综合考虑初期投入成本、运维成本和可靠度等优化目标建立优化模型，以海上风机各子系统可靠性变动范围为约束，提出最优化的可靠性分配方案；面向制造过程，收集关键部件制造过程数据，构建可靠性预计网络模型评估资产设备出厂固有可靠性水平，识别应主要控制的关键工艺流程；在建设、安装调试阶段，量化资产设备在此阶段出现的质量问题对可靠性产生的影响，为后续运行阶段提供故障溯源依据；在运行维护阶段，建立以多层次、多指标递阶的可靠性指标体系为基础的评估模型，考虑故障原因、故障模式和分系统的传播、放大和级联效应，对资产可靠性进行动态多视角地分析和评估，以指导海上风电运行维护作业与规划。基于设备全</w:t>
      </w:r>
      <w:r w:rsidR="003A6D00">
        <w:rPr>
          <w:rFonts w:hint="eastAsia"/>
          <w:shd w:val="clear" w:color="auto" w:fill="FFFFFF"/>
        </w:rPr>
        <w:t>生命</w:t>
      </w:r>
      <w:r w:rsidRPr="009727E4">
        <w:rPr>
          <w:rFonts w:hint="eastAsia"/>
          <w:shd w:val="clear" w:color="auto" w:fill="FFFFFF"/>
        </w:rPr>
        <w:t>期可靠性设计的项目开发可消除上述不同阶段流转导致的潜在缺陷，实现海上风电资产设备设计、制造、建安、调试、运行各阶段可靠性的一体化管理。</w:t>
      </w:r>
    </w:p>
    <w:p w14:paraId="07682F77" w14:textId="77777777" w:rsidR="009727E4" w:rsidRDefault="009727E4" w:rsidP="009727E4">
      <w:pPr>
        <w:snapToGrid w:val="0"/>
        <w:spacing w:line="360" w:lineRule="auto"/>
        <w:jc w:val="center"/>
        <w:rPr>
          <w:rFonts w:eastAsia="黑体"/>
          <w:sz w:val="18"/>
          <w:szCs w:val="18"/>
        </w:rPr>
      </w:pPr>
      <w:r>
        <w:rPr>
          <w:rFonts w:eastAsia="黑体"/>
          <w:noProof/>
          <w:sz w:val="18"/>
          <w:szCs w:val="18"/>
        </w:rPr>
        <w:lastRenderedPageBreak/>
        <w:drawing>
          <wp:inline distT="0" distB="0" distL="0" distR="0" wp14:anchorId="496DE63F" wp14:editId="140A6741">
            <wp:extent cx="5567270" cy="1944652"/>
            <wp:effectExtent l="0" t="0" r="0" b="0"/>
            <wp:docPr id="14703777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4302" cy="1947108"/>
                    </a:xfrm>
                    <a:prstGeom prst="rect">
                      <a:avLst/>
                    </a:prstGeom>
                    <a:noFill/>
                  </pic:spPr>
                </pic:pic>
              </a:graphicData>
            </a:graphic>
          </wp:inline>
        </w:drawing>
      </w:r>
    </w:p>
    <w:p w14:paraId="42F19856" w14:textId="16FD05F2" w:rsidR="009727E4" w:rsidRPr="005271DE" w:rsidRDefault="009727E4" w:rsidP="005271DE">
      <w:pPr>
        <w:spacing w:line="360" w:lineRule="auto"/>
        <w:jc w:val="center"/>
        <w:rPr>
          <w:color w:val="000000" w:themeColor="text1"/>
          <w:szCs w:val="21"/>
        </w:rPr>
      </w:pPr>
      <w:r w:rsidRPr="005271DE">
        <w:rPr>
          <w:rFonts w:hint="eastAsia"/>
          <w:color w:val="000000" w:themeColor="text1"/>
          <w:szCs w:val="21"/>
        </w:rPr>
        <w:t>图</w:t>
      </w:r>
      <w:r w:rsidRPr="005271DE">
        <w:rPr>
          <w:color w:val="000000" w:themeColor="text1"/>
          <w:szCs w:val="21"/>
        </w:rPr>
        <w:t xml:space="preserve">4 </w:t>
      </w:r>
      <w:r w:rsidRPr="005271DE">
        <w:rPr>
          <w:rFonts w:hint="eastAsia"/>
          <w:color w:val="000000" w:themeColor="text1"/>
          <w:szCs w:val="21"/>
        </w:rPr>
        <w:t>海上风电</w:t>
      </w:r>
      <w:bookmarkStart w:id="3" w:name="_Hlk192601295"/>
      <w:r w:rsidRPr="005271DE">
        <w:rPr>
          <w:rFonts w:hint="eastAsia"/>
          <w:color w:val="000000" w:themeColor="text1"/>
          <w:szCs w:val="21"/>
        </w:rPr>
        <w:t>设备全生命期可靠性设计</w:t>
      </w:r>
      <w:bookmarkEnd w:id="3"/>
    </w:p>
    <w:p w14:paraId="02AC4C57" w14:textId="2168F740" w:rsidR="009727E4" w:rsidRPr="005271DE" w:rsidRDefault="009727E4" w:rsidP="005271DE">
      <w:pPr>
        <w:spacing w:line="360" w:lineRule="auto"/>
        <w:jc w:val="center"/>
        <w:rPr>
          <w:color w:val="000000" w:themeColor="text1"/>
          <w:szCs w:val="21"/>
        </w:rPr>
        <w:sectPr w:rsidR="009727E4" w:rsidRPr="005271DE" w:rsidSect="009727E4">
          <w:type w:val="continuous"/>
          <w:pgSz w:w="11906" w:h="16838"/>
          <w:pgMar w:top="1089" w:right="879" w:bottom="624" w:left="1157" w:header="851" w:footer="893" w:gutter="0"/>
          <w:cols w:space="425"/>
          <w:docGrid w:type="lines" w:linePitch="312"/>
        </w:sectPr>
      </w:pPr>
    </w:p>
    <w:p w14:paraId="0B2C3E44" w14:textId="77777777" w:rsidR="009727E4" w:rsidRPr="009727E4" w:rsidRDefault="009727E4" w:rsidP="00485819">
      <w:pPr>
        <w:pStyle w:val="15"/>
      </w:pPr>
      <w:r w:rsidRPr="009727E4">
        <w:rPr>
          <w:rFonts w:hint="eastAsia"/>
        </w:rPr>
        <w:t>以机组选型的可靠性优化分配方法为例，海上风电项目初期投入成本</w:t>
      </w:r>
      <w:r w:rsidRPr="009727E4">
        <w:rPr>
          <w:rFonts w:hint="eastAsia"/>
        </w:rPr>
        <w:t>-</w:t>
      </w:r>
      <w:r w:rsidRPr="009727E4">
        <w:rPr>
          <w:rFonts w:hint="eastAsia"/>
        </w:rPr>
        <w:t>可靠度函数</w:t>
      </w:r>
      <w:r w:rsidRPr="009727E4">
        <w:rPr>
          <w:i/>
          <w:iCs/>
        </w:rPr>
        <w:t>C</w:t>
      </w:r>
      <w:r w:rsidRPr="009727E4">
        <w:rPr>
          <w:i/>
          <w:iCs/>
          <w:vertAlign w:val="subscript"/>
        </w:rPr>
        <w:t>I</w:t>
      </w:r>
      <w:r w:rsidRPr="009727E4">
        <w:rPr>
          <w:rFonts w:hint="eastAsia"/>
        </w:rPr>
        <w:t>(</w:t>
      </w:r>
      <w:r w:rsidRPr="009727E4">
        <w:rPr>
          <w:i/>
          <w:iCs/>
        </w:rPr>
        <w:t>R</w:t>
      </w:r>
      <w:r w:rsidRPr="009727E4">
        <w:rPr>
          <w:vertAlign w:val="subscript"/>
        </w:rPr>
        <w:t>i</w:t>
      </w:r>
      <w:r w:rsidRPr="009727E4">
        <w:t>)</w:t>
      </w:r>
      <w:r w:rsidRPr="009727E4">
        <w:rPr>
          <w:rFonts w:hint="eastAsia"/>
        </w:rPr>
        <w:t>和运维成本</w:t>
      </w:r>
      <w:r w:rsidRPr="009727E4">
        <w:rPr>
          <w:rFonts w:hint="eastAsia"/>
        </w:rPr>
        <w:t>-</w:t>
      </w:r>
      <w:r w:rsidRPr="009727E4">
        <w:rPr>
          <w:rFonts w:hint="eastAsia"/>
        </w:rPr>
        <w:t>可靠度函数</w:t>
      </w:r>
      <w:r w:rsidRPr="009727E4">
        <w:rPr>
          <w:i/>
        </w:rPr>
        <w:t>C</w:t>
      </w:r>
      <w:r w:rsidRPr="009727E4">
        <w:rPr>
          <w:i/>
          <w:iCs/>
          <w:vertAlign w:val="subscript"/>
        </w:rPr>
        <w:t>OM</w:t>
      </w:r>
      <w:r w:rsidRPr="009727E4">
        <w:rPr>
          <w:rFonts w:hint="eastAsia"/>
        </w:rPr>
        <w:t>(</w:t>
      </w:r>
      <w:r w:rsidRPr="009727E4">
        <w:rPr>
          <w:i/>
          <w:iCs/>
        </w:rPr>
        <w:t>R</w:t>
      </w:r>
      <w:r w:rsidRPr="009727E4">
        <w:rPr>
          <w:vertAlign w:val="subscript"/>
        </w:rPr>
        <w:t>i</w:t>
      </w:r>
      <w:r w:rsidRPr="009727E4">
        <w:t>)</w:t>
      </w:r>
      <w:r w:rsidRPr="009727E4">
        <w:rPr>
          <w:rFonts w:hint="eastAsia"/>
        </w:rPr>
        <w:t>表示为：</w:t>
      </w:r>
    </w:p>
    <w:p w14:paraId="3B5D5B1E"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2840" w:dyaOrig="600" w14:anchorId="12C25313">
          <v:shape id="_x0000_i1036" type="#_x0000_t75" style="width:141.75pt;height:30pt" o:ole="">
            <v:imagedata r:id="rId36" o:title=""/>
          </v:shape>
          <o:OLEObject Type="Embed" ProgID="Equation.DSMT4" ShapeID="_x0000_i1036" DrawAspect="Content" ObjectID="_1837586778" r:id="rId37"/>
        </w:object>
      </w:r>
      <w:r w:rsidRPr="009727E4">
        <w:rPr>
          <w:sz w:val="18"/>
          <w:szCs w:val="18"/>
        </w:rPr>
        <w:tab/>
      </w:r>
      <w:r w:rsidRPr="00043C29">
        <w:rPr>
          <w:rFonts w:hint="eastAsia"/>
          <w:sz w:val="20"/>
        </w:rPr>
        <w:t>（</w:t>
      </w:r>
      <w:r w:rsidRPr="00043C29">
        <w:rPr>
          <w:sz w:val="20"/>
        </w:rPr>
        <w:t>10</w:t>
      </w:r>
      <w:r w:rsidRPr="00043C29">
        <w:rPr>
          <w:rFonts w:hint="eastAsia"/>
          <w:sz w:val="20"/>
        </w:rPr>
        <w:t>）</w:t>
      </w:r>
    </w:p>
    <w:p w14:paraId="077D7262" w14:textId="356350F3"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004631B4" w:rsidRPr="00043C29">
        <w:rPr>
          <w:position w:val="-26"/>
          <w:sz w:val="18"/>
          <w:szCs w:val="18"/>
        </w:rPr>
        <w:object w:dxaOrig="3420" w:dyaOrig="620" w14:anchorId="43F9BCAB">
          <v:shape id="_x0000_i1037" type="#_x0000_t75" style="width:172.5pt;height:31.5pt" o:ole="">
            <v:imagedata r:id="rId38" o:title=""/>
          </v:shape>
          <o:OLEObject Type="Embed" ProgID="Equation.DSMT4" ShapeID="_x0000_i1037" DrawAspect="Content" ObjectID="_1837586779" r:id="rId39"/>
        </w:object>
      </w:r>
      <w:r w:rsidRPr="009727E4">
        <w:rPr>
          <w:sz w:val="18"/>
          <w:szCs w:val="18"/>
        </w:rPr>
        <w:tab/>
      </w:r>
      <w:r w:rsidRPr="00043C29">
        <w:rPr>
          <w:rFonts w:hint="eastAsia"/>
          <w:sz w:val="20"/>
        </w:rPr>
        <w:t>（</w:t>
      </w:r>
      <w:r w:rsidRPr="00043C29">
        <w:rPr>
          <w:sz w:val="20"/>
        </w:rPr>
        <w:t>11</w:t>
      </w:r>
      <w:r w:rsidRPr="00043C29">
        <w:rPr>
          <w:rFonts w:hint="eastAsia"/>
          <w:sz w:val="20"/>
        </w:rPr>
        <w:t>）</w:t>
      </w:r>
    </w:p>
    <w:p w14:paraId="7299BCF7" w14:textId="71A9EF3E" w:rsidR="009727E4" w:rsidRPr="009727E4" w:rsidRDefault="009727E4" w:rsidP="00485819">
      <w:pPr>
        <w:pStyle w:val="15"/>
      </w:pPr>
      <w:r w:rsidRPr="009727E4">
        <w:rPr>
          <w:rFonts w:hint="eastAsia"/>
        </w:rPr>
        <w:t>式中</w:t>
      </w:r>
      <w:proofErr w:type="spellStart"/>
      <w:r w:rsidR="00485819" w:rsidRPr="00485819">
        <w:rPr>
          <w:rFonts w:hint="eastAsia"/>
          <w:i/>
          <w:iCs/>
        </w:rPr>
        <w:t>C</w:t>
      </w:r>
      <w:r w:rsidR="00485819" w:rsidRPr="00485819">
        <w:rPr>
          <w:rFonts w:hint="eastAsia"/>
          <w:i/>
          <w:iCs/>
          <w:vertAlign w:val="superscript"/>
        </w:rPr>
        <w:t>I</w:t>
      </w:r>
      <w:r w:rsidR="00485819" w:rsidRPr="00485819">
        <w:rPr>
          <w:rFonts w:hint="eastAsia"/>
          <w:i/>
          <w:iCs/>
          <w:vertAlign w:val="subscript"/>
        </w:rPr>
        <w:t>imin</w:t>
      </w:r>
      <w:proofErr w:type="spellEnd"/>
      <w:r w:rsidRPr="009727E4">
        <w:rPr>
          <w:rFonts w:hint="eastAsia"/>
        </w:rPr>
        <w:t>为第</w:t>
      </w:r>
      <w:proofErr w:type="spellStart"/>
      <w:r w:rsidRPr="009727E4">
        <w:rPr>
          <w:i/>
          <w:iCs/>
        </w:rPr>
        <w:t>i</w:t>
      </w:r>
      <w:proofErr w:type="spellEnd"/>
      <w:r w:rsidRPr="009727E4">
        <w:rPr>
          <w:rFonts w:hint="eastAsia"/>
        </w:rPr>
        <w:t>个子系统可靠度为</w:t>
      </w:r>
      <w:r w:rsidR="00485819" w:rsidRPr="00485819">
        <w:rPr>
          <w:rFonts w:hint="eastAsia"/>
          <w:i/>
          <w:iCs/>
        </w:rPr>
        <w:t>R</w:t>
      </w:r>
      <w:r w:rsidR="00485819" w:rsidRPr="00485819">
        <w:rPr>
          <w:rFonts w:hint="eastAsia"/>
          <w:vertAlign w:val="subscript"/>
        </w:rPr>
        <w:t>imin</w:t>
      </w:r>
      <w:r w:rsidRPr="009727E4">
        <w:rPr>
          <w:rFonts w:hint="eastAsia"/>
        </w:rPr>
        <w:t>时的研制成本；</w:t>
      </w:r>
      <w:r w:rsidR="00485819" w:rsidRPr="00485819">
        <w:rPr>
          <w:rFonts w:hint="eastAsia"/>
          <w:i/>
          <w:iCs/>
        </w:rPr>
        <w:t>R</w:t>
      </w:r>
      <w:r w:rsidR="00485819" w:rsidRPr="00485819">
        <w:rPr>
          <w:rFonts w:hint="eastAsia"/>
          <w:vertAlign w:val="subscript"/>
        </w:rPr>
        <w:t>i</w:t>
      </w:r>
      <w:r w:rsidRPr="009727E4">
        <w:rPr>
          <w:rFonts w:hint="eastAsia"/>
        </w:rPr>
        <w:t>为第</w:t>
      </w:r>
      <w:proofErr w:type="spellStart"/>
      <w:r w:rsidRPr="009727E4">
        <w:rPr>
          <w:i/>
          <w:iCs/>
        </w:rPr>
        <w:t>i</w:t>
      </w:r>
      <w:proofErr w:type="spellEnd"/>
      <w:r w:rsidRPr="009727E4">
        <w:rPr>
          <w:rFonts w:hint="eastAsia"/>
        </w:rPr>
        <w:t>个子系统分配的可靠度，取</w:t>
      </w:r>
      <w:r w:rsidRPr="009727E4">
        <w:rPr>
          <w:rFonts w:hint="eastAsia"/>
        </w:rPr>
        <w:t>1</w:t>
      </w:r>
      <w:r w:rsidRPr="009727E4">
        <w:t>-</w:t>
      </w:r>
      <m:oMath>
        <m:nary>
          <m:naryPr>
            <m:chr m:val="∑"/>
            <m:limLoc m:val="undOvr"/>
            <m:subHide m:val="1"/>
            <m:supHide m:val="1"/>
            <m:ctrlPr>
              <w:rPr>
                <w:rFonts w:ascii="Cambria Math" w:hAnsi="Cambria Math"/>
                <w:i/>
              </w:rPr>
            </m:ctrlPr>
          </m:naryPr>
          <m:sub/>
          <m:sup/>
          <m:e>
            <m:r>
              <w:rPr>
                <w:rFonts w:ascii="Cambria Math" w:hAnsi="Cambria Math"/>
              </w:rPr>
              <m:t>P(A)</m:t>
            </m:r>
          </m:e>
        </m:nary>
      </m:oMath>
      <w:r w:rsidRPr="009727E4">
        <w:rPr>
          <w:rFonts w:hint="eastAsia"/>
        </w:rPr>
        <w:t>；</w:t>
      </w:r>
      <w:r w:rsidR="00485819" w:rsidRPr="00485819">
        <w:rPr>
          <w:rFonts w:hint="eastAsia"/>
          <w:i/>
          <w:iCs/>
        </w:rPr>
        <w:t>R</w:t>
      </w:r>
      <w:r w:rsidR="00485819" w:rsidRPr="00485819">
        <w:rPr>
          <w:rFonts w:hint="eastAsia"/>
          <w:vertAlign w:val="subscript"/>
        </w:rPr>
        <w:t>imin</w:t>
      </w:r>
      <w:r w:rsidRPr="009727E4">
        <w:rPr>
          <w:rFonts w:hint="eastAsia"/>
        </w:rPr>
        <w:t>为第</w:t>
      </w:r>
      <w:proofErr w:type="spellStart"/>
      <w:r w:rsidRPr="009727E4">
        <w:rPr>
          <w:i/>
          <w:iCs/>
        </w:rPr>
        <w:t>i</w:t>
      </w:r>
      <w:proofErr w:type="spellEnd"/>
      <w:r w:rsidRPr="009727E4">
        <w:rPr>
          <w:rFonts w:hint="eastAsia"/>
        </w:rPr>
        <w:t>个子系统的可靠度最小值；</w:t>
      </w:r>
      <w:proofErr w:type="spellStart"/>
      <w:r w:rsidR="00485819" w:rsidRPr="00485819">
        <w:rPr>
          <w:rFonts w:hint="eastAsia"/>
          <w:i/>
          <w:iCs/>
        </w:rPr>
        <w:t>R</w:t>
      </w:r>
      <w:r w:rsidR="00485819" w:rsidRPr="00485819">
        <w:rPr>
          <w:rFonts w:hint="eastAsia"/>
          <w:vertAlign w:val="subscript"/>
        </w:rPr>
        <w:t>i</w:t>
      </w:r>
      <w:r w:rsidR="00485819">
        <w:rPr>
          <w:rFonts w:hint="eastAsia"/>
          <w:vertAlign w:val="subscript"/>
        </w:rPr>
        <w:t>max</w:t>
      </w:r>
      <w:proofErr w:type="spellEnd"/>
      <w:r w:rsidRPr="009727E4">
        <w:rPr>
          <w:rFonts w:hint="eastAsia"/>
        </w:rPr>
        <w:t>为第</w:t>
      </w:r>
      <w:proofErr w:type="spellStart"/>
      <w:r w:rsidRPr="009727E4">
        <w:rPr>
          <w:i/>
          <w:iCs/>
        </w:rPr>
        <w:t>i</w:t>
      </w:r>
      <w:proofErr w:type="spellEnd"/>
      <w:r w:rsidRPr="009727E4">
        <w:rPr>
          <w:rFonts w:hint="eastAsia"/>
        </w:rPr>
        <w:t>个子系统的可靠度最大值；</w:t>
      </w:r>
      <w:r w:rsidRPr="009727E4">
        <w:rPr>
          <w:position w:val="-10"/>
        </w:rPr>
        <w:object w:dxaOrig="200" w:dyaOrig="279" w14:anchorId="10DEA14B">
          <v:shape id="_x0000_i1038" type="#_x0000_t75" style="width:9pt;height:15.75pt" o:ole="">
            <v:imagedata r:id="rId40" o:title=""/>
          </v:shape>
          <o:OLEObject Type="Embed" ProgID="Equation.DSMT4" ShapeID="_x0000_i1038" DrawAspect="Content" ObjectID="_1837586780" r:id="rId41"/>
        </w:object>
      </w:r>
      <w:r w:rsidRPr="009727E4">
        <w:rPr>
          <w:rFonts w:hint="eastAsia"/>
        </w:rPr>
        <w:t>为子系统</w:t>
      </w:r>
      <w:proofErr w:type="spellStart"/>
      <w:r w:rsidRPr="009727E4">
        <w:rPr>
          <w:i/>
          <w:iCs/>
        </w:rPr>
        <w:t>i</w:t>
      </w:r>
      <w:proofErr w:type="spellEnd"/>
      <w:r w:rsidRPr="009727E4">
        <w:rPr>
          <w:rFonts w:hint="eastAsia"/>
        </w:rPr>
        <w:t>的可行度；</w:t>
      </w:r>
      <w:r w:rsidRPr="009727E4">
        <w:rPr>
          <w:position w:val="-10"/>
        </w:rPr>
        <w:object w:dxaOrig="420" w:dyaOrig="300" w14:anchorId="47DE8792">
          <v:shape id="_x0000_i1039" type="#_x0000_t75" style="width:21pt;height:15.75pt" o:ole="">
            <v:imagedata r:id="rId42" o:title=""/>
          </v:shape>
          <o:OLEObject Type="Embed" ProgID="Equation.DSMT4" ShapeID="_x0000_i1039" DrawAspect="Content" ObjectID="_1837586781" r:id="rId43"/>
        </w:object>
      </w:r>
      <w:r w:rsidRPr="009727E4">
        <w:rPr>
          <w:rFonts w:hint="eastAsia"/>
        </w:rPr>
        <w:t>为第</w:t>
      </w:r>
      <w:proofErr w:type="spellStart"/>
      <w:r w:rsidRPr="009727E4">
        <w:rPr>
          <w:i/>
          <w:iCs/>
        </w:rPr>
        <w:t>i</w:t>
      </w:r>
      <w:proofErr w:type="spellEnd"/>
      <w:r w:rsidRPr="009727E4">
        <w:rPr>
          <w:rFonts w:hint="eastAsia"/>
        </w:rPr>
        <w:t>个子系统的最大维修成本；</w:t>
      </w:r>
      <w:r w:rsidRPr="009727E4">
        <w:rPr>
          <w:position w:val="-10"/>
        </w:rPr>
        <w:object w:dxaOrig="220" w:dyaOrig="279" w14:anchorId="3F03D743">
          <v:shape id="_x0000_i1040" type="#_x0000_t75" style="width:12pt;height:15.75pt" o:ole="">
            <v:imagedata r:id="rId44" o:title=""/>
          </v:shape>
          <o:OLEObject Type="Embed" ProgID="Equation.DSMT4" ShapeID="_x0000_i1040" DrawAspect="Content" ObjectID="_1837586782" r:id="rId45"/>
        </w:object>
      </w:r>
      <w:r w:rsidRPr="009727E4">
        <w:rPr>
          <w:rFonts w:hint="eastAsia"/>
        </w:rPr>
        <w:t>为第</w:t>
      </w:r>
      <w:proofErr w:type="spellStart"/>
      <w:r w:rsidRPr="009727E4">
        <w:rPr>
          <w:i/>
          <w:iCs/>
        </w:rPr>
        <w:t>i</w:t>
      </w:r>
      <w:proofErr w:type="spellEnd"/>
      <w:r w:rsidRPr="009727E4">
        <w:rPr>
          <w:rFonts w:hint="eastAsia"/>
        </w:rPr>
        <w:t>个子系统的可修复性系数，为可修复系统时</w:t>
      </w:r>
      <w:r w:rsidRPr="009727E4">
        <w:rPr>
          <w:position w:val="-10"/>
        </w:rPr>
        <w:object w:dxaOrig="480" w:dyaOrig="279" w14:anchorId="1165FC69">
          <v:shape id="_x0000_i1041" type="#_x0000_t75" style="width:24pt;height:15.75pt" o:ole="">
            <v:imagedata r:id="rId46" o:title=""/>
          </v:shape>
          <o:OLEObject Type="Embed" ProgID="Equation.DSMT4" ShapeID="_x0000_i1041" DrawAspect="Content" ObjectID="_1837586783" r:id="rId47"/>
        </w:object>
      </w:r>
      <w:r w:rsidRPr="009727E4">
        <w:rPr>
          <w:rFonts w:hint="eastAsia"/>
        </w:rPr>
        <w:t>，为不可修复系统时</w:t>
      </w:r>
      <w:r w:rsidRPr="009727E4">
        <w:rPr>
          <w:position w:val="-10"/>
        </w:rPr>
        <w:object w:dxaOrig="499" w:dyaOrig="279" w14:anchorId="1090FE2C">
          <v:shape id="_x0000_i1042" type="#_x0000_t75" style="width:24pt;height:15.75pt" o:ole="">
            <v:imagedata r:id="rId48" o:title=""/>
          </v:shape>
          <o:OLEObject Type="Embed" ProgID="Equation.DSMT4" ShapeID="_x0000_i1042" DrawAspect="Content" ObjectID="_1837586784" r:id="rId49"/>
        </w:object>
      </w:r>
      <w:r w:rsidRPr="009727E4">
        <w:rPr>
          <w:rFonts w:hint="eastAsia"/>
        </w:rPr>
        <w:t>，</w:t>
      </w:r>
      <w:r w:rsidRPr="009727E4">
        <w:rPr>
          <w:position w:val="-10"/>
        </w:rPr>
        <w:object w:dxaOrig="220" w:dyaOrig="279" w14:anchorId="2573900A">
          <v:shape id="_x0000_i1043" type="#_x0000_t75" style="width:12pt;height:15.75pt" o:ole="">
            <v:imagedata r:id="rId50" o:title=""/>
          </v:shape>
          <o:OLEObject Type="Embed" ProgID="Equation.DSMT4" ShapeID="_x0000_i1043" DrawAspect="Content" ObjectID="_1837586785" r:id="rId51"/>
        </w:object>
      </w:r>
      <w:r w:rsidRPr="009727E4">
        <w:rPr>
          <w:rFonts w:hint="eastAsia"/>
        </w:rPr>
        <w:t>为第</w:t>
      </w:r>
      <w:proofErr w:type="spellStart"/>
      <w:r w:rsidRPr="009727E4">
        <w:rPr>
          <w:i/>
          <w:iCs/>
        </w:rPr>
        <w:t>i</w:t>
      </w:r>
      <w:proofErr w:type="spellEnd"/>
      <w:r w:rsidRPr="009727E4">
        <w:rPr>
          <w:rFonts w:hint="eastAsia"/>
        </w:rPr>
        <w:t>个子系统的维修难易程度系数。将式（</w:t>
      </w:r>
      <w:r w:rsidRPr="009727E4">
        <w:rPr>
          <w:rFonts w:hint="eastAsia"/>
        </w:rPr>
        <w:t>1</w:t>
      </w:r>
      <w:r w:rsidRPr="009727E4">
        <w:t>0</w:t>
      </w:r>
      <w:r w:rsidRPr="009727E4">
        <w:rPr>
          <w:rFonts w:hint="eastAsia"/>
        </w:rPr>
        <w:t>）</w:t>
      </w:r>
      <w:r w:rsidRPr="009727E4">
        <w:rPr>
          <w:rFonts w:hint="eastAsia"/>
        </w:rPr>
        <w:t>-</w:t>
      </w:r>
      <w:r w:rsidRPr="009727E4">
        <w:rPr>
          <w:rFonts w:hint="eastAsia"/>
        </w:rPr>
        <w:t>（</w:t>
      </w:r>
      <w:r w:rsidRPr="009727E4">
        <w:rPr>
          <w:rFonts w:hint="eastAsia"/>
        </w:rPr>
        <w:t>1</w:t>
      </w:r>
      <w:r w:rsidRPr="009727E4">
        <w:t>1</w:t>
      </w:r>
      <w:r w:rsidRPr="009727E4">
        <w:rPr>
          <w:rFonts w:hint="eastAsia"/>
        </w:rPr>
        <w:t>）引入式（</w:t>
      </w:r>
      <w:r w:rsidRPr="009727E4">
        <w:rPr>
          <w:rFonts w:hint="eastAsia"/>
        </w:rPr>
        <w:t>1</w:t>
      </w:r>
      <w:r w:rsidRPr="009727E4">
        <w:rPr>
          <w:rFonts w:hint="eastAsia"/>
        </w:rPr>
        <w:t>）中可得到总成本</w:t>
      </w:r>
      <w:r w:rsidRPr="009727E4">
        <w:t>-</w:t>
      </w:r>
      <w:r w:rsidRPr="009727E4">
        <w:rPr>
          <w:rFonts w:hint="eastAsia"/>
        </w:rPr>
        <w:t>可靠度函数</w:t>
      </w:r>
      <w:r w:rsidRPr="009727E4">
        <w:rPr>
          <w:rFonts w:hint="eastAsia"/>
          <w:i/>
          <w:iCs/>
        </w:rPr>
        <w:t>c</w:t>
      </w:r>
      <w:r w:rsidRPr="009727E4">
        <w:t>(</w:t>
      </w:r>
      <w:r w:rsidRPr="009727E4">
        <w:rPr>
          <w:i/>
          <w:iCs/>
        </w:rPr>
        <w:t>R</w:t>
      </w:r>
      <w:r w:rsidRPr="009727E4">
        <w:rPr>
          <w:vertAlign w:val="subscript"/>
        </w:rPr>
        <w:t>i</w:t>
      </w:r>
      <w:r w:rsidRPr="009727E4">
        <w:t>)</w:t>
      </w:r>
      <w:r w:rsidRPr="009727E4">
        <w:rPr>
          <w:rFonts w:hint="eastAsia"/>
        </w:rPr>
        <w:t>：</w:t>
      </w:r>
    </w:p>
    <w:p w14:paraId="0EF345BF"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4099" w:dyaOrig="1160" w14:anchorId="5D698FFF">
          <v:shape id="_x0000_i1044" type="#_x0000_t75" style="width:175.5pt;height:51pt" o:ole="">
            <v:imagedata r:id="rId52" o:title=""/>
          </v:shape>
          <o:OLEObject Type="Embed" ProgID="Equation.DSMT4" ShapeID="_x0000_i1044" DrawAspect="Content" ObjectID="_1837586786" r:id="rId53"/>
        </w:object>
      </w:r>
      <w:r w:rsidRPr="009727E4">
        <w:rPr>
          <w:sz w:val="18"/>
          <w:szCs w:val="18"/>
        </w:rPr>
        <w:tab/>
      </w:r>
      <w:r w:rsidRPr="00043C29">
        <w:rPr>
          <w:rFonts w:hint="eastAsia"/>
          <w:sz w:val="20"/>
        </w:rPr>
        <w:t>（</w:t>
      </w:r>
      <w:r w:rsidRPr="00043C29">
        <w:rPr>
          <w:sz w:val="20"/>
        </w:rPr>
        <w:t>12</w:t>
      </w:r>
      <w:r w:rsidRPr="00043C29">
        <w:rPr>
          <w:rFonts w:hint="eastAsia"/>
          <w:sz w:val="20"/>
        </w:rPr>
        <w:t>）</w:t>
      </w:r>
    </w:p>
    <w:p w14:paraId="25C76729" w14:textId="77777777" w:rsidR="009727E4" w:rsidRPr="009727E4" w:rsidRDefault="009727E4" w:rsidP="00485819">
      <w:pPr>
        <w:pStyle w:val="15"/>
      </w:pPr>
      <w:r w:rsidRPr="009727E4">
        <w:rPr>
          <w:rFonts w:hint="eastAsia"/>
        </w:rPr>
        <w:t>对影响海上风电项目可靠性分配的因素进行分析，获得重要度向量</w:t>
      </w:r>
      <w:r w:rsidRPr="00E2008C">
        <w:rPr>
          <w:i/>
          <w:iCs/>
        </w:rPr>
        <w:t>ID</w:t>
      </w:r>
      <w:r w:rsidRPr="009727E4">
        <w:rPr>
          <w:rFonts w:hint="eastAsia"/>
        </w:rPr>
        <w:t>、危害度向量</w:t>
      </w:r>
      <w:r w:rsidRPr="00E2008C">
        <w:rPr>
          <w:i/>
          <w:iCs/>
        </w:rPr>
        <w:t>SD</w:t>
      </w:r>
      <w:r w:rsidRPr="009727E4">
        <w:rPr>
          <w:rFonts w:hint="eastAsia"/>
        </w:rPr>
        <w:t>、复杂度向量</w:t>
      </w:r>
      <w:r w:rsidRPr="00E2008C">
        <w:rPr>
          <w:i/>
          <w:iCs/>
        </w:rPr>
        <w:t>CD</w:t>
      </w:r>
      <w:r w:rsidRPr="009727E4">
        <w:rPr>
          <w:rFonts w:hint="eastAsia"/>
        </w:rPr>
        <w:t>、技术水平评分向量</w:t>
      </w:r>
      <w:r w:rsidRPr="00E2008C">
        <w:rPr>
          <w:i/>
          <w:iCs/>
        </w:rPr>
        <w:t>TT</w:t>
      </w:r>
      <w:r w:rsidRPr="009727E4">
        <w:rPr>
          <w:rFonts w:hint="eastAsia"/>
        </w:rPr>
        <w:t>、工作时间评分向量</w:t>
      </w:r>
      <w:r w:rsidRPr="00E2008C">
        <w:rPr>
          <w:i/>
          <w:iCs/>
        </w:rPr>
        <w:t>WT</w:t>
      </w:r>
      <w:r w:rsidRPr="009727E4">
        <w:rPr>
          <w:rFonts w:hint="eastAsia"/>
        </w:rPr>
        <w:t>和工作环境评分向量</w:t>
      </w:r>
      <w:r w:rsidRPr="00E2008C">
        <w:rPr>
          <w:i/>
          <w:iCs/>
        </w:rPr>
        <w:t>WE</w:t>
      </w:r>
      <w:r w:rsidRPr="009727E4">
        <w:rPr>
          <w:rFonts w:hint="eastAsia"/>
        </w:rPr>
        <w:t>的可靠性分配综合影响因素矩阵：</w:t>
      </w:r>
    </w:p>
    <w:p w14:paraId="6DCD6144"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2799" w:dyaOrig="360" w14:anchorId="35C6049A">
          <v:shape id="_x0000_i1045" type="#_x0000_t75" style="width:139.5pt;height:18.75pt" o:ole="">
            <v:imagedata r:id="rId54" o:title=""/>
          </v:shape>
          <o:OLEObject Type="Embed" ProgID="Equation.DSMT4" ShapeID="_x0000_i1045" DrawAspect="Content" ObjectID="_1837586787" r:id="rId55"/>
        </w:object>
      </w:r>
      <w:r w:rsidRPr="009727E4">
        <w:rPr>
          <w:sz w:val="18"/>
          <w:szCs w:val="18"/>
        </w:rPr>
        <w:tab/>
      </w:r>
      <w:r w:rsidRPr="00043C29">
        <w:rPr>
          <w:rFonts w:hint="eastAsia"/>
          <w:sz w:val="20"/>
        </w:rPr>
        <w:t>（</w:t>
      </w:r>
      <w:r w:rsidRPr="00043C29">
        <w:rPr>
          <w:sz w:val="20"/>
        </w:rPr>
        <w:t>13</w:t>
      </w:r>
      <w:r w:rsidRPr="00043C29">
        <w:rPr>
          <w:rFonts w:hint="eastAsia"/>
          <w:sz w:val="20"/>
        </w:rPr>
        <w:t>）</w:t>
      </w:r>
    </w:p>
    <w:p w14:paraId="7B8C6A28" w14:textId="26FB749B" w:rsidR="009727E4" w:rsidRPr="009727E4" w:rsidRDefault="009727E4" w:rsidP="00485819">
      <w:pPr>
        <w:pStyle w:val="15"/>
      </w:pPr>
      <w:r w:rsidRPr="009727E4">
        <w:rPr>
          <w:rFonts w:hint="eastAsia"/>
        </w:rPr>
        <w:t>采用理想点法即</w:t>
      </w:r>
      <w:r w:rsidRPr="009727E4">
        <w:t>VIKOR</w:t>
      </w:r>
      <w:r w:rsidRPr="009727E4">
        <w:t>方法对</w:t>
      </w:r>
      <w:r w:rsidRPr="009727E4">
        <w:rPr>
          <w:rFonts w:hint="eastAsia"/>
        </w:rPr>
        <w:t>式（</w:t>
      </w:r>
      <w:r w:rsidRPr="009727E4">
        <w:rPr>
          <w:rFonts w:hint="eastAsia"/>
        </w:rPr>
        <w:t>1</w:t>
      </w:r>
      <w:r w:rsidRPr="009727E4">
        <w:t>3</w:t>
      </w:r>
      <w:r w:rsidRPr="009727E4">
        <w:rPr>
          <w:rFonts w:hint="eastAsia"/>
        </w:rPr>
        <w:t>）中的可靠性分配综合影响因素矩阵进行分析，获得海上风电机组各子系统的可靠性分配初始权重系数：</w:t>
      </w:r>
    </w:p>
    <w:p w14:paraId="155B9FEB"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1180" w:dyaOrig="760" w14:anchorId="08AB4F0E">
          <v:shape id="_x0000_i1046" type="#_x0000_t75" style="width:60pt;height:38.25pt" o:ole="">
            <v:imagedata r:id="rId56" o:title=""/>
          </v:shape>
          <o:OLEObject Type="Embed" ProgID="Equation.DSMT4" ShapeID="_x0000_i1046" DrawAspect="Content" ObjectID="_1837586788" r:id="rId57"/>
        </w:object>
      </w:r>
      <w:r w:rsidRPr="009727E4">
        <w:rPr>
          <w:sz w:val="18"/>
          <w:szCs w:val="18"/>
        </w:rPr>
        <w:tab/>
      </w:r>
      <w:r w:rsidRPr="00043C29">
        <w:rPr>
          <w:rFonts w:hint="eastAsia"/>
          <w:sz w:val="20"/>
        </w:rPr>
        <w:t>（</w:t>
      </w:r>
      <w:r w:rsidRPr="00043C29">
        <w:rPr>
          <w:sz w:val="20"/>
        </w:rPr>
        <w:t>14</w:t>
      </w:r>
      <w:r w:rsidRPr="00043C29">
        <w:rPr>
          <w:rFonts w:hint="eastAsia"/>
          <w:sz w:val="20"/>
        </w:rPr>
        <w:t>）</w:t>
      </w:r>
    </w:p>
    <w:p w14:paraId="7712A54D" w14:textId="79AACFC6" w:rsidR="009727E4" w:rsidRPr="009727E4" w:rsidRDefault="009727E4" w:rsidP="00E2008C">
      <w:pPr>
        <w:pStyle w:val="15"/>
        <w:ind w:firstLine="0"/>
      </w:pPr>
      <w:r w:rsidRPr="009727E4">
        <w:rPr>
          <w:rFonts w:hint="eastAsia"/>
        </w:rPr>
        <w:t>式中</w:t>
      </w:r>
      <w:proofErr w:type="spellStart"/>
      <w:r w:rsidR="00485819" w:rsidRPr="00485819">
        <w:rPr>
          <w:rFonts w:hint="eastAsia"/>
          <w:i/>
          <w:iCs/>
        </w:rPr>
        <w:t>w</w:t>
      </w:r>
      <w:r w:rsidR="00485819" w:rsidRPr="00485819">
        <w:rPr>
          <w:rFonts w:hint="eastAsia"/>
          <w:vertAlign w:val="subscript"/>
        </w:rPr>
        <w:t>i</w:t>
      </w:r>
      <w:proofErr w:type="spellEnd"/>
      <w:r w:rsidRPr="009727E4">
        <w:rPr>
          <w:rFonts w:hint="eastAsia"/>
        </w:rPr>
        <w:t>为第</w:t>
      </w:r>
      <w:proofErr w:type="spellStart"/>
      <w:r w:rsidRPr="009727E4">
        <w:rPr>
          <w:i/>
          <w:iCs/>
        </w:rPr>
        <w:t>i</w:t>
      </w:r>
      <w:proofErr w:type="spellEnd"/>
      <w:r w:rsidRPr="009727E4">
        <w:rPr>
          <w:rFonts w:hint="eastAsia"/>
        </w:rPr>
        <w:t>个子系统的可靠性分配初始权重系数；</w:t>
      </w:r>
      <w:r w:rsidRPr="009727E4">
        <w:rPr>
          <w:i/>
          <w:iCs/>
        </w:rPr>
        <w:t>Q</w:t>
      </w:r>
      <w:r w:rsidRPr="009727E4">
        <w:rPr>
          <w:rFonts w:hint="eastAsia"/>
        </w:rPr>
        <w:t>是根据</w:t>
      </w:r>
      <w:r w:rsidRPr="009727E4">
        <w:t>VIKOR</w:t>
      </w:r>
      <w:r w:rsidRPr="009727E4">
        <w:rPr>
          <w:rFonts w:hint="eastAsia"/>
        </w:rPr>
        <w:t>方法获得的排序折衷指标。根据上式确定的各子系统可靠性分配初始权重系数，各子系统的可靠性约束关系可表示为：</w:t>
      </w:r>
    </w:p>
    <w:p w14:paraId="215C7E40"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1960" w:dyaOrig="1540" w14:anchorId="5CC95006">
          <v:shape id="_x0000_i1047" type="#_x0000_t75" style="width:96pt;height:78pt" o:ole="">
            <v:imagedata r:id="rId58" o:title=""/>
          </v:shape>
          <o:OLEObject Type="Embed" ProgID="Equation.DSMT4" ShapeID="_x0000_i1047" DrawAspect="Content" ObjectID="_1837586789" r:id="rId59"/>
        </w:object>
      </w:r>
      <w:r w:rsidRPr="009727E4">
        <w:rPr>
          <w:sz w:val="18"/>
          <w:szCs w:val="18"/>
        </w:rPr>
        <w:tab/>
      </w:r>
      <w:r w:rsidRPr="00043C29">
        <w:rPr>
          <w:rFonts w:hint="eastAsia"/>
          <w:sz w:val="20"/>
        </w:rPr>
        <w:t>（</w:t>
      </w:r>
      <w:r w:rsidRPr="00043C29">
        <w:rPr>
          <w:sz w:val="20"/>
        </w:rPr>
        <w:t>15</w:t>
      </w:r>
      <w:r w:rsidRPr="00043C29">
        <w:rPr>
          <w:rFonts w:hint="eastAsia"/>
          <w:sz w:val="20"/>
        </w:rPr>
        <w:t>）</w:t>
      </w:r>
    </w:p>
    <w:p w14:paraId="746419B7" w14:textId="1A7B8E4E" w:rsidR="009727E4" w:rsidRPr="009727E4" w:rsidRDefault="009727E4" w:rsidP="00485819">
      <w:pPr>
        <w:pStyle w:val="15"/>
      </w:pPr>
      <w:r w:rsidRPr="009727E4">
        <w:rPr>
          <w:rFonts w:hint="eastAsia"/>
        </w:rPr>
        <w:t>其中</w:t>
      </w:r>
      <w:proofErr w:type="spellStart"/>
      <w:r w:rsidR="00485819" w:rsidRPr="00485819">
        <w:rPr>
          <w:rFonts w:hint="eastAsia"/>
          <w:i/>
          <w:iCs/>
        </w:rPr>
        <w:t>R</w:t>
      </w:r>
      <w:r w:rsidR="00485819">
        <w:rPr>
          <w:rFonts w:hint="eastAsia"/>
          <w:vertAlign w:val="subscript"/>
        </w:rPr>
        <w:t>obj</w:t>
      </w:r>
      <w:proofErr w:type="spellEnd"/>
      <w:r w:rsidRPr="009727E4">
        <w:rPr>
          <w:rFonts w:hint="eastAsia"/>
        </w:rPr>
        <w:t>为海上风电机组的可靠性分配指标；</w:t>
      </w:r>
      <w:r w:rsidRPr="009727E4">
        <w:rPr>
          <w:position w:val="-10"/>
        </w:rPr>
        <w:object w:dxaOrig="240" w:dyaOrig="300" w14:anchorId="2524B08C">
          <v:shape id="_x0000_i1048" type="#_x0000_t75" style="width:12pt;height:15.75pt" o:ole="">
            <v:imagedata r:id="rId60" o:title=""/>
          </v:shape>
          <o:OLEObject Type="Embed" ProgID="Equation.DSMT4" ShapeID="_x0000_i1048" DrawAspect="Content" ObjectID="_1837586790" r:id="rId61"/>
        </w:object>
      </w:r>
      <w:r w:rsidRPr="009727E4">
        <w:rPr>
          <w:rFonts w:hint="eastAsia"/>
        </w:rPr>
        <w:t>为按子系统初始权重系数分配得到的第</w:t>
      </w:r>
      <w:proofErr w:type="spellStart"/>
      <w:r w:rsidRPr="009727E4">
        <w:rPr>
          <w:i/>
          <w:iCs/>
        </w:rPr>
        <w:t>i</w:t>
      </w:r>
      <w:proofErr w:type="spellEnd"/>
      <w:r w:rsidRPr="009727E4">
        <w:rPr>
          <w:rFonts w:hint="eastAsia"/>
        </w:rPr>
        <w:t>个子系统的可靠度；</w:t>
      </w:r>
      <w:r w:rsidRPr="009727E4">
        <w:rPr>
          <w:i/>
          <w:iCs/>
        </w:rPr>
        <w:t>n</w:t>
      </w:r>
      <w:r w:rsidRPr="009727E4">
        <w:rPr>
          <w:rFonts w:hint="eastAsia"/>
        </w:rPr>
        <w:t>为海上风电机组子系统的个数。基于式（</w:t>
      </w:r>
      <w:r w:rsidRPr="009727E4">
        <w:t>15</w:t>
      </w:r>
      <w:r w:rsidRPr="009727E4">
        <w:rPr>
          <w:rFonts w:hint="eastAsia"/>
        </w:rPr>
        <w:t>）的可靠性约束关系，建立如下的海上风电项目可靠性优化分配模型：</w:t>
      </w:r>
    </w:p>
    <w:p w14:paraId="3F3B71B9" w14:textId="77777777" w:rsidR="009727E4" w:rsidRPr="009727E4" w:rsidRDefault="009727E4" w:rsidP="009727E4">
      <w:pPr>
        <w:tabs>
          <w:tab w:val="center" w:pos="0"/>
          <w:tab w:val="center" w:pos="2100"/>
          <w:tab w:val="right" w:pos="4620"/>
        </w:tabs>
        <w:spacing w:line="360" w:lineRule="auto"/>
        <w:jc w:val="center"/>
        <w:rPr>
          <w:sz w:val="18"/>
          <w:szCs w:val="18"/>
        </w:rPr>
      </w:pPr>
      <w:r w:rsidRPr="009727E4">
        <w:rPr>
          <w:sz w:val="18"/>
          <w:szCs w:val="18"/>
        </w:rPr>
        <w:tab/>
      </w:r>
      <w:r w:rsidRPr="009727E4">
        <w:rPr>
          <w:sz w:val="18"/>
          <w:szCs w:val="18"/>
        </w:rPr>
        <w:object w:dxaOrig="1820" w:dyaOrig="2140" w14:anchorId="0B95C17B">
          <v:shape id="_x0000_i1049" type="#_x0000_t75" style="width:90.75pt;height:108pt" o:ole="">
            <v:imagedata r:id="rId62" o:title=""/>
          </v:shape>
          <o:OLEObject Type="Embed" ProgID="Equation.DSMT4" ShapeID="_x0000_i1049" DrawAspect="Content" ObjectID="_1837586791" r:id="rId63"/>
        </w:object>
      </w:r>
      <w:r w:rsidRPr="009727E4">
        <w:rPr>
          <w:sz w:val="18"/>
          <w:szCs w:val="18"/>
        </w:rPr>
        <w:tab/>
      </w:r>
      <w:r w:rsidRPr="00043C29">
        <w:rPr>
          <w:rFonts w:hint="eastAsia"/>
          <w:sz w:val="20"/>
        </w:rPr>
        <w:t>（</w:t>
      </w:r>
      <w:r w:rsidRPr="00043C29">
        <w:rPr>
          <w:sz w:val="20"/>
        </w:rPr>
        <w:t>16</w:t>
      </w:r>
      <w:r w:rsidRPr="00043C29">
        <w:rPr>
          <w:rFonts w:hint="eastAsia"/>
          <w:sz w:val="20"/>
        </w:rPr>
        <w:t>）</w:t>
      </w:r>
    </w:p>
    <w:p w14:paraId="6686A3F1" w14:textId="6046214E" w:rsidR="009727E4" w:rsidRPr="009727E4" w:rsidRDefault="009727E4" w:rsidP="00485819">
      <w:pPr>
        <w:pStyle w:val="15"/>
      </w:pPr>
      <w:r w:rsidRPr="009727E4">
        <w:rPr>
          <w:rFonts w:hint="eastAsia"/>
        </w:rPr>
        <w:t>式</w:t>
      </w:r>
      <w:r w:rsidRPr="009727E4">
        <w:t>中</w:t>
      </w:r>
      <w:proofErr w:type="spellStart"/>
      <w:r w:rsidRPr="009727E4">
        <w:rPr>
          <w:i/>
          <w:iCs/>
        </w:rPr>
        <w:t>minC</w:t>
      </w:r>
      <w:proofErr w:type="spellEnd"/>
      <w:r w:rsidRPr="009727E4">
        <w:t>为最小化海上风电机组的总成本</w:t>
      </w:r>
      <w:r w:rsidRPr="009727E4">
        <w:rPr>
          <w:rFonts w:hint="eastAsia"/>
        </w:rPr>
        <w:t>；</w:t>
      </w:r>
      <w:proofErr w:type="spellStart"/>
      <w:r w:rsidRPr="009727E4">
        <w:t>min</w:t>
      </w:r>
      <w:r w:rsidRPr="009727E4">
        <w:rPr>
          <w:i/>
          <w:iCs/>
        </w:rPr>
        <w:t>C</w:t>
      </w:r>
      <w:r w:rsidRPr="009727E4">
        <w:rPr>
          <w:i/>
          <w:iCs/>
          <w:vertAlign w:val="superscript"/>
        </w:rPr>
        <w:t>I</w:t>
      </w:r>
      <w:proofErr w:type="spellEnd"/>
      <w:r w:rsidRPr="009727E4">
        <w:t>为最小化海上风电机组的研制成本</w:t>
      </w:r>
      <w:r w:rsidRPr="009727E4">
        <w:rPr>
          <w:rFonts w:hint="eastAsia"/>
        </w:rPr>
        <w:t>；</w:t>
      </w:r>
      <w:proofErr w:type="spellStart"/>
      <w:r w:rsidRPr="009727E4">
        <w:t>min</w:t>
      </w:r>
      <w:r w:rsidRPr="009727E4">
        <w:rPr>
          <w:i/>
          <w:iCs/>
        </w:rPr>
        <w:t>C</w:t>
      </w:r>
      <w:r w:rsidRPr="009727E4">
        <w:rPr>
          <w:i/>
          <w:iCs/>
          <w:vertAlign w:val="superscript"/>
        </w:rPr>
        <w:t>OM</w:t>
      </w:r>
      <w:proofErr w:type="spellEnd"/>
      <w:r w:rsidRPr="009727E4">
        <w:t>为最小化海上风电机组的维修成本</w:t>
      </w:r>
      <w:r w:rsidRPr="009727E4">
        <w:rPr>
          <w:rFonts w:hint="eastAsia"/>
        </w:rPr>
        <w:t>；</w:t>
      </w:r>
      <w:proofErr w:type="spellStart"/>
      <w:r w:rsidRPr="009727E4">
        <w:t>max</w:t>
      </w:r>
      <w:r w:rsidRPr="009727E4">
        <w:rPr>
          <w:i/>
          <w:iCs/>
        </w:rPr>
        <w:t>R</w:t>
      </w:r>
      <w:r w:rsidRPr="009727E4">
        <w:rPr>
          <w:i/>
          <w:iCs/>
          <w:vertAlign w:val="subscript"/>
        </w:rPr>
        <w:t>S</w:t>
      </w:r>
      <w:proofErr w:type="spellEnd"/>
      <w:r w:rsidRPr="009727E4">
        <w:t>为最大化海上风电机组的可靠度</w:t>
      </w:r>
      <w:r w:rsidRPr="009727E4">
        <w:rPr>
          <w:rFonts w:hint="eastAsia"/>
        </w:rPr>
        <w:t>。根据上述式（</w:t>
      </w:r>
      <w:r w:rsidRPr="009727E4">
        <w:rPr>
          <w:rFonts w:hint="eastAsia"/>
        </w:rPr>
        <w:t>1</w:t>
      </w:r>
      <w:r w:rsidRPr="009727E4">
        <w:t>5</w:t>
      </w:r>
      <w:r w:rsidRPr="009727E4">
        <w:rPr>
          <w:rFonts w:hint="eastAsia"/>
        </w:rPr>
        <w:t>）和式（</w:t>
      </w:r>
      <w:r w:rsidRPr="009727E4">
        <w:rPr>
          <w:rFonts w:hint="eastAsia"/>
        </w:rPr>
        <w:t>1</w:t>
      </w:r>
      <w:r w:rsidRPr="009727E4">
        <w:t>6</w:t>
      </w:r>
      <w:r w:rsidRPr="009727E4">
        <w:rPr>
          <w:rFonts w:hint="eastAsia"/>
        </w:rPr>
        <w:t>）的可靠性优化分配模型，基于</w:t>
      </w:r>
      <w:r w:rsidRPr="009727E4">
        <w:t>Pareto</w:t>
      </w:r>
      <w:r w:rsidRPr="009727E4">
        <w:t>多目标优化</w:t>
      </w:r>
      <w:r w:rsidRPr="009727E4">
        <w:rPr>
          <w:rFonts w:hint="eastAsia"/>
        </w:rPr>
        <w:t>方法</w:t>
      </w:r>
      <w:r w:rsidRPr="009727E4">
        <w:t>，采用改进的人工蜂群算法对其进行求解，获得海上风电机组可靠性分配方案的</w:t>
      </w:r>
      <w:r w:rsidRPr="009727E4">
        <w:t>Pareto</w:t>
      </w:r>
      <w:r w:rsidRPr="009727E4">
        <w:t>最优解集</w:t>
      </w:r>
      <w:r w:rsidRPr="009727E4">
        <w:rPr>
          <w:rFonts w:hint="eastAsia"/>
        </w:rPr>
        <w:t>，对各可靠性分配方案下的系统研制成本、维修成本、总成本和系统可靠度进行分析评价和动态优化，优中选优，实现对海上风电项目全生命期成本和可靠性的最优化设计。</w:t>
      </w:r>
    </w:p>
    <w:p w14:paraId="71B56C3E" w14:textId="284844F4" w:rsidR="00E83C2F" w:rsidRDefault="00E83C2F" w:rsidP="005271DE">
      <w:pPr>
        <w:pStyle w:val="15"/>
        <w:rPr>
          <w:shd w:val="clear" w:color="auto" w:fill="FFFFFF"/>
        </w:rPr>
      </w:pPr>
      <w:r>
        <w:rPr>
          <w:rFonts w:hint="eastAsia"/>
          <w:shd w:val="clear" w:color="auto" w:fill="FFFFFF"/>
        </w:rPr>
        <w:t>（</w:t>
      </w:r>
      <w:r>
        <w:rPr>
          <w:rFonts w:hint="eastAsia"/>
          <w:shd w:val="clear" w:color="auto" w:fill="FFFFFF"/>
        </w:rPr>
        <w:t>2</w:t>
      </w:r>
      <w:r>
        <w:rPr>
          <w:rFonts w:hint="eastAsia"/>
          <w:shd w:val="clear" w:color="auto" w:fill="FFFFFF"/>
        </w:rPr>
        <w:t>）智慧基建</w:t>
      </w:r>
    </w:p>
    <w:p w14:paraId="044539F6" w14:textId="4AAF4B92" w:rsidR="00E83C2F" w:rsidRDefault="00E83C2F" w:rsidP="005271DE">
      <w:pPr>
        <w:pStyle w:val="15"/>
      </w:pPr>
      <w:r w:rsidRPr="00E83C2F">
        <w:rPr>
          <w:rFonts w:hint="eastAsia"/>
        </w:rPr>
        <w:t>海上风电项目基建管理主要包含安全、质量、进度、成本和资产五大管理内容，以安全管理扁平化、</w:t>
      </w:r>
      <w:r w:rsidRPr="00E83C2F">
        <w:rPr>
          <w:rFonts w:hint="eastAsia"/>
        </w:rPr>
        <w:lastRenderedPageBreak/>
        <w:t>质量进度高效化、资产管理数据化为目标，消除海上作业安全隐患，减少工期延误，控制资产质量与造价。各模块的开发方法与功能为：</w:t>
      </w:r>
      <w:r w:rsidRPr="00E83C2F">
        <w:rPr>
          <w:rFonts w:hint="eastAsia"/>
        </w:rPr>
        <w:t>1</w:t>
      </w:r>
      <w:r w:rsidRPr="00E83C2F">
        <w:rPr>
          <w:rFonts w:hint="eastAsia"/>
        </w:rPr>
        <w:t>）安全管理：考虑工程项目组织信任状态</w:t>
      </w:r>
      <w:r w:rsidRPr="00E83C2F">
        <w:rPr>
          <w:highlight w:val="yellow"/>
          <w:vertAlign w:val="superscript"/>
        </w:rPr>
        <w:fldChar w:fldCharType="begin"/>
      </w:r>
      <w:r w:rsidRPr="00E83C2F">
        <w:rPr>
          <w:vertAlign w:val="superscript"/>
        </w:rPr>
        <w:instrText xml:space="preserve"> </w:instrText>
      </w:r>
      <w:r w:rsidRPr="00E83C2F">
        <w:rPr>
          <w:rFonts w:hint="eastAsia"/>
          <w:vertAlign w:val="superscript"/>
        </w:rPr>
        <w:instrText>REF _Ref167547692 \r \h</w:instrText>
      </w:r>
      <w:r w:rsidRPr="00E83C2F">
        <w:rPr>
          <w:vertAlign w:val="superscript"/>
        </w:rPr>
        <w:instrText xml:space="preserve"> </w:instrText>
      </w:r>
      <w:r w:rsidRPr="00E83C2F">
        <w:rPr>
          <w:highlight w:val="yellow"/>
          <w:vertAlign w:val="superscript"/>
        </w:rPr>
        <w:instrText xml:space="preserve"> \* MERGEFORMAT </w:instrText>
      </w:r>
      <w:r w:rsidRPr="00E83C2F">
        <w:rPr>
          <w:highlight w:val="yellow"/>
          <w:vertAlign w:val="superscript"/>
        </w:rPr>
      </w:r>
      <w:r w:rsidRPr="00E83C2F">
        <w:rPr>
          <w:highlight w:val="yellow"/>
          <w:vertAlign w:val="superscript"/>
        </w:rPr>
        <w:fldChar w:fldCharType="separate"/>
      </w:r>
      <w:r w:rsidRPr="00E83C2F">
        <w:rPr>
          <w:vertAlign w:val="superscript"/>
        </w:rPr>
        <w:t>[21]</w:t>
      </w:r>
      <w:r w:rsidRPr="00E83C2F">
        <w:rPr>
          <w:highlight w:val="yellow"/>
          <w:vertAlign w:val="superscript"/>
        </w:rPr>
        <w:fldChar w:fldCharType="end"/>
      </w:r>
      <w:r w:rsidRPr="00E83C2F">
        <w:rPr>
          <w:rFonts w:hint="eastAsia"/>
        </w:rPr>
        <w:t>，基于演化博弈理论和信息熵的海上风电安全互信关系量化评估方法</w:t>
      </w:r>
      <w:r w:rsidRPr="00E83C2F">
        <w:rPr>
          <w:highlight w:val="yellow"/>
          <w:vertAlign w:val="superscript"/>
        </w:rPr>
        <w:fldChar w:fldCharType="begin"/>
      </w:r>
      <w:r w:rsidRPr="00E83C2F">
        <w:rPr>
          <w:vertAlign w:val="superscript"/>
        </w:rPr>
        <w:instrText xml:space="preserve"> </w:instrText>
      </w:r>
      <w:r w:rsidRPr="00E83C2F">
        <w:rPr>
          <w:rFonts w:hint="eastAsia"/>
          <w:vertAlign w:val="superscript"/>
        </w:rPr>
        <w:instrText>REF _Ref167547698 \r \h</w:instrText>
      </w:r>
      <w:r w:rsidRPr="00E83C2F">
        <w:rPr>
          <w:vertAlign w:val="superscript"/>
        </w:rPr>
        <w:instrText xml:space="preserve"> </w:instrText>
      </w:r>
      <w:r w:rsidRPr="00E83C2F">
        <w:rPr>
          <w:highlight w:val="yellow"/>
          <w:vertAlign w:val="superscript"/>
        </w:rPr>
        <w:instrText xml:space="preserve"> \* MERGEFORMAT </w:instrText>
      </w:r>
      <w:r w:rsidRPr="00E83C2F">
        <w:rPr>
          <w:highlight w:val="yellow"/>
          <w:vertAlign w:val="superscript"/>
        </w:rPr>
      </w:r>
      <w:r w:rsidRPr="00E83C2F">
        <w:rPr>
          <w:highlight w:val="yellow"/>
          <w:vertAlign w:val="superscript"/>
        </w:rPr>
        <w:fldChar w:fldCharType="separate"/>
      </w:r>
      <w:r w:rsidRPr="00E83C2F">
        <w:rPr>
          <w:vertAlign w:val="superscript"/>
        </w:rPr>
        <w:t>[22]</w:t>
      </w:r>
      <w:r w:rsidRPr="00E83C2F">
        <w:rPr>
          <w:highlight w:val="yellow"/>
          <w:vertAlign w:val="superscript"/>
        </w:rPr>
        <w:fldChar w:fldCharType="end"/>
      </w:r>
      <w:r w:rsidRPr="00E83C2F">
        <w:rPr>
          <w:rFonts w:hint="eastAsia"/>
        </w:rPr>
        <w:t>，建立全员参与、扁平互动、闭环整改的隐患排查机制，研发满足远程管控、实时交互等的安全管理系统平台，支持隐患及质量缺陷在线整改、逐级闭环，并集成</w:t>
      </w:r>
      <w:r w:rsidRPr="00E83C2F">
        <w:t>AIS</w:t>
      </w:r>
      <w:r w:rsidRPr="00E83C2F">
        <w:t>系统实现船舶与作业人员协同作业、在线可视管理</w:t>
      </w:r>
      <w:r w:rsidRPr="00E83C2F">
        <w:rPr>
          <w:vertAlign w:val="superscript"/>
        </w:rPr>
        <w:fldChar w:fldCharType="begin"/>
      </w:r>
      <w:r w:rsidRPr="00E83C2F">
        <w:rPr>
          <w:vertAlign w:val="superscript"/>
        </w:rPr>
        <w:instrText xml:space="preserve"> REF _Ref196380816 \r \h  \* MERGEFORMAT </w:instrText>
      </w:r>
      <w:r w:rsidRPr="00E83C2F">
        <w:rPr>
          <w:vertAlign w:val="superscript"/>
        </w:rPr>
      </w:r>
      <w:r w:rsidRPr="00E83C2F">
        <w:rPr>
          <w:vertAlign w:val="superscript"/>
        </w:rPr>
        <w:fldChar w:fldCharType="separate"/>
      </w:r>
      <w:r w:rsidRPr="00E83C2F">
        <w:rPr>
          <w:vertAlign w:val="superscript"/>
        </w:rPr>
        <w:t>[23]</w:t>
      </w:r>
      <w:r w:rsidRPr="00E83C2F">
        <w:rPr>
          <w:vertAlign w:val="superscript"/>
        </w:rPr>
        <w:fldChar w:fldCharType="end"/>
      </w:r>
      <w:r w:rsidRPr="00E83C2F">
        <w:rPr>
          <w:rFonts w:hint="eastAsia"/>
        </w:rPr>
        <w:t>；</w:t>
      </w:r>
      <w:r w:rsidRPr="00E83C2F">
        <w:rPr>
          <w:rFonts w:hint="eastAsia"/>
        </w:rPr>
        <w:t>2</w:t>
      </w:r>
      <w:r w:rsidRPr="00E83C2F">
        <w:rPr>
          <w:rFonts w:hint="eastAsia"/>
        </w:rPr>
        <w:t>）质量与进度管理：针对海上施工通信受限、海上作业窗口期的问题，对在线质量验评和施工进度开展信息化流程重构，建立质量与进度数据关联分析方法，并辅以天气窗口期管理，实现内置工程标准的质量方案、作业方案、施工计划的线上制定、上报、审批、整改的扁平闭环管理，精准掌握实时进度与主体工程完成情况；</w:t>
      </w:r>
      <w:r w:rsidRPr="00E83C2F">
        <w:rPr>
          <w:rFonts w:hint="eastAsia"/>
        </w:rPr>
        <w:t>3</w:t>
      </w:r>
      <w:r w:rsidRPr="00E83C2F">
        <w:rPr>
          <w:rFonts w:hint="eastAsia"/>
        </w:rPr>
        <w:t>）造价与资产管理：通过将工程概算与合同标段的数字化关联管理，对每个合同标段实际投入的设备、材料、资金的使用情况，与合同目标进行实时比对与动态管控，整合资产的采</w:t>
      </w:r>
      <w:r w:rsidRPr="00E83C2F">
        <w:rPr>
          <w:rFonts w:hint="eastAsia"/>
        </w:rPr>
        <w:t>购、运输、使用和造价管理的全过程成本数据与设备性能数据以及基建过程中的调试验收数据，为各合同标段建立面向资产质量的严格的造价管控体系提供保障，实现建设成本与概算的实时对比调整，有效管控工程造价和项目投资。</w:t>
      </w:r>
    </w:p>
    <w:p w14:paraId="6BAE6150" w14:textId="7E41867B" w:rsidR="00E83C2F" w:rsidRPr="00E83C2F" w:rsidRDefault="00E83C2F" w:rsidP="005271DE">
      <w:pPr>
        <w:pStyle w:val="15"/>
      </w:pPr>
      <w:r w:rsidRPr="00E83C2F">
        <w:rPr>
          <w:rFonts w:hint="eastAsia"/>
        </w:rPr>
        <w:t>基建期形成的资产设备在全生命期内采用统一的</w:t>
      </w:r>
      <w:r w:rsidRPr="00E83C2F">
        <w:rPr>
          <w:rFonts w:hint="eastAsia"/>
        </w:rPr>
        <w:t>K</w:t>
      </w:r>
      <w:r w:rsidRPr="00E83C2F">
        <w:t>KS</w:t>
      </w:r>
      <w:r w:rsidRPr="00E83C2F">
        <w:rPr>
          <w:rFonts w:hint="eastAsia"/>
        </w:rPr>
        <w:t>编码，提供各阶段资产历史信息的存储与溯源。通过研发海上风电基建期安全、质量、进度、成本和资产五大管理功能模块（图</w:t>
      </w:r>
      <w:r w:rsidRPr="00E83C2F">
        <w:t>5</w:t>
      </w:r>
      <w:r w:rsidRPr="00E83C2F">
        <w:rPr>
          <w:rFonts w:hint="eastAsia"/>
        </w:rPr>
        <w:t>），实现安全隐患全员化排查、质量管理流程在线远程化处理、质量进度数据关联可视化分析、工程造价数字化管控和资产信息集成化存储，以全员参与、扁平化、闭环反馈的管理机制，优化海上风电项目基建管理层级，减少无效的管理流程，排查施工中潜在的各类风险，充分发挥数据价值，以数据驱动隐患整改、质量进度控制、成本管控和资产使用决策，从而提高海上基建效率，降低基建成本，并为海上风电后续全生命期资产管理提供各级资产设计和建设阶段的整套管理数据，提高电站全</w:t>
      </w:r>
      <w:r w:rsidR="003A6D00">
        <w:rPr>
          <w:rFonts w:hint="eastAsia"/>
        </w:rPr>
        <w:t>生命</w:t>
      </w:r>
      <w:r w:rsidRPr="00E83C2F">
        <w:rPr>
          <w:rFonts w:hint="eastAsia"/>
        </w:rPr>
        <w:t>期智能化管理水平。</w:t>
      </w:r>
    </w:p>
    <w:p w14:paraId="7B72C7B3" w14:textId="77777777" w:rsidR="00E83C2F" w:rsidRDefault="00E83C2F" w:rsidP="00E83C2F">
      <w:pPr>
        <w:tabs>
          <w:tab w:val="left" w:pos="0"/>
          <w:tab w:val="left" w:pos="735"/>
        </w:tabs>
        <w:spacing w:line="360" w:lineRule="auto"/>
        <w:rPr>
          <w:color w:val="000000" w:themeColor="text1"/>
          <w:szCs w:val="21"/>
        </w:rPr>
        <w:sectPr w:rsidR="00E83C2F" w:rsidSect="00E83C2F">
          <w:type w:val="continuous"/>
          <w:pgSz w:w="11906" w:h="16838"/>
          <w:pgMar w:top="1089" w:right="879" w:bottom="624" w:left="1157" w:header="851" w:footer="893" w:gutter="0"/>
          <w:cols w:num="2" w:space="425"/>
          <w:docGrid w:type="lines" w:linePitch="312"/>
        </w:sectPr>
      </w:pPr>
    </w:p>
    <w:p w14:paraId="7D6416BC" w14:textId="29600AC6" w:rsidR="00E83C2F" w:rsidRDefault="00E83C2F" w:rsidP="00E83C2F">
      <w:pPr>
        <w:spacing w:line="360" w:lineRule="auto"/>
        <w:jc w:val="center"/>
        <w:rPr>
          <w:rFonts w:ascii="黑体" w:eastAsia="黑体" w:hAnsi="黑体" w:hint="eastAsia"/>
          <w:color w:val="000000" w:themeColor="text1"/>
          <w:sz w:val="18"/>
          <w:szCs w:val="18"/>
        </w:rPr>
        <w:sectPr w:rsidR="00E83C2F" w:rsidSect="00E83C2F">
          <w:type w:val="continuous"/>
          <w:pgSz w:w="11906" w:h="16838"/>
          <w:pgMar w:top="1089" w:right="879" w:bottom="624" w:left="1157" w:header="851" w:footer="893" w:gutter="0"/>
          <w:cols w:space="425"/>
          <w:docGrid w:type="lines" w:linePitch="312"/>
        </w:sectPr>
      </w:pPr>
      <w:r>
        <w:rPr>
          <w:rFonts w:eastAsia="黑体"/>
          <w:b/>
          <w:noProof/>
          <w:sz w:val="15"/>
          <w:szCs w:val="15"/>
        </w:rPr>
        <w:drawing>
          <wp:inline distT="0" distB="0" distL="0" distR="0" wp14:anchorId="101843DF" wp14:editId="647EAEED">
            <wp:extent cx="6369786" cy="322315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33604" cy="3255448"/>
                    </a:xfrm>
                    <a:prstGeom prst="rect">
                      <a:avLst/>
                    </a:prstGeom>
                    <a:noFill/>
                  </pic:spPr>
                </pic:pic>
              </a:graphicData>
            </a:graphic>
          </wp:inline>
        </w:drawing>
      </w:r>
    </w:p>
    <w:p w14:paraId="03C91C1E" w14:textId="3E2548CD" w:rsidR="00E83C2F" w:rsidRPr="005271DE" w:rsidRDefault="00E83C2F" w:rsidP="005271DE">
      <w:pPr>
        <w:spacing w:line="360" w:lineRule="auto"/>
        <w:jc w:val="center"/>
        <w:rPr>
          <w:color w:val="000000" w:themeColor="text1"/>
          <w:szCs w:val="21"/>
        </w:rPr>
        <w:sectPr w:rsidR="00E83C2F" w:rsidRPr="005271DE" w:rsidSect="00E83C2F">
          <w:type w:val="continuous"/>
          <w:pgSz w:w="11906" w:h="16838"/>
          <w:pgMar w:top="1089" w:right="879" w:bottom="624" w:left="1157" w:header="851" w:footer="893" w:gutter="0"/>
          <w:cols w:space="425"/>
          <w:docGrid w:type="lines" w:linePitch="312"/>
        </w:sectPr>
      </w:pPr>
      <w:r w:rsidRPr="005271DE">
        <w:rPr>
          <w:rFonts w:hint="eastAsia"/>
          <w:color w:val="000000" w:themeColor="text1"/>
          <w:szCs w:val="21"/>
        </w:rPr>
        <w:t>图</w:t>
      </w:r>
      <w:r w:rsidRPr="005271DE">
        <w:rPr>
          <w:rFonts w:hint="eastAsia"/>
          <w:color w:val="000000" w:themeColor="text1"/>
          <w:szCs w:val="21"/>
        </w:rPr>
        <w:t>5</w:t>
      </w:r>
      <w:r w:rsidR="004631B4">
        <w:rPr>
          <w:rFonts w:hint="eastAsia"/>
          <w:color w:val="000000" w:themeColor="text1"/>
          <w:szCs w:val="21"/>
        </w:rPr>
        <w:t xml:space="preserve"> </w:t>
      </w:r>
      <w:r w:rsidRPr="005271DE">
        <w:rPr>
          <w:rFonts w:hint="eastAsia"/>
          <w:color w:val="000000" w:themeColor="text1"/>
          <w:szCs w:val="21"/>
        </w:rPr>
        <w:t>海上风电智慧基建功能模块</w:t>
      </w:r>
    </w:p>
    <w:p w14:paraId="49CC6509" w14:textId="012C1F94" w:rsidR="00E83C2F" w:rsidRDefault="00E83C2F" w:rsidP="005271DE">
      <w:pPr>
        <w:pStyle w:val="15"/>
        <w:rPr>
          <w:shd w:val="clear" w:color="auto" w:fill="FFFFFF"/>
        </w:rPr>
      </w:pPr>
      <w:r>
        <w:rPr>
          <w:rFonts w:hint="eastAsia"/>
          <w:shd w:val="clear" w:color="auto" w:fill="FFFFFF"/>
        </w:rPr>
        <w:t>（</w:t>
      </w:r>
      <w:r>
        <w:rPr>
          <w:rFonts w:hint="eastAsia"/>
          <w:shd w:val="clear" w:color="auto" w:fill="FFFFFF"/>
        </w:rPr>
        <w:t>3</w:t>
      </w:r>
      <w:r>
        <w:rPr>
          <w:rFonts w:hint="eastAsia"/>
          <w:shd w:val="clear" w:color="auto" w:fill="FFFFFF"/>
        </w:rPr>
        <w:t>）智慧运维</w:t>
      </w:r>
    </w:p>
    <w:p w14:paraId="64E0B114" w14:textId="7D8FD14E" w:rsidR="00E83C2F" w:rsidRDefault="00E83C2F" w:rsidP="005271DE">
      <w:pPr>
        <w:pStyle w:val="15"/>
      </w:pPr>
      <w:r w:rsidRPr="00E83C2F">
        <w:rPr>
          <w:rFonts w:hint="eastAsia"/>
        </w:rPr>
        <w:t>海上风电项目运维阶段的主要管理目标是提高资产设备可靠性、降低运行维护成本和提高全生命期发电量。通常可应用智能算法对主要运维工作进行建模，以数据驱动实现智能化管理。针对多维多源异构数据融合的难题，智慧运维模块首先要建立全要素采集与监测系统，如图</w:t>
      </w:r>
      <w:r w:rsidRPr="00E83C2F">
        <w:t>6</w:t>
      </w:r>
      <w:r w:rsidRPr="00E83C2F">
        <w:rPr>
          <w:rFonts w:hint="eastAsia"/>
        </w:rPr>
        <w:t>所示。</w:t>
      </w:r>
    </w:p>
    <w:p w14:paraId="4749A7A6" w14:textId="3413FF82" w:rsidR="00E83C2F" w:rsidRPr="00E83C2F" w:rsidRDefault="00E83C2F" w:rsidP="005271DE">
      <w:pPr>
        <w:pStyle w:val="15"/>
      </w:pPr>
      <w:r w:rsidRPr="00E83C2F">
        <w:rPr>
          <w:rFonts w:hint="eastAsia"/>
        </w:rPr>
        <w:t>全要素采集与监测系统，涵盖了基建与运维期主要工作所需的数据，其中机组多参量状态监测系统具备叶片、变桨轴承、滑环、传动链和发电机在线监测能力；支撑结构安全监测系统，可从机组振动频</w:t>
      </w:r>
      <w:r w:rsidRPr="00E83C2F">
        <w:rPr>
          <w:rFonts w:hint="eastAsia"/>
        </w:rPr>
        <w:t>率、桩顶加速度、桩顶位移、桩顶转角、泥面处桩身位移、泥面处桩身转角、桩底位移等不同方面，对海上风电整体结构安全在线监测</w:t>
      </w:r>
      <w:r w:rsidRPr="00E83C2F">
        <w:rPr>
          <w:vertAlign w:val="superscript"/>
        </w:rPr>
        <w:fldChar w:fldCharType="begin"/>
      </w:r>
      <w:r w:rsidRPr="00E83C2F">
        <w:rPr>
          <w:vertAlign w:val="superscript"/>
        </w:rPr>
        <w:instrText xml:space="preserve"> </w:instrText>
      </w:r>
      <w:r w:rsidRPr="00E83C2F">
        <w:rPr>
          <w:rFonts w:hint="eastAsia"/>
          <w:vertAlign w:val="superscript"/>
        </w:rPr>
        <w:instrText>REF _Ref167547708 \r \h</w:instrText>
      </w:r>
      <w:r w:rsidRPr="00E83C2F">
        <w:rPr>
          <w:vertAlign w:val="superscript"/>
        </w:rPr>
        <w:instrText xml:space="preserve">  \* MERGEFORMAT </w:instrText>
      </w:r>
      <w:r w:rsidRPr="00E83C2F">
        <w:rPr>
          <w:vertAlign w:val="superscript"/>
        </w:rPr>
      </w:r>
      <w:r w:rsidRPr="00E83C2F">
        <w:rPr>
          <w:vertAlign w:val="superscript"/>
        </w:rPr>
        <w:fldChar w:fldCharType="separate"/>
      </w:r>
      <w:r w:rsidRPr="00E83C2F">
        <w:rPr>
          <w:vertAlign w:val="superscript"/>
        </w:rPr>
        <w:t>[25]</w:t>
      </w:r>
      <w:r w:rsidRPr="00E83C2F">
        <w:rPr>
          <w:vertAlign w:val="superscript"/>
        </w:rPr>
        <w:fldChar w:fldCharType="end"/>
      </w:r>
      <w:r w:rsidRPr="00E83C2F">
        <w:rPr>
          <w:rFonts w:hint="eastAsia"/>
        </w:rPr>
        <w:t>；船舶航行监测系统，通过建立电子围栏，利用船舶自动识别系统（</w:t>
      </w:r>
      <w:r w:rsidRPr="00E83C2F">
        <w:t>AIS</w:t>
      </w:r>
      <w:r w:rsidRPr="00E83C2F">
        <w:t>）数据</w:t>
      </w:r>
      <w:r w:rsidRPr="00E83C2F">
        <w:rPr>
          <w:rFonts w:hint="eastAsia"/>
        </w:rPr>
        <w:t>，</w:t>
      </w:r>
      <w:r w:rsidRPr="00E83C2F">
        <w:t>实现对海上风电场附近范围内所有船舶位置的精确掌握</w:t>
      </w:r>
      <w:r w:rsidRPr="00E83C2F">
        <w:rPr>
          <w:rFonts w:hint="eastAsia"/>
        </w:rPr>
        <w:t>；气象水文监测系统，实现精细化天气、潮汐、浪流时况预报，包含未来</w:t>
      </w:r>
      <w:r w:rsidRPr="00E83C2F">
        <w:t>120</w:t>
      </w:r>
      <w:r w:rsidRPr="00E83C2F">
        <w:t>小时内，逐小时天气、水文信息，包括</w:t>
      </w:r>
      <w:r w:rsidRPr="00E83C2F">
        <w:t>10m</w:t>
      </w:r>
      <w:r w:rsidRPr="00E83C2F">
        <w:t>风，</w:t>
      </w:r>
      <w:r w:rsidRPr="00E83C2F">
        <w:t>10m</w:t>
      </w:r>
      <w:r w:rsidRPr="00E83C2F">
        <w:t>阵风，</w:t>
      </w:r>
      <w:r w:rsidRPr="00E83C2F">
        <w:t>100m</w:t>
      </w:r>
      <w:r w:rsidRPr="00E83C2F">
        <w:t>风，浪，雷电概率，降水量，潮汐等信息</w:t>
      </w:r>
      <w:r w:rsidRPr="00E83C2F">
        <w:rPr>
          <w:rFonts w:hint="eastAsia"/>
        </w:rPr>
        <w:t>；海缆光纤监测系统，通过温度、应力数据，实现长距离的海缆故障在线预警；海底地形扫测系统，通过单波束声呐测深</w:t>
      </w:r>
      <w:r w:rsidRPr="00E83C2F">
        <w:rPr>
          <w:rFonts w:hint="eastAsia"/>
        </w:rPr>
        <w:lastRenderedPageBreak/>
        <w:t>技术精准测绘百平方公里级大范围海底地形，利用多波束测深技术精准测绘目标区域米级二维平面影像实现对水下地形地貌；利用侧扫声呐、三维图像声呐技术，对集电海缆进行多角度监测，消除水下安全管理盲区</w:t>
      </w:r>
      <w:r w:rsidRPr="00E83C2F">
        <w:t>。</w:t>
      </w:r>
      <w:r w:rsidRPr="00E83C2F">
        <w:rPr>
          <w:rFonts w:hint="eastAsia"/>
        </w:rPr>
        <w:t>原始的多源异构数据，如小时级的气象和水文数据、季度级的水下地形地貌数据、分钟级的船</w:t>
      </w:r>
      <w:r w:rsidRPr="00E83C2F">
        <w:rPr>
          <w:rFonts w:hint="eastAsia"/>
        </w:rPr>
        <w:t>舶数据、以及秒级的机组振动频率、倾角数据等不同来源、不同时间尺度、不同结构的数据，根据方法一致、数据可信等原则，经过统一的数据管理平台处理，来修正数据缺失、死值、重复等问题，实现异构数据融合。</w:t>
      </w:r>
    </w:p>
    <w:p w14:paraId="1AF62FA0" w14:textId="77777777" w:rsidR="00E83C2F" w:rsidRPr="00E83C2F" w:rsidRDefault="00E83C2F" w:rsidP="00E83C2F">
      <w:pPr>
        <w:tabs>
          <w:tab w:val="left" w:pos="0"/>
          <w:tab w:val="left" w:pos="735"/>
        </w:tabs>
        <w:spacing w:line="360" w:lineRule="auto"/>
        <w:rPr>
          <w:color w:val="000000" w:themeColor="text1"/>
          <w:szCs w:val="21"/>
        </w:rPr>
        <w:sectPr w:rsidR="00E83C2F" w:rsidRPr="00E83C2F" w:rsidSect="00E83C2F">
          <w:type w:val="continuous"/>
          <w:pgSz w:w="11906" w:h="16838"/>
          <w:pgMar w:top="1089" w:right="879" w:bottom="624" w:left="1157" w:header="851" w:footer="893" w:gutter="0"/>
          <w:cols w:num="2" w:space="425"/>
          <w:docGrid w:type="lines" w:linePitch="312"/>
        </w:sectPr>
      </w:pPr>
    </w:p>
    <w:p w14:paraId="718DBB0E" w14:textId="631D4306" w:rsidR="00E83C2F" w:rsidRDefault="004631B4" w:rsidP="00E83C2F">
      <w:pPr>
        <w:spacing w:line="360" w:lineRule="auto"/>
        <w:jc w:val="center"/>
        <w:rPr>
          <w:rFonts w:ascii="黑体" w:eastAsia="黑体" w:hAnsi="黑体" w:hint="eastAsia"/>
          <w:color w:val="000000" w:themeColor="text1"/>
          <w:sz w:val="18"/>
          <w:szCs w:val="18"/>
        </w:rPr>
        <w:sectPr w:rsidR="00E83C2F" w:rsidSect="00E83C2F">
          <w:type w:val="continuous"/>
          <w:pgSz w:w="11906" w:h="16838"/>
          <w:pgMar w:top="1089" w:right="879" w:bottom="624" w:left="1157" w:header="851" w:footer="893" w:gutter="0"/>
          <w:cols w:space="425"/>
          <w:docGrid w:type="lines" w:linePitch="312"/>
        </w:sectPr>
      </w:pPr>
      <w:r>
        <w:rPr>
          <w:rFonts w:ascii="黑体" w:eastAsia="黑体" w:hAnsi="黑体"/>
          <w:noProof/>
          <w:color w:val="000000" w:themeColor="text1"/>
          <w:sz w:val="18"/>
          <w:szCs w:val="18"/>
        </w:rPr>
        <w:drawing>
          <wp:inline distT="0" distB="0" distL="0" distR="0" wp14:anchorId="2C70E479" wp14:editId="459390BE">
            <wp:extent cx="6032200" cy="2672643"/>
            <wp:effectExtent l="0" t="0" r="6985" b="0"/>
            <wp:docPr id="1716033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4834" cy="2682671"/>
                    </a:xfrm>
                    <a:prstGeom prst="rect">
                      <a:avLst/>
                    </a:prstGeom>
                    <a:noFill/>
                  </pic:spPr>
                </pic:pic>
              </a:graphicData>
            </a:graphic>
          </wp:inline>
        </w:drawing>
      </w:r>
    </w:p>
    <w:p w14:paraId="654DEF2F" w14:textId="2AF5ED57" w:rsidR="00E83C2F" w:rsidRPr="005271DE" w:rsidRDefault="00E83C2F" w:rsidP="005271DE">
      <w:pPr>
        <w:spacing w:line="360" w:lineRule="auto"/>
        <w:jc w:val="center"/>
        <w:rPr>
          <w:color w:val="000000" w:themeColor="text1"/>
          <w:szCs w:val="21"/>
        </w:rPr>
        <w:sectPr w:rsidR="00E83C2F" w:rsidRPr="005271DE" w:rsidSect="00E83C2F">
          <w:type w:val="continuous"/>
          <w:pgSz w:w="11906" w:h="16838"/>
          <w:pgMar w:top="1089" w:right="879" w:bottom="624" w:left="1157" w:header="851" w:footer="893" w:gutter="0"/>
          <w:cols w:space="425"/>
          <w:docGrid w:type="lines" w:linePitch="312"/>
        </w:sectPr>
      </w:pPr>
      <w:r w:rsidRPr="005271DE">
        <w:rPr>
          <w:rFonts w:hint="eastAsia"/>
          <w:color w:val="000000" w:themeColor="text1"/>
          <w:szCs w:val="21"/>
        </w:rPr>
        <w:t>图</w:t>
      </w:r>
      <w:r w:rsidRPr="005271DE">
        <w:rPr>
          <w:rFonts w:hint="eastAsia"/>
          <w:color w:val="000000" w:themeColor="text1"/>
          <w:szCs w:val="21"/>
        </w:rPr>
        <w:t>6</w:t>
      </w:r>
      <w:r w:rsidR="004F5B9A" w:rsidRPr="005271DE">
        <w:rPr>
          <w:rFonts w:hint="eastAsia"/>
          <w:color w:val="000000" w:themeColor="text1"/>
          <w:szCs w:val="21"/>
        </w:rPr>
        <w:t xml:space="preserve"> </w:t>
      </w:r>
      <w:r w:rsidRPr="005271DE">
        <w:rPr>
          <w:rFonts w:hint="eastAsia"/>
          <w:color w:val="000000" w:themeColor="text1"/>
          <w:szCs w:val="21"/>
        </w:rPr>
        <w:t>海上风电智慧运维数据采集与功能模块开发</w:t>
      </w:r>
    </w:p>
    <w:p w14:paraId="2BE08EF7" w14:textId="115D85DD" w:rsidR="00E83C2F" w:rsidRPr="00E83C2F" w:rsidRDefault="00E83C2F" w:rsidP="005271DE">
      <w:pPr>
        <w:pStyle w:val="15"/>
      </w:pPr>
      <w:r w:rsidRPr="00E83C2F">
        <w:rPr>
          <w:rFonts w:hint="eastAsia"/>
        </w:rPr>
        <w:t>基于形成的海上风电资产全生命期数据库，应用智能算法对主要运维管理功能建立优化模型，通过数据驱动，实现智能化管理。图</w:t>
      </w:r>
      <w:r w:rsidRPr="00E83C2F">
        <w:t>6</w:t>
      </w:r>
      <w:r w:rsidRPr="00E83C2F">
        <w:rPr>
          <w:rFonts w:hint="eastAsia"/>
        </w:rPr>
        <w:t>也总结了实现智慧运维管理三大目标所要研发的七个主要功能模块：（</w:t>
      </w:r>
      <w:r w:rsidRPr="00E83C2F">
        <w:rPr>
          <w:rFonts w:hint="eastAsia"/>
        </w:rPr>
        <w:t>1</w:t>
      </w:r>
      <w:r w:rsidRPr="00E83C2F">
        <w:rPr>
          <w:rFonts w:hint="eastAsia"/>
        </w:rPr>
        <w:t>）在提高资产设备可靠性方面，如构建基于风电同类机型相关性分析和自适应深度学习的风电机组轴承超温诊断预警模型，采用控制图法和伽马曲线参数拟合法获得相关机组间的变化关系和趋势，建立轴承温度与影响因子自适应关系模型，实现齿轮箱、发电机等设备轴承超温智能在线预测和故障预警，提高了预警准确度；建立结合桩基础频率、倾角、位移及冲刷深度监测数据的单桩基础安全性分级评价体系和冲刷预警方法，实现海上风电支撑结构多要素在线监测；建立基于高斯</w:t>
      </w:r>
      <w:proofErr w:type="spellStart"/>
      <w:r w:rsidRPr="00E83C2F">
        <w:t>coupla</w:t>
      </w:r>
      <w:proofErr w:type="spellEnd"/>
      <w:r w:rsidRPr="00E83C2F">
        <w:rPr>
          <w:rFonts w:hint="eastAsia"/>
        </w:rPr>
        <w:t>函数的交互信息数值影响度与计及监测数据波动性的风力发电机组关键部件、关键设备及整机分系统健康度表征方法，实现直观、准确、全面评估机组复杂的状态信息迁移，同样可推广到延寿退役模块中应用。（</w:t>
      </w:r>
      <w:r w:rsidRPr="00E83C2F">
        <w:t>2</w:t>
      </w:r>
      <w:r w:rsidRPr="00E83C2F">
        <w:rPr>
          <w:rFonts w:hint="eastAsia"/>
        </w:rPr>
        <w:t>）针对运行维护成本控制，结合资产健康评价结果中的运维需求，分析海上施工及运维作业工序所需的不同作业条件，基于高精度气象水文预报的窗口期管理，在保障船舶、人员安全的前提下，利用动态规划算法实现按照经济性最优的原则安排船舶作业和行驶路径动态规划</w:t>
      </w:r>
      <w:r w:rsidRPr="00E83C2F">
        <w:rPr>
          <w:vertAlign w:val="superscript"/>
        </w:rPr>
        <w:fldChar w:fldCharType="begin"/>
      </w:r>
      <w:r w:rsidRPr="00E83C2F">
        <w:rPr>
          <w:vertAlign w:val="superscript"/>
        </w:rPr>
        <w:instrText xml:space="preserve"> </w:instrText>
      </w:r>
      <w:r w:rsidRPr="00E83C2F">
        <w:rPr>
          <w:rFonts w:hint="eastAsia"/>
          <w:vertAlign w:val="superscript"/>
        </w:rPr>
        <w:instrText>REF _Ref167547716 \r \h</w:instrText>
      </w:r>
      <w:r w:rsidRPr="00E83C2F">
        <w:rPr>
          <w:vertAlign w:val="superscript"/>
        </w:rPr>
        <w:instrText xml:space="preserve">  \* MERGEFORMAT </w:instrText>
      </w:r>
      <w:r w:rsidRPr="00E83C2F">
        <w:rPr>
          <w:vertAlign w:val="superscript"/>
        </w:rPr>
      </w:r>
      <w:r w:rsidRPr="00E83C2F">
        <w:rPr>
          <w:vertAlign w:val="superscript"/>
        </w:rPr>
        <w:fldChar w:fldCharType="separate"/>
      </w:r>
      <w:r w:rsidRPr="00E83C2F">
        <w:rPr>
          <w:vertAlign w:val="superscript"/>
        </w:rPr>
        <w:t>[26]</w:t>
      </w:r>
      <w:r w:rsidRPr="00E83C2F">
        <w:rPr>
          <w:vertAlign w:val="superscript"/>
        </w:rPr>
        <w:fldChar w:fldCharType="end"/>
      </w:r>
      <w:r w:rsidRPr="00E83C2F">
        <w:rPr>
          <w:rFonts w:hint="eastAsia"/>
        </w:rPr>
        <w:t>。（</w:t>
      </w:r>
      <w:r w:rsidRPr="00E83C2F">
        <w:t>3</w:t>
      </w:r>
      <w:r w:rsidRPr="00E83C2F">
        <w:rPr>
          <w:rFonts w:hint="eastAsia"/>
        </w:rPr>
        <w:t>）在提高全生命期发电量方面，建立基于激光雷达风场感知数据的前馈机制，对不同风况下各机组以及整个风电场的尾流能效损失进行实时计算，使机组提前进行与来流风速相匹配</w:t>
      </w:r>
      <w:r w:rsidRPr="00E83C2F">
        <w:rPr>
          <w:rFonts w:hint="eastAsia"/>
        </w:rPr>
        <w:t>的偏航变桨动作，降低机组疲劳及极限载荷，提高各机组有功功率之和。需要说明的是，目前国内尚未有进入退役期的海上风电场，延寿退役功能模块的开发目前集中于健康评估和设备延寿等方面，对于资产设备退役回收利用研究还较少。</w:t>
      </w:r>
    </w:p>
    <w:p w14:paraId="6105D58D" w14:textId="0D3A2A13" w:rsidR="00331419" w:rsidRDefault="00000000" w:rsidP="00485819">
      <w:pPr>
        <w:numPr>
          <w:ilvl w:val="255"/>
          <w:numId w:val="0"/>
        </w:numPr>
        <w:tabs>
          <w:tab w:val="left" w:pos="420"/>
          <w:tab w:val="left" w:pos="735"/>
        </w:tabs>
        <w:spacing w:beforeLines="50" w:before="156" w:line="360" w:lineRule="exact"/>
        <w:outlineLvl w:val="0"/>
        <w:rPr>
          <w:rFonts w:eastAsia="华文中宋"/>
          <w:color w:val="000000" w:themeColor="text1"/>
          <w:sz w:val="24"/>
          <w:szCs w:val="24"/>
        </w:rPr>
      </w:pPr>
      <w:r>
        <w:rPr>
          <w:rFonts w:eastAsia="华文中宋" w:hint="eastAsia"/>
          <w:color w:val="000000" w:themeColor="text1"/>
          <w:sz w:val="24"/>
          <w:szCs w:val="24"/>
        </w:rPr>
        <w:t xml:space="preserve">3  </w:t>
      </w:r>
      <w:r>
        <w:rPr>
          <w:rFonts w:eastAsia="华文中宋" w:hint="eastAsia"/>
          <w:color w:val="000000" w:themeColor="text1"/>
          <w:sz w:val="24"/>
          <w:szCs w:val="24"/>
        </w:rPr>
        <w:t>应用</w:t>
      </w:r>
      <w:r w:rsidR="00E83C2F">
        <w:rPr>
          <w:rFonts w:eastAsia="华文中宋" w:hint="eastAsia"/>
          <w:color w:val="000000" w:themeColor="text1"/>
          <w:sz w:val="24"/>
          <w:szCs w:val="24"/>
        </w:rPr>
        <w:t>及效果评价</w:t>
      </w:r>
    </w:p>
    <w:p w14:paraId="37DE710B" w14:textId="2A702708" w:rsidR="00331419" w:rsidRPr="00485819" w:rsidRDefault="00000000">
      <w:pPr>
        <w:tabs>
          <w:tab w:val="left" w:pos="0"/>
          <w:tab w:val="left" w:pos="735"/>
        </w:tabs>
        <w:spacing w:line="360" w:lineRule="auto"/>
        <w:outlineLvl w:val="1"/>
        <w:rPr>
          <w:b/>
          <w:bCs/>
          <w:color w:val="000000" w:themeColor="text1"/>
          <w:szCs w:val="21"/>
        </w:rPr>
      </w:pPr>
      <w:r w:rsidRPr="00485819">
        <w:rPr>
          <w:b/>
          <w:bCs/>
          <w:color w:val="000000" w:themeColor="text1"/>
          <w:szCs w:val="21"/>
        </w:rPr>
        <w:t>3.1</w:t>
      </w:r>
      <w:r w:rsidRPr="00485819">
        <w:rPr>
          <w:rFonts w:hint="eastAsia"/>
          <w:b/>
          <w:bCs/>
          <w:color w:val="000000" w:themeColor="text1"/>
          <w:szCs w:val="21"/>
        </w:rPr>
        <w:t xml:space="preserve">  </w:t>
      </w:r>
      <w:r w:rsidR="004F5B9A" w:rsidRPr="00485819">
        <w:rPr>
          <w:rFonts w:hint="eastAsia"/>
          <w:b/>
          <w:bCs/>
          <w:color w:val="000000" w:themeColor="text1"/>
          <w:szCs w:val="21"/>
        </w:rPr>
        <w:t>工程简介</w:t>
      </w:r>
    </w:p>
    <w:p w14:paraId="11005A60" w14:textId="32D1147F" w:rsidR="004F5B9A" w:rsidRPr="004F5B9A" w:rsidRDefault="004F5B9A" w:rsidP="005271DE">
      <w:pPr>
        <w:pStyle w:val="15"/>
      </w:pPr>
      <w:r w:rsidRPr="004F5B9A">
        <w:rPr>
          <w:rFonts w:hint="eastAsia"/>
        </w:rPr>
        <w:t>某</w:t>
      </w:r>
      <w:r w:rsidRPr="004F5B9A">
        <w:t>40</w:t>
      </w:r>
      <w:r w:rsidRPr="004F5B9A">
        <w:rPr>
          <w:rFonts w:hint="eastAsia"/>
        </w:rPr>
        <w:t>万千瓦海上风电项目位于江苏省海域（见图</w:t>
      </w:r>
      <w:r w:rsidRPr="004F5B9A">
        <w:rPr>
          <w:rFonts w:hint="eastAsia"/>
        </w:rPr>
        <w:t>7a</w:t>
      </w:r>
      <w:r w:rsidRPr="004F5B9A">
        <w:rPr>
          <w:rFonts w:hint="eastAsia"/>
        </w:rPr>
        <w:t>），一期工程投产运行机组</w:t>
      </w:r>
      <w:r w:rsidRPr="004F5B9A">
        <w:rPr>
          <w:rFonts w:hint="eastAsia"/>
        </w:rPr>
        <w:t>6</w:t>
      </w:r>
      <w:r w:rsidRPr="004F5B9A">
        <w:t>8</w:t>
      </w:r>
      <w:r w:rsidRPr="004F5B9A">
        <w:rPr>
          <w:rFonts w:hint="eastAsia"/>
        </w:rPr>
        <w:t>台，形成海上风力发电机组、海上升压站、陆上开关站和海缆等在役相关核心资产</w:t>
      </w:r>
      <w:r w:rsidRPr="004F5B9A">
        <w:rPr>
          <w:rFonts w:hint="eastAsia"/>
        </w:rPr>
        <w:t>9</w:t>
      </w:r>
      <w:r w:rsidRPr="004F5B9A">
        <w:t>29</w:t>
      </w:r>
      <w:r w:rsidRPr="004F5B9A">
        <w:rPr>
          <w:rFonts w:hint="eastAsia"/>
        </w:rPr>
        <w:t>个，具有工程规模大，施工工期短，人员、设备流动性强等特点。由于离岸较远，工程施工建设、投产运行和检修维护均受海洋天气和海上通讯条件限制，加之涉及专业与管理部门众多，工程资产管理的及时性和有效性难以保障。工程首次应用海上风电全生命期资产闭环智慧管理方法和智慧管理系统，开发了贯穿海上风电场全生命期、覆盖多阶段管理功能和多维多源数据驱动的</w:t>
      </w:r>
      <w:r w:rsidR="00E2008C">
        <w:rPr>
          <w:rFonts w:hint="eastAsia"/>
        </w:rPr>
        <w:t>智慧</w:t>
      </w:r>
      <w:r w:rsidRPr="004F5B9A">
        <w:rPr>
          <w:rFonts w:hint="eastAsia"/>
        </w:rPr>
        <w:t>化管理平台（见图</w:t>
      </w:r>
      <w:r w:rsidRPr="004F5B9A">
        <w:rPr>
          <w:rFonts w:hint="eastAsia"/>
        </w:rPr>
        <w:t>7</w:t>
      </w:r>
      <w:r w:rsidRPr="004F5B9A">
        <w:t>b</w:t>
      </w:r>
      <w:r w:rsidRPr="004F5B9A">
        <w:rPr>
          <w:rFonts w:hint="eastAsia"/>
        </w:rPr>
        <w:t>）。</w:t>
      </w:r>
    </w:p>
    <w:p w14:paraId="46043870" w14:textId="355830AB" w:rsidR="004F5B9A" w:rsidRDefault="004F5B9A" w:rsidP="00485819">
      <w:pPr>
        <w:spacing w:line="240" w:lineRule="auto"/>
        <w:jc w:val="center"/>
        <w:rPr>
          <w:color w:val="000000" w:themeColor="text1"/>
          <w:szCs w:val="21"/>
        </w:rPr>
      </w:pPr>
      <w:r>
        <w:rPr>
          <w:noProof/>
          <w:sz w:val="18"/>
          <w:szCs w:val="18"/>
        </w:rPr>
        <w:lastRenderedPageBreak/>
        <w:drawing>
          <wp:inline distT="0" distB="0" distL="0" distR="0" wp14:anchorId="134FE8D7" wp14:editId="25FA6BEB">
            <wp:extent cx="2607147" cy="1895061"/>
            <wp:effectExtent l="0" t="0" r="3175" b="0"/>
            <wp:docPr id="1736061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4406" cy="1907606"/>
                    </a:xfrm>
                    <a:prstGeom prst="rect">
                      <a:avLst/>
                    </a:prstGeom>
                    <a:noFill/>
                  </pic:spPr>
                </pic:pic>
              </a:graphicData>
            </a:graphic>
          </wp:inline>
        </w:drawing>
      </w:r>
    </w:p>
    <w:p w14:paraId="698F4D7C" w14:textId="2068669A" w:rsidR="004F5B9A" w:rsidRPr="005271DE" w:rsidRDefault="004F5B9A" w:rsidP="005271DE">
      <w:pPr>
        <w:pStyle w:val="15"/>
        <w:ind w:firstLine="0"/>
        <w:jc w:val="center"/>
      </w:pPr>
      <w:r w:rsidRPr="005271DE">
        <w:rPr>
          <w:rFonts w:hint="eastAsia"/>
        </w:rPr>
        <w:t>（</w:t>
      </w:r>
      <w:r w:rsidRPr="005271DE">
        <w:rPr>
          <w:rFonts w:hint="eastAsia"/>
        </w:rPr>
        <w:t>a</w:t>
      </w:r>
      <w:r w:rsidRPr="005271DE">
        <w:rPr>
          <w:rFonts w:hint="eastAsia"/>
        </w:rPr>
        <w:t>）现场卫星云图及照片</w:t>
      </w:r>
    </w:p>
    <w:p w14:paraId="02A97B5A" w14:textId="3AEDD309" w:rsidR="004F5B9A" w:rsidRPr="004F5B9A" w:rsidRDefault="004F5B9A" w:rsidP="00485819">
      <w:pPr>
        <w:spacing w:line="240" w:lineRule="auto"/>
        <w:jc w:val="center"/>
        <w:rPr>
          <w:color w:val="000000" w:themeColor="text1"/>
          <w:szCs w:val="21"/>
        </w:rPr>
      </w:pPr>
      <w:r>
        <w:rPr>
          <w:noProof/>
        </w:rPr>
        <w:drawing>
          <wp:inline distT="0" distB="0" distL="0" distR="0" wp14:anchorId="50C5C19C" wp14:editId="5B59F2BC">
            <wp:extent cx="2580158" cy="1652104"/>
            <wp:effectExtent l="0" t="0" r="0" b="5715"/>
            <wp:docPr id="822906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4930" cy="1667966"/>
                    </a:xfrm>
                    <a:prstGeom prst="rect">
                      <a:avLst/>
                    </a:prstGeom>
                    <a:noFill/>
                  </pic:spPr>
                </pic:pic>
              </a:graphicData>
            </a:graphic>
          </wp:inline>
        </w:drawing>
      </w:r>
    </w:p>
    <w:p w14:paraId="7CD932FA" w14:textId="0A3B0CC4" w:rsidR="004F5B9A" w:rsidRPr="005271DE" w:rsidRDefault="004F5B9A" w:rsidP="005271DE">
      <w:pPr>
        <w:pStyle w:val="15"/>
        <w:ind w:firstLine="0"/>
        <w:jc w:val="center"/>
      </w:pPr>
      <w:r w:rsidRPr="005271DE">
        <w:rPr>
          <w:rFonts w:hint="eastAsia"/>
        </w:rPr>
        <w:t>（</w:t>
      </w:r>
      <w:r w:rsidRPr="005271DE">
        <w:rPr>
          <w:rFonts w:hint="eastAsia"/>
        </w:rPr>
        <w:t>b</w:t>
      </w:r>
      <w:r w:rsidRPr="005271DE">
        <w:rPr>
          <w:rFonts w:hint="eastAsia"/>
        </w:rPr>
        <w:t>）</w:t>
      </w:r>
      <w:r w:rsidR="00E2008C">
        <w:rPr>
          <w:rFonts w:hint="eastAsia"/>
        </w:rPr>
        <w:t>智慧</w:t>
      </w:r>
      <w:r w:rsidRPr="005271DE">
        <w:rPr>
          <w:rFonts w:hint="eastAsia"/>
        </w:rPr>
        <w:t>化管理平台及项目应用展示</w:t>
      </w:r>
    </w:p>
    <w:p w14:paraId="3F99E253" w14:textId="0D5D203C" w:rsidR="004F5B9A" w:rsidRPr="005271DE" w:rsidRDefault="00000000" w:rsidP="005271DE">
      <w:pPr>
        <w:pStyle w:val="15"/>
        <w:ind w:firstLine="0"/>
        <w:jc w:val="center"/>
      </w:pPr>
      <w:r w:rsidRPr="005271DE">
        <w:rPr>
          <w:rFonts w:hint="eastAsia"/>
        </w:rPr>
        <w:t>图</w:t>
      </w:r>
      <w:r w:rsidRPr="005271DE">
        <w:t>7</w:t>
      </w:r>
      <w:r w:rsidR="004F5B9A" w:rsidRPr="005271DE">
        <w:rPr>
          <w:rFonts w:hint="eastAsia"/>
        </w:rPr>
        <w:t>某</w:t>
      </w:r>
      <w:r w:rsidR="004F5B9A" w:rsidRPr="005271DE">
        <w:rPr>
          <w:rFonts w:hint="eastAsia"/>
        </w:rPr>
        <w:t>40</w:t>
      </w:r>
      <w:r w:rsidR="004F5B9A" w:rsidRPr="005271DE">
        <w:rPr>
          <w:rFonts w:hint="eastAsia"/>
        </w:rPr>
        <w:t>万千瓦海上风电现场及系统平台</w:t>
      </w:r>
    </w:p>
    <w:p w14:paraId="269D000B" w14:textId="77777777" w:rsidR="00331419" w:rsidRPr="00485819" w:rsidRDefault="00000000">
      <w:pPr>
        <w:tabs>
          <w:tab w:val="left" w:pos="0"/>
          <w:tab w:val="left" w:pos="735"/>
        </w:tabs>
        <w:spacing w:line="360" w:lineRule="auto"/>
        <w:outlineLvl w:val="1"/>
        <w:rPr>
          <w:b/>
          <w:bCs/>
          <w:color w:val="000000" w:themeColor="text1"/>
          <w:szCs w:val="21"/>
        </w:rPr>
      </w:pPr>
      <w:r w:rsidRPr="00485819">
        <w:rPr>
          <w:b/>
          <w:bCs/>
          <w:color w:val="000000" w:themeColor="text1"/>
          <w:szCs w:val="21"/>
        </w:rPr>
        <w:t>3.2</w:t>
      </w:r>
      <w:r w:rsidRPr="00485819">
        <w:rPr>
          <w:rFonts w:hint="eastAsia"/>
          <w:b/>
          <w:bCs/>
          <w:color w:val="000000" w:themeColor="text1"/>
          <w:szCs w:val="21"/>
        </w:rPr>
        <w:t>效果评价</w:t>
      </w:r>
    </w:p>
    <w:p w14:paraId="69D6D9B6" w14:textId="763401CC" w:rsidR="004F5B9A" w:rsidRDefault="004F5B9A" w:rsidP="005271DE">
      <w:pPr>
        <w:pStyle w:val="15"/>
      </w:pPr>
      <w:r>
        <w:rPr>
          <w:rFonts w:hint="eastAsia"/>
        </w:rPr>
        <w:t>（</w:t>
      </w:r>
      <w:r>
        <w:rPr>
          <w:rFonts w:hint="eastAsia"/>
        </w:rPr>
        <w:t>1</w:t>
      </w:r>
      <w:r>
        <w:rPr>
          <w:rFonts w:hint="eastAsia"/>
        </w:rPr>
        <w:t>）资产评估效果</w:t>
      </w:r>
    </w:p>
    <w:p w14:paraId="63A947B4" w14:textId="4B391F6B" w:rsidR="004F5B9A" w:rsidRDefault="004F5B9A" w:rsidP="005271DE">
      <w:pPr>
        <w:pStyle w:val="15"/>
      </w:pPr>
      <w:r w:rsidRPr="004F5B9A">
        <w:rPr>
          <w:rFonts w:hint="eastAsia"/>
        </w:rPr>
        <w:t>本节根据该风场运用智能化管理平台前后的实</w:t>
      </w:r>
      <w:r w:rsidRPr="004F5B9A">
        <w:rPr>
          <w:rFonts w:hint="eastAsia"/>
        </w:rPr>
        <w:t>际建设与运维数据，采用</w:t>
      </w:r>
      <w:r w:rsidRPr="004F5B9A">
        <w:rPr>
          <w:rFonts w:hint="eastAsia"/>
        </w:rPr>
        <w:t>1.2</w:t>
      </w:r>
      <w:r w:rsidRPr="004F5B9A">
        <w:rPr>
          <w:rFonts w:hint="eastAsia"/>
        </w:rPr>
        <w:t>节中提出的资产闭环管理评估模型对该海上风电项目资产的成本、绩效和风险要素进行评估，讨论资产智慧闭环管理助力海上风电资产管理决策。</w:t>
      </w:r>
    </w:p>
    <w:p w14:paraId="4BD49FF6" w14:textId="1A0C10B3" w:rsidR="005271DE" w:rsidRPr="004F5B9A" w:rsidRDefault="004F5B9A" w:rsidP="005271DE">
      <w:pPr>
        <w:pStyle w:val="15"/>
      </w:pPr>
      <w:r w:rsidRPr="004F5B9A">
        <w:rPr>
          <w:rFonts w:hint="eastAsia"/>
        </w:rPr>
        <w:t>成本评价：由于目前国内尚未有海上风电场退役的实践，难以对海上风电场资产全生命期的度电成本进行准确评价，因此本文采用每年相同的运行及维护情况以及同等风速条件下的发电量变化来对比传统资产管理与智慧闭环管理下的海上风电成本指标，其计算参数如表</w:t>
      </w:r>
      <w:r w:rsidRPr="004F5B9A">
        <w:t>1</w:t>
      </w:r>
      <w:r w:rsidRPr="004F5B9A">
        <w:rPr>
          <w:rFonts w:hint="eastAsia"/>
        </w:rPr>
        <w:t>所示</w:t>
      </w:r>
      <w:r w:rsidR="005271DE">
        <w:rPr>
          <w:rFonts w:hint="eastAsia"/>
        </w:rPr>
        <w:t>。</w:t>
      </w:r>
      <w:r w:rsidR="005271DE" w:rsidRPr="004F5B9A">
        <w:rPr>
          <w:rFonts w:hint="eastAsia"/>
        </w:rPr>
        <w:t>表中</w:t>
      </w:r>
      <w:r w:rsidR="005271DE" w:rsidRPr="004F5B9A">
        <w:rPr>
          <w:i/>
        </w:rPr>
        <w:t>C</w:t>
      </w:r>
      <w:r w:rsidR="005271DE" w:rsidRPr="004F5B9A">
        <w:rPr>
          <w:i/>
          <w:vertAlign w:val="subscript"/>
        </w:rPr>
        <w:t>I</w:t>
      </w:r>
      <w:r w:rsidR="005271DE" w:rsidRPr="004F5B9A">
        <w:rPr>
          <w:vertAlign w:val="subscript"/>
        </w:rPr>
        <w:t>0</w:t>
      </w:r>
      <w:r w:rsidR="005271DE" w:rsidRPr="004F5B9A">
        <w:rPr>
          <w:rFonts w:hint="eastAsia"/>
        </w:rPr>
        <w:t>分别为工程概算费用与实际建设支出；</w:t>
      </w:r>
      <w:proofErr w:type="spellStart"/>
      <w:r w:rsidR="005271DE" w:rsidRPr="004F5B9A">
        <w:rPr>
          <w:i/>
        </w:rPr>
        <w:t>C</w:t>
      </w:r>
      <w:r w:rsidR="005271DE" w:rsidRPr="004F5B9A">
        <w:rPr>
          <w:i/>
          <w:vertAlign w:val="subscript"/>
        </w:rPr>
        <w:t>O</w:t>
      </w:r>
      <w:r w:rsidR="005271DE" w:rsidRPr="004F5B9A">
        <w:rPr>
          <w:vertAlign w:val="subscript"/>
        </w:rPr>
        <w:t>,</w:t>
      </w:r>
      <w:r w:rsidR="005271DE" w:rsidRPr="004F5B9A">
        <w:rPr>
          <w:i/>
          <w:vertAlign w:val="subscript"/>
        </w:rPr>
        <w:t>t</w:t>
      </w:r>
      <w:proofErr w:type="spellEnd"/>
      <w:r w:rsidR="005271DE" w:rsidRPr="004F5B9A">
        <w:rPr>
          <w:rFonts w:hint="eastAsia"/>
        </w:rPr>
        <w:t>和</w:t>
      </w:r>
      <w:proofErr w:type="spellStart"/>
      <w:r w:rsidR="005271DE" w:rsidRPr="004F5B9A">
        <w:rPr>
          <w:i/>
        </w:rPr>
        <w:t>C</w:t>
      </w:r>
      <w:r w:rsidR="005271DE" w:rsidRPr="004F5B9A">
        <w:rPr>
          <w:i/>
          <w:vertAlign w:val="subscript"/>
        </w:rPr>
        <w:t>M</w:t>
      </w:r>
      <w:r w:rsidR="005271DE" w:rsidRPr="004F5B9A">
        <w:rPr>
          <w:vertAlign w:val="subscript"/>
        </w:rPr>
        <w:t>,</w:t>
      </w:r>
      <w:r w:rsidR="005271DE" w:rsidRPr="004F5B9A">
        <w:rPr>
          <w:i/>
          <w:vertAlign w:val="subscript"/>
        </w:rPr>
        <w:t>t</w:t>
      </w:r>
      <w:proofErr w:type="spellEnd"/>
      <w:r w:rsidR="005271DE" w:rsidRPr="004F5B9A">
        <w:rPr>
          <w:rFonts w:hint="eastAsia"/>
        </w:rPr>
        <w:t>分别为运行费用和维护费用，其中智慧闭环管理下采用</w:t>
      </w:r>
      <w:r w:rsidR="005271DE" w:rsidRPr="004F5B9A">
        <w:rPr>
          <w:rFonts w:hint="eastAsia"/>
        </w:rPr>
        <w:t>2</w:t>
      </w:r>
      <w:r w:rsidR="005271DE" w:rsidRPr="004F5B9A">
        <w:t>020</w:t>
      </w:r>
      <w:r w:rsidR="005271DE" w:rsidRPr="004F5B9A">
        <w:rPr>
          <w:rFonts w:hint="eastAsia"/>
        </w:rPr>
        <w:t>年至</w:t>
      </w:r>
      <w:r w:rsidR="005271DE" w:rsidRPr="004F5B9A">
        <w:t>2022</w:t>
      </w:r>
      <w:r w:rsidR="005271DE" w:rsidRPr="004F5B9A">
        <w:rPr>
          <w:rFonts w:hint="eastAsia"/>
        </w:rPr>
        <w:t>年实际费用平均值，传统资产管理下根据系统应用前风场维护小数时等比换算；智慧闭环管理下的年发电量</w:t>
      </w:r>
      <w:r w:rsidR="005271DE" w:rsidRPr="004F5B9A">
        <w:rPr>
          <w:i/>
        </w:rPr>
        <w:t>E</w:t>
      </w:r>
      <w:r w:rsidR="005271DE" w:rsidRPr="004F5B9A">
        <w:rPr>
          <w:i/>
          <w:vertAlign w:val="subscript"/>
        </w:rPr>
        <w:t>t</w:t>
      </w:r>
      <w:r w:rsidR="005271DE" w:rsidRPr="004F5B9A">
        <w:rPr>
          <w:rFonts w:hint="eastAsia"/>
        </w:rPr>
        <w:t>采用</w:t>
      </w:r>
      <w:r w:rsidR="005271DE" w:rsidRPr="004F5B9A">
        <w:rPr>
          <w:rFonts w:hint="eastAsia"/>
        </w:rPr>
        <w:t>2</w:t>
      </w:r>
      <w:r w:rsidR="005271DE" w:rsidRPr="004F5B9A">
        <w:t>020</w:t>
      </w:r>
      <w:r w:rsidR="005271DE" w:rsidRPr="004F5B9A">
        <w:rPr>
          <w:rFonts w:hint="eastAsia"/>
        </w:rPr>
        <w:t>年至</w:t>
      </w:r>
      <w:r w:rsidR="005271DE" w:rsidRPr="004F5B9A">
        <w:t>2022</w:t>
      </w:r>
      <w:r w:rsidR="005271DE" w:rsidRPr="004F5B9A">
        <w:rPr>
          <w:rFonts w:hint="eastAsia"/>
        </w:rPr>
        <w:t>年实际发电量平均值，传统资产管理根据系统应用前发电小时数换算。从计算结果可知，在智能化管理平台应用后，得益于建设期有效的成本管控、科学合理的运维规划和停机时间减少和发电效率提高带来的机组发电量提升，该海上风电场全生命期度电成本</w:t>
      </w:r>
      <w:r w:rsidR="005271DE" w:rsidRPr="004F5B9A">
        <w:rPr>
          <w:i/>
        </w:rPr>
        <w:t>c</w:t>
      </w:r>
      <w:r w:rsidR="005271DE" w:rsidRPr="004F5B9A">
        <w:rPr>
          <w:rFonts w:hint="eastAsia"/>
        </w:rPr>
        <w:t>从</w:t>
      </w:r>
      <w:r w:rsidR="005271DE" w:rsidRPr="004F5B9A">
        <w:rPr>
          <w:rFonts w:hint="eastAsia"/>
        </w:rPr>
        <w:t>0</w:t>
      </w:r>
      <w:r w:rsidR="005271DE" w:rsidRPr="004F5B9A">
        <w:t>.992</w:t>
      </w:r>
      <w:r w:rsidR="005271DE" w:rsidRPr="004F5B9A">
        <w:rPr>
          <w:rFonts w:hint="eastAsia"/>
        </w:rPr>
        <w:t>元</w:t>
      </w:r>
      <w:r w:rsidR="005271DE" w:rsidRPr="004F5B9A">
        <w:rPr>
          <w:rFonts w:hint="eastAsia"/>
        </w:rPr>
        <w:t>/</w:t>
      </w:r>
      <w:proofErr w:type="spellStart"/>
      <w:r w:rsidR="005271DE" w:rsidRPr="004F5B9A">
        <w:t>kW·h</w:t>
      </w:r>
      <w:proofErr w:type="spellEnd"/>
      <w:r w:rsidR="005271DE" w:rsidRPr="004F5B9A">
        <w:rPr>
          <w:rFonts w:hint="eastAsia"/>
        </w:rPr>
        <w:t>减少到</w:t>
      </w:r>
      <w:r w:rsidR="005271DE" w:rsidRPr="004F5B9A">
        <w:rPr>
          <w:rFonts w:hint="eastAsia"/>
        </w:rPr>
        <w:t>0</w:t>
      </w:r>
      <w:r w:rsidR="005271DE" w:rsidRPr="004F5B9A">
        <w:t>.763</w:t>
      </w:r>
      <w:r w:rsidR="005271DE" w:rsidRPr="004F5B9A">
        <w:rPr>
          <w:rFonts w:hint="eastAsia"/>
        </w:rPr>
        <w:t>元</w:t>
      </w:r>
      <w:r w:rsidR="005271DE" w:rsidRPr="004F5B9A">
        <w:rPr>
          <w:rFonts w:hint="eastAsia"/>
        </w:rPr>
        <w:t>/</w:t>
      </w:r>
      <w:proofErr w:type="spellStart"/>
      <w:r w:rsidR="005271DE" w:rsidRPr="004F5B9A">
        <w:t>kW·h</w:t>
      </w:r>
      <w:proofErr w:type="spellEnd"/>
      <w:r w:rsidR="005271DE" w:rsidRPr="004F5B9A">
        <w:rPr>
          <w:rFonts w:hint="eastAsia"/>
        </w:rPr>
        <w:t>，降低了约</w:t>
      </w:r>
      <w:r w:rsidR="005271DE" w:rsidRPr="004F5B9A">
        <w:rPr>
          <w:rFonts w:hint="eastAsia"/>
        </w:rPr>
        <w:t>2</w:t>
      </w:r>
      <w:r w:rsidR="005271DE" w:rsidRPr="004F5B9A">
        <w:t>2.3%</w:t>
      </w:r>
      <w:r w:rsidR="005271DE" w:rsidRPr="004F5B9A">
        <w:rPr>
          <w:rFonts w:hint="eastAsia"/>
        </w:rPr>
        <w:t>，若考虑其对资产寿命的延长，海上风电项目的全生命期度电成本还将进一步降低。进一步地，可对每台机组或升压站系统等一级资产进行单独的成本评价，以明确风电场的具体成本构成和成本管控重点。</w:t>
      </w:r>
    </w:p>
    <w:p w14:paraId="77D425F6" w14:textId="77777777" w:rsidR="004F5B9A" w:rsidRDefault="004F5B9A" w:rsidP="004F5B9A">
      <w:pPr>
        <w:tabs>
          <w:tab w:val="left" w:pos="0"/>
          <w:tab w:val="left" w:pos="735"/>
        </w:tabs>
        <w:spacing w:line="360" w:lineRule="auto"/>
        <w:jc w:val="center"/>
        <w:rPr>
          <w:color w:val="000000" w:themeColor="text1"/>
          <w:szCs w:val="21"/>
        </w:rPr>
        <w:sectPr w:rsidR="004F5B9A" w:rsidSect="004F5B9A">
          <w:type w:val="continuous"/>
          <w:pgSz w:w="11906" w:h="16838"/>
          <w:pgMar w:top="1089" w:right="879" w:bottom="624" w:left="1157" w:header="851" w:footer="893" w:gutter="0"/>
          <w:cols w:num="2" w:space="425"/>
          <w:docGrid w:type="lines" w:linePitch="312"/>
        </w:sectPr>
      </w:pPr>
    </w:p>
    <w:p w14:paraId="008BCDF7" w14:textId="77777777" w:rsidR="004F5B9A" w:rsidRPr="005271DE" w:rsidRDefault="004F5B9A" w:rsidP="005271DE">
      <w:pPr>
        <w:pStyle w:val="15"/>
        <w:ind w:firstLine="0"/>
        <w:jc w:val="center"/>
      </w:pPr>
      <w:r w:rsidRPr="005271DE">
        <w:rPr>
          <w:rFonts w:hint="eastAsia"/>
        </w:rPr>
        <w:t>表</w:t>
      </w:r>
      <w:r w:rsidRPr="005271DE">
        <w:t xml:space="preserve">1 </w:t>
      </w:r>
      <w:r w:rsidRPr="005271DE">
        <w:rPr>
          <w:rFonts w:hint="eastAsia"/>
        </w:rPr>
        <w:t>某</w:t>
      </w:r>
      <w:r w:rsidRPr="005271DE">
        <w:t>40</w:t>
      </w:r>
      <w:r w:rsidRPr="005271DE">
        <w:rPr>
          <w:rFonts w:hint="eastAsia"/>
        </w:rPr>
        <w:t>万千瓦海上风电项目成本指标对比</w:t>
      </w:r>
    </w:p>
    <w:tbl>
      <w:tblPr>
        <w:tblStyle w:val="af1"/>
        <w:tblW w:w="5000" w:type="pct"/>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029"/>
        <w:gridCol w:w="850"/>
        <w:gridCol w:w="758"/>
        <w:gridCol w:w="576"/>
        <w:gridCol w:w="713"/>
        <w:gridCol w:w="713"/>
        <w:gridCol w:w="1028"/>
        <w:gridCol w:w="576"/>
        <w:gridCol w:w="938"/>
        <w:gridCol w:w="440"/>
        <w:gridCol w:w="904"/>
      </w:tblGrid>
      <w:tr w:rsidR="004F5B9A" w:rsidRPr="004F5B9A" w14:paraId="54373EDE" w14:textId="77777777" w:rsidTr="004F5B9A">
        <w:tc>
          <w:tcPr>
            <w:tcW w:w="681" w:type="pct"/>
            <w:tcBorders>
              <w:top w:val="single" w:sz="8" w:space="0" w:color="auto"/>
              <w:bottom w:val="single" w:sz="8" w:space="0" w:color="auto"/>
            </w:tcBorders>
            <w:vAlign w:val="center"/>
          </w:tcPr>
          <w:p w14:paraId="0E692BDD"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成本项</w:t>
            </w:r>
          </w:p>
        </w:tc>
        <w:tc>
          <w:tcPr>
            <w:tcW w:w="521" w:type="pct"/>
            <w:tcBorders>
              <w:top w:val="single" w:sz="8" w:space="0" w:color="auto"/>
              <w:bottom w:val="single" w:sz="8" w:space="0" w:color="auto"/>
            </w:tcBorders>
            <w:vAlign w:val="center"/>
          </w:tcPr>
          <w:p w14:paraId="73C47A6D" w14:textId="77777777" w:rsidR="004F5B9A" w:rsidRPr="004F5B9A" w:rsidRDefault="004F5B9A" w:rsidP="006A363A">
            <w:pPr>
              <w:tabs>
                <w:tab w:val="center" w:pos="4200"/>
                <w:tab w:val="right" w:pos="7980"/>
              </w:tabs>
              <w:snapToGrid w:val="0"/>
              <w:jc w:val="center"/>
              <w:rPr>
                <w:sz w:val="18"/>
                <w:szCs w:val="18"/>
                <w:vertAlign w:val="subscript"/>
              </w:rPr>
            </w:pPr>
            <w:r w:rsidRPr="004F5B9A">
              <w:rPr>
                <w:i/>
                <w:sz w:val="18"/>
                <w:szCs w:val="18"/>
              </w:rPr>
              <w:t>C</w:t>
            </w:r>
            <w:r w:rsidRPr="004F5B9A">
              <w:rPr>
                <w:i/>
                <w:sz w:val="18"/>
                <w:szCs w:val="18"/>
                <w:vertAlign w:val="subscript"/>
              </w:rPr>
              <w:t>I</w:t>
            </w:r>
            <w:r w:rsidRPr="004F5B9A">
              <w:rPr>
                <w:sz w:val="18"/>
                <w:szCs w:val="18"/>
                <w:vertAlign w:val="subscript"/>
              </w:rPr>
              <w:t>0</w:t>
            </w:r>
          </w:p>
          <w:p w14:paraId="53999554"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万元</w:t>
            </w:r>
          </w:p>
        </w:tc>
        <w:tc>
          <w:tcPr>
            <w:tcW w:w="430" w:type="pct"/>
            <w:tcBorders>
              <w:top w:val="single" w:sz="8" w:space="0" w:color="auto"/>
              <w:bottom w:val="single" w:sz="8" w:space="0" w:color="auto"/>
            </w:tcBorders>
            <w:vAlign w:val="center"/>
          </w:tcPr>
          <w:p w14:paraId="4602A523" w14:textId="77777777" w:rsidR="004F5B9A" w:rsidRPr="004F5B9A" w:rsidRDefault="004F5B9A" w:rsidP="006A363A">
            <w:pPr>
              <w:tabs>
                <w:tab w:val="center" w:pos="4200"/>
                <w:tab w:val="right" w:pos="7980"/>
              </w:tabs>
              <w:snapToGrid w:val="0"/>
              <w:jc w:val="center"/>
              <w:rPr>
                <w:i/>
                <w:sz w:val="18"/>
                <w:szCs w:val="18"/>
                <w:vertAlign w:val="subscript"/>
              </w:rPr>
            </w:pPr>
            <w:proofErr w:type="spellStart"/>
            <w:r w:rsidRPr="004F5B9A">
              <w:rPr>
                <w:i/>
                <w:sz w:val="18"/>
                <w:szCs w:val="18"/>
              </w:rPr>
              <w:t>C</w:t>
            </w:r>
            <w:r w:rsidRPr="004F5B9A">
              <w:rPr>
                <w:i/>
                <w:sz w:val="18"/>
                <w:szCs w:val="18"/>
                <w:vertAlign w:val="subscript"/>
              </w:rPr>
              <w:t>O,t</w:t>
            </w:r>
            <w:proofErr w:type="spellEnd"/>
          </w:p>
          <w:p w14:paraId="6E85FF96" w14:textId="77777777" w:rsidR="004F5B9A" w:rsidRPr="004F5B9A" w:rsidRDefault="004F5B9A" w:rsidP="006A363A">
            <w:pPr>
              <w:tabs>
                <w:tab w:val="center" w:pos="4200"/>
                <w:tab w:val="right" w:pos="7980"/>
              </w:tabs>
              <w:snapToGrid w:val="0"/>
              <w:jc w:val="center"/>
              <w:rPr>
                <w:i/>
                <w:sz w:val="18"/>
                <w:szCs w:val="18"/>
              </w:rPr>
            </w:pPr>
            <w:r w:rsidRPr="004F5B9A">
              <w:rPr>
                <w:rFonts w:hint="eastAsia"/>
                <w:sz w:val="18"/>
                <w:szCs w:val="18"/>
              </w:rPr>
              <w:t>万元</w:t>
            </w:r>
          </w:p>
        </w:tc>
        <w:tc>
          <w:tcPr>
            <w:tcW w:w="384" w:type="pct"/>
            <w:tcBorders>
              <w:top w:val="single" w:sz="8" w:space="0" w:color="auto"/>
              <w:bottom w:val="single" w:sz="8" w:space="0" w:color="auto"/>
            </w:tcBorders>
            <w:vAlign w:val="center"/>
          </w:tcPr>
          <w:p w14:paraId="25AB0F76" w14:textId="77777777" w:rsidR="004F5B9A" w:rsidRPr="004F5B9A" w:rsidRDefault="004F5B9A" w:rsidP="006A363A">
            <w:pPr>
              <w:tabs>
                <w:tab w:val="center" w:pos="4200"/>
                <w:tab w:val="right" w:pos="7980"/>
              </w:tabs>
              <w:snapToGrid w:val="0"/>
              <w:jc w:val="center"/>
              <w:rPr>
                <w:i/>
                <w:sz w:val="18"/>
                <w:szCs w:val="18"/>
                <w:vertAlign w:val="subscript"/>
              </w:rPr>
            </w:pPr>
            <w:proofErr w:type="spellStart"/>
            <w:r w:rsidRPr="004F5B9A">
              <w:rPr>
                <w:i/>
                <w:sz w:val="18"/>
                <w:szCs w:val="18"/>
              </w:rPr>
              <w:t>C</w:t>
            </w:r>
            <w:r w:rsidRPr="004F5B9A">
              <w:rPr>
                <w:i/>
                <w:sz w:val="18"/>
                <w:szCs w:val="18"/>
                <w:vertAlign w:val="subscript"/>
              </w:rPr>
              <w:t>M,t</w:t>
            </w:r>
            <w:proofErr w:type="spellEnd"/>
          </w:p>
          <w:p w14:paraId="2E7CDFFC"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万元</w:t>
            </w:r>
          </w:p>
        </w:tc>
        <w:tc>
          <w:tcPr>
            <w:tcW w:w="292" w:type="pct"/>
            <w:tcBorders>
              <w:top w:val="single" w:sz="8" w:space="0" w:color="auto"/>
              <w:bottom w:val="single" w:sz="8" w:space="0" w:color="auto"/>
            </w:tcBorders>
            <w:vAlign w:val="center"/>
          </w:tcPr>
          <w:p w14:paraId="07A99048" w14:textId="77777777" w:rsidR="004F5B9A" w:rsidRPr="004F5B9A" w:rsidRDefault="004F5B9A" w:rsidP="006A363A">
            <w:pPr>
              <w:tabs>
                <w:tab w:val="center" w:pos="4200"/>
                <w:tab w:val="right" w:pos="7980"/>
              </w:tabs>
              <w:snapToGrid w:val="0"/>
              <w:jc w:val="center"/>
              <w:rPr>
                <w:sz w:val="18"/>
                <w:szCs w:val="18"/>
                <w:vertAlign w:val="subscript"/>
              </w:rPr>
            </w:pPr>
            <w:proofErr w:type="spellStart"/>
            <w:r w:rsidRPr="004F5B9A">
              <w:rPr>
                <w:i/>
                <w:sz w:val="18"/>
                <w:szCs w:val="18"/>
              </w:rPr>
              <w:t>R</w:t>
            </w:r>
            <w:r w:rsidRPr="004F5B9A">
              <w:rPr>
                <w:sz w:val="18"/>
                <w:szCs w:val="18"/>
                <w:vertAlign w:val="subscript"/>
              </w:rPr>
              <w:t>tax</w:t>
            </w:r>
            <w:proofErr w:type="spellEnd"/>
          </w:p>
        </w:tc>
        <w:tc>
          <w:tcPr>
            <w:tcW w:w="361" w:type="pct"/>
            <w:tcBorders>
              <w:top w:val="single" w:sz="8" w:space="0" w:color="auto"/>
              <w:bottom w:val="single" w:sz="8" w:space="0" w:color="auto"/>
            </w:tcBorders>
            <w:vAlign w:val="center"/>
          </w:tcPr>
          <w:p w14:paraId="0F10C372" w14:textId="77777777" w:rsidR="004F5B9A" w:rsidRPr="004F5B9A" w:rsidRDefault="004F5B9A" w:rsidP="006A363A">
            <w:pPr>
              <w:tabs>
                <w:tab w:val="center" w:pos="4200"/>
                <w:tab w:val="right" w:pos="7980"/>
              </w:tabs>
              <w:snapToGrid w:val="0"/>
              <w:jc w:val="center"/>
              <w:rPr>
                <w:i/>
                <w:sz w:val="18"/>
                <w:szCs w:val="18"/>
                <w:vertAlign w:val="subscript"/>
              </w:rPr>
            </w:pPr>
            <w:r w:rsidRPr="004F5B9A">
              <w:rPr>
                <w:i/>
                <w:sz w:val="18"/>
                <w:szCs w:val="18"/>
              </w:rPr>
              <w:t>Dep</w:t>
            </w:r>
            <w:r w:rsidRPr="004F5B9A">
              <w:rPr>
                <w:i/>
                <w:sz w:val="18"/>
                <w:szCs w:val="18"/>
                <w:vertAlign w:val="subscript"/>
              </w:rPr>
              <w:t>t</w:t>
            </w:r>
          </w:p>
          <w:p w14:paraId="1126A31D"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万元</w:t>
            </w:r>
          </w:p>
        </w:tc>
        <w:tc>
          <w:tcPr>
            <w:tcW w:w="361" w:type="pct"/>
            <w:tcBorders>
              <w:top w:val="single" w:sz="8" w:space="0" w:color="auto"/>
              <w:bottom w:val="single" w:sz="8" w:space="0" w:color="auto"/>
            </w:tcBorders>
            <w:vAlign w:val="center"/>
          </w:tcPr>
          <w:p w14:paraId="124C59F1" w14:textId="77777777" w:rsidR="004F5B9A" w:rsidRPr="004F5B9A" w:rsidRDefault="004F5B9A" w:rsidP="006A363A">
            <w:pPr>
              <w:tabs>
                <w:tab w:val="center" w:pos="4200"/>
                <w:tab w:val="right" w:pos="7980"/>
              </w:tabs>
              <w:snapToGrid w:val="0"/>
              <w:jc w:val="center"/>
              <w:rPr>
                <w:i/>
                <w:sz w:val="18"/>
                <w:szCs w:val="18"/>
                <w:vertAlign w:val="subscript"/>
              </w:rPr>
            </w:pPr>
            <w:proofErr w:type="spellStart"/>
            <w:r w:rsidRPr="004F5B9A">
              <w:rPr>
                <w:i/>
                <w:sz w:val="18"/>
                <w:szCs w:val="18"/>
              </w:rPr>
              <w:t>Dis</w:t>
            </w:r>
            <w:r w:rsidRPr="004F5B9A">
              <w:rPr>
                <w:i/>
                <w:sz w:val="18"/>
                <w:szCs w:val="18"/>
                <w:vertAlign w:val="subscript"/>
              </w:rPr>
              <w:t>n</w:t>
            </w:r>
            <w:proofErr w:type="spellEnd"/>
          </w:p>
          <w:p w14:paraId="16233431"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万元</w:t>
            </w:r>
          </w:p>
        </w:tc>
        <w:tc>
          <w:tcPr>
            <w:tcW w:w="521" w:type="pct"/>
            <w:tcBorders>
              <w:top w:val="single" w:sz="8" w:space="0" w:color="auto"/>
              <w:bottom w:val="single" w:sz="8" w:space="0" w:color="auto"/>
            </w:tcBorders>
            <w:vAlign w:val="center"/>
          </w:tcPr>
          <w:p w14:paraId="5F95F3C5" w14:textId="77777777" w:rsidR="004F5B9A" w:rsidRPr="004F5B9A" w:rsidRDefault="004F5B9A" w:rsidP="006A363A">
            <w:pPr>
              <w:tabs>
                <w:tab w:val="center" w:pos="4200"/>
                <w:tab w:val="right" w:pos="7980"/>
              </w:tabs>
              <w:snapToGrid w:val="0"/>
              <w:jc w:val="center"/>
              <w:rPr>
                <w:i/>
                <w:sz w:val="18"/>
                <w:szCs w:val="18"/>
                <w:vertAlign w:val="subscript"/>
              </w:rPr>
            </w:pPr>
            <w:proofErr w:type="spellStart"/>
            <w:r w:rsidRPr="004F5B9A">
              <w:rPr>
                <w:i/>
                <w:sz w:val="18"/>
                <w:szCs w:val="18"/>
              </w:rPr>
              <w:t>Rv</w:t>
            </w:r>
            <w:r w:rsidRPr="004F5B9A">
              <w:rPr>
                <w:i/>
                <w:sz w:val="18"/>
                <w:szCs w:val="18"/>
                <w:vertAlign w:val="subscript"/>
              </w:rPr>
              <w:t>n</w:t>
            </w:r>
            <w:proofErr w:type="spellEnd"/>
          </w:p>
          <w:p w14:paraId="16B5C0B5"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万元</w:t>
            </w:r>
          </w:p>
        </w:tc>
        <w:tc>
          <w:tcPr>
            <w:tcW w:w="292" w:type="pct"/>
            <w:tcBorders>
              <w:top w:val="single" w:sz="8" w:space="0" w:color="auto"/>
              <w:bottom w:val="single" w:sz="8" w:space="0" w:color="auto"/>
            </w:tcBorders>
            <w:vAlign w:val="center"/>
          </w:tcPr>
          <w:p w14:paraId="55AEA80F" w14:textId="77777777" w:rsidR="004F5B9A" w:rsidRPr="004F5B9A" w:rsidRDefault="004F5B9A" w:rsidP="006A363A">
            <w:pPr>
              <w:tabs>
                <w:tab w:val="center" w:pos="4200"/>
                <w:tab w:val="right" w:pos="7980"/>
              </w:tabs>
              <w:snapToGrid w:val="0"/>
              <w:jc w:val="center"/>
              <w:rPr>
                <w:i/>
                <w:sz w:val="18"/>
                <w:szCs w:val="18"/>
              </w:rPr>
            </w:pPr>
            <w:r w:rsidRPr="004F5B9A">
              <w:rPr>
                <w:i/>
                <w:sz w:val="18"/>
                <w:szCs w:val="18"/>
              </w:rPr>
              <w:t>d</w:t>
            </w:r>
          </w:p>
        </w:tc>
        <w:tc>
          <w:tcPr>
            <w:tcW w:w="475" w:type="pct"/>
            <w:tcBorders>
              <w:top w:val="single" w:sz="8" w:space="0" w:color="auto"/>
              <w:bottom w:val="single" w:sz="8" w:space="0" w:color="auto"/>
            </w:tcBorders>
            <w:vAlign w:val="center"/>
          </w:tcPr>
          <w:p w14:paraId="28722C28" w14:textId="77777777" w:rsidR="004F5B9A" w:rsidRPr="004F5B9A" w:rsidRDefault="004F5B9A" w:rsidP="006A363A">
            <w:pPr>
              <w:tabs>
                <w:tab w:val="center" w:pos="4200"/>
                <w:tab w:val="right" w:pos="7980"/>
              </w:tabs>
              <w:snapToGrid w:val="0"/>
              <w:jc w:val="center"/>
              <w:rPr>
                <w:i/>
                <w:sz w:val="18"/>
                <w:szCs w:val="18"/>
                <w:vertAlign w:val="subscript"/>
              </w:rPr>
            </w:pPr>
            <w:r w:rsidRPr="004F5B9A">
              <w:rPr>
                <w:i/>
                <w:sz w:val="18"/>
                <w:szCs w:val="18"/>
              </w:rPr>
              <w:t>E</w:t>
            </w:r>
            <w:r w:rsidRPr="004F5B9A">
              <w:rPr>
                <w:i/>
                <w:sz w:val="18"/>
                <w:szCs w:val="18"/>
                <w:vertAlign w:val="subscript"/>
              </w:rPr>
              <w:t>t</w:t>
            </w:r>
          </w:p>
          <w:p w14:paraId="3F14B2CE" w14:textId="77777777" w:rsidR="004F5B9A" w:rsidRPr="004F5B9A" w:rsidRDefault="004F5B9A" w:rsidP="006A363A">
            <w:pPr>
              <w:tabs>
                <w:tab w:val="center" w:pos="4200"/>
                <w:tab w:val="right" w:pos="7980"/>
              </w:tabs>
              <w:snapToGrid w:val="0"/>
              <w:jc w:val="center"/>
              <w:rPr>
                <w:i/>
                <w:sz w:val="18"/>
                <w:szCs w:val="18"/>
              </w:rPr>
            </w:pPr>
            <w:r w:rsidRPr="004F5B9A">
              <w:rPr>
                <w:rFonts w:hint="eastAsia"/>
                <w:sz w:val="18"/>
                <w:szCs w:val="18"/>
              </w:rPr>
              <w:t>万</w:t>
            </w:r>
            <w:proofErr w:type="spellStart"/>
            <w:r w:rsidRPr="004F5B9A">
              <w:rPr>
                <w:sz w:val="18"/>
                <w:szCs w:val="18"/>
              </w:rPr>
              <w:t>kW·h</w:t>
            </w:r>
            <w:proofErr w:type="spellEnd"/>
          </w:p>
        </w:tc>
        <w:tc>
          <w:tcPr>
            <w:tcW w:w="223" w:type="pct"/>
            <w:tcBorders>
              <w:top w:val="single" w:sz="8" w:space="0" w:color="auto"/>
              <w:bottom w:val="single" w:sz="8" w:space="0" w:color="auto"/>
            </w:tcBorders>
            <w:vAlign w:val="center"/>
          </w:tcPr>
          <w:p w14:paraId="181C4C20" w14:textId="77777777" w:rsidR="004F5B9A" w:rsidRPr="004F5B9A" w:rsidRDefault="004F5B9A" w:rsidP="006A363A">
            <w:pPr>
              <w:tabs>
                <w:tab w:val="center" w:pos="4200"/>
                <w:tab w:val="right" w:pos="7980"/>
              </w:tabs>
              <w:snapToGrid w:val="0"/>
              <w:jc w:val="center"/>
              <w:rPr>
                <w:i/>
                <w:sz w:val="18"/>
                <w:szCs w:val="18"/>
              </w:rPr>
            </w:pPr>
            <w:r w:rsidRPr="004F5B9A">
              <w:rPr>
                <w:rFonts w:hint="eastAsia"/>
                <w:i/>
                <w:sz w:val="18"/>
                <w:szCs w:val="18"/>
              </w:rPr>
              <w:t>n</w:t>
            </w:r>
          </w:p>
          <w:p w14:paraId="10A11F73" w14:textId="77777777" w:rsidR="004F5B9A" w:rsidRPr="004F5B9A" w:rsidRDefault="004F5B9A" w:rsidP="006A363A">
            <w:pPr>
              <w:tabs>
                <w:tab w:val="center" w:pos="4200"/>
                <w:tab w:val="right" w:pos="7980"/>
              </w:tabs>
              <w:snapToGrid w:val="0"/>
              <w:jc w:val="center"/>
              <w:rPr>
                <w:i/>
                <w:sz w:val="18"/>
                <w:szCs w:val="18"/>
              </w:rPr>
            </w:pPr>
            <w:r w:rsidRPr="004F5B9A">
              <w:rPr>
                <w:rFonts w:hint="eastAsia"/>
                <w:sz w:val="18"/>
                <w:szCs w:val="18"/>
              </w:rPr>
              <w:t>年</w:t>
            </w:r>
          </w:p>
        </w:tc>
        <w:tc>
          <w:tcPr>
            <w:tcW w:w="458" w:type="pct"/>
            <w:tcBorders>
              <w:top w:val="single" w:sz="8" w:space="0" w:color="auto"/>
              <w:bottom w:val="single" w:sz="8" w:space="0" w:color="auto"/>
            </w:tcBorders>
            <w:vAlign w:val="center"/>
          </w:tcPr>
          <w:p w14:paraId="10403E9F" w14:textId="77777777" w:rsidR="004F5B9A" w:rsidRPr="004F5B9A" w:rsidRDefault="004F5B9A" w:rsidP="006A363A">
            <w:pPr>
              <w:tabs>
                <w:tab w:val="center" w:pos="4200"/>
                <w:tab w:val="right" w:pos="7980"/>
              </w:tabs>
              <w:snapToGrid w:val="0"/>
              <w:jc w:val="center"/>
              <w:rPr>
                <w:i/>
                <w:sz w:val="18"/>
                <w:szCs w:val="18"/>
              </w:rPr>
            </w:pPr>
            <w:r w:rsidRPr="004F5B9A">
              <w:rPr>
                <w:rFonts w:hint="eastAsia"/>
                <w:i/>
                <w:sz w:val="18"/>
                <w:szCs w:val="18"/>
              </w:rPr>
              <w:t>c</w:t>
            </w:r>
          </w:p>
          <w:p w14:paraId="0BAF03F3" w14:textId="77777777" w:rsidR="004F5B9A" w:rsidRPr="004F5B9A" w:rsidRDefault="004F5B9A" w:rsidP="006A363A">
            <w:pPr>
              <w:tabs>
                <w:tab w:val="center" w:pos="4200"/>
                <w:tab w:val="right" w:pos="7980"/>
              </w:tabs>
              <w:snapToGrid w:val="0"/>
              <w:jc w:val="center"/>
              <w:rPr>
                <w:sz w:val="18"/>
                <w:szCs w:val="18"/>
              </w:rPr>
            </w:pPr>
            <w:r w:rsidRPr="004F5B9A">
              <w:rPr>
                <w:rFonts w:hint="eastAsia"/>
                <w:sz w:val="18"/>
                <w:szCs w:val="18"/>
              </w:rPr>
              <w:t>元</w:t>
            </w:r>
            <w:r w:rsidRPr="004F5B9A">
              <w:rPr>
                <w:rFonts w:hint="eastAsia"/>
                <w:sz w:val="18"/>
                <w:szCs w:val="18"/>
              </w:rPr>
              <w:t>/</w:t>
            </w:r>
            <w:proofErr w:type="spellStart"/>
            <w:r w:rsidRPr="004F5B9A">
              <w:rPr>
                <w:sz w:val="18"/>
                <w:szCs w:val="18"/>
              </w:rPr>
              <w:t>kW·h</w:t>
            </w:r>
            <w:proofErr w:type="spellEnd"/>
          </w:p>
        </w:tc>
      </w:tr>
      <w:tr w:rsidR="004F5B9A" w:rsidRPr="004F5B9A" w14:paraId="226B538A" w14:textId="77777777" w:rsidTr="004F5B9A">
        <w:tc>
          <w:tcPr>
            <w:tcW w:w="681" w:type="pct"/>
            <w:tcBorders>
              <w:top w:val="single" w:sz="8" w:space="0" w:color="auto"/>
              <w:bottom w:val="nil"/>
            </w:tcBorders>
            <w:vAlign w:val="center"/>
          </w:tcPr>
          <w:p w14:paraId="6673B053" w14:textId="77777777" w:rsidR="004F5B9A" w:rsidRPr="004F5B9A" w:rsidRDefault="004F5B9A" w:rsidP="006A363A">
            <w:pPr>
              <w:tabs>
                <w:tab w:val="center" w:pos="4200"/>
                <w:tab w:val="right" w:pos="7980"/>
              </w:tabs>
              <w:snapToGrid w:val="0"/>
              <w:jc w:val="center"/>
              <w:rPr>
                <w:rFonts w:ascii="宋体" w:hAnsi="宋体" w:hint="eastAsia"/>
                <w:sz w:val="18"/>
                <w:szCs w:val="18"/>
              </w:rPr>
            </w:pPr>
            <w:r w:rsidRPr="004F5B9A">
              <w:rPr>
                <w:rFonts w:ascii="宋体" w:hAnsi="宋体" w:hint="eastAsia"/>
                <w:sz w:val="18"/>
                <w:szCs w:val="18"/>
              </w:rPr>
              <w:t>传统资产管理</w:t>
            </w:r>
          </w:p>
        </w:tc>
        <w:tc>
          <w:tcPr>
            <w:tcW w:w="521" w:type="pct"/>
            <w:tcBorders>
              <w:top w:val="single" w:sz="8" w:space="0" w:color="auto"/>
              <w:bottom w:val="nil"/>
            </w:tcBorders>
            <w:vAlign w:val="center"/>
          </w:tcPr>
          <w:p w14:paraId="7F404CA5"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663236.55</w:t>
            </w:r>
          </w:p>
        </w:tc>
        <w:tc>
          <w:tcPr>
            <w:tcW w:w="430" w:type="pct"/>
            <w:tcBorders>
              <w:top w:val="single" w:sz="8" w:space="0" w:color="auto"/>
              <w:bottom w:val="nil"/>
            </w:tcBorders>
            <w:vAlign w:val="center"/>
          </w:tcPr>
          <w:p w14:paraId="60C956BE"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1999.21</w:t>
            </w:r>
          </w:p>
        </w:tc>
        <w:tc>
          <w:tcPr>
            <w:tcW w:w="384" w:type="pct"/>
            <w:tcBorders>
              <w:top w:val="single" w:sz="8" w:space="0" w:color="auto"/>
              <w:bottom w:val="nil"/>
            </w:tcBorders>
            <w:vAlign w:val="center"/>
          </w:tcPr>
          <w:p w14:paraId="27119A28"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687.18</w:t>
            </w:r>
          </w:p>
        </w:tc>
        <w:tc>
          <w:tcPr>
            <w:tcW w:w="292" w:type="pct"/>
            <w:tcBorders>
              <w:top w:val="single" w:sz="8" w:space="0" w:color="auto"/>
              <w:bottom w:val="nil"/>
            </w:tcBorders>
            <w:vAlign w:val="center"/>
          </w:tcPr>
          <w:p w14:paraId="6953AFEB"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0.09</w:t>
            </w:r>
          </w:p>
        </w:tc>
        <w:tc>
          <w:tcPr>
            <w:tcW w:w="361" w:type="pct"/>
            <w:tcBorders>
              <w:top w:val="single" w:sz="8" w:space="0" w:color="auto"/>
              <w:bottom w:val="nil"/>
            </w:tcBorders>
            <w:vAlign w:val="center"/>
          </w:tcPr>
          <w:p w14:paraId="4A90BDD6"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18285</w:t>
            </w:r>
          </w:p>
        </w:tc>
        <w:tc>
          <w:tcPr>
            <w:tcW w:w="361" w:type="pct"/>
            <w:tcBorders>
              <w:top w:val="single" w:sz="8" w:space="0" w:color="auto"/>
              <w:bottom w:val="nil"/>
            </w:tcBorders>
            <w:vAlign w:val="center"/>
          </w:tcPr>
          <w:p w14:paraId="2DCF9110"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50000</w:t>
            </w:r>
          </w:p>
        </w:tc>
        <w:tc>
          <w:tcPr>
            <w:tcW w:w="521" w:type="pct"/>
            <w:tcBorders>
              <w:top w:val="single" w:sz="8" w:space="0" w:color="auto"/>
              <w:bottom w:val="nil"/>
            </w:tcBorders>
            <w:vAlign w:val="center"/>
          </w:tcPr>
          <w:p w14:paraId="0EFCCFE2"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297536.55</w:t>
            </w:r>
          </w:p>
        </w:tc>
        <w:tc>
          <w:tcPr>
            <w:tcW w:w="292" w:type="pct"/>
            <w:tcBorders>
              <w:top w:val="single" w:sz="8" w:space="0" w:color="auto"/>
              <w:bottom w:val="nil"/>
            </w:tcBorders>
            <w:vAlign w:val="center"/>
          </w:tcPr>
          <w:p w14:paraId="13BFC601"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0.05</w:t>
            </w:r>
          </w:p>
        </w:tc>
        <w:tc>
          <w:tcPr>
            <w:tcW w:w="475" w:type="pct"/>
            <w:tcBorders>
              <w:top w:val="single" w:sz="8" w:space="0" w:color="auto"/>
              <w:bottom w:val="nil"/>
            </w:tcBorders>
            <w:vAlign w:val="center"/>
          </w:tcPr>
          <w:p w14:paraId="3F1BD0FB"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54555.73</w:t>
            </w:r>
          </w:p>
        </w:tc>
        <w:tc>
          <w:tcPr>
            <w:tcW w:w="223" w:type="pct"/>
            <w:tcBorders>
              <w:top w:val="single" w:sz="8" w:space="0" w:color="auto"/>
              <w:bottom w:val="nil"/>
            </w:tcBorders>
            <w:vAlign w:val="center"/>
          </w:tcPr>
          <w:p w14:paraId="292D0500"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20</w:t>
            </w:r>
          </w:p>
        </w:tc>
        <w:tc>
          <w:tcPr>
            <w:tcW w:w="458" w:type="pct"/>
            <w:tcBorders>
              <w:top w:val="single" w:sz="8" w:space="0" w:color="auto"/>
              <w:bottom w:val="nil"/>
            </w:tcBorders>
            <w:vAlign w:val="center"/>
          </w:tcPr>
          <w:p w14:paraId="3F25A658"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0.922</w:t>
            </w:r>
          </w:p>
        </w:tc>
      </w:tr>
      <w:tr w:rsidR="004F5B9A" w:rsidRPr="004F5B9A" w14:paraId="5EA00FE0" w14:textId="77777777" w:rsidTr="004F5B9A">
        <w:tc>
          <w:tcPr>
            <w:tcW w:w="681" w:type="pct"/>
            <w:tcBorders>
              <w:top w:val="nil"/>
              <w:bottom w:val="single" w:sz="8" w:space="0" w:color="auto"/>
            </w:tcBorders>
            <w:vAlign w:val="center"/>
          </w:tcPr>
          <w:p w14:paraId="0A70993F" w14:textId="77777777" w:rsidR="004F5B9A" w:rsidRPr="004F5B9A" w:rsidRDefault="004F5B9A" w:rsidP="006A363A">
            <w:pPr>
              <w:tabs>
                <w:tab w:val="center" w:pos="4200"/>
                <w:tab w:val="right" w:pos="7980"/>
              </w:tabs>
              <w:snapToGrid w:val="0"/>
              <w:jc w:val="center"/>
              <w:rPr>
                <w:rFonts w:ascii="宋体" w:hAnsi="宋体" w:hint="eastAsia"/>
                <w:sz w:val="18"/>
                <w:szCs w:val="18"/>
              </w:rPr>
            </w:pPr>
            <w:r w:rsidRPr="004F5B9A">
              <w:rPr>
                <w:rFonts w:ascii="宋体" w:hAnsi="宋体" w:hint="eastAsia"/>
                <w:sz w:val="18"/>
                <w:szCs w:val="18"/>
              </w:rPr>
              <w:t>智慧闭环管理</w:t>
            </w:r>
          </w:p>
        </w:tc>
        <w:tc>
          <w:tcPr>
            <w:tcW w:w="521" w:type="pct"/>
            <w:tcBorders>
              <w:top w:val="nil"/>
              <w:bottom w:val="single" w:sz="8" w:space="0" w:color="auto"/>
            </w:tcBorders>
            <w:vAlign w:val="center"/>
          </w:tcPr>
          <w:p w14:paraId="1CB3BDA3"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617480.16</w:t>
            </w:r>
          </w:p>
        </w:tc>
        <w:tc>
          <w:tcPr>
            <w:tcW w:w="430" w:type="pct"/>
            <w:tcBorders>
              <w:top w:val="nil"/>
              <w:bottom w:val="single" w:sz="8" w:space="0" w:color="auto"/>
            </w:tcBorders>
            <w:vAlign w:val="center"/>
          </w:tcPr>
          <w:p w14:paraId="367ECF16"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1999.21</w:t>
            </w:r>
          </w:p>
        </w:tc>
        <w:tc>
          <w:tcPr>
            <w:tcW w:w="384" w:type="pct"/>
            <w:tcBorders>
              <w:top w:val="nil"/>
              <w:bottom w:val="single" w:sz="8" w:space="0" w:color="auto"/>
            </w:tcBorders>
            <w:vAlign w:val="center"/>
          </w:tcPr>
          <w:p w14:paraId="39DB53A9"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563.49</w:t>
            </w:r>
          </w:p>
        </w:tc>
        <w:tc>
          <w:tcPr>
            <w:tcW w:w="292" w:type="pct"/>
            <w:tcBorders>
              <w:top w:val="nil"/>
              <w:bottom w:val="single" w:sz="8" w:space="0" w:color="auto"/>
            </w:tcBorders>
            <w:vAlign w:val="center"/>
          </w:tcPr>
          <w:p w14:paraId="2E255DFA"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0.09</w:t>
            </w:r>
          </w:p>
        </w:tc>
        <w:tc>
          <w:tcPr>
            <w:tcW w:w="361" w:type="pct"/>
            <w:tcBorders>
              <w:top w:val="nil"/>
              <w:bottom w:val="single" w:sz="8" w:space="0" w:color="auto"/>
            </w:tcBorders>
            <w:vAlign w:val="center"/>
          </w:tcPr>
          <w:p w14:paraId="6A9302A7"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18285</w:t>
            </w:r>
          </w:p>
        </w:tc>
        <w:tc>
          <w:tcPr>
            <w:tcW w:w="361" w:type="pct"/>
            <w:tcBorders>
              <w:top w:val="nil"/>
              <w:bottom w:val="single" w:sz="8" w:space="0" w:color="auto"/>
            </w:tcBorders>
            <w:vAlign w:val="center"/>
          </w:tcPr>
          <w:p w14:paraId="24D9C1C5"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50000</w:t>
            </w:r>
          </w:p>
        </w:tc>
        <w:tc>
          <w:tcPr>
            <w:tcW w:w="521" w:type="pct"/>
            <w:tcBorders>
              <w:top w:val="nil"/>
              <w:bottom w:val="single" w:sz="8" w:space="0" w:color="auto"/>
            </w:tcBorders>
            <w:vAlign w:val="center"/>
          </w:tcPr>
          <w:p w14:paraId="50EB7B22"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251780.16</w:t>
            </w:r>
          </w:p>
        </w:tc>
        <w:tc>
          <w:tcPr>
            <w:tcW w:w="292" w:type="pct"/>
            <w:tcBorders>
              <w:top w:val="nil"/>
              <w:bottom w:val="single" w:sz="8" w:space="0" w:color="auto"/>
            </w:tcBorders>
            <w:vAlign w:val="center"/>
          </w:tcPr>
          <w:p w14:paraId="74DF95A6"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0.05</w:t>
            </w:r>
          </w:p>
        </w:tc>
        <w:tc>
          <w:tcPr>
            <w:tcW w:w="475" w:type="pct"/>
            <w:tcBorders>
              <w:top w:val="nil"/>
              <w:bottom w:val="single" w:sz="8" w:space="0" w:color="auto"/>
            </w:tcBorders>
            <w:vAlign w:val="center"/>
          </w:tcPr>
          <w:p w14:paraId="407CFA64"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60556.86</w:t>
            </w:r>
          </w:p>
        </w:tc>
        <w:tc>
          <w:tcPr>
            <w:tcW w:w="223" w:type="pct"/>
            <w:tcBorders>
              <w:top w:val="nil"/>
              <w:bottom w:val="single" w:sz="8" w:space="0" w:color="auto"/>
            </w:tcBorders>
            <w:vAlign w:val="center"/>
          </w:tcPr>
          <w:p w14:paraId="159E9630"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20</w:t>
            </w:r>
          </w:p>
        </w:tc>
        <w:tc>
          <w:tcPr>
            <w:tcW w:w="458" w:type="pct"/>
            <w:tcBorders>
              <w:top w:val="nil"/>
              <w:bottom w:val="single" w:sz="8" w:space="0" w:color="auto"/>
            </w:tcBorders>
            <w:vAlign w:val="center"/>
          </w:tcPr>
          <w:p w14:paraId="7FF46A54" w14:textId="77777777" w:rsidR="004F5B9A" w:rsidRPr="004F5B9A" w:rsidRDefault="004F5B9A" w:rsidP="006A363A">
            <w:pPr>
              <w:tabs>
                <w:tab w:val="center" w:pos="4200"/>
                <w:tab w:val="right" w:pos="7980"/>
              </w:tabs>
              <w:snapToGrid w:val="0"/>
              <w:jc w:val="center"/>
              <w:rPr>
                <w:sz w:val="18"/>
                <w:szCs w:val="18"/>
              </w:rPr>
            </w:pPr>
            <w:r w:rsidRPr="004F5B9A">
              <w:rPr>
                <w:sz w:val="18"/>
                <w:szCs w:val="18"/>
              </w:rPr>
              <w:t>0.763</w:t>
            </w:r>
          </w:p>
        </w:tc>
      </w:tr>
    </w:tbl>
    <w:p w14:paraId="7982DF9F" w14:textId="41261DA7" w:rsidR="004F5B9A" w:rsidRDefault="004F5B9A" w:rsidP="00337241">
      <w:pPr>
        <w:tabs>
          <w:tab w:val="left" w:pos="1005"/>
          <w:tab w:val="center" w:pos="4935"/>
        </w:tabs>
        <w:spacing w:line="360" w:lineRule="auto"/>
        <w:jc w:val="left"/>
        <w:rPr>
          <w:rFonts w:ascii="黑体" w:eastAsia="黑体" w:hAnsi="黑体" w:hint="eastAsia"/>
          <w:color w:val="000000" w:themeColor="text1"/>
          <w:sz w:val="18"/>
          <w:szCs w:val="18"/>
        </w:rPr>
      </w:pPr>
    </w:p>
    <w:p w14:paraId="3229B1C9" w14:textId="546D4AB8" w:rsidR="004F5B9A" w:rsidRDefault="004F5B9A" w:rsidP="004F5B9A">
      <w:pPr>
        <w:spacing w:line="360" w:lineRule="auto"/>
        <w:rPr>
          <w:rFonts w:ascii="黑体" w:eastAsia="黑体" w:hAnsi="黑体" w:hint="eastAsia"/>
          <w:color w:val="000000" w:themeColor="text1"/>
          <w:sz w:val="18"/>
          <w:szCs w:val="18"/>
        </w:rPr>
        <w:sectPr w:rsidR="004F5B9A" w:rsidSect="004F5B9A">
          <w:type w:val="continuous"/>
          <w:pgSz w:w="11906" w:h="16838"/>
          <w:pgMar w:top="1089" w:right="879" w:bottom="624" w:left="1157" w:header="851" w:footer="893" w:gutter="0"/>
          <w:cols w:space="425"/>
          <w:docGrid w:type="lines" w:linePitch="312"/>
        </w:sectPr>
      </w:pPr>
    </w:p>
    <w:p w14:paraId="47DD15B2" w14:textId="7AD578F3" w:rsidR="005271DE" w:rsidRDefault="004F5B9A" w:rsidP="005271DE">
      <w:pPr>
        <w:pStyle w:val="15"/>
      </w:pPr>
      <w:r w:rsidRPr="004F5B9A">
        <w:rPr>
          <w:rFonts w:hint="eastAsia"/>
        </w:rPr>
        <w:t>绩效评价：以现场</w:t>
      </w:r>
      <w:r w:rsidRPr="004F5B9A">
        <w:t>1#~18#</w:t>
      </w:r>
      <w:r w:rsidRPr="004F5B9A">
        <w:rPr>
          <w:rFonts w:hint="eastAsia"/>
        </w:rPr>
        <w:t>机组在两种管理方式下的运行数据为依据，对这些风机资产的绩效进行综合评价。考虑资产发电收益达标率、有效发电时间保障率、平均故障率等三项绩效指标的对比结果</w:t>
      </w:r>
      <w:r w:rsidR="00E2008C">
        <w:rPr>
          <w:rFonts w:hint="eastAsia"/>
        </w:rPr>
        <w:t>，</w:t>
      </w:r>
      <w:r w:rsidRPr="004F5B9A">
        <w:rPr>
          <w:rFonts w:hint="eastAsia"/>
        </w:rPr>
        <w:t>根据式（</w:t>
      </w:r>
      <w:r w:rsidRPr="004F5B9A">
        <w:rPr>
          <w:rFonts w:hint="eastAsia"/>
        </w:rPr>
        <w:t>2</w:t>
      </w:r>
      <w:r w:rsidRPr="004F5B9A">
        <w:rPr>
          <w:rFonts w:hint="eastAsia"/>
        </w:rPr>
        <w:t>）</w:t>
      </w:r>
      <w:r w:rsidRPr="004F5B9A">
        <w:rPr>
          <w:rFonts w:hint="eastAsia"/>
        </w:rPr>
        <w:t>~</w:t>
      </w:r>
      <w:r w:rsidRPr="004F5B9A">
        <w:rPr>
          <w:rFonts w:hint="eastAsia"/>
        </w:rPr>
        <w:t>（</w:t>
      </w:r>
      <w:r w:rsidRPr="004F5B9A">
        <w:rPr>
          <w:rFonts w:hint="eastAsia"/>
        </w:rPr>
        <w:t>6</w:t>
      </w:r>
      <w:r w:rsidRPr="004F5B9A">
        <w:rPr>
          <w:rFonts w:hint="eastAsia"/>
        </w:rPr>
        <w:t>）的计算结果见图</w:t>
      </w:r>
      <w:r w:rsidRPr="004F5B9A">
        <w:t>8</w:t>
      </w:r>
      <w:r w:rsidRPr="004F5B9A">
        <w:rPr>
          <w:rFonts w:hint="eastAsia"/>
        </w:rPr>
        <w:t>。由图</w:t>
      </w:r>
      <w:r w:rsidRPr="004F5B9A">
        <w:rPr>
          <w:rFonts w:hint="eastAsia"/>
        </w:rPr>
        <w:t>8</w:t>
      </w:r>
      <w:r w:rsidRPr="004F5B9A">
        <w:rPr>
          <w:rFonts w:hint="eastAsia"/>
        </w:rPr>
        <w:t>可以看出，在智慧闭环管理下，风力发电机组的密切值基本小于传统资产管理方式，这表明资产的绩效指标逐渐优化，即资产的价值创造能力得到提升。针对传统资产管理下各发电机组的密切值排序可筛选出绩效表现较差的资产，如</w:t>
      </w:r>
      <w:r w:rsidRPr="004F5B9A">
        <w:rPr>
          <w:rFonts w:hint="eastAsia"/>
        </w:rPr>
        <w:t>3</w:t>
      </w:r>
      <w:r w:rsidRPr="004F5B9A">
        <w:t>#</w:t>
      </w:r>
      <w:r w:rsidRPr="004F5B9A">
        <w:rPr>
          <w:rFonts w:hint="eastAsia"/>
        </w:rPr>
        <w:t>、</w:t>
      </w:r>
      <w:r w:rsidRPr="004F5B9A">
        <w:rPr>
          <w:rFonts w:hint="eastAsia"/>
        </w:rPr>
        <w:t>1</w:t>
      </w:r>
      <w:r w:rsidRPr="004F5B9A">
        <w:t>0#</w:t>
      </w:r>
      <w:r w:rsidRPr="004F5B9A">
        <w:rPr>
          <w:rFonts w:hint="eastAsia"/>
        </w:rPr>
        <w:t>和</w:t>
      </w:r>
      <w:r w:rsidRPr="004F5B9A">
        <w:rPr>
          <w:rFonts w:hint="eastAsia"/>
        </w:rPr>
        <w:t>1</w:t>
      </w:r>
      <w:r w:rsidRPr="004F5B9A">
        <w:t>6#</w:t>
      </w:r>
      <w:r w:rsidRPr="004F5B9A">
        <w:rPr>
          <w:rFonts w:hint="eastAsia"/>
        </w:rPr>
        <w:t>等有效发电时间保障率较低或平均故障率较高的机组，通过计划性地故障排查和智慧运维功能模块的应用，其主要绩效指标得到有效控制，密切值也显著下降到较低水平。其中，</w:t>
      </w:r>
      <w:r w:rsidRPr="004F5B9A">
        <w:rPr>
          <w:rFonts w:hint="eastAsia"/>
        </w:rPr>
        <w:t>3</w:t>
      </w:r>
      <w:r w:rsidRPr="004F5B9A">
        <w:t>#</w:t>
      </w:r>
      <w:r w:rsidRPr="004F5B9A">
        <w:rPr>
          <w:rFonts w:hint="eastAsia"/>
        </w:rPr>
        <w:t>机组在改进后各项指标都有较大提升，成为众多机组中绩效表现最优的机组。</w:t>
      </w:r>
    </w:p>
    <w:p w14:paraId="63682D4D" w14:textId="7439C80A" w:rsidR="005271DE" w:rsidRPr="00ED5F92" w:rsidRDefault="005271DE" w:rsidP="005271DE">
      <w:pPr>
        <w:pStyle w:val="15"/>
      </w:pPr>
      <w:r>
        <w:rPr>
          <w:rFonts w:hint="eastAsia"/>
        </w:rPr>
        <w:t>风险评价：</w:t>
      </w:r>
      <w:r w:rsidRPr="00ED5F92">
        <w:rPr>
          <w:rFonts w:hint="eastAsia"/>
        </w:rPr>
        <w:t>以风力发电机组资产为例，根据</w:t>
      </w:r>
      <w:r>
        <w:rPr>
          <w:rFonts w:hint="eastAsia"/>
        </w:rPr>
        <w:t>某</w:t>
      </w:r>
      <w:r w:rsidRPr="00ED5F92">
        <w:rPr>
          <w:rFonts w:hint="eastAsia"/>
        </w:rPr>
        <w:t>风电场</w:t>
      </w:r>
      <w:r w:rsidRPr="00ED5F92">
        <w:rPr>
          <w:rFonts w:hint="eastAsia"/>
        </w:rPr>
        <w:t>2</w:t>
      </w:r>
      <w:r w:rsidRPr="00ED5F92">
        <w:t>020</w:t>
      </w:r>
      <w:r w:rsidRPr="00ED5F92">
        <w:rPr>
          <w:rFonts w:hint="eastAsia"/>
        </w:rPr>
        <w:t>年停机故障统计数据分析可知，造成机组</w:t>
      </w:r>
      <w:r w:rsidRPr="00ED5F92">
        <w:rPr>
          <w:rFonts w:hint="eastAsia"/>
        </w:rPr>
        <w:t>停机事故</w:t>
      </w:r>
      <w:r w:rsidRPr="00ED5F92">
        <w:rPr>
          <w:i/>
        </w:rPr>
        <w:t>B</w:t>
      </w:r>
      <w:r w:rsidRPr="00ED5F92">
        <w:rPr>
          <w:rFonts w:hint="eastAsia"/>
        </w:rPr>
        <w:t>的主要风险影响因素可归纳为发电机故障</w:t>
      </w:r>
      <w:r w:rsidRPr="00ED5F92">
        <w:rPr>
          <w:i/>
        </w:rPr>
        <w:t>A</w:t>
      </w:r>
      <w:r w:rsidRPr="00ED5F92">
        <w:rPr>
          <w:vertAlign w:val="subscript"/>
        </w:rPr>
        <w:t>1</w:t>
      </w:r>
      <w:r w:rsidRPr="00ED5F92">
        <w:rPr>
          <w:rFonts w:hint="eastAsia"/>
        </w:rPr>
        <w:t>，传动系统故障</w:t>
      </w:r>
      <w:r w:rsidRPr="00ED5F92">
        <w:rPr>
          <w:i/>
        </w:rPr>
        <w:t>A</w:t>
      </w:r>
      <w:r w:rsidRPr="00ED5F92">
        <w:rPr>
          <w:vertAlign w:val="subscript"/>
        </w:rPr>
        <w:t>2</w:t>
      </w:r>
      <w:r w:rsidRPr="00ED5F92">
        <w:rPr>
          <w:rFonts w:hint="eastAsia"/>
        </w:rPr>
        <w:t>，控制系统故障</w:t>
      </w:r>
      <w:r w:rsidRPr="00ED5F92">
        <w:rPr>
          <w:i/>
        </w:rPr>
        <w:t>A</w:t>
      </w:r>
      <w:r w:rsidRPr="00ED5F92">
        <w:rPr>
          <w:vertAlign w:val="subscript"/>
        </w:rPr>
        <w:t>3</w:t>
      </w:r>
      <w:r w:rsidRPr="00ED5F92">
        <w:rPr>
          <w:rFonts w:hint="eastAsia"/>
        </w:rPr>
        <w:t>，叶片系统故障</w:t>
      </w:r>
      <w:r w:rsidRPr="00ED5F92">
        <w:rPr>
          <w:i/>
        </w:rPr>
        <w:t>A</w:t>
      </w:r>
      <w:r w:rsidRPr="00ED5F92">
        <w:rPr>
          <w:vertAlign w:val="subscript"/>
        </w:rPr>
        <w:t>4</w:t>
      </w:r>
      <w:r w:rsidRPr="00ED5F92">
        <w:rPr>
          <w:rFonts w:hint="eastAsia"/>
        </w:rPr>
        <w:t>，电气系统故障</w:t>
      </w:r>
      <w:r w:rsidRPr="00ED5F92">
        <w:rPr>
          <w:i/>
        </w:rPr>
        <w:t>A</w:t>
      </w:r>
      <w:r w:rsidRPr="00ED5F92">
        <w:rPr>
          <w:vertAlign w:val="subscript"/>
        </w:rPr>
        <w:t>5</w:t>
      </w:r>
      <w:r w:rsidRPr="00ED5F92">
        <w:rPr>
          <w:rFonts w:hint="eastAsia"/>
        </w:rPr>
        <w:t>，其它因素故障</w:t>
      </w:r>
      <w:r w:rsidRPr="00ED5F92">
        <w:rPr>
          <w:i/>
        </w:rPr>
        <w:t>A</w:t>
      </w:r>
      <w:r w:rsidRPr="00ED5F92">
        <w:rPr>
          <w:vertAlign w:val="subscript"/>
        </w:rPr>
        <w:t>6</w:t>
      </w:r>
      <w:r w:rsidRPr="00ED5F92">
        <w:rPr>
          <w:rFonts w:hint="eastAsia"/>
        </w:rPr>
        <w:t>。基于历史故障数据可计算各故障在此段时间内的先验概率和条件概率参数，代入式（</w:t>
      </w:r>
      <w:r w:rsidRPr="00ED5F92">
        <w:rPr>
          <w:rFonts w:hint="eastAsia"/>
        </w:rPr>
        <w:t>7</w:t>
      </w:r>
      <w:r w:rsidRPr="00ED5F92">
        <w:rPr>
          <w:rFonts w:hint="eastAsia"/>
        </w:rPr>
        <w:t>）</w:t>
      </w:r>
      <w:r w:rsidRPr="00ED5F92">
        <w:rPr>
          <w:rFonts w:hint="eastAsia"/>
        </w:rPr>
        <w:t>~</w:t>
      </w:r>
      <w:r w:rsidRPr="00ED5F92">
        <w:rPr>
          <w:rFonts w:hint="eastAsia"/>
        </w:rPr>
        <w:t>（</w:t>
      </w:r>
      <w:r w:rsidRPr="00ED5F92">
        <w:rPr>
          <w:rFonts w:hint="eastAsia"/>
        </w:rPr>
        <w:t>8</w:t>
      </w:r>
      <w:r w:rsidRPr="00ED5F92">
        <w:rPr>
          <w:rFonts w:hint="eastAsia"/>
        </w:rPr>
        <w:t>）中可得各项故障的后验概率，如表</w:t>
      </w:r>
      <w:r w:rsidR="00043C29">
        <w:rPr>
          <w:rFonts w:hint="eastAsia"/>
        </w:rPr>
        <w:t>2</w:t>
      </w:r>
      <w:r w:rsidRPr="00ED5F92">
        <w:rPr>
          <w:rFonts w:hint="eastAsia"/>
        </w:rPr>
        <w:t>所示。风险</w:t>
      </w:r>
      <w:r w:rsidRPr="00ED5F92">
        <w:t>的</w:t>
      </w:r>
      <w:r w:rsidRPr="00ED5F92">
        <w:rPr>
          <w:rFonts w:hint="eastAsia"/>
        </w:rPr>
        <w:t>严重性</w:t>
      </w:r>
      <w:r w:rsidRPr="00ED5F92">
        <w:t>由</w:t>
      </w:r>
      <w:r w:rsidRPr="00ED5F92">
        <w:rPr>
          <w:rFonts w:hint="eastAsia"/>
        </w:rPr>
        <w:t>风电场所安装机型的各项故障实际的停机损失和维修费用确定，进而计算各项故障的贝叶斯风险期望值。由表</w:t>
      </w:r>
      <w:r w:rsidR="00043C29">
        <w:rPr>
          <w:rFonts w:hint="eastAsia"/>
        </w:rPr>
        <w:t>2</w:t>
      </w:r>
      <w:r w:rsidRPr="00ED5F92">
        <w:rPr>
          <w:rFonts w:hint="eastAsia"/>
        </w:rPr>
        <w:t>中后验概率分布可知，传动系统故障、控制系统故障、叶片系统故障和电气系统故障是机组停机事故的主要因素，其中控制系统故障是导致停机的最主要原因；从风险期望来看，传动系统故障和叶片系统故障预计造成的经济损失远高于其他故障来源，因此，在生产实践中，业主着重开展了齿轮箱及主轴承在线故障预警研究和叶片多参量监测预警技术开发（</w:t>
      </w:r>
      <w:r w:rsidRPr="00ED5F92">
        <w:rPr>
          <w:rFonts w:hint="eastAsia"/>
        </w:rPr>
        <w:t>2</w:t>
      </w:r>
      <w:r w:rsidRPr="00ED5F92">
        <w:t>.2.3</w:t>
      </w:r>
      <w:r w:rsidRPr="00ED5F92">
        <w:rPr>
          <w:rFonts w:hint="eastAsia"/>
        </w:rPr>
        <w:t>节所述），致力于降低项目整体风险期望，提升资产可靠度和资产绩效表现。</w:t>
      </w:r>
    </w:p>
    <w:p w14:paraId="14749063" w14:textId="77777777" w:rsidR="005271DE" w:rsidRPr="007D21EF" w:rsidRDefault="005271DE" w:rsidP="005271DE">
      <w:pPr>
        <w:tabs>
          <w:tab w:val="left" w:pos="0"/>
          <w:tab w:val="left" w:pos="735"/>
          <w:tab w:val="left" w:pos="3990"/>
        </w:tabs>
        <w:spacing w:line="288" w:lineRule="auto"/>
        <w:jc w:val="center"/>
        <w:rPr>
          <w:szCs w:val="21"/>
        </w:rPr>
      </w:pPr>
      <w:r>
        <w:rPr>
          <w:noProof/>
          <w:szCs w:val="21"/>
        </w:rPr>
        <w:lastRenderedPageBreak/>
        <w:drawing>
          <wp:inline distT="0" distB="0" distL="0" distR="0" wp14:anchorId="1ABC3988" wp14:editId="6827E776">
            <wp:extent cx="2304000" cy="1872790"/>
            <wp:effectExtent l="0" t="0" r="1270" b="0"/>
            <wp:docPr id="134320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358" t="5138" r="11127" b="7296"/>
                    <a:stretch/>
                  </pic:blipFill>
                  <pic:spPr bwMode="auto">
                    <a:xfrm>
                      <a:off x="0" y="0"/>
                      <a:ext cx="2304000" cy="1872790"/>
                    </a:xfrm>
                    <a:prstGeom prst="rect">
                      <a:avLst/>
                    </a:prstGeom>
                    <a:noFill/>
                    <a:ln>
                      <a:noFill/>
                    </a:ln>
                    <a:extLst>
                      <a:ext uri="{53640926-AAD7-44D8-BBD7-CCE9431645EC}">
                        <a14:shadowObscured xmlns:a14="http://schemas.microsoft.com/office/drawing/2010/main"/>
                      </a:ext>
                    </a:extLst>
                  </pic:spPr>
                </pic:pic>
              </a:graphicData>
            </a:graphic>
          </wp:inline>
        </w:drawing>
      </w:r>
    </w:p>
    <w:p w14:paraId="56D3E9C6" w14:textId="77777777" w:rsidR="005271DE" w:rsidRPr="005271DE" w:rsidRDefault="005271DE" w:rsidP="005271DE">
      <w:pPr>
        <w:pStyle w:val="15"/>
        <w:ind w:firstLine="0"/>
        <w:jc w:val="center"/>
      </w:pPr>
      <w:r w:rsidRPr="005271DE">
        <w:rPr>
          <w:rFonts w:hint="eastAsia"/>
        </w:rPr>
        <w:t>图</w:t>
      </w:r>
      <w:r w:rsidRPr="005271DE">
        <w:t xml:space="preserve">8 </w:t>
      </w:r>
      <w:r w:rsidRPr="005271DE">
        <w:rPr>
          <w:rFonts w:hint="eastAsia"/>
        </w:rPr>
        <w:t>不同资产管理方式下密切值对比</w:t>
      </w:r>
    </w:p>
    <w:p w14:paraId="310F5C80" w14:textId="7376A798" w:rsidR="005271DE" w:rsidRPr="005271DE" w:rsidRDefault="005271DE" w:rsidP="005271DE">
      <w:pPr>
        <w:pStyle w:val="15"/>
        <w:ind w:firstLine="0"/>
        <w:jc w:val="center"/>
      </w:pPr>
      <w:r w:rsidRPr="005271DE">
        <w:rPr>
          <w:rFonts w:hint="eastAsia"/>
        </w:rPr>
        <w:t>表</w:t>
      </w:r>
      <w:r w:rsidR="00043C29">
        <w:rPr>
          <w:rFonts w:hint="eastAsia"/>
        </w:rPr>
        <w:t>2</w:t>
      </w:r>
      <w:r w:rsidRPr="005271DE">
        <w:t xml:space="preserve"> </w:t>
      </w:r>
      <w:r w:rsidRPr="005271DE">
        <w:rPr>
          <w:rFonts w:hint="eastAsia"/>
        </w:rPr>
        <w:t>各故障</w:t>
      </w:r>
      <w:r w:rsidRPr="005271DE">
        <w:t>风险</w:t>
      </w:r>
      <w:r w:rsidRPr="005271DE">
        <w:rPr>
          <w:rFonts w:hint="eastAsia"/>
        </w:rPr>
        <w:t>概率及</w:t>
      </w:r>
      <w:r w:rsidRPr="005271DE">
        <w:t>贝叶斯风险值</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788"/>
        <w:gridCol w:w="905"/>
        <w:gridCol w:w="905"/>
        <w:gridCol w:w="805"/>
        <w:gridCol w:w="895"/>
      </w:tblGrid>
      <w:tr w:rsidR="008C318E" w:rsidRPr="00434C55" w14:paraId="4E72F04A" w14:textId="77777777" w:rsidTr="008C318E">
        <w:trPr>
          <w:jc w:val="center"/>
        </w:trPr>
        <w:tc>
          <w:tcPr>
            <w:tcW w:w="0" w:type="auto"/>
            <w:tcBorders>
              <w:top w:val="single" w:sz="8" w:space="0" w:color="auto"/>
              <w:bottom w:val="single" w:sz="8" w:space="0" w:color="auto"/>
            </w:tcBorders>
          </w:tcPr>
          <w:p w14:paraId="355C62A8"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rFonts w:hint="eastAsia"/>
                <w:sz w:val="15"/>
                <w:szCs w:val="15"/>
              </w:rPr>
              <w:t>故障</w:t>
            </w:r>
          </w:p>
        </w:tc>
        <w:tc>
          <w:tcPr>
            <w:tcW w:w="0" w:type="auto"/>
            <w:tcBorders>
              <w:top w:val="single" w:sz="8" w:space="0" w:color="auto"/>
              <w:bottom w:val="single" w:sz="8" w:space="0" w:color="auto"/>
            </w:tcBorders>
          </w:tcPr>
          <w:p w14:paraId="34419DCD" w14:textId="19EAE9FB" w:rsidR="005271DE" w:rsidRPr="00AB75A4" w:rsidRDefault="005271DE" w:rsidP="008C318E">
            <w:pPr>
              <w:tabs>
                <w:tab w:val="center" w:pos="4200"/>
                <w:tab w:val="right" w:pos="7980"/>
              </w:tabs>
              <w:snapToGrid w:val="0"/>
              <w:spacing w:line="288" w:lineRule="auto"/>
              <w:rPr>
                <w:sz w:val="15"/>
                <w:szCs w:val="15"/>
              </w:rPr>
            </w:pPr>
            <w:r w:rsidRPr="00AB75A4">
              <w:rPr>
                <w:rFonts w:hint="eastAsia"/>
                <w:sz w:val="15"/>
                <w:szCs w:val="15"/>
              </w:rPr>
              <w:t>先验概率</w:t>
            </w:r>
            <w:r w:rsidRPr="00AB75A4">
              <w:rPr>
                <w:i/>
                <w:sz w:val="15"/>
                <w:szCs w:val="15"/>
              </w:rPr>
              <w:t>P</w:t>
            </w:r>
            <w:r w:rsidRPr="00A15481">
              <w:rPr>
                <w:sz w:val="15"/>
                <w:szCs w:val="15"/>
              </w:rPr>
              <w:t>(</w:t>
            </w:r>
            <w:r w:rsidRPr="00AB75A4">
              <w:rPr>
                <w:i/>
                <w:sz w:val="15"/>
                <w:szCs w:val="15"/>
              </w:rPr>
              <w:t>A</w:t>
            </w:r>
            <w:r w:rsidRPr="00AB75A4">
              <w:rPr>
                <w:sz w:val="15"/>
                <w:szCs w:val="15"/>
                <w:vertAlign w:val="subscript"/>
              </w:rPr>
              <w:t>i</w:t>
            </w:r>
            <w:r w:rsidRPr="00A15481">
              <w:rPr>
                <w:sz w:val="15"/>
                <w:szCs w:val="15"/>
              </w:rPr>
              <w:t>)</w:t>
            </w:r>
          </w:p>
        </w:tc>
        <w:tc>
          <w:tcPr>
            <w:tcW w:w="0" w:type="auto"/>
            <w:tcBorders>
              <w:top w:val="single" w:sz="8" w:space="0" w:color="auto"/>
              <w:bottom w:val="single" w:sz="8" w:space="0" w:color="auto"/>
            </w:tcBorders>
          </w:tcPr>
          <w:p w14:paraId="544F81FC"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rFonts w:hint="eastAsia"/>
                <w:sz w:val="15"/>
                <w:szCs w:val="15"/>
              </w:rPr>
              <w:t>条件概率</w:t>
            </w:r>
            <w:r w:rsidRPr="00AB75A4">
              <w:rPr>
                <w:i/>
                <w:sz w:val="15"/>
                <w:szCs w:val="15"/>
              </w:rPr>
              <w:t>P</w:t>
            </w:r>
            <w:r w:rsidRPr="00A15481">
              <w:rPr>
                <w:rFonts w:hint="eastAsia"/>
                <w:sz w:val="15"/>
                <w:szCs w:val="15"/>
              </w:rPr>
              <w:t>(</w:t>
            </w:r>
            <w:r w:rsidRPr="00AB75A4">
              <w:rPr>
                <w:i/>
                <w:sz w:val="15"/>
                <w:szCs w:val="15"/>
              </w:rPr>
              <w:t>B</w:t>
            </w:r>
            <w:r w:rsidRPr="00A15481">
              <w:rPr>
                <w:sz w:val="15"/>
                <w:szCs w:val="15"/>
              </w:rPr>
              <w:t>/</w:t>
            </w:r>
            <w:r w:rsidRPr="00BE710C">
              <w:rPr>
                <w:i/>
                <w:sz w:val="15"/>
                <w:szCs w:val="15"/>
              </w:rPr>
              <w:t>A</w:t>
            </w:r>
            <w:r w:rsidRPr="00BE710C">
              <w:rPr>
                <w:sz w:val="15"/>
                <w:szCs w:val="15"/>
                <w:vertAlign w:val="subscript"/>
              </w:rPr>
              <w:t>i</w:t>
            </w:r>
            <w:r w:rsidRPr="00A15481">
              <w:rPr>
                <w:sz w:val="15"/>
                <w:szCs w:val="15"/>
              </w:rPr>
              <w:t>)</w:t>
            </w:r>
          </w:p>
        </w:tc>
        <w:tc>
          <w:tcPr>
            <w:tcW w:w="0" w:type="auto"/>
            <w:tcBorders>
              <w:top w:val="single" w:sz="8" w:space="0" w:color="auto"/>
              <w:bottom w:val="single" w:sz="8" w:space="0" w:color="auto"/>
            </w:tcBorders>
          </w:tcPr>
          <w:p w14:paraId="093A8973" w14:textId="77777777" w:rsidR="005271DE" w:rsidRPr="00AB75A4" w:rsidRDefault="005271DE" w:rsidP="00935A09">
            <w:pPr>
              <w:tabs>
                <w:tab w:val="center" w:pos="4200"/>
                <w:tab w:val="right" w:pos="7980"/>
              </w:tabs>
              <w:snapToGrid w:val="0"/>
              <w:spacing w:line="288" w:lineRule="auto"/>
              <w:jc w:val="center"/>
              <w:rPr>
                <w:sz w:val="15"/>
                <w:szCs w:val="15"/>
              </w:rPr>
            </w:pPr>
            <w:r w:rsidRPr="00207713">
              <w:rPr>
                <w:rFonts w:hint="eastAsia"/>
                <w:sz w:val="15"/>
                <w:szCs w:val="15"/>
              </w:rPr>
              <w:t>后验概率</w:t>
            </w:r>
            <w:r w:rsidRPr="00AB75A4">
              <w:rPr>
                <w:i/>
                <w:sz w:val="15"/>
                <w:szCs w:val="15"/>
              </w:rPr>
              <w:t>P</w:t>
            </w:r>
            <w:r w:rsidRPr="00A15481">
              <w:rPr>
                <w:sz w:val="15"/>
                <w:szCs w:val="15"/>
              </w:rPr>
              <w:t>(</w:t>
            </w:r>
            <w:r w:rsidRPr="00BE710C">
              <w:rPr>
                <w:i/>
                <w:sz w:val="15"/>
                <w:szCs w:val="15"/>
              </w:rPr>
              <w:t>A</w:t>
            </w:r>
            <w:r w:rsidRPr="00BE710C">
              <w:rPr>
                <w:sz w:val="15"/>
                <w:szCs w:val="15"/>
                <w:vertAlign w:val="subscript"/>
              </w:rPr>
              <w:t>i</w:t>
            </w:r>
            <w:r w:rsidRPr="00A15481">
              <w:rPr>
                <w:sz w:val="15"/>
                <w:szCs w:val="15"/>
              </w:rPr>
              <w:t>/</w:t>
            </w:r>
            <w:r w:rsidRPr="00AB75A4">
              <w:rPr>
                <w:i/>
                <w:sz w:val="15"/>
                <w:szCs w:val="15"/>
              </w:rPr>
              <w:t>B</w:t>
            </w:r>
            <w:r w:rsidRPr="00A15481">
              <w:rPr>
                <w:sz w:val="15"/>
                <w:szCs w:val="15"/>
              </w:rPr>
              <w:t>)</w:t>
            </w:r>
          </w:p>
        </w:tc>
        <w:tc>
          <w:tcPr>
            <w:tcW w:w="0" w:type="auto"/>
            <w:tcBorders>
              <w:top w:val="single" w:sz="8" w:space="0" w:color="auto"/>
              <w:bottom w:val="single" w:sz="8" w:space="0" w:color="auto"/>
            </w:tcBorders>
          </w:tcPr>
          <w:p w14:paraId="25B7BFA5" w14:textId="67F9792A"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损失</w:t>
            </w:r>
            <w:r w:rsidRPr="00207713">
              <w:rPr>
                <w:rFonts w:hint="eastAsia"/>
                <w:sz w:val="15"/>
                <w:szCs w:val="15"/>
              </w:rPr>
              <w:t>数</w:t>
            </w:r>
            <w:r w:rsidR="003A6D00" w:rsidRPr="003A6D00">
              <w:rPr>
                <w:rFonts w:ascii="Symbol" w:hAnsi="Symbol" w:hint="eastAsia"/>
                <w:i/>
                <w:iCs/>
                <w:sz w:val="15"/>
                <w:szCs w:val="15"/>
              </w:rPr>
              <w:t>l</w:t>
            </w:r>
            <w:r w:rsidRPr="00207713">
              <w:rPr>
                <w:sz w:val="15"/>
                <w:szCs w:val="15"/>
              </w:rPr>
              <w:t>/</w:t>
            </w:r>
            <w:r w:rsidRPr="00207713">
              <w:rPr>
                <w:rFonts w:hint="eastAsia"/>
                <w:sz w:val="15"/>
                <w:szCs w:val="15"/>
              </w:rPr>
              <w:t>万元</w:t>
            </w:r>
          </w:p>
        </w:tc>
        <w:tc>
          <w:tcPr>
            <w:tcW w:w="0" w:type="auto"/>
            <w:tcBorders>
              <w:top w:val="single" w:sz="8" w:space="0" w:color="auto"/>
              <w:bottom w:val="single" w:sz="8" w:space="0" w:color="auto"/>
            </w:tcBorders>
          </w:tcPr>
          <w:p w14:paraId="153FDFA1"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sz w:val="15"/>
                <w:szCs w:val="15"/>
              </w:rPr>
              <w:t>风险</w:t>
            </w:r>
            <w:r>
              <w:rPr>
                <w:rFonts w:hint="eastAsia"/>
                <w:sz w:val="15"/>
                <w:szCs w:val="15"/>
              </w:rPr>
              <w:t>期望</w:t>
            </w:r>
            <w:r w:rsidRPr="00AB75A4">
              <w:rPr>
                <w:i/>
                <w:sz w:val="15"/>
                <w:szCs w:val="15"/>
              </w:rPr>
              <w:t>r</w:t>
            </w:r>
            <w:r w:rsidRPr="00A15481">
              <w:rPr>
                <w:rFonts w:hint="eastAsia"/>
                <w:sz w:val="15"/>
                <w:szCs w:val="15"/>
              </w:rPr>
              <w:t>(</w:t>
            </w:r>
            <w:r w:rsidRPr="00AB75A4">
              <w:rPr>
                <w:i/>
                <w:sz w:val="15"/>
                <w:szCs w:val="15"/>
              </w:rPr>
              <w:t>B</w:t>
            </w:r>
            <w:r w:rsidRPr="00A15481">
              <w:rPr>
                <w:sz w:val="15"/>
                <w:szCs w:val="15"/>
              </w:rPr>
              <w:t>)</w:t>
            </w:r>
            <w:r w:rsidRPr="00207713">
              <w:rPr>
                <w:sz w:val="15"/>
                <w:szCs w:val="15"/>
              </w:rPr>
              <w:t>/</w:t>
            </w:r>
            <w:r w:rsidRPr="00207713">
              <w:rPr>
                <w:rFonts w:hint="eastAsia"/>
                <w:sz w:val="15"/>
                <w:szCs w:val="15"/>
              </w:rPr>
              <w:t>万元</w:t>
            </w:r>
          </w:p>
        </w:tc>
      </w:tr>
      <w:tr w:rsidR="008C318E" w:rsidRPr="00434C55" w14:paraId="5EE458AD" w14:textId="77777777" w:rsidTr="008C318E">
        <w:trPr>
          <w:jc w:val="center"/>
        </w:trPr>
        <w:tc>
          <w:tcPr>
            <w:tcW w:w="0" w:type="auto"/>
            <w:tcBorders>
              <w:top w:val="single" w:sz="8" w:space="0" w:color="auto"/>
            </w:tcBorders>
          </w:tcPr>
          <w:p w14:paraId="2A7927B1"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1</w:t>
            </w:r>
          </w:p>
        </w:tc>
        <w:tc>
          <w:tcPr>
            <w:tcW w:w="0" w:type="auto"/>
            <w:tcBorders>
              <w:top w:val="single" w:sz="8" w:space="0" w:color="auto"/>
            </w:tcBorders>
          </w:tcPr>
          <w:p w14:paraId="04F47EDB"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027</w:t>
            </w:r>
          </w:p>
        </w:tc>
        <w:tc>
          <w:tcPr>
            <w:tcW w:w="0" w:type="auto"/>
            <w:tcBorders>
              <w:top w:val="single" w:sz="8" w:space="0" w:color="auto"/>
            </w:tcBorders>
          </w:tcPr>
          <w:p w14:paraId="32B34AF6"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.835</w:t>
            </w:r>
          </w:p>
        </w:tc>
        <w:tc>
          <w:tcPr>
            <w:tcW w:w="0" w:type="auto"/>
            <w:tcBorders>
              <w:top w:val="single" w:sz="8" w:space="0" w:color="auto"/>
            </w:tcBorders>
          </w:tcPr>
          <w:p w14:paraId="234F8A13"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.03</w:t>
            </w:r>
          </w:p>
        </w:tc>
        <w:tc>
          <w:tcPr>
            <w:tcW w:w="0" w:type="auto"/>
            <w:tcBorders>
              <w:top w:val="single" w:sz="8" w:space="0" w:color="auto"/>
            </w:tcBorders>
          </w:tcPr>
          <w:p w14:paraId="3D70B20D"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9</w:t>
            </w:r>
            <w:r w:rsidRPr="00207713">
              <w:rPr>
                <w:sz w:val="15"/>
                <w:szCs w:val="15"/>
              </w:rPr>
              <w:t>8.16</w:t>
            </w:r>
          </w:p>
        </w:tc>
        <w:tc>
          <w:tcPr>
            <w:tcW w:w="0" w:type="auto"/>
            <w:tcBorders>
              <w:top w:val="single" w:sz="8" w:space="0" w:color="auto"/>
            </w:tcBorders>
          </w:tcPr>
          <w:p w14:paraId="276B6A93"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2</w:t>
            </w:r>
            <w:r w:rsidRPr="00207713">
              <w:rPr>
                <w:sz w:val="15"/>
                <w:szCs w:val="15"/>
              </w:rPr>
              <w:t>.94</w:t>
            </w:r>
          </w:p>
        </w:tc>
      </w:tr>
      <w:tr w:rsidR="008C318E" w:rsidRPr="00434C55" w14:paraId="57AFC1B9" w14:textId="77777777" w:rsidTr="008C318E">
        <w:trPr>
          <w:jc w:val="center"/>
        </w:trPr>
        <w:tc>
          <w:tcPr>
            <w:tcW w:w="0" w:type="auto"/>
          </w:tcPr>
          <w:p w14:paraId="792AC56D"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2</w:t>
            </w:r>
          </w:p>
        </w:tc>
        <w:tc>
          <w:tcPr>
            <w:tcW w:w="0" w:type="auto"/>
          </w:tcPr>
          <w:p w14:paraId="78E4EBF8"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.145</w:t>
            </w:r>
          </w:p>
        </w:tc>
        <w:tc>
          <w:tcPr>
            <w:tcW w:w="0" w:type="auto"/>
          </w:tcPr>
          <w:p w14:paraId="013D6F3A"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.952</w:t>
            </w:r>
          </w:p>
        </w:tc>
        <w:tc>
          <w:tcPr>
            <w:tcW w:w="0" w:type="auto"/>
          </w:tcPr>
          <w:p w14:paraId="2CE0A75D"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.18</w:t>
            </w:r>
          </w:p>
        </w:tc>
        <w:tc>
          <w:tcPr>
            <w:tcW w:w="0" w:type="auto"/>
          </w:tcPr>
          <w:p w14:paraId="41816378"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2</w:t>
            </w:r>
            <w:r w:rsidRPr="00207713">
              <w:rPr>
                <w:sz w:val="15"/>
                <w:szCs w:val="15"/>
              </w:rPr>
              <w:t>58.75</w:t>
            </w:r>
          </w:p>
        </w:tc>
        <w:tc>
          <w:tcPr>
            <w:tcW w:w="0" w:type="auto"/>
          </w:tcPr>
          <w:p w14:paraId="1BD1B8EB"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4</w:t>
            </w:r>
            <w:r w:rsidRPr="00207713">
              <w:rPr>
                <w:sz w:val="15"/>
                <w:szCs w:val="15"/>
              </w:rPr>
              <w:t>5.58</w:t>
            </w:r>
          </w:p>
        </w:tc>
      </w:tr>
      <w:tr w:rsidR="008C318E" w:rsidRPr="00434C55" w14:paraId="1010FE5D" w14:textId="77777777" w:rsidTr="008C318E">
        <w:trPr>
          <w:jc w:val="center"/>
        </w:trPr>
        <w:tc>
          <w:tcPr>
            <w:tcW w:w="0" w:type="auto"/>
          </w:tcPr>
          <w:p w14:paraId="0CA7B272"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3</w:t>
            </w:r>
          </w:p>
        </w:tc>
        <w:tc>
          <w:tcPr>
            <w:tcW w:w="0" w:type="auto"/>
          </w:tcPr>
          <w:p w14:paraId="187589E5"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.329</w:t>
            </w:r>
          </w:p>
        </w:tc>
        <w:tc>
          <w:tcPr>
            <w:tcW w:w="0" w:type="auto"/>
          </w:tcPr>
          <w:p w14:paraId="7037DECB"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.814</w:t>
            </w:r>
          </w:p>
        </w:tc>
        <w:tc>
          <w:tcPr>
            <w:tcW w:w="0" w:type="auto"/>
          </w:tcPr>
          <w:p w14:paraId="2A6B1253"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.35</w:t>
            </w:r>
          </w:p>
        </w:tc>
        <w:tc>
          <w:tcPr>
            <w:tcW w:w="0" w:type="auto"/>
          </w:tcPr>
          <w:p w14:paraId="68AAC84D"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1</w:t>
            </w:r>
            <w:r w:rsidRPr="00207713">
              <w:rPr>
                <w:sz w:val="15"/>
                <w:szCs w:val="15"/>
              </w:rPr>
              <w:t>9.44</w:t>
            </w:r>
          </w:p>
        </w:tc>
        <w:tc>
          <w:tcPr>
            <w:tcW w:w="0" w:type="auto"/>
          </w:tcPr>
          <w:p w14:paraId="7AD31D1E"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6</w:t>
            </w:r>
            <w:r w:rsidRPr="00207713">
              <w:rPr>
                <w:sz w:val="15"/>
                <w:szCs w:val="15"/>
              </w:rPr>
              <w:t>.8</w:t>
            </w:r>
          </w:p>
        </w:tc>
      </w:tr>
      <w:tr w:rsidR="008C318E" w:rsidRPr="00434C55" w14:paraId="00F4CDB2" w14:textId="77777777" w:rsidTr="008C318E">
        <w:trPr>
          <w:jc w:val="center"/>
        </w:trPr>
        <w:tc>
          <w:tcPr>
            <w:tcW w:w="0" w:type="auto"/>
          </w:tcPr>
          <w:p w14:paraId="76FAF000"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4</w:t>
            </w:r>
          </w:p>
        </w:tc>
        <w:tc>
          <w:tcPr>
            <w:tcW w:w="0" w:type="auto"/>
          </w:tcPr>
          <w:p w14:paraId="13D63560"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.176</w:t>
            </w:r>
          </w:p>
        </w:tc>
        <w:tc>
          <w:tcPr>
            <w:tcW w:w="0" w:type="auto"/>
          </w:tcPr>
          <w:p w14:paraId="1BCA63A4"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.941</w:t>
            </w:r>
          </w:p>
        </w:tc>
        <w:tc>
          <w:tcPr>
            <w:tcW w:w="0" w:type="auto"/>
          </w:tcPr>
          <w:p w14:paraId="3E5D5428"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.22</w:t>
            </w:r>
          </w:p>
        </w:tc>
        <w:tc>
          <w:tcPr>
            <w:tcW w:w="0" w:type="auto"/>
          </w:tcPr>
          <w:p w14:paraId="1D726A9C"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1</w:t>
            </w:r>
            <w:r w:rsidRPr="00207713">
              <w:rPr>
                <w:sz w:val="15"/>
                <w:szCs w:val="15"/>
              </w:rPr>
              <w:t>83.19</w:t>
            </w:r>
          </w:p>
        </w:tc>
        <w:tc>
          <w:tcPr>
            <w:tcW w:w="0" w:type="auto"/>
          </w:tcPr>
          <w:p w14:paraId="4970A19D"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4</w:t>
            </w:r>
            <w:r w:rsidRPr="00207713">
              <w:rPr>
                <w:sz w:val="15"/>
                <w:szCs w:val="15"/>
              </w:rPr>
              <w:t>0.30</w:t>
            </w:r>
          </w:p>
        </w:tc>
      </w:tr>
      <w:tr w:rsidR="008C318E" w:rsidRPr="00434C55" w14:paraId="6F6550D8" w14:textId="77777777" w:rsidTr="008C318E">
        <w:trPr>
          <w:jc w:val="center"/>
        </w:trPr>
        <w:tc>
          <w:tcPr>
            <w:tcW w:w="0" w:type="auto"/>
          </w:tcPr>
          <w:p w14:paraId="4A83C7FB"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5</w:t>
            </w:r>
          </w:p>
        </w:tc>
        <w:tc>
          <w:tcPr>
            <w:tcW w:w="0" w:type="auto"/>
          </w:tcPr>
          <w:p w14:paraId="3C9BC95E"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.179</w:t>
            </w:r>
          </w:p>
        </w:tc>
        <w:tc>
          <w:tcPr>
            <w:tcW w:w="0" w:type="auto"/>
          </w:tcPr>
          <w:p w14:paraId="3F88F0A4"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.795</w:t>
            </w:r>
          </w:p>
        </w:tc>
        <w:tc>
          <w:tcPr>
            <w:tcW w:w="0" w:type="auto"/>
          </w:tcPr>
          <w:p w14:paraId="0384A716"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.19</w:t>
            </w:r>
          </w:p>
        </w:tc>
        <w:tc>
          <w:tcPr>
            <w:tcW w:w="0" w:type="auto"/>
          </w:tcPr>
          <w:p w14:paraId="130AB2DD"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1</w:t>
            </w:r>
            <w:r w:rsidRPr="00207713">
              <w:rPr>
                <w:sz w:val="15"/>
                <w:szCs w:val="15"/>
              </w:rPr>
              <w:t>1.66</w:t>
            </w:r>
          </w:p>
        </w:tc>
        <w:tc>
          <w:tcPr>
            <w:tcW w:w="0" w:type="auto"/>
          </w:tcPr>
          <w:p w14:paraId="1C7C80C9"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2</w:t>
            </w:r>
            <w:r w:rsidRPr="00207713">
              <w:rPr>
                <w:sz w:val="15"/>
                <w:szCs w:val="15"/>
              </w:rPr>
              <w:t>.21</w:t>
            </w:r>
          </w:p>
        </w:tc>
      </w:tr>
      <w:tr w:rsidR="008C318E" w:rsidRPr="00434C55" w14:paraId="64DC4697" w14:textId="77777777" w:rsidTr="008C318E">
        <w:trPr>
          <w:jc w:val="center"/>
        </w:trPr>
        <w:tc>
          <w:tcPr>
            <w:tcW w:w="0" w:type="auto"/>
            <w:tcBorders>
              <w:bottom w:val="single" w:sz="8" w:space="0" w:color="auto"/>
            </w:tcBorders>
          </w:tcPr>
          <w:p w14:paraId="1CDB66A8" w14:textId="77777777" w:rsidR="005271DE" w:rsidRPr="00AB75A4" w:rsidRDefault="005271DE" w:rsidP="00935A09">
            <w:pPr>
              <w:tabs>
                <w:tab w:val="center" w:pos="4200"/>
                <w:tab w:val="right" w:pos="7980"/>
              </w:tabs>
              <w:snapToGrid w:val="0"/>
              <w:spacing w:line="288" w:lineRule="auto"/>
              <w:jc w:val="center"/>
              <w:rPr>
                <w:sz w:val="15"/>
                <w:szCs w:val="15"/>
              </w:rPr>
            </w:pPr>
            <w:r w:rsidRPr="00AB75A4">
              <w:rPr>
                <w:i/>
                <w:sz w:val="15"/>
                <w:szCs w:val="15"/>
              </w:rPr>
              <w:t>A</w:t>
            </w:r>
            <w:r w:rsidRPr="00AB75A4">
              <w:rPr>
                <w:sz w:val="15"/>
                <w:szCs w:val="15"/>
                <w:vertAlign w:val="subscript"/>
              </w:rPr>
              <w:t>6</w:t>
            </w:r>
          </w:p>
        </w:tc>
        <w:tc>
          <w:tcPr>
            <w:tcW w:w="0" w:type="auto"/>
            <w:tcBorders>
              <w:bottom w:val="single" w:sz="8" w:space="0" w:color="auto"/>
            </w:tcBorders>
          </w:tcPr>
          <w:p w14:paraId="27FDFBFF"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.056</w:t>
            </w:r>
          </w:p>
        </w:tc>
        <w:tc>
          <w:tcPr>
            <w:tcW w:w="0" w:type="auto"/>
            <w:tcBorders>
              <w:bottom w:val="single" w:sz="8" w:space="0" w:color="auto"/>
            </w:tcBorders>
          </w:tcPr>
          <w:p w14:paraId="55B92B9E"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.367</w:t>
            </w:r>
          </w:p>
        </w:tc>
        <w:tc>
          <w:tcPr>
            <w:tcW w:w="0" w:type="auto"/>
            <w:tcBorders>
              <w:bottom w:val="single" w:sz="8" w:space="0" w:color="auto"/>
            </w:tcBorders>
          </w:tcPr>
          <w:p w14:paraId="3BCB3F44"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.03</w:t>
            </w:r>
          </w:p>
        </w:tc>
        <w:tc>
          <w:tcPr>
            <w:tcW w:w="0" w:type="auto"/>
            <w:tcBorders>
              <w:bottom w:val="single" w:sz="8" w:space="0" w:color="auto"/>
            </w:tcBorders>
          </w:tcPr>
          <w:p w14:paraId="7F46D8A2"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sz w:val="15"/>
                <w:szCs w:val="15"/>
              </w:rPr>
              <w:t>3.89</w:t>
            </w:r>
          </w:p>
        </w:tc>
        <w:tc>
          <w:tcPr>
            <w:tcW w:w="0" w:type="auto"/>
            <w:tcBorders>
              <w:bottom w:val="single" w:sz="8" w:space="0" w:color="auto"/>
            </w:tcBorders>
          </w:tcPr>
          <w:p w14:paraId="5BF1C340" w14:textId="77777777" w:rsidR="005271DE" w:rsidRPr="00AB75A4" w:rsidRDefault="005271DE" w:rsidP="00935A09">
            <w:pPr>
              <w:tabs>
                <w:tab w:val="center" w:pos="4200"/>
                <w:tab w:val="right" w:pos="7980"/>
              </w:tabs>
              <w:snapToGrid w:val="0"/>
              <w:spacing w:line="288" w:lineRule="auto"/>
              <w:jc w:val="center"/>
              <w:rPr>
                <w:sz w:val="15"/>
                <w:szCs w:val="15"/>
              </w:rPr>
            </w:pPr>
            <w:r w:rsidRPr="00A15481">
              <w:rPr>
                <w:rFonts w:hint="eastAsia"/>
                <w:sz w:val="15"/>
                <w:szCs w:val="15"/>
              </w:rPr>
              <w:t>0</w:t>
            </w:r>
            <w:r w:rsidRPr="00207713">
              <w:rPr>
                <w:sz w:val="15"/>
                <w:szCs w:val="15"/>
              </w:rPr>
              <w:t>.12</w:t>
            </w:r>
          </w:p>
        </w:tc>
      </w:tr>
    </w:tbl>
    <w:p w14:paraId="7F529504" w14:textId="5F47282C" w:rsidR="005271DE" w:rsidRDefault="005271DE" w:rsidP="005271DE">
      <w:pPr>
        <w:pStyle w:val="15"/>
        <w:ind w:firstLineChars="200"/>
      </w:pPr>
      <w:r>
        <w:rPr>
          <w:rFonts w:hint="eastAsia"/>
        </w:rPr>
        <w:t>（</w:t>
      </w:r>
      <w:r>
        <w:rPr>
          <w:rFonts w:hint="eastAsia"/>
        </w:rPr>
        <w:t>2</w:t>
      </w:r>
      <w:r>
        <w:rPr>
          <w:rFonts w:hint="eastAsia"/>
        </w:rPr>
        <w:t>）系统应用效果</w:t>
      </w:r>
    </w:p>
    <w:p w14:paraId="1E2BC273" w14:textId="77777777" w:rsidR="005271DE" w:rsidRPr="00337241" w:rsidRDefault="005271DE" w:rsidP="005271DE">
      <w:pPr>
        <w:pStyle w:val="15"/>
      </w:pPr>
      <w:r w:rsidRPr="00337241">
        <w:rPr>
          <w:rFonts w:hint="eastAsia"/>
        </w:rPr>
        <w:t>系统平台在此海上风电场工程示范应用以来，总体应用效果如图</w:t>
      </w:r>
      <w:r w:rsidRPr="00337241">
        <w:t>9</w:t>
      </w:r>
      <w:r w:rsidRPr="00337241">
        <w:rPr>
          <w:rFonts w:hint="eastAsia"/>
        </w:rPr>
        <w:t>所示。</w:t>
      </w:r>
    </w:p>
    <w:p w14:paraId="0FCF8355" w14:textId="77777777" w:rsidR="005271DE" w:rsidRPr="00337241" w:rsidRDefault="005271DE" w:rsidP="005271DE">
      <w:pPr>
        <w:pStyle w:val="15"/>
      </w:pPr>
      <w:r w:rsidRPr="00337241">
        <w:rPr>
          <w:rFonts w:hint="eastAsia"/>
        </w:rPr>
        <w:t>在资产设备可靠性方面，通过本平台设备可靠性集中一体化管理功能，保障设计、制造、建安、调试、运行等各阶段可靠性设计一致，消除不同阶段流转导致的潜在缺陷，投运以来风电场设备整机健康度高于</w:t>
      </w:r>
      <w:r w:rsidRPr="00337241">
        <w:rPr>
          <w:rFonts w:hint="eastAsia"/>
        </w:rPr>
        <w:t>0</w:t>
      </w:r>
      <w:r w:rsidRPr="00337241">
        <w:t>.8</w:t>
      </w:r>
      <w:r w:rsidRPr="00337241">
        <w:rPr>
          <w:rFonts w:hint="eastAsia"/>
        </w:rPr>
        <w:t>，平均可利用率超过</w:t>
      </w:r>
      <w:r w:rsidRPr="00337241">
        <w:t>99.2%</w:t>
      </w:r>
      <w:r w:rsidRPr="00337241">
        <w:rPr>
          <w:rFonts w:hint="eastAsia"/>
        </w:rPr>
        <w:t>。</w:t>
      </w:r>
    </w:p>
    <w:p w14:paraId="26EE0748" w14:textId="77777777" w:rsidR="005271DE" w:rsidRPr="00337241" w:rsidRDefault="005271DE" w:rsidP="005271DE">
      <w:pPr>
        <w:pStyle w:val="15"/>
      </w:pPr>
      <w:r w:rsidRPr="00337241">
        <w:rPr>
          <w:rFonts w:hint="eastAsia"/>
        </w:rPr>
        <w:t>在运维成本控制方面，应用全过程管控、实时交互、闭环反馈的管理功能，通过数字化手段整合资产的采购、运输、使用和造价全过程，为各合同标段严格的造价管控提供保障，实现建设成本与概算的实时对比调整，建设总成本较概算成本下降</w:t>
      </w:r>
      <w:r w:rsidRPr="00337241">
        <w:t>6.9%</w:t>
      </w:r>
      <w:r w:rsidRPr="00337241">
        <w:rPr>
          <w:rFonts w:hint="eastAsia"/>
        </w:rPr>
        <w:t>（</w:t>
      </w:r>
      <w:r w:rsidRPr="00337241">
        <w:t>4.57</w:t>
      </w:r>
      <w:r w:rsidRPr="00337241">
        <w:rPr>
          <w:rFonts w:hint="eastAsia"/>
        </w:rPr>
        <w:t>亿元）；运维阶段通过精准故障诊断与检修，预警时间平均提前</w:t>
      </w:r>
      <w:r w:rsidRPr="00337241">
        <w:t>20</w:t>
      </w:r>
      <w:r w:rsidRPr="00337241">
        <w:rPr>
          <w:rFonts w:hint="eastAsia"/>
        </w:rPr>
        <w:t>天，降低维护小时数平均</w:t>
      </w:r>
      <w:r w:rsidRPr="00337241">
        <w:t>18%/</w:t>
      </w:r>
      <w:r w:rsidRPr="00337241">
        <w:rPr>
          <w:rFonts w:hint="eastAsia"/>
        </w:rPr>
        <w:t>年，减少停机时间平均</w:t>
      </w:r>
      <w:r w:rsidRPr="00337241">
        <w:t>8.0%/</w:t>
      </w:r>
      <w:r w:rsidRPr="00337241">
        <w:rPr>
          <w:rFonts w:hint="eastAsia"/>
        </w:rPr>
        <w:t>年，大大降低了停机维修费用。</w:t>
      </w:r>
    </w:p>
    <w:p w14:paraId="149A1FDD" w14:textId="77777777" w:rsidR="005271DE" w:rsidRPr="00337241" w:rsidRDefault="005271DE" w:rsidP="005271DE">
      <w:pPr>
        <w:pStyle w:val="15"/>
      </w:pPr>
      <w:r w:rsidRPr="00337241">
        <w:rPr>
          <w:rFonts w:hint="eastAsia"/>
        </w:rPr>
        <w:t>在发电量提升方面，机组采用风电场智能感知运行调控技术，利用前馈控制策略，实现机组偏航和尾流优化，提升发电量平均</w:t>
      </w:r>
      <w:r w:rsidRPr="00337241">
        <w:t>3.1%/</w:t>
      </w:r>
      <w:r w:rsidRPr="00337241">
        <w:rPr>
          <w:rFonts w:hint="eastAsia"/>
        </w:rPr>
        <w:t>年。</w:t>
      </w:r>
    </w:p>
    <w:p w14:paraId="0FC68FFD" w14:textId="1A7574E4" w:rsidR="00337241" w:rsidRDefault="00337241" w:rsidP="005271DE">
      <w:pPr>
        <w:spacing w:line="240" w:lineRule="auto"/>
        <w:jc w:val="center"/>
        <w:rPr>
          <w:color w:val="000000" w:themeColor="text1"/>
          <w:szCs w:val="21"/>
        </w:rPr>
      </w:pPr>
      <w:r>
        <w:rPr>
          <w:noProof/>
          <w:sz w:val="16"/>
          <w:szCs w:val="16"/>
        </w:rPr>
        <w:drawing>
          <wp:inline distT="0" distB="0" distL="0" distR="0" wp14:anchorId="2711FE1C" wp14:editId="01DCEC61">
            <wp:extent cx="1980000" cy="1735128"/>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9997" t="7348" r="6761" b="5846"/>
                    <a:stretch/>
                  </pic:blipFill>
                  <pic:spPr bwMode="auto">
                    <a:xfrm>
                      <a:off x="0" y="0"/>
                      <a:ext cx="1980000" cy="1735128"/>
                    </a:xfrm>
                    <a:prstGeom prst="rect">
                      <a:avLst/>
                    </a:prstGeom>
                    <a:noFill/>
                    <a:ln>
                      <a:noFill/>
                    </a:ln>
                    <a:extLst>
                      <a:ext uri="{53640926-AAD7-44D8-BBD7-CCE9431645EC}">
                        <a14:shadowObscured xmlns:a14="http://schemas.microsoft.com/office/drawing/2010/main"/>
                      </a:ext>
                    </a:extLst>
                  </pic:spPr>
                </pic:pic>
              </a:graphicData>
            </a:graphic>
          </wp:inline>
        </w:drawing>
      </w:r>
    </w:p>
    <w:p w14:paraId="31C20A42" w14:textId="59274E81" w:rsidR="00337241" w:rsidRPr="005271DE" w:rsidRDefault="00337241" w:rsidP="005271DE">
      <w:pPr>
        <w:pStyle w:val="15"/>
        <w:numPr>
          <w:ilvl w:val="0"/>
          <w:numId w:val="8"/>
        </w:numPr>
        <w:jc w:val="center"/>
      </w:pPr>
      <w:r w:rsidRPr="005271DE">
        <w:rPr>
          <w:rFonts w:hint="eastAsia"/>
        </w:rPr>
        <w:t>整机多维</w:t>
      </w:r>
      <w:r w:rsidR="003A6D00">
        <w:rPr>
          <w:rFonts w:hint="eastAsia"/>
        </w:rPr>
        <w:t>健康</w:t>
      </w:r>
      <w:r w:rsidRPr="005271DE">
        <w:rPr>
          <w:rFonts w:hint="eastAsia"/>
        </w:rPr>
        <w:t>度</w:t>
      </w:r>
    </w:p>
    <w:p w14:paraId="7EF8B750" w14:textId="365D6FFD" w:rsidR="00337241" w:rsidRDefault="00337241" w:rsidP="005271DE">
      <w:pPr>
        <w:pStyle w:val="af7"/>
        <w:spacing w:line="240" w:lineRule="auto"/>
        <w:ind w:left="360" w:firstLineChars="0" w:firstLine="0"/>
        <w:jc w:val="center"/>
        <w:rPr>
          <w:rFonts w:hint="eastAsia"/>
          <w:color w:val="000000" w:themeColor="text1"/>
          <w:szCs w:val="21"/>
        </w:rPr>
      </w:pPr>
      <w:r>
        <w:rPr>
          <w:rFonts w:ascii="Times New Roman" w:hAnsi="Times New Roman"/>
          <w:noProof/>
          <w:sz w:val="18"/>
          <w:szCs w:val="18"/>
        </w:rPr>
        <w:drawing>
          <wp:inline distT="0" distB="0" distL="0" distR="0" wp14:anchorId="399E0C69" wp14:editId="3108381E">
            <wp:extent cx="1980000" cy="160887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0000" cy="1608878"/>
                    </a:xfrm>
                    <a:prstGeom prst="rect">
                      <a:avLst/>
                    </a:prstGeom>
                    <a:noFill/>
                  </pic:spPr>
                </pic:pic>
              </a:graphicData>
            </a:graphic>
          </wp:inline>
        </w:drawing>
      </w:r>
    </w:p>
    <w:p w14:paraId="6429BDD4" w14:textId="7987C692" w:rsidR="00337241" w:rsidRPr="005271DE" w:rsidRDefault="00337241" w:rsidP="005271DE">
      <w:pPr>
        <w:pStyle w:val="15"/>
        <w:numPr>
          <w:ilvl w:val="0"/>
          <w:numId w:val="8"/>
        </w:numPr>
        <w:jc w:val="center"/>
      </w:pPr>
      <w:r w:rsidRPr="005271DE">
        <w:rPr>
          <w:rFonts w:hint="eastAsia"/>
        </w:rPr>
        <w:t>工程概算与实际造价对比</w:t>
      </w:r>
    </w:p>
    <w:p w14:paraId="018114E8" w14:textId="00CEAD02" w:rsidR="00337241" w:rsidRDefault="00337241" w:rsidP="005271DE">
      <w:pPr>
        <w:pStyle w:val="af7"/>
        <w:spacing w:line="240" w:lineRule="auto"/>
        <w:ind w:left="360" w:firstLineChars="0" w:firstLine="0"/>
        <w:jc w:val="center"/>
        <w:rPr>
          <w:rFonts w:hint="eastAsia"/>
          <w:color w:val="000000" w:themeColor="text1"/>
          <w:szCs w:val="21"/>
        </w:rPr>
      </w:pPr>
      <w:r>
        <w:rPr>
          <w:rFonts w:ascii="Times New Roman" w:hAnsi="Times New Roman"/>
          <w:noProof/>
          <w:sz w:val="18"/>
          <w:szCs w:val="18"/>
        </w:rPr>
        <w:drawing>
          <wp:inline distT="0" distB="0" distL="0" distR="0" wp14:anchorId="13CFD7A2" wp14:editId="1DC0CE66">
            <wp:extent cx="1980000" cy="1633302"/>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80000" cy="1633302"/>
                    </a:xfrm>
                    <a:prstGeom prst="rect">
                      <a:avLst/>
                    </a:prstGeom>
                    <a:noFill/>
                  </pic:spPr>
                </pic:pic>
              </a:graphicData>
            </a:graphic>
          </wp:inline>
        </w:drawing>
      </w:r>
    </w:p>
    <w:p w14:paraId="04C62808" w14:textId="62907491" w:rsidR="00337241" w:rsidRPr="005271DE" w:rsidRDefault="00337241" w:rsidP="005271DE">
      <w:pPr>
        <w:pStyle w:val="15"/>
        <w:numPr>
          <w:ilvl w:val="0"/>
          <w:numId w:val="8"/>
        </w:numPr>
        <w:jc w:val="center"/>
      </w:pPr>
      <w:r w:rsidRPr="005271DE">
        <w:rPr>
          <w:rFonts w:hint="eastAsia"/>
        </w:rPr>
        <w:t>尾流优化发电力提升</w:t>
      </w:r>
    </w:p>
    <w:p w14:paraId="46700C8C" w14:textId="5BE95E38" w:rsidR="00337241" w:rsidRPr="005271DE" w:rsidRDefault="00337241" w:rsidP="005271DE">
      <w:pPr>
        <w:pStyle w:val="15"/>
        <w:ind w:firstLine="0"/>
        <w:jc w:val="center"/>
      </w:pPr>
      <w:r w:rsidRPr="005271DE">
        <w:rPr>
          <w:rFonts w:hint="eastAsia"/>
        </w:rPr>
        <w:t>图</w:t>
      </w:r>
      <w:r w:rsidRPr="005271DE">
        <w:t>9</w:t>
      </w:r>
      <w:r w:rsidRPr="005271DE">
        <w:rPr>
          <w:rFonts w:hint="eastAsia"/>
        </w:rPr>
        <w:t>全生命期智能管理平台应用效果</w:t>
      </w:r>
    </w:p>
    <w:p w14:paraId="0417C64F" w14:textId="327A4FE6" w:rsidR="00337241" w:rsidRPr="005271DE" w:rsidRDefault="00337241" w:rsidP="005271DE">
      <w:pPr>
        <w:pStyle w:val="15"/>
      </w:pPr>
      <w:r w:rsidRPr="00ED5F92">
        <w:rPr>
          <w:rFonts w:hint="eastAsia"/>
        </w:rPr>
        <w:t>应用实践表明，</w:t>
      </w:r>
      <w:r w:rsidRPr="000007A5">
        <w:rPr>
          <w:rFonts w:hint="eastAsia"/>
        </w:rPr>
        <w:t>该海上风</w:t>
      </w:r>
      <w:r w:rsidRPr="00ED5F92">
        <w:rPr>
          <w:rFonts w:hint="eastAsia"/>
        </w:rPr>
        <w:t>电项目管理全面应用了全生命期资产管理方法，将海上风电设备制造、工程建设和运行维护纳入统一的管理平台，实现贯通全过程的一体化监测，通过高效协同优化，提高了工程管理的质量和安全水平，有效控制了进度和建造成本，提升了全过程资产设备管理的精细化、智能化程度，减少了缺陷的发生，从而取得降本增效的实际效果。目前海上风电项目全生命期智能管理平台已在</w:t>
      </w:r>
      <w:r w:rsidRPr="00ED5F92">
        <w:t>8</w:t>
      </w:r>
      <w:r w:rsidRPr="00ED5F92">
        <w:rPr>
          <w:rFonts w:hint="eastAsia"/>
        </w:rPr>
        <w:t>个海上风电场现场使用，并推广至其他区域超过</w:t>
      </w:r>
      <w:r w:rsidRPr="00ED5F92">
        <w:t>400MW</w:t>
      </w:r>
      <w:r w:rsidRPr="00ED5F92">
        <w:rPr>
          <w:rFonts w:hint="eastAsia"/>
        </w:rPr>
        <w:t>海上风电项目应用。</w:t>
      </w:r>
    </w:p>
    <w:p w14:paraId="324F4B94" w14:textId="77777777" w:rsidR="00331419" w:rsidRPr="00043C29" w:rsidRDefault="00000000">
      <w:pPr>
        <w:tabs>
          <w:tab w:val="left" w:pos="420"/>
          <w:tab w:val="left" w:pos="735"/>
        </w:tabs>
        <w:spacing w:beforeLines="50" w:before="156" w:line="360" w:lineRule="exact"/>
        <w:ind w:left="420" w:hangingChars="175" w:hanging="420"/>
        <w:outlineLvl w:val="0"/>
        <w:rPr>
          <w:rFonts w:eastAsia="华文中宋"/>
          <w:color w:val="000000" w:themeColor="text1"/>
          <w:sz w:val="24"/>
          <w:szCs w:val="24"/>
        </w:rPr>
      </w:pPr>
      <w:r w:rsidRPr="00043C29">
        <w:rPr>
          <w:rFonts w:eastAsia="华文中宋"/>
          <w:color w:val="000000" w:themeColor="text1"/>
          <w:sz w:val="24"/>
          <w:szCs w:val="24"/>
        </w:rPr>
        <w:t xml:space="preserve">4 </w:t>
      </w:r>
      <w:r w:rsidRPr="00043C29">
        <w:rPr>
          <w:rFonts w:eastAsia="华文中宋" w:hint="eastAsia"/>
          <w:color w:val="000000" w:themeColor="text1"/>
          <w:sz w:val="24"/>
          <w:szCs w:val="24"/>
        </w:rPr>
        <w:t xml:space="preserve"> </w:t>
      </w:r>
      <w:r w:rsidRPr="00043C29">
        <w:rPr>
          <w:rFonts w:eastAsia="华文中宋"/>
          <w:color w:val="000000" w:themeColor="text1"/>
          <w:sz w:val="24"/>
          <w:szCs w:val="24"/>
        </w:rPr>
        <w:t>结论</w:t>
      </w:r>
      <w:r w:rsidRPr="00043C29">
        <w:rPr>
          <w:rFonts w:eastAsia="华文中宋" w:hint="eastAsia"/>
          <w:color w:val="000000" w:themeColor="text1"/>
          <w:sz w:val="24"/>
          <w:szCs w:val="24"/>
        </w:rPr>
        <w:t>与展望</w:t>
      </w:r>
    </w:p>
    <w:p w14:paraId="2FB4ADA2" w14:textId="5EF87C05" w:rsidR="00337241" w:rsidRPr="00043C29" w:rsidRDefault="00337241" w:rsidP="00043C29">
      <w:pPr>
        <w:pStyle w:val="15"/>
      </w:pPr>
      <w:r w:rsidRPr="00043C29">
        <w:rPr>
          <w:rFonts w:hint="eastAsia"/>
        </w:rPr>
        <w:t>本文通过对海上风电项目全生命期资产智慧管理方法和应用研究，提出了全生命期闭环反馈机制，建立了资产闭环管理评估模型，构建了全生命期智慧管理平台架构，研发了关键功能模块，并在某海上风电项目应用，主要结论如下：</w:t>
      </w:r>
    </w:p>
    <w:p w14:paraId="4175EC0E" w14:textId="2BB09313" w:rsidR="00337241" w:rsidRPr="00043C29" w:rsidRDefault="00337241" w:rsidP="00043C29">
      <w:pPr>
        <w:pStyle w:val="15"/>
      </w:pPr>
      <w:r w:rsidRPr="00043C29">
        <w:rPr>
          <w:rFonts w:hint="eastAsia"/>
        </w:rPr>
        <w:t>（</w:t>
      </w:r>
      <w:r w:rsidRPr="00043C29">
        <w:rPr>
          <w:rFonts w:hint="eastAsia"/>
        </w:rPr>
        <w:t>1</w:t>
      </w:r>
      <w:r w:rsidRPr="00043C29">
        <w:rPr>
          <w:rFonts w:hint="eastAsia"/>
        </w:rPr>
        <w:t>）提出了“全面感知、真实分析、实时控制、持续优化”的海上风电项</w:t>
      </w:r>
      <w:r w:rsidRPr="00942763">
        <w:rPr>
          <w:rFonts w:hint="eastAsia"/>
        </w:rPr>
        <w:t>目全生命期闭环</w:t>
      </w:r>
      <w:r w:rsidR="008A7B70" w:rsidRPr="00942763">
        <w:rPr>
          <w:rFonts w:hint="eastAsia"/>
        </w:rPr>
        <w:t>控制智慧管理</w:t>
      </w:r>
      <w:r w:rsidRPr="00942763">
        <w:rPr>
          <w:rFonts w:hint="eastAsia"/>
        </w:rPr>
        <w:t>机制，</w:t>
      </w:r>
      <w:r w:rsidRPr="00043C29">
        <w:rPr>
          <w:rFonts w:hint="eastAsia"/>
        </w:rPr>
        <w:t>揭示了不同阶段海上风电资产管理数字化、智慧化开发路径</w:t>
      </w:r>
      <w:r w:rsidR="003A6D00">
        <w:rPr>
          <w:rFonts w:hint="eastAsia"/>
        </w:rPr>
        <w:t>。</w:t>
      </w:r>
    </w:p>
    <w:p w14:paraId="63EDA482" w14:textId="7E439AC0" w:rsidR="00337241" w:rsidRPr="00043C29" w:rsidRDefault="00337241" w:rsidP="00043C29">
      <w:pPr>
        <w:pStyle w:val="15"/>
      </w:pPr>
      <w:r w:rsidRPr="00043C29">
        <w:rPr>
          <w:rFonts w:hint="eastAsia"/>
        </w:rPr>
        <w:t>（</w:t>
      </w:r>
      <w:r w:rsidRPr="00043C29">
        <w:rPr>
          <w:rFonts w:hint="eastAsia"/>
        </w:rPr>
        <w:t>2</w:t>
      </w:r>
      <w:r w:rsidRPr="00043C29">
        <w:rPr>
          <w:rFonts w:hint="eastAsia"/>
        </w:rPr>
        <w:t>）提出海上风电资产闭环管理评估模型，将各项资产管理工作具体的管理要素归纳为成本、绩效和风险等可量化评价的指标，单个资产的状态可表示为某一时刻下资产预估的成本水平、绩效水平和风险水平，建立了资产管理闭环评估模型，为海上风电项目全生命期资产评价与风险决策控制提供支</w:t>
      </w:r>
      <w:r w:rsidRPr="00043C29">
        <w:rPr>
          <w:rFonts w:hint="eastAsia"/>
        </w:rPr>
        <w:lastRenderedPageBreak/>
        <w:t>撑。</w:t>
      </w:r>
    </w:p>
    <w:p w14:paraId="2ECCFDBF" w14:textId="0294A812" w:rsidR="00337241" w:rsidRPr="00043C29" w:rsidRDefault="00337241" w:rsidP="00043C29">
      <w:pPr>
        <w:pStyle w:val="15"/>
      </w:pPr>
      <w:r w:rsidRPr="00043C29">
        <w:rPr>
          <w:rFonts w:hint="eastAsia"/>
        </w:rPr>
        <w:t>（</w:t>
      </w:r>
      <w:r w:rsidRPr="00043C29">
        <w:t>3</w:t>
      </w:r>
      <w:r w:rsidRPr="00043C29">
        <w:rPr>
          <w:rFonts w:hint="eastAsia"/>
        </w:rPr>
        <w:t>）提出了从数据采集、数据管理、功能模块到辅助决策的海上风电项目全生命期智能管理平台架构，研发了</w:t>
      </w:r>
      <w:r w:rsidR="003A6D00">
        <w:rPr>
          <w:rFonts w:hint="eastAsia"/>
        </w:rPr>
        <w:t>资产</w:t>
      </w:r>
      <w:r w:rsidRPr="00043C29">
        <w:rPr>
          <w:rFonts w:hint="eastAsia"/>
        </w:rPr>
        <w:t>可靠性设计、智慧基建、智慧运维等关键功能模块，通过现场成功应用，优化了项目规划设计、降低了项目开发运维成本、提高了资产设备可靠性和全生命期发电量，确保了全生命期价值创造</w:t>
      </w:r>
      <w:r w:rsidR="003A6D00">
        <w:rPr>
          <w:rFonts w:hint="eastAsia"/>
        </w:rPr>
        <w:t>能力</w:t>
      </w:r>
      <w:r w:rsidRPr="00043C29">
        <w:rPr>
          <w:rFonts w:hint="eastAsia"/>
        </w:rPr>
        <w:t>，成果可供类似海上风电项目借鉴和参考。</w:t>
      </w:r>
    </w:p>
    <w:bookmarkEnd w:id="0"/>
    <w:p w14:paraId="05F26C27" w14:textId="77777777" w:rsidR="00337241" w:rsidRPr="002331FA" w:rsidRDefault="00337241" w:rsidP="00337241">
      <w:pPr>
        <w:tabs>
          <w:tab w:val="left" w:pos="0"/>
          <w:tab w:val="left" w:pos="735"/>
          <w:tab w:val="left" w:pos="3990"/>
        </w:tabs>
        <w:snapToGrid w:val="0"/>
        <w:spacing w:line="360" w:lineRule="auto"/>
        <w:jc w:val="center"/>
        <w:rPr>
          <w:rFonts w:ascii="宋体" w:hAnsi="宋体" w:hint="eastAsia"/>
          <w:sz w:val="18"/>
          <w:szCs w:val="18"/>
        </w:rPr>
      </w:pPr>
      <w:r w:rsidRPr="002331FA">
        <w:rPr>
          <w:rFonts w:ascii="宋体" w:hAnsi="宋体"/>
          <w:b/>
          <w:sz w:val="18"/>
          <w:szCs w:val="18"/>
        </w:rPr>
        <w:t>参 考 文 献</w:t>
      </w:r>
    </w:p>
    <w:p w14:paraId="402BCB2A"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4" w:name="_Ref196410956"/>
      <w:bookmarkStart w:id="5" w:name="_Ref118309870"/>
      <w:r w:rsidRPr="005271DE">
        <w:rPr>
          <w:rFonts w:ascii="Times New Roman" w:eastAsia="宋体" w:hAnsi="Times New Roman"/>
          <w:sz w:val="18"/>
          <w:szCs w:val="18"/>
        </w:rPr>
        <w:t>FAN Q X, WANG X, YUAN J, et al. A review of the development of key technologies for offshore wind power in China [J]. Journal of Marine Science and Engineering, 2022, 10(7): 929.</w:t>
      </w:r>
      <w:bookmarkEnd w:id="4"/>
      <w:r w:rsidRPr="005271DE">
        <w:rPr>
          <w:rFonts w:ascii="Times New Roman" w:eastAsia="宋体" w:hAnsi="Times New Roman"/>
          <w:sz w:val="18"/>
          <w:szCs w:val="18"/>
        </w:rPr>
        <w:t xml:space="preserve"> </w:t>
      </w:r>
    </w:p>
    <w:p w14:paraId="6B1DF088"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6" w:name="_Ref167547508"/>
      <w:bookmarkStart w:id="7" w:name="_Hlk196406241"/>
      <w:r w:rsidRPr="005271DE">
        <w:rPr>
          <w:rFonts w:ascii="Times New Roman" w:eastAsia="宋体" w:hAnsi="Times New Roman"/>
          <w:sz w:val="18"/>
          <w:szCs w:val="18"/>
        </w:rPr>
        <w:t>樊启祥</w:t>
      </w:r>
      <w:r w:rsidRPr="005271DE">
        <w:rPr>
          <w:rFonts w:ascii="Times New Roman" w:eastAsia="宋体" w:hAnsi="Times New Roman"/>
          <w:sz w:val="18"/>
          <w:szCs w:val="18"/>
        </w:rPr>
        <w:t xml:space="preserve">, </w:t>
      </w:r>
      <w:r w:rsidRPr="005271DE">
        <w:rPr>
          <w:rFonts w:ascii="Times New Roman" w:eastAsia="宋体" w:hAnsi="Times New Roman"/>
          <w:sz w:val="18"/>
          <w:szCs w:val="18"/>
        </w:rPr>
        <w:t>陈晓路</w:t>
      </w:r>
      <w:r w:rsidRPr="005271DE">
        <w:rPr>
          <w:rFonts w:ascii="Times New Roman" w:eastAsia="宋体" w:hAnsi="Times New Roman"/>
          <w:sz w:val="18"/>
          <w:szCs w:val="18"/>
        </w:rPr>
        <w:t xml:space="preserve">, </w:t>
      </w:r>
      <w:r w:rsidRPr="005271DE">
        <w:rPr>
          <w:rFonts w:ascii="Times New Roman" w:eastAsia="宋体" w:hAnsi="Times New Roman"/>
          <w:sz w:val="18"/>
          <w:szCs w:val="18"/>
        </w:rPr>
        <w:t>王鑫</w:t>
      </w:r>
      <w:r w:rsidRPr="005271DE">
        <w:rPr>
          <w:rFonts w:ascii="Times New Roman" w:eastAsia="宋体" w:hAnsi="Times New Roman"/>
          <w:sz w:val="18"/>
          <w:szCs w:val="18"/>
        </w:rPr>
        <w:t xml:space="preserve">. </w:t>
      </w:r>
      <w:r w:rsidRPr="005271DE">
        <w:rPr>
          <w:rFonts w:ascii="Times New Roman" w:eastAsia="宋体" w:hAnsi="Times New Roman"/>
          <w:sz w:val="18"/>
          <w:szCs w:val="18"/>
        </w:rPr>
        <w:t>海上风电项目全生命周期资产管理</w:t>
      </w:r>
      <w:r w:rsidRPr="005271DE">
        <w:rPr>
          <w:rFonts w:ascii="Times New Roman" w:eastAsia="宋体" w:hAnsi="Times New Roman"/>
          <w:sz w:val="18"/>
          <w:szCs w:val="18"/>
        </w:rPr>
        <w:t xml:space="preserve">[J]. </w:t>
      </w:r>
      <w:r w:rsidRPr="005271DE">
        <w:rPr>
          <w:rFonts w:ascii="Times New Roman" w:eastAsia="宋体" w:hAnsi="Times New Roman"/>
          <w:sz w:val="18"/>
          <w:szCs w:val="18"/>
        </w:rPr>
        <w:t>项目管理评论，</w:t>
      </w:r>
      <w:r w:rsidRPr="005271DE">
        <w:rPr>
          <w:rFonts w:ascii="Times New Roman" w:eastAsia="宋体" w:hAnsi="Times New Roman"/>
          <w:sz w:val="18"/>
          <w:szCs w:val="18"/>
        </w:rPr>
        <w:t>2022(02): 72-77.</w:t>
      </w:r>
      <w:bookmarkEnd w:id="6"/>
    </w:p>
    <w:bookmarkEnd w:id="5"/>
    <w:p w14:paraId="76A18F48"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FAN Q X, CHEN X L, WANG X. Full life-cycle asset management of offshore wind project[J]. Project Management Review, 2022(02): 72-77. (in Chinese)</w:t>
      </w:r>
    </w:p>
    <w:bookmarkEnd w:id="7"/>
    <w:p w14:paraId="2F02C35B"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 xml:space="preserve">BESNARD, F., PATRIKSSON, M., STROMBERG, A-B., et al. An optimization framework for opportunistic maintenance of offshore wind power system[C]// Proceedings of the IEEE Bucharest </w:t>
      </w:r>
      <w:proofErr w:type="spellStart"/>
      <w:r w:rsidRPr="005271DE">
        <w:rPr>
          <w:rFonts w:ascii="Times New Roman" w:eastAsia="宋体" w:hAnsi="Times New Roman"/>
          <w:sz w:val="18"/>
          <w:szCs w:val="18"/>
        </w:rPr>
        <w:t>PowerTech</w:t>
      </w:r>
      <w:proofErr w:type="spellEnd"/>
      <w:r w:rsidRPr="005271DE">
        <w:rPr>
          <w:rFonts w:ascii="Times New Roman" w:eastAsia="宋体" w:hAnsi="Times New Roman"/>
          <w:sz w:val="18"/>
          <w:szCs w:val="18"/>
        </w:rPr>
        <w:t>. Bucharest, Romania: IEEE Press, 2009: 1-7.</w:t>
      </w:r>
    </w:p>
    <w:p w14:paraId="180D39D3"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HAMEED, Z., VATN, J., HEGGSET, J. Challenges in the reliability and maintainability data collection for offshore wind turbines[J]. Renewable Energy, 2011, 36(8):.2154-2165.</w:t>
      </w:r>
    </w:p>
    <w:p w14:paraId="4E701D3B"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WILLIAMS, R., CRABTREE, C., HOGG, S. Offshore Wind Farm Asset Management: Past Experiences and Future Challenges[C]// Proceedings of the ASME Turbo Expo 2013: Turbine Technical Conference and Exposition, Texas, USA.</w:t>
      </w:r>
    </w:p>
    <w:p w14:paraId="3E1E4882"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黄必清</w:t>
      </w:r>
      <w:r w:rsidRPr="005271DE">
        <w:rPr>
          <w:rFonts w:ascii="Times New Roman" w:eastAsia="宋体" w:hAnsi="Times New Roman"/>
          <w:sz w:val="18"/>
          <w:szCs w:val="18"/>
        </w:rPr>
        <w:t xml:space="preserve">, </w:t>
      </w:r>
      <w:r w:rsidRPr="005271DE">
        <w:rPr>
          <w:rFonts w:ascii="Times New Roman" w:eastAsia="宋体" w:hAnsi="Times New Roman"/>
          <w:sz w:val="18"/>
          <w:szCs w:val="18"/>
        </w:rPr>
        <w:t>张毅</w:t>
      </w:r>
      <w:r w:rsidRPr="005271DE">
        <w:rPr>
          <w:rFonts w:ascii="Times New Roman" w:eastAsia="宋体" w:hAnsi="Times New Roman"/>
          <w:sz w:val="18"/>
          <w:szCs w:val="18"/>
        </w:rPr>
        <w:t xml:space="preserve">, </w:t>
      </w:r>
      <w:r w:rsidRPr="005271DE">
        <w:rPr>
          <w:rFonts w:ascii="Times New Roman" w:eastAsia="宋体" w:hAnsi="Times New Roman"/>
          <w:sz w:val="18"/>
          <w:szCs w:val="18"/>
        </w:rPr>
        <w:t>易晓春</w:t>
      </w:r>
      <w:r w:rsidRPr="005271DE">
        <w:rPr>
          <w:rFonts w:ascii="Times New Roman" w:eastAsia="宋体" w:hAnsi="Times New Roman"/>
          <w:sz w:val="18"/>
          <w:szCs w:val="18"/>
        </w:rPr>
        <w:t xml:space="preserve">. </w:t>
      </w:r>
      <w:bookmarkStart w:id="8" w:name="_Hlk196396942"/>
      <w:r w:rsidRPr="005271DE">
        <w:rPr>
          <w:rFonts w:ascii="Times New Roman" w:eastAsia="宋体" w:hAnsi="Times New Roman"/>
          <w:sz w:val="18"/>
          <w:szCs w:val="18"/>
        </w:rPr>
        <w:t>海上风电场运行维护系统</w:t>
      </w:r>
      <w:bookmarkEnd w:id="8"/>
      <w:r w:rsidRPr="005271DE">
        <w:rPr>
          <w:rFonts w:ascii="Times New Roman" w:eastAsia="宋体" w:hAnsi="Times New Roman"/>
          <w:sz w:val="18"/>
          <w:szCs w:val="18"/>
        </w:rPr>
        <w:t xml:space="preserve">[J]. </w:t>
      </w:r>
      <w:r w:rsidRPr="005271DE">
        <w:rPr>
          <w:rFonts w:ascii="Times New Roman" w:eastAsia="宋体" w:hAnsi="Times New Roman"/>
          <w:sz w:val="18"/>
          <w:szCs w:val="18"/>
        </w:rPr>
        <w:t>清华大学学报</w:t>
      </w:r>
      <w:r w:rsidRPr="005271DE">
        <w:rPr>
          <w:rFonts w:ascii="Times New Roman" w:eastAsia="宋体" w:hAnsi="Times New Roman"/>
          <w:sz w:val="18"/>
          <w:szCs w:val="18"/>
        </w:rPr>
        <w:t>(</w:t>
      </w:r>
      <w:r w:rsidRPr="005271DE">
        <w:rPr>
          <w:rFonts w:ascii="Times New Roman" w:eastAsia="宋体" w:hAnsi="Times New Roman"/>
          <w:sz w:val="18"/>
          <w:szCs w:val="18"/>
        </w:rPr>
        <w:t>自然科学版</w:t>
      </w:r>
      <w:r w:rsidRPr="005271DE">
        <w:rPr>
          <w:rFonts w:ascii="Times New Roman" w:eastAsia="宋体" w:hAnsi="Times New Roman"/>
          <w:sz w:val="18"/>
          <w:szCs w:val="18"/>
        </w:rPr>
        <w:t>)</w:t>
      </w:r>
      <w:r w:rsidRPr="005271DE">
        <w:rPr>
          <w:rFonts w:ascii="Times New Roman" w:eastAsia="宋体" w:hAnsi="Times New Roman"/>
          <w:sz w:val="18"/>
          <w:szCs w:val="18"/>
        </w:rPr>
        <w:t>，</w:t>
      </w:r>
      <w:r w:rsidRPr="005271DE">
        <w:rPr>
          <w:rFonts w:ascii="Times New Roman" w:eastAsia="宋体" w:hAnsi="Times New Roman"/>
          <w:sz w:val="18"/>
          <w:szCs w:val="18"/>
        </w:rPr>
        <w:t>2014, 54(04): 522-539.</w:t>
      </w:r>
    </w:p>
    <w:p w14:paraId="2AD08888"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HUANG B Q, ZHANG Y, YI X C. Operation and maintenance systems for offshore wind farms[J]. Journal of Tsinghua University(Science and Technology), 2014, 54(04): 522-539. (in Chinese)</w:t>
      </w:r>
    </w:p>
    <w:p w14:paraId="1D129310"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9" w:name="_Ref167547576"/>
      <w:r w:rsidRPr="005271DE">
        <w:rPr>
          <w:rFonts w:ascii="Times New Roman" w:eastAsia="宋体" w:hAnsi="Times New Roman"/>
          <w:sz w:val="18"/>
          <w:szCs w:val="18"/>
        </w:rPr>
        <w:t xml:space="preserve">ZAJONC, M., SCHEU, M., HOHRATH. P. Asset Management in the Offshore Wind Industry[C]. Proceedings of </w:t>
      </w:r>
      <w:proofErr w:type="spellStart"/>
      <w:r w:rsidRPr="005271DE">
        <w:rPr>
          <w:rFonts w:ascii="Times New Roman" w:eastAsia="宋体" w:hAnsi="Times New Roman"/>
          <w:sz w:val="18"/>
          <w:szCs w:val="18"/>
        </w:rPr>
        <w:t>WindEurope</w:t>
      </w:r>
      <w:proofErr w:type="spellEnd"/>
      <w:r w:rsidRPr="005271DE">
        <w:rPr>
          <w:rFonts w:ascii="Times New Roman" w:eastAsia="宋体" w:hAnsi="Times New Roman"/>
          <w:sz w:val="18"/>
          <w:szCs w:val="18"/>
        </w:rPr>
        <w:t xml:space="preserve"> 2016 Conference, Hamburg, Germany.</w:t>
      </w:r>
      <w:bookmarkEnd w:id="9"/>
    </w:p>
    <w:p w14:paraId="6CA0957E"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0" w:name="_Ref167547584"/>
      <w:bookmarkStart w:id="11" w:name="_Ref196411130"/>
      <w:r w:rsidRPr="005271DE">
        <w:rPr>
          <w:rFonts w:ascii="Times New Roman" w:eastAsia="宋体" w:hAnsi="Times New Roman"/>
          <w:sz w:val="18"/>
          <w:szCs w:val="18"/>
        </w:rPr>
        <w:t>吴智泉</w:t>
      </w:r>
      <w:r w:rsidRPr="005271DE">
        <w:rPr>
          <w:rFonts w:ascii="Times New Roman" w:eastAsia="宋体" w:hAnsi="Times New Roman"/>
          <w:sz w:val="18"/>
          <w:szCs w:val="18"/>
        </w:rPr>
        <w:t xml:space="preserve">, </w:t>
      </w:r>
      <w:r w:rsidRPr="005271DE">
        <w:rPr>
          <w:rFonts w:ascii="Times New Roman" w:eastAsia="宋体" w:hAnsi="Times New Roman"/>
          <w:sz w:val="18"/>
          <w:szCs w:val="18"/>
        </w:rPr>
        <w:t>王政霞</w:t>
      </w:r>
      <w:r w:rsidRPr="005271DE">
        <w:rPr>
          <w:rFonts w:ascii="Times New Roman" w:eastAsia="宋体" w:hAnsi="Times New Roman"/>
          <w:sz w:val="18"/>
          <w:szCs w:val="18"/>
        </w:rPr>
        <w:t xml:space="preserve">. </w:t>
      </w:r>
      <w:r w:rsidRPr="005271DE">
        <w:rPr>
          <w:rFonts w:ascii="Times New Roman" w:eastAsia="宋体" w:hAnsi="Times New Roman"/>
          <w:sz w:val="18"/>
          <w:szCs w:val="18"/>
        </w:rPr>
        <w:t>智慧风电体系架构研究</w:t>
      </w:r>
      <w:r w:rsidRPr="005271DE">
        <w:rPr>
          <w:rFonts w:ascii="Times New Roman" w:eastAsia="宋体" w:hAnsi="Times New Roman"/>
          <w:sz w:val="18"/>
          <w:szCs w:val="18"/>
        </w:rPr>
        <w:t xml:space="preserve">[J]. </w:t>
      </w:r>
      <w:r w:rsidRPr="005271DE">
        <w:rPr>
          <w:rFonts w:ascii="Times New Roman" w:eastAsia="宋体" w:hAnsi="Times New Roman"/>
          <w:sz w:val="18"/>
          <w:szCs w:val="18"/>
        </w:rPr>
        <w:t>分布式能源</w:t>
      </w:r>
      <w:r w:rsidRPr="005271DE">
        <w:rPr>
          <w:rFonts w:ascii="Times New Roman" w:eastAsia="宋体" w:hAnsi="Times New Roman"/>
          <w:sz w:val="18"/>
          <w:szCs w:val="18"/>
        </w:rPr>
        <w:t>, 2019, 4(02): 8-15</w:t>
      </w:r>
      <w:bookmarkEnd w:id="10"/>
      <w:r w:rsidRPr="005271DE">
        <w:rPr>
          <w:rFonts w:ascii="Times New Roman" w:eastAsia="宋体" w:hAnsi="Times New Roman"/>
          <w:sz w:val="18"/>
          <w:szCs w:val="18"/>
        </w:rPr>
        <w:t>.</w:t>
      </w:r>
      <w:bookmarkEnd w:id="11"/>
    </w:p>
    <w:p w14:paraId="6793E3F4"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WU Z Q, WANG Z X. Smart wind power system architecture[J]. Distributed Energy, 2019, 4(02): 8-15. (in Chinese)</w:t>
      </w:r>
    </w:p>
    <w:p w14:paraId="2F9CF81C"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2" w:name="_Ref167547590"/>
      <w:r w:rsidRPr="005271DE">
        <w:rPr>
          <w:rFonts w:ascii="Times New Roman" w:eastAsia="宋体" w:hAnsi="Times New Roman"/>
          <w:sz w:val="18"/>
          <w:szCs w:val="18"/>
        </w:rPr>
        <w:t>韩斌</w:t>
      </w:r>
      <w:r w:rsidRPr="005271DE">
        <w:rPr>
          <w:rFonts w:ascii="Times New Roman" w:eastAsia="宋体" w:hAnsi="Times New Roman"/>
          <w:sz w:val="18"/>
          <w:szCs w:val="18"/>
        </w:rPr>
        <w:t xml:space="preserve">, </w:t>
      </w:r>
      <w:r w:rsidRPr="005271DE">
        <w:rPr>
          <w:rFonts w:ascii="Times New Roman" w:eastAsia="宋体" w:hAnsi="Times New Roman"/>
          <w:sz w:val="18"/>
          <w:szCs w:val="18"/>
        </w:rPr>
        <w:t>王忠杰</w:t>
      </w:r>
      <w:r w:rsidRPr="005271DE">
        <w:rPr>
          <w:rFonts w:ascii="Times New Roman" w:eastAsia="宋体" w:hAnsi="Times New Roman"/>
          <w:sz w:val="18"/>
          <w:szCs w:val="18"/>
        </w:rPr>
        <w:t xml:space="preserve">, </w:t>
      </w:r>
      <w:r w:rsidRPr="005271DE">
        <w:rPr>
          <w:rFonts w:ascii="Times New Roman" w:eastAsia="宋体" w:hAnsi="Times New Roman"/>
          <w:sz w:val="18"/>
          <w:szCs w:val="18"/>
        </w:rPr>
        <w:t>赵勇</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智慧风电场发展现状及规划建议</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热力发电</w:t>
      </w:r>
      <w:r w:rsidRPr="005271DE">
        <w:rPr>
          <w:rFonts w:ascii="Times New Roman" w:eastAsia="宋体" w:hAnsi="Times New Roman"/>
          <w:sz w:val="18"/>
          <w:szCs w:val="18"/>
        </w:rPr>
        <w:t>, 2019, 48(09): 34-39.</w:t>
      </w:r>
      <w:bookmarkEnd w:id="12"/>
    </w:p>
    <w:p w14:paraId="33E7164D"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HAN B, WANG Z J, ZHAO Y, et al. Development status and planning suggestions of smart wind farms[J]. Thermal Power Generation[J]. 2019, 48(09): 34-39. (in Chinese)</w:t>
      </w:r>
    </w:p>
    <w:p w14:paraId="434F506E"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3" w:name="_Ref167547605"/>
      <w:r w:rsidRPr="005271DE">
        <w:rPr>
          <w:rFonts w:ascii="Times New Roman" w:eastAsia="宋体" w:hAnsi="Times New Roman"/>
          <w:sz w:val="18"/>
          <w:szCs w:val="18"/>
        </w:rPr>
        <w:t>陈亮</w:t>
      </w:r>
      <w:r w:rsidRPr="005271DE">
        <w:rPr>
          <w:rFonts w:ascii="Times New Roman" w:eastAsia="宋体" w:hAnsi="Times New Roman"/>
          <w:sz w:val="18"/>
          <w:szCs w:val="18"/>
        </w:rPr>
        <w:t xml:space="preserve">, </w:t>
      </w:r>
      <w:r w:rsidRPr="005271DE">
        <w:rPr>
          <w:rFonts w:ascii="Times New Roman" w:eastAsia="宋体" w:hAnsi="Times New Roman"/>
          <w:sz w:val="18"/>
          <w:szCs w:val="18"/>
        </w:rPr>
        <w:t>阳熹</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杨源</w:t>
      </w:r>
      <w:r w:rsidRPr="005271DE">
        <w:rPr>
          <w:rFonts w:ascii="Times New Roman" w:eastAsia="宋体" w:hAnsi="Times New Roman"/>
          <w:sz w:val="18"/>
          <w:szCs w:val="18"/>
        </w:rPr>
        <w:t xml:space="preserve">. </w:t>
      </w:r>
      <w:r w:rsidRPr="005271DE">
        <w:rPr>
          <w:rFonts w:ascii="Times New Roman" w:eastAsia="宋体" w:hAnsi="Times New Roman"/>
          <w:sz w:val="18"/>
          <w:szCs w:val="18"/>
        </w:rPr>
        <w:t>智慧海上风电场的定义、架构体系和建设路径</w:t>
      </w:r>
      <w:r w:rsidRPr="005271DE">
        <w:rPr>
          <w:rFonts w:ascii="Times New Roman" w:eastAsia="宋体" w:hAnsi="Times New Roman"/>
          <w:sz w:val="18"/>
          <w:szCs w:val="18"/>
        </w:rPr>
        <w:t xml:space="preserve">[J]. </w:t>
      </w:r>
      <w:r w:rsidRPr="005271DE">
        <w:rPr>
          <w:rFonts w:ascii="Times New Roman" w:eastAsia="宋体" w:hAnsi="Times New Roman"/>
          <w:sz w:val="18"/>
          <w:szCs w:val="18"/>
        </w:rPr>
        <w:t>南方能源建设</w:t>
      </w:r>
      <w:r w:rsidRPr="005271DE">
        <w:rPr>
          <w:rFonts w:ascii="Times New Roman" w:eastAsia="宋体" w:hAnsi="Times New Roman"/>
          <w:sz w:val="18"/>
          <w:szCs w:val="18"/>
        </w:rPr>
        <w:t>, 2020, 7 (03): 62-69.</w:t>
      </w:r>
      <w:bookmarkEnd w:id="13"/>
    </w:p>
    <w:p w14:paraId="54CD583D"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CHEN L, YANG X, YANG Y. Definition, architecture, and constructive route of intelligent offshore wind farm[J]. Southern Energy Construction, 2020, 7 (03): 62-69. (in Chinese)</w:t>
      </w:r>
    </w:p>
    <w:p w14:paraId="64BEF28D"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4" w:name="_Ref167547611"/>
      <w:bookmarkStart w:id="15" w:name="_Ref196411151"/>
      <w:r w:rsidRPr="005271DE">
        <w:rPr>
          <w:rFonts w:ascii="Times New Roman" w:eastAsia="宋体" w:hAnsi="Times New Roman"/>
          <w:sz w:val="18"/>
          <w:szCs w:val="18"/>
        </w:rPr>
        <w:t>YANG, Y., YANG, X., TAN, J., et al. The scheme design of smart offshore wind farm[C]. Proceedings of the 2019 Prognostics and System Health Management Conference. Qingdao, China</w:t>
      </w:r>
      <w:bookmarkEnd w:id="14"/>
      <w:r w:rsidRPr="005271DE">
        <w:rPr>
          <w:rFonts w:ascii="Times New Roman" w:eastAsia="宋体" w:hAnsi="Times New Roman"/>
          <w:sz w:val="18"/>
          <w:szCs w:val="18"/>
        </w:rPr>
        <w:t>: IEEE Press, 2019: 1-6.</w:t>
      </w:r>
      <w:bookmarkEnd w:id="15"/>
    </w:p>
    <w:p w14:paraId="0C6BF5A0"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6" w:name="_Ref167547619"/>
      <w:r w:rsidRPr="005271DE">
        <w:rPr>
          <w:rFonts w:ascii="Times New Roman" w:eastAsia="宋体" w:hAnsi="Times New Roman"/>
          <w:sz w:val="18"/>
          <w:szCs w:val="18"/>
        </w:rPr>
        <w:t>金飞</w:t>
      </w:r>
      <w:r w:rsidRPr="005271DE">
        <w:rPr>
          <w:rFonts w:ascii="Times New Roman" w:eastAsia="宋体" w:hAnsi="Times New Roman"/>
          <w:sz w:val="18"/>
          <w:szCs w:val="18"/>
        </w:rPr>
        <w:t xml:space="preserve">, </w:t>
      </w:r>
      <w:r w:rsidRPr="005271DE">
        <w:rPr>
          <w:rFonts w:ascii="Times New Roman" w:eastAsia="宋体" w:hAnsi="Times New Roman"/>
          <w:sz w:val="18"/>
          <w:szCs w:val="18"/>
        </w:rPr>
        <w:t>叶晓冬</w:t>
      </w:r>
      <w:r w:rsidRPr="005271DE">
        <w:rPr>
          <w:rFonts w:ascii="Times New Roman" w:eastAsia="宋体" w:hAnsi="Times New Roman"/>
          <w:sz w:val="18"/>
          <w:szCs w:val="18"/>
        </w:rPr>
        <w:t xml:space="preserve">, </w:t>
      </w:r>
      <w:r w:rsidRPr="005271DE">
        <w:rPr>
          <w:rFonts w:ascii="Times New Roman" w:eastAsia="宋体" w:hAnsi="Times New Roman"/>
          <w:sz w:val="18"/>
          <w:szCs w:val="18"/>
        </w:rPr>
        <w:t>马斐</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海上风电工程全生命周期数字孪生解决方案</w:t>
      </w:r>
      <w:r w:rsidRPr="005271DE">
        <w:rPr>
          <w:rFonts w:ascii="Times New Roman" w:eastAsia="宋体" w:hAnsi="Times New Roman"/>
          <w:sz w:val="18"/>
          <w:szCs w:val="18"/>
        </w:rPr>
        <w:t xml:space="preserve">[J]. </w:t>
      </w:r>
      <w:r w:rsidRPr="005271DE">
        <w:rPr>
          <w:rFonts w:ascii="Times New Roman" w:eastAsia="宋体" w:hAnsi="Times New Roman"/>
          <w:sz w:val="18"/>
          <w:szCs w:val="18"/>
        </w:rPr>
        <w:t>水利规划与设计</w:t>
      </w:r>
      <w:r w:rsidRPr="005271DE">
        <w:rPr>
          <w:rFonts w:ascii="Times New Roman" w:eastAsia="宋体" w:hAnsi="Times New Roman"/>
          <w:sz w:val="18"/>
          <w:szCs w:val="18"/>
        </w:rPr>
        <w:t>, 2021, (10): 135-139.</w:t>
      </w:r>
      <w:bookmarkEnd w:id="16"/>
    </w:p>
    <w:p w14:paraId="24BAABE8"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JIN F, YE X D, MA F, et al. Full life cycle digital twin solutions for offshore wind power project[J]. Water Resources Planning and Design, 2021, (10): 135-139. (in Chinese)</w:t>
      </w:r>
    </w:p>
    <w:p w14:paraId="2861A046"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7" w:name="_Ref167547630"/>
      <w:r w:rsidRPr="005271DE">
        <w:rPr>
          <w:rFonts w:ascii="Times New Roman" w:eastAsia="宋体" w:hAnsi="Times New Roman"/>
          <w:sz w:val="18"/>
          <w:szCs w:val="18"/>
        </w:rPr>
        <w:t>胡云石</w:t>
      </w:r>
      <w:r w:rsidRPr="005271DE">
        <w:rPr>
          <w:rFonts w:ascii="Times New Roman" w:eastAsia="宋体" w:hAnsi="Times New Roman"/>
          <w:sz w:val="18"/>
          <w:szCs w:val="18"/>
        </w:rPr>
        <w:t xml:space="preserve">. </w:t>
      </w:r>
      <w:r w:rsidRPr="005271DE">
        <w:rPr>
          <w:rFonts w:ascii="Times New Roman" w:eastAsia="宋体" w:hAnsi="Times New Roman"/>
          <w:sz w:val="18"/>
          <w:szCs w:val="18"/>
        </w:rPr>
        <w:t>茂名供电局电网资产全生命周期管理研究</w:t>
      </w:r>
      <w:r w:rsidRPr="005271DE">
        <w:rPr>
          <w:rFonts w:ascii="Times New Roman" w:eastAsia="宋体" w:hAnsi="Times New Roman"/>
          <w:sz w:val="18"/>
          <w:szCs w:val="18"/>
        </w:rPr>
        <w:t xml:space="preserve">[D]. </w:t>
      </w:r>
      <w:r w:rsidRPr="005271DE">
        <w:rPr>
          <w:rFonts w:ascii="Times New Roman" w:eastAsia="宋体" w:hAnsi="Times New Roman"/>
          <w:sz w:val="18"/>
          <w:szCs w:val="18"/>
        </w:rPr>
        <w:t>华中科技大学</w:t>
      </w:r>
      <w:r w:rsidRPr="005271DE">
        <w:rPr>
          <w:rFonts w:ascii="Times New Roman" w:eastAsia="宋体" w:hAnsi="Times New Roman"/>
          <w:sz w:val="18"/>
          <w:szCs w:val="18"/>
        </w:rPr>
        <w:t>, 2012.</w:t>
      </w:r>
      <w:bookmarkEnd w:id="17"/>
    </w:p>
    <w:p w14:paraId="444E71B9"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HU Y S. Research on life cycle assets management of Maoming Power Supply Bureau[D]. Huazhong University of Science &amp; Technology, 2012. (in Chinese)</w:t>
      </w:r>
    </w:p>
    <w:p w14:paraId="106DAD50"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8" w:name="_Ref167547636"/>
      <w:r w:rsidRPr="005271DE">
        <w:rPr>
          <w:rFonts w:ascii="Times New Roman" w:eastAsia="宋体" w:hAnsi="Times New Roman"/>
          <w:sz w:val="18"/>
          <w:szCs w:val="18"/>
        </w:rPr>
        <w:t>樊启祥</w:t>
      </w:r>
      <w:r w:rsidRPr="005271DE">
        <w:rPr>
          <w:rFonts w:ascii="Times New Roman" w:eastAsia="宋体" w:hAnsi="Times New Roman"/>
          <w:sz w:val="18"/>
          <w:szCs w:val="18"/>
        </w:rPr>
        <w:t xml:space="preserve">, </w:t>
      </w:r>
      <w:r w:rsidRPr="005271DE">
        <w:rPr>
          <w:rFonts w:ascii="Times New Roman" w:eastAsia="宋体" w:hAnsi="Times New Roman"/>
          <w:sz w:val="18"/>
          <w:szCs w:val="18"/>
        </w:rPr>
        <w:t>林鹏</w:t>
      </w:r>
      <w:r w:rsidRPr="005271DE">
        <w:rPr>
          <w:rFonts w:ascii="Times New Roman" w:eastAsia="宋体" w:hAnsi="Times New Roman"/>
          <w:sz w:val="18"/>
          <w:szCs w:val="18"/>
        </w:rPr>
        <w:t xml:space="preserve">, </w:t>
      </w:r>
      <w:r w:rsidRPr="005271DE">
        <w:rPr>
          <w:rFonts w:ascii="Times New Roman" w:eastAsia="宋体" w:hAnsi="Times New Roman"/>
          <w:sz w:val="18"/>
          <w:szCs w:val="18"/>
        </w:rPr>
        <w:t>魏鹏程</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智能建造闭环控制理论</w:t>
      </w:r>
      <w:r w:rsidRPr="005271DE">
        <w:rPr>
          <w:rFonts w:ascii="Times New Roman" w:eastAsia="宋体" w:hAnsi="Times New Roman"/>
          <w:sz w:val="18"/>
          <w:szCs w:val="18"/>
        </w:rPr>
        <w:t xml:space="preserve">[J]. </w:t>
      </w:r>
      <w:r w:rsidRPr="005271DE">
        <w:rPr>
          <w:rFonts w:ascii="Times New Roman" w:eastAsia="宋体" w:hAnsi="Times New Roman"/>
          <w:sz w:val="18"/>
          <w:szCs w:val="18"/>
        </w:rPr>
        <w:t>清华大学学报</w:t>
      </w:r>
      <w:r w:rsidRPr="005271DE">
        <w:rPr>
          <w:rFonts w:ascii="Times New Roman" w:eastAsia="宋体" w:hAnsi="Times New Roman"/>
          <w:sz w:val="18"/>
          <w:szCs w:val="18"/>
        </w:rPr>
        <w:t>(</w:t>
      </w:r>
      <w:r w:rsidRPr="005271DE">
        <w:rPr>
          <w:rFonts w:ascii="Times New Roman" w:eastAsia="宋体" w:hAnsi="Times New Roman"/>
          <w:sz w:val="18"/>
          <w:szCs w:val="18"/>
        </w:rPr>
        <w:t>自然科学版</w:t>
      </w:r>
      <w:r w:rsidRPr="005271DE">
        <w:rPr>
          <w:rFonts w:ascii="Times New Roman" w:eastAsia="宋体" w:hAnsi="Times New Roman"/>
          <w:sz w:val="18"/>
          <w:szCs w:val="18"/>
        </w:rPr>
        <w:t>), 2021, 61 (07): 660-670.</w:t>
      </w:r>
      <w:bookmarkEnd w:id="18"/>
    </w:p>
    <w:p w14:paraId="5A9E8724"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FAN Q X, LIN P, WEI P C, et al. Closed-loop control theory of intelligent construction[J]. Journal of Tsinghua University(Science and Technology), 2021, 61 (07): 660-670. (in Chinese)</w:t>
      </w:r>
    </w:p>
    <w:p w14:paraId="0EB348F2"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19" w:name="_Ref196318878"/>
      <w:r w:rsidRPr="005271DE">
        <w:rPr>
          <w:rFonts w:ascii="Times New Roman" w:eastAsia="宋体" w:hAnsi="Times New Roman"/>
          <w:sz w:val="18"/>
          <w:szCs w:val="18"/>
        </w:rPr>
        <w:t>刘心报</w:t>
      </w:r>
      <w:r w:rsidRPr="005271DE">
        <w:rPr>
          <w:rFonts w:ascii="Times New Roman" w:eastAsia="宋体" w:hAnsi="Times New Roman"/>
          <w:sz w:val="18"/>
          <w:szCs w:val="18"/>
        </w:rPr>
        <w:t xml:space="preserve">, </w:t>
      </w:r>
      <w:r w:rsidRPr="005271DE">
        <w:rPr>
          <w:rFonts w:ascii="Times New Roman" w:eastAsia="宋体" w:hAnsi="Times New Roman"/>
          <w:sz w:val="18"/>
          <w:szCs w:val="18"/>
        </w:rPr>
        <w:t>胡俊迎</w:t>
      </w:r>
      <w:r w:rsidRPr="005271DE">
        <w:rPr>
          <w:rFonts w:ascii="Times New Roman" w:eastAsia="宋体" w:hAnsi="Times New Roman"/>
          <w:sz w:val="18"/>
          <w:szCs w:val="18"/>
        </w:rPr>
        <w:t xml:space="preserve">, </w:t>
      </w:r>
      <w:r w:rsidRPr="005271DE">
        <w:rPr>
          <w:rFonts w:ascii="Times New Roman" w:eastAsia="宋体" w:hAnsi="Times New Roman"/>
          <w:sz w:val="18"/>
          <w:szCs w:val="18"/>
        </w:rPr>
        <w:t>陆少军</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新一代信息技术环境下的全生命周期质量管理</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管理科学学报</w:t>
      </w:r>
      <w:r w:rsidRPr="005271DE">
        <w:rPr>
          <w:rFonts w:ascii="Times New Roman" w:eastAsia="宋体" w:hAnsi="Times New Roman"/>
          <w:sz w:val="18"/>
          <w:szCs w:val="18"/>
        </w:rPr>
        <w:t>, 2022, 25 (07): 2-11.</w:t>
      </w:r>
      <w:bookmarkEnd w:id="19"/>
    </w:p>
    <w:p w14:paraId="78BCF46C" w14:textId="76016B70" w:rsidR="00B7724A" w:rsidRPr="00B7724A" w:rsidRDefault="00337241" w:rsidP="00B7724A">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LIU X B, HU J Y, LU S J, et al. The entire life cycle quality management in the new generation of information technology environment[J]. Journal of Management Sciences in China, 2022, 25 (07): 2-11. (in Chinese)</w:t>
      </w:r>
    </w:p>
    <w:p w14:paraId="69EA386A" w14:textId="3756C2DA" w:rsidR="00B7724A" w:rsidRDefault="00B7724A" w:rsidP="00B7724A">
      <w:pPr>
        <w:pStyle w:val="af7"/>
        <w:numPr>
          <w:ilvl w:val="0"/>
          <w:numId w:val="7"/>
        </w:numPr>
        <w:ind w:firstLineChars="0"/>
        <w:rPr>
          <w:rFonts w:ascii="Times New Roman" w:eastAsia="宋体" w:hAnsi="Times New Roman"/>
          <w:sz w:val="18"/>
          <w:szCs w:val="18"/>
        </w:rPr>
      </w:pPr>
      <w:r>
        <w:rPr>
          <w:rFonts w:ascii="Times New Roman" w:eastAsia="宋体" w:hAnsi="Times New Roman" w:hint="eastAsia"/>
          <w:sz w:val="18"/>
          <w:szCs w:val="18"/>
        </w:rPr>
        <w:t>樊启祥</w:t>
      </w:r>
      <w:r>
        <w:rPr>
          <w:rFonts w:ascii="Times New Roman" w:eastAsia="宋体" w:hAnsi="Times New Roman" w:hint="eastAsia"/>
          <w:sz w:val="18"/>
          <w:szCs w:val="18"/>
        </w:rPr>
        <w:t xml:space="preserve">, </w:t>
      </w:r>
      <w:r>
        <w:rPr>
          <w:rFonts w:ascii="Times New Roman" w:eastAsia="宋体" w:hAnsi="Times New Roman" w:hint="eastAsia"/>
          <w:sz w:val="18"/>
          <w:szCs w:val="18"/>
        </w:rPr>
        <w:t>林鹏</w:t>
      </w:r>
      <w:r>
        <w:rPr>
          <w:rFonts w:ascii="Times New Roman" w:eastAsia="宋体" w:hAnsi="Times New Roman" w:hint="eastAsia"/>
          <w:sz w:val="18"/>
          <w:szCs w:val="18"/>
        </w:rPr>
        <w:t xml:space="preserve">, </w:t>
      </w:r>
      <w:r>
        <w:rPr>
          <w:rFonts w:ascii="Times New Roman" w:eastAsia="宋体" w:hAnsi="Times New Roman" w:hint="eastAsia"/>
          <w:sz w:val="18"/>
          <w:szCs w:val="18"/>
        </w:rPr>
        <w:t>李果</w:t>
      </w:r>
      <w:r>
        <w:rPr>
          <w:rFonts w:ascii="Times New Roman" w:eastAsia="宋体" w:hAnsi="Times New Roman" w:hint="eastAsia"/>
          <w:sz w:val="18"/>
          <w:szCs w:val="18"/>
        </w:rPr>
        <w:t xml:space="preserve">, </w:t>
      </w:r>
      <w:r>
        <w:rPr>
          <w:rFonts w:ascii="Times New Roman" w:eastAsia="宋体" w:hAnsi="Times New Roman" w:hint="eastAsia"/>
          <w:sz w:val="18"/>
          <w:szCs w:val="18"/>
        </w:rPr>
        <w:t>等</w:t>
      </w:r>
      <w:r>
        <w:rPr>
          <w:rFonts w:ascii="Times New Roman" w:eastAsia="宋体" w:hAnsi="Times New Roman" w:hint="eastAsia"/>
          <w:sz w:val="18"/>
          <w:szCs w:val="18"/>
        </w:rPr>
        <w:t xml:space="preserve">. </w:t>
      </w:r>
      <w:r>
        <w:rPr>
          <w:rFonts w:ascii="Times New Roman" w:eastAsia="宋体" w:hAnsi="Times New Roman" w:hint="eastAsia"/>
          <w:sz w:val="18"/>
          <w:szCs w:val="18"/>
        </w:rPr>
        <w:t>基础设施工程建设智能管理理论</w:t>
      </w:r>
      <w:r>
        <w:rPr>
          <w:rFonts w:ascii="Times New Roman" w:eastAsia="宋体" w:hAnsi="Times New Roman" w:hint="eastAsia"/>
          <w:sz w:val="18"/>
          <w:szCs w:val="18"/>
        </w:rPr>
        <w:t>[</w:t>
      </w:r>
      <w:r>
        <w:rPr>
          <w:rFonts w:ascii="Times New Roman" w:eastAsia="宋体" w:hAnsi="Times New Roman" w:hint="eastAsia"/>
          <w:sz w:val="18"/>
          <w:szCs w:val="18"/>
        </w:rPr>
        <w:t>管理科学奖</w:t>
      </w:r>
      <w:r>
        <w:rPr>
          <w:rFonts w:ascii="Times New Roman" w:eastAsia="宋体" w:hAnsi="Times New Roman" w:hint="eastAsia"/>
          <w:sz w:val="18"/>
          <w:szCs w:val="18"/>
        </w:rPr>
        <w:t xml:space="preserve">]. </w:t>
      </w:r>
      <w:r>
        <w:rPr>
          <w:rFonts w:ascii="Times New Roman" w:eastAsia="宋体" w:hAnsi="Times New Roman" w:hint="eastAsia"/>
          <w:sz w:val="18"/>
          <w:szCs w:val="18"/>
        </w:rPr>
        <w:t>中国管理科学学会</w:t>
      </w:r>
      <w:r>
        <w:rPr>
          <w:rFonts w:ascii="Times New Roman" w:eastAsia="宋体" w:hAnsi="Times New Roman" w:hint="eastAsia"/>
          <w:sz w:val="18"/>
          <w:szCs w:val="18"/>
        </w:rPr>
        <w:t>, 2024.</w:t>
      </w:r>
    </w:p>
    <w:p w14:paraId="40DDF7DB" w14:textId="7B735067" w:rsidR="00B7724A" w:rsidRDefault="00B7724A" w:rsidP="00B7724A">
      <w:pPr>
        <w:pStyle w:val="af7"/>
        <w:ind w:left="420" w:firstLineChars="0" w:firstLine="0"/>
        <w:rPr>
          <w:rFonts w:ascii="Times New Roman" w:eastAsia="宋体" w:hAnsi="Times New Roman"/>
          <w:sz w:val="18"/>
          <w:szCs w:val="18"/>
        </w:rPr>
      </w:pPr>
      <w:r>
        <w:rPr>
          <w:rFonts w:ascii="Times New Roman" w:eastAsia="宋体" w:hAnsi="Times New Roman" w:hint="eastAsia"/>
          <w:sz w:val="18"/>
          <w:szCs w:val="18"/>
        </w:rPr>
        <w:t xml:space="preserve">FAN Q X, LIN P, LI G, et al. </w:t>
      </w:r>
      <w:r w:rsidR="00EA336D">
        <w:rPr>
          <w:rFonts w:ascii="Times New Roman" w:eastAsia="宋体" w:hAnsi="Times New Roman" w:hint="eastAsia"/>
          <w:sz w:val="18"/>
          <w:szCs w:val="18"/>
        </w:rPr>
        <w:t xml:space="preserve">Theory of intelligent </w:t>
      </w:r>
      <w:r w:rsidR="00EA336D">
        <w:rPr>
          <w:rFonts w:ascii="Times New Roman" w:eastAsia="宋体" w:hAnsi="Times New Roman"/>
          <w:sz w:val="18"/>
          <w:szCs w:val="18"/>
        </w:rPr>
        <w:t>management</w:t>
      </w:r>
      <w:r w:rsidR="00EA336D">
        <w:rPr>
          <w:rFonts w:ascii="Times New Roman" w:eastAsia="宋体" w:hAnsi="Times New Roman" w:hint="eastAsia"/>
          <w:sz w:val="18"/>
          <w:szCs w:val="18"/>
        </w:rPr>
        <w:t xml:space="preserve"> of infrastructure engineering construction</w:t>
      </w:r>
      <w:r>
        <w:rPr>
          <w:rFonts w:ascii="Times New Roman" w:eastAsia="宋体" w:hAnsi="Times New Roman" w:hint="eastAsia"/>
          <w:sz w:val="18"/>
          <w:szCs w:val="18"/>
        </w:rPr>
        <w:t>[</w:t>
      </w:r>
      <w:r w:rsidR="00EA336D">
        <w:rPr>
          <w:rFonts w:ascii="Times New Roman" w:eastAsia="宋体" w:hAnsi="Times New Roman" w:hint="eastAsia"/>
          <w:sz w:val="18"/>
          <w:szCs w:val="18"/>
        </w:rPr>
        <w:t>Award of management science</w:t>
      </w:r>
      <w:r>
        <w:rPr>
          <w:rFonts w:ascii="Times New Roman" w:eastAsia="宋体" w:hAnsi="Times New Roman" w:hint="eastAsia"/>
          <w:sz w:val="18"/>
          <w:szCs w:val="18"/>
        </w:rPr>
        <w:t>]. China Management Science Society, 2024.</w:t>
      </w:r>
    </w:p>
    <w:p w14:paraId="687F0AFD" w14:textId="3F8AA1E0" w:rsidR="00B7724A" w:rsidRPr="00B7724A" w:rsidRDefault="00B7724A" w:rsidP="00B7724A">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盛金保</w:t>
      </w:r>
      <w:r w:rsidRPr="005271DE">
        <w:rPr>
          <w:rFonts w:ascii="Times New Roman" w:eastAsia="宋体" w:hAnsi="Times New Roman"/>
          <w:sz w:val="18"/>
          <w:szCs w:val="18"/>
        </w:rPr>
        <w:t xml:space="preserve">, </w:t>
      </w:r>
      <w:r w:rsidRPr="005271DE">
        <w:rPr>
          <w:rFonts w:ascii="Times New Roman" w:eastAsia="宋体" w:hAnsi="Times New Roman"/>
          <w:sz w:val="18"/>
          <w:szCs w:val="18"/>
        </w:rPr>
        <w:t>向衍</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杨德玮</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水库大坝安全诊断与智慧管理关键技术与应用</w:t>
      </w:r>
      <w:r w:rsidRPr="005271DE">
        <w:rPr>
          <w:rFonts w:ascii="Times New Roman" w:eastAsia="宋体" w:hAnsi="Times New Roman"/>
          <w:sz w:val="18"/>
          <w:szCs w:val="18"/>
        </w:rPr>
        <w:t xml:space="preserve">[J]. </w:t>
      </w:r>
      <w:r w:rsidRPr="005271DE">
        <w:rPr>
          <w:rFonts w:ascii="Times New Roman" w:eastAsia="宋体" w:hAnsi="Times New Roman"/>
          <w:sz w:val="18"/>
          <w:szCs w:val="18"/>
        </w:rPr>
        <w:t>岩土工程学报</w:t>
      </w:r>
      <w:r w:rsidRPr="005271DE">
        <w:rPr>
          <w:rFonts w:ascii="Times New Roman" w:eastAsia="宋体" w:hAnsi="Times New Roman"/>
          <w:sz w:val="18"/>
          <w:szCs w:val="18"/>
        </w:rPr>
        <w:t>, 2022, 44(07): 1351-1366.</w:t>
      </w:r>
    </w:p>
    <w:p w14:paraId="773E328D"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SHENG J B, XIANG Y, YANG D W, et al. Key technologies and applications of safety diagnosis and smart management of reservoir dams[J]. Chinese Journal of Geotechnical Engineering, 2022, 44(07): 1351-1366. (in Chinese)</w:t>
      </w:r>
    </w:p>
    <w:p w14:paraId="282644C2"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0" w:name="_Ref196316347"/>
      <w:r w:rsidRPr="005271DE">
        <w:rPr>
          <w:rFonts w:ascii="Times New Roman" w:eastAsia="宋体" w:hAnsi="Times New Roman"/>
          <w:sz w:val="18"/>
          <w:szCs w:val="18"/>
        </w:rPr>
        <w:t>樊启祥</w:t>
      </w:r>
      <w:r w:rsidRPr="005271DE">
        <w:rPr>
          <w:rFonts w:ascii="Times New Roman" w:eastAsia="宋体" w:hAnsi="Times New Roman"/>
          <w:sz w:val="18"/>
          <w:szCs w:val="18"/>
        </w:rPr>
        <w:t xml:space="preserve">, </w:t>
      </w:r>
      <w:r w:rsidRPr="005271DE">
        <w:rPr>
          <w:rFonts w:ascii="Times New Roman" w:eastAsia="宋体" w:hAnsi="Times New Roman"/>
          <w:sz w:val="18"/>
          <w:szCs w:val="18"/>
        </w:rPr>
        <w:t>陆佑楣</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李果</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金沙江下游大型水电工程智能建造管理创新与实践</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管理世界</w:t>
      </w:r>
      <w:r w:rsidRPr="005271DE">
        <w:rPr>
          <w:rFonts w:ascii="Times New Roman" w:eastAsia="宋体" w:hAnsi="Times New Roman"/>
          <w:sz w:val="18"/>
          <w:szCs w:val="18"/>
        </w:rPr>
        <w:t>, 2021, 37(11): 206-226, 13.</w:t>
      </w:r>
      <w:bookmarkEnd w:id="20"/>
    </w:p>
    <w:p w14:paraId="5F2891EE"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FAN Q X, LU Y M, LI G, et al. Innovation and practice of intelligent construction management of large-scale hydropower projects on the Lower Jinsha river[J]. Journal of Management World, 2021, 37(11): 206-226, 13. (in Chinese)</w:t>
      </w:r>
    </w:p>
    <w:p w14:paraId="32732DEE"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1" w:name="_Ref196316348"/>
      <w:r w:rsidRPr="005271DE">
        <w:rPr>
          <w:rFonts w:ascii="Times New Roman" w:eastAsia="宋体" w:hAnsi="Times New Roman"/>
          <w:sz w:val="18"/>
          <w:szCs w:val="18"/>
        </w:rPr>
        <w:t>朱合华</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李晓军</w:t>
      </w:r>
      <w:r w:rsidRPr="005271DE">
        <w:rPr>
          <w:rFonts w:ascii="Times New Roman" w:eastAsia="宋体" w:hAnsi="Times New Roman"/>
          <w:sz w:val="18"/>
          <w:szCs w:val="18"/>
        </w:rPr>
        <w:t xml:space="preserve">, </w:t>
      </w:r>
      <w:r w:rsidRPr="005271DE">
        <w:rPr>
          <w:rFonts w:ascii="Times New Roman" w:eastAsia="宋体" w:hAnsi="Times New Roman"/>
          <w:sz w:val="18"/>
          <w:szCs w:val="18"/>
        </w:rPr>
        <w:t>林晓东</w:t>
      </w:r>
      <w:r w:rsidRPr="005271DE">
        <w:rPr>
          <w:rFonts w:ascii="Times New Roman" w:eastAsia="宋体" w:hAnsi="Times New Roman"/>
          <w:sz w:val="18"/>
          <w:szCs w:val="18"/>
        </w:rPr>
        <w:t xml:space="preserve">. </w:t>
      </w:r>
      <w:r w:rsidRPr="005271DE">
        <w:rPr>
          <w:rFonts w:ascii="Times New Roman" w:eastAsia="宋体" w:hAnsi="Times New Roman"/>
          <w:sz w:val="18"/>
          <w:szCs w:val="18"/>
        </w:rPr>
        <w:t>基础设施智慧服务系统</w:t>
      </w:r>
      <w:r w:rsidRPr="005271DE">
        <w:rPr>
          <w:rFonts w:ascii="Times New Roman" w:eastAsia="宋体" w:hAnsi="Times New Roman"/>
          <w:sz w:val="18"/>
          <w:szCs w:val="18"/>
        </w:rPr>
        <w:t>(iS3)</w:t>
      </w:r>
      <w:r w:rsidRPr="005271DE">
        <w:rPr>
          <w:rFonts w:ascii="Times New Roman" w:eastAsia="宋体" w:hAnsi="Times New Roman"/>
          <w:sz w:val="18"/>
          <w:szCs w:val="18"/>
        </w:rPr>
        <w:t>及其应用</w:t>
      </w:r>
      <w:r w:rsidRPr="005271DE">
        <w:rPr>
          <w:rFonts w:ascii="Times New Roman" w:eastAsia="宋体" w:hAnsi="Times New Roman"/>
          <w:sz w:val="18"/>
          <w:szCs w:val="18"/>
        </w:rPr>
        <w:t xml:space="preserve">[J]. </w:t>
      </w:r>
      <w:r w:rsidRPr="005271DE">
        <w:rPr>
          <w:rFonts w:ascii="Times New Roman" w:eastAsia="宋体" w:hAnsi="Times New Roman"/>
          <w:sz w:val="18"/>
          <w:szCs w:val="18"/>
        </w:rPr>
        <w:t>土木工程学报</w:t>
      </w:r>
      <w:r w:rsidRPr="005271DE">
        <w:rPr>
          <w:rFonts w:ascii="Times New Roman" w:eastAsia="宋体" w:hAnsi="Times New Roman"/>
          <w:sz w:val="18"/>
          <w:szCs w:val="18"/>
        </w:rPr>
        <w:t>, 2018, 51(01): 1-12.</w:t>
      </w:r>
      <w:bookmarkEnd w:id="21"/>
    </w:p>
    <w:p w14:paraId="07B5CE78"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ZHU H H, LI X J, LIN X D. Infrastructure smart service system (iS3) and its application[J]. China Civil Engineering Journal, 2018, 51(01): 1-12. (in Chinese)</w:t>
      </w:r>
    </w:p>
    <w:p w14:paraId="64BE7E40"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2" w:name="_Ref196322057"/>
      <w:r w:rsidRPr="005271DE">
        <w:rPr>
          <w:rFonts w:ascii="Times New Roman" w:eastAsia="宋体" w:hAnsi="Times New Roman"/>
          <w:sz w:val="18"/>
          <w:szCs w:val="18"/>
        </w:rPr>
        <w:t>孟韬</w:t>
      </w:r>
      <w:r w:rsidRPr="005271DE">
        <w:rPr>
          <w:rFonts w:ascii="Times New Roman" w:eastAsia="宋体" w:hAnsi="Times New Roman"/>
          <w:sz w:val="18"/>
          <w:szCs w:val="18"/>
        </w:rPr>
        <w:t xml:space="preserve">. </w:t>
      </w:r>
      <w:r w:rsidRPr="005271DE">
        <w:rPr>
          <w:rFonts w:ascii="Times New Roman" w:eastAsia="宋体" w:hAnsi="Times New Roman"/>
          <w:sz w:val="18"/>
          <w:szCs w:val="18"/>
        </w:rPr>
        <w:t>太原供电公司电力资产全寿命周期管理综合效益评价</w:t>
      </w:r>
      <w:r w:rsidRPr="005271DE">
        <w:rPr>
          <w:rFonts w:ascii="Times New Roman" w:eastAsia="宋体" w:hAnsi="Times New Roman"/>
          <w:sz w:val="18"/>
          <w:szCs w:val="18"/>
        </w:rPr>
        <w:t xml:space="preserve">[D]. </w:t>
      </w:r>
      <w:r w:rsidRPr="005271DE">
        <w:rPr>
          <w:rFonts w:ascii="Times New Roman" w:eastAsia="宋体" w:hAnsi="Times New Roman"/>
          <w:sz w:val="18"/>
          <w:szCs w:val="18"/>
        </w:rPr>
        <w:t>华北电力大学</w:t>
      </w:r>
      <w:r w:rsidRPr="005271DE">
        <w:rPr>
          <w:rFonts w:ascii="Times New Roman" w:eastAsia="宋体" w:hAnsi="Times New Roman"/>
          <w:sz w:val="18"/>
          <w:szCs w:val="18"/>
        </w:rPr>
        <w:t>(</w:t>
      </w:r>
      <w:r w:rsidRPr="005271DE">
        <w:rPr>
          <w:rFonts w:ascii="Times New Roman" w:eastAsia="宋体" w:hAnsi="Times New Roman"/>
          <w:sz w:val="18"/>
          <w:szCs w:val="18"/>
        </w:rPr>
        <w:t>北京</w:t>
      </w:r>
      <w:r w:rsidRPr="005271DE">
        <w:rPr>
          <w:rFonts w:ascii="Times New Roman" w:eastAsia="宋体" w:hAnsi="Times New Roman"/>
          <w:sz w:val="18"/>
          <w:szCs w:val="18"/>
        </w:rPr>
        <w:t>), 2016.</w:t>
      </w:r>
      <w:bookmarkEnd w:id="22"/>
    </w:p>
    <w:p w14:paraId="7AFE40FA"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MENG T. Comprehensive benefit evaluation of electric power assets whole life cycle assets management of Taiyuan Power Supply Company[D]. North China Electric Power University, 2016. (in Chinese)</w:t>
      </w:r>
    </w:p>
    <w:p w14:paraId="070FADF6"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3" w:name="_Ref167547672"/>
      <w:r w:rsidRPr="005271DE">
        <w:rPr>
          <w:rFonts w:ascii="Times New Roman" w:eastAsia="宋体" w:hAnsi="Times New Roman"/>
          <w:sz w:val="18"/>
          <w:szCs w:val="18"/>
        </w:rPr>
        <w:t>顼志芬</w:t>
      </w:r>
      <w:r w:rsidRPr="005271DE">
        <w:rPr>
          <w:rFonts w:ascii="Times New Roman" w:eastAsia="宋体" w:hAnsi="Times New Roman"/>
          <w:sz w:val="18"/>
          <w:szCs w:val="18"/>
        </w:rPr>
        <w:t xml:space="preserve">, </w:t>
      </w:r>
      <w:r w:rsidRPr="005271DE">
        <w:rPr>
          <w:rFonts w:ascii="Times New Roman" w:eastAsia="宋体" w:hAnsi="Times New Roman"/>
          <w:sz w:val="18"/>
          <w:szCs w:val="18"/>
        </w:rPr>
        <w:t>尉胜伟</w:t>
      </w:r>
      <w:r w:rsidRPr="005271DE">
        <w:rPr>
          <w:rFonts w:ascii="Times New Roman" w:eastAsia="宋体" w:hAnsi="Times New Roman"/>
          <w:sz w:val="18"/>
          <w:szCs w:val="18"/>
        </w:rPr>
        <w:t xml:space="preserve">, </w:t>
      </w:r>
      <w:r w:rsidRPr="005271DE">
        <w:rPr>
          <w:rFonts w:ascii="Times New Roman" w:eastAsia="宋体" w:hAnsi="Times New Roman"/>
          <w:sz w:val="18"/>
          <w:szCs w:val="18"/>
        </w:rPr>
        <w:t>徐澄</w:t>
      </w:r>
      <w:r w:rsidRPr="005271DE">
        <w:rPr>
          <w:rFonts w:ascii="Times New Roman" w:eastAsia="宋体" w:hAnsi="Times New Roman"/>
          <w:sz w:val="18"/>
          <w:szCs w:val="18"/>
        </w:rPr>
        <w:t xml:space="preserve">. </w:t>
      </w:r>
      <w:r w:rsidRPr="005271DE">
        <w:rPr>
          <w:rFonts w:ascii="Times New Roman" w:eastAsia="宋体" w:hAnsi="Times New Roman"/>
          <w:sz w:val="18"/>
          <w:szCs w:val="18"/>
        </w:rPr>
        <w:t>工程项目全过程风险管理模式探讨</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管理工程学报</w:t>
      </w:r>
      <w:r w:rsidRPr="005271DE">
        <w:rPr>
          <w:rFonts w:ascii="Times New Roman" w:eastAsia="宋体" w:hAnsi="Times New Roman"/>
          <w:sz w:val="18"/>
          <w:szCs w:val="18"/>
        </w:rPr>
        <w:t>, 2005, (S1): 207-209.</w:t>
      </w:r>
      <w:bookmarkEnd w:id="23"/>
    </w:p>
    <w:p w14:paraId="7F9162A5"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XU Z F, YU S W, XU C. Studying of the whole process risk management mode of engineering project[J]. Journal of Industrial Engineering and Engineering Management, 2005, (S1): 207-209. (in Chinese)</w:t>
      </w:r>
    </w:p>
    <w:p w14:paraId="0782618F"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4" w:name="_Ref167547692"/>
      <w:r w:rsidRPr="005271DE">
        <w:rPr>
          <w:rFonts w:ascii="Times New Roman" w:eastAsia="宋体" w:hAnsi="Times New Roman"/>
          <w:sz w:val="18"/>
          <w:szCs w:val="18"/>
        </w:rPr>
        <w:lastRenderedPageBreak/>
        <w:t>尹贻林</w:t>
      </w:r>
      <w:r w:rsidRPr="005271DE">
        <w:rPr>
          <w:rFonts w:ascii="Times New Roman" w:eastAsia="宋体" w:hAnsi="Times New Roman"/>
          <w:sz w:val="18"/>
          <w:szCs w:val="18"/>
        </w:rPr>
        <w:t>,</w:t>
      </w:r>
      <w:r w:rsidRPr="005271DE">
        <w:rPr>
          <w:rFonts w:ascii="Times New Roman" w:eastAsia="宋体" w:hAnsi="Times New Roman"/>
          <w:sz w:val="18"/>
          <w:szCs w:val="18"/>
        </w:rPr>
        <w:t>徐志超</w:t>
      </w:r>
      <w:r w:rsidRPr="005271DE">
        <w:rPr>
          <w:rFonts w:ascii="Times New Roman" w:eastAsia="宋体" w:hAnsi="Times New Roman"/>
          <w:sz w:val="18"/>
          <w:szCs w:val="18"/>
        </w:rPr>
        <w:t xml:space="preserve">. </w:t>
      </w:r>
      <w:r w:rsidRPr="005271DE">
        <w:rPr>
          <w:rFonts w:ascii="Times New Roman" w:eastAsia="宋体" w:hAnsi="Times New Roman"/>
          <w:sz w:val="18"/>
          <w:szCs w:val="18"/>
        </w:rPr>
        <w:t>工程项目组织中信任状态的发展与演进</w:t>
      </w:r>
      <w:r w:rsidRPr="005271DE">
        <w:rPr>
          <w:rFonts w:ascii="Times New Roman" w:eastAsia="宋体" w:hAnsi="Times New Roman"/>
          <w:sz w:val="18"/>
          <w:szCs w:val="18"/>
        </w:rPr>
        <w:t>:</w:t>
      </w:r>
      <w:r w:rsidRPr="005271DE">
        <w:rPr>
          <w:rFonts w:ascii="Times New Roman" w:eastAsia="宋体" w:hAnsi="Times New Roman"/>
          <w:sz w:val="18"/>
          <w:szCs w:val="18"/>
        </w:rPr>
        <w:t>中国管理情景下的探索性研究</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管理工程学报</w:t>
      </w:r>
      <w:r w:rsidRPr="005271DE">
        <w:rPr>
          <w:rFonts w:ascii="Times New Roman" w:eastAsia="宋体" w:hAnsi="Times New Roman"/>
          <w:sz w:val="18"/>
          <w:szCs w:val="18"/>
        </w:rPr>
        <w:t>, 2017, 31 (02): 74-83.</w:t>
      </w:r>
      <w:bookmarkEnd w:id="24"/>
    </w:p>
    <w:p w14:paraId="2FE56A1D"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 xml:space="preserve">YIN Y L, XU Z C. Development and evolution of trust State in construction project organization: An exploratory study in </w:t>
      </w:r>
      <w:proofErr w:type="spellStart"/>
      <w:r w:rsidRPr="005271DE">
        <w:rPr>
          <w:rFonts w:ascii="Times New Roman" w:eastAsia="宋体" w:hAnsi="Times New Roman"/>
          <w:sz w:val="18"/>
          <w:szCs w:val="18"/>
        </w:rPr>
        <w:t>chinese</w:t>
      </w:r>
      <w:proofErr w:type="spellEnd"/>
      <w:r w:rsidRPr="005271DE">
        <w:rPr>
          <w:rFonts w:ascii="Times New Roman" w:eastAsia="宋体" w:hAnsi="Times New Roman"/>
          <w:sz w:val="18"/>
          <w:szCs w:val="18"/>
        </w:rPr>
        <w:t xml:space="preserve"> management scenario[J]. Journal of Industrial Engineering and Engineering Management, 2017, 31 (02): 74-83. (in Chinese)</w:t>
      </w:r>
    </w:p>
    <w:p w14:paraId="0F24B919"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5" w:name="_Ref167547698"/>
      <w:r w:rsidRPr="005271DE">
        <w:rPr>
          <w:rFonts w:ascii="Times New Roman" w:eastAsia="宋体" w:hAnsi="Times New Roman"/>
          <w:sz w:val="18"/>
          <w:szCs w:val="18"/>
        </w:rPr>
        <w:t>Xiang, Y F., Lin, P., An, R N., et al. Full participation flat closed-loop safety management method for offshore wind power construction sites[J]. Journal of Intelligent Construction, 2023, 1(1): 9180006.</w:t>
      </w:r>
      <w:bookmarkEnd w:id="25"/>
    </w:p>
    <w:p w14:paraId="0EDDB067"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6" w:name="_Ref196380816"/>
      <w:r w:rsidRPr="005271DE">
        <w:rPr>
          <w:rFonts w:ascii="Times New Roman" w:eastAsia="宋体" w:hAnsi="Times New Roman"/>
          <w:sz w:val="18"/>
          <w:szCs w:val="18"/>
        </w:rPr>
        <w:t>樊启祥</w:t>
      </w:r>
      <w:r w:rsidRPr="005271DE">
        <w:rPr>
          <w:rFonts w:ascii="Times New Roman" w:eastAsia="宋体" w:hAnsi="Times New Roman"/>
          <w:sz w:val="18"/>
          <w:szCs w:val="18"/>
        </w:rPr>
        <w:t xml:space="preserve">, </w:t>
      </w:r>
      <w:r w:rsidRPr="005271DE">
        <w:rPr>
          <w:rFonts w:ascii="Times New Roman" w:eastAsia="宋体" w:hAnsi="Times New Roman"/>
          <w:sz w:val="18"/>
          <w:szCs w:val="18"/>
        </w:rPr>
        <w:t>林鹏</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李果</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基础设施工程建设安全智能化管理理论和实践创新</w:t>
      </w:r>
      <w:r w:rsidRPr="005271DE">
        <w:rPr>
          <w:rFonts w:ascii="Times New Roman" w:eastAsia="宋体" w:hAnsi="Times New Roman"/>
          <w:sz w:val="18"/>
          <w:szCs w:val="18"/>
        </w:rPr>
        <w:t xml:space="preserve">[J]. </w:t>
      </w:r>
      <w:r w:rsidRPr="005271DE">
        <w:rPr>
          <w:rFonts w:ascii="Times New Roman" w:eastAsia="宋体" w:hAnsi="Times New Roman"/>
          <w:sz w:val="18"/>
          <w:szCs w:val="18"/>
        </w:rPr>
        <w:t>水力发电</w:t>
      </w:r>
      <w:r w:rsidRPr="005271DE">
        <w:rPr>
          <w:rFonts w:ascii="Times New Roman" w:eastAsia="宋体" w:hAnsi="Times New Roman"/>
          <w:sz w:val="18"/>
          <w:szCs w:val="18"/>
        </w:rPr>
        <w:t>, 2025, 51 (03): 1-5.</w:t>
      </w:r>
      <w:bookmarkEnd w:id="26"/>
    </w:p>
    <w:p w14:paraId="69C51B5C"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 xml:space="preserve">FAN Q X, LIN P, LI G, et al. Innovative theories and practices in intelligent safety management for infrastructure </w:t>
      </w:r>
      <w:r w:rsidRPr="005271DE">
        <w:rPr>
          <w:rFonts w:ascii="Times New Roman" w:eastAsia="宋体" w:hAnsi="Times New Roman"/>
          <w:sz w:val="18"/>
          <w:szCs w:val="18"/>
        </w:rPr>
        <w:t>engineering construction[J]. Water Power, 2025, 51 (03): 1-5. (in Chinese)</w:t>
      </w:r>
    </w:p>
    <w:p w14:paraId="49B77E40"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7" w:name="_Ref167547708"/>
      <w:r w:rsidRPr="005271DE">
        <w:rPr>
          <w:rFonts w:ascii="Times New Roman" w:eastAsia="宋体" w:hAnsi="Times New Roman"/>
          <w:sz w:val="18"/>
          <w:szCs w:val="18"/>
        </w:rPr>
        <w:t>吕晓静</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杭兆峰</w:t>
      </w:r>
      <w:r w:rsidRPr="005271DE">
        <w:rPr>
          <w:rFonts w:ascii="Times New Roman" w:eastAsia="宋体" w:hAnsi="Times New Roman"/>
          <w:sz w:val="18"/>
          <w:szCs w:val="18"/>
        </w:rPr>
        <w:t xml:space="preserve">, </w:t>
      </w:r>
      <w:r w:rsidRPr="005271DE">
        <w:rPr>
          <w:rFonts w:ascii="Times New Roman" w:eastAsia="宋体" w:hAnsi="Times New Roman"/>
          <w:sz w:val="18"/>
          <w:szCs w:val="18"/>
        </w:rPr>
        <w:t>杨立华</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海上风电支撑结构智慧安全管理系统</w:t>
      </w:r>
      <w:r w:rsidRPr="005271DE">
        <w:rPr>
          <w:rFonts w:ascii="Times New Roman" w:eastAsia="宋体" w:hAnsi="Times New Roman"/>
          <w:sz w:val="18"/>
          <w:szCs w:val="18"/>
        </w:rPr>
        <w:t xml:space="preserve">[J]. </w:t>
      </w:r>
      <w:r w:rsidRPr="005271DE">
        <w:rPr>
          <w:rFonts w:ascii="Times New Roman" w:eastAsia="宋体" w:hAnsi="Times New Roman"/>
          <w:sz w:val="18"/>
          <w:szCs w:val="18"/>
        </w:rPr>
        <w:t>电力大数据</w:t>
      </w:r>
      <w:r w:rsidRPr="005271DE">
        <w:rPr>
          <w:rFonts w:ascii="Times New Roman" w:eastAsia="宋体" w:hAnsi="Times New Roman"/>
          <w:sz w:val="18"/>
          <w:szCs w:val="18"/>
        </w:rPr>
        <w:t>, 2022, 25 (11): 77-84.</w:t>
      </w:r>
      <w:bookmarkEnd w:id="27"/>
    </w:p>
    <w:p w14:paraId="1F733152" w14:textId="77777777" w:rsidR="00337241" w:rsidRPr="005271DE" w:rsidRDefault="00337241" w:rsidP="00337241">
      <w:pPr>
        <w:pStyle w:val="af7"/>
        <w:ind w:left="420" w:firstLineChars="0" w:firstLine="0"/>
        <w:rPr>
          <w:rFonts w:ascii="Times New Roman" w:eastAsia="宋体" w:hAnsi="Times New Roman"/>
          <w:sz w:val="18"/>
          <w:szCs w:val="18"/>
        </w:rPr>
      </w:pPr>
      <w:r w:rsidRPr="005271DE">
        <w:rPr>
          <w:rFonts w:ascii="Times New Roman" w:eastAsia="宋体" w:hAnsi="Times New Roman"/>
          <w:sz w:val="18"/>
          <w:szCs w:val="18"/>
        </w:rPr>
        <w:t>LYU X J, HANG Z F, YANG L H, et al. Intelligent safety management system for supporting structure of offshore wind farm[J]. Power Systems and Big Data, 2022, 25 (11): 77-84. (in Chinese)</w:t>
      </w:r>
    </w:p>
    <w:p w14:paraId="2137E8FD" w14:textId="77777777" w:rsidR="00337241" w:rsidRPr="005271DE" w:rsidRDefault="00337241" w:rsidP="00337241">
      <w:pPr>
        <w:pStyle w:val="af7"/>
        <w:numPr>
          <w:ilvl w:val="0"/>
          <w:numId w:val="7"/>
        </w:numPr>
        <w:ind w:firstLineChars="0"/>
        <w:rPr>
          <w:rFonts w:ascii="Times New Roman" w:eastAsia="宋体" w:hAnsi="Times New Roman"/>
          <w:sz w:val="18"/>
          <w:szCs w:val="18"/>
        </w:rPr>
      </w:pPr>
      <w:bookmarkStart w:id="28" w:name="_Ref167547716"/>
      <w:r w:rsidRPr="005271DE">
        <w:rPr>
          <w:rFonts w:ascii="Times New Roman" w:eastAsia="宋体" w:hAnsi="Times New Roman"/>
          <w:sz w:val="18"/>
          <w:szCs w:val="18"/>
        </w:rPr>
        <w:t>王燕</w:t>
      </w:r>
      <w:r w:rsidRPr="005271DE">
        <w:rPr>
          <w:rFonts w:ascii="Times New Roman" w:eastAsia="宋体" w:hAnsi="Times New Roman"/>
          <w:sz w:val="18"/>
          <w:szCs w:val="18"/>
        </w:rPr>
        <w:t xml:space="preserve">, </w:t>
      </w:r>
      <w:r w:rsidRPr="005271DE">
        <w:rPr>
          <w:rFonts w:ascii="Times New Roman" w:eastAsia="宋体" w:hAnsi="Times New Roman"/>
          <w:sz w:val="18"/>
          <w:szCs w:val="18"/>
        </w:rPr>
        <w:t>韩斌</w:t>
      </w:r>
      <w:r w:rsidRPr="005271DE">
        <w:rPr>
          <w:rFonts w:ascii="Times New Roman" w:eastAsia="宋体" w:hAnsi="Times New Roman"/>
          <w:sz w:val="18"/>
          <w:szCs w:val="18"/>
        </w:rPr>
        <w:t xml:space="preserve">, </w:t>
      </w:r>
      <w:r w:rsidRPr="005271DE">
        <w:rPr>
          <w:rFonts w:ascii="Times New Roman" w:eastAsia="宋体" w:hAnsi="Times New Roman"/>
          <w:sz w:val="18"/>
          <w:szCs w:val="18"/>
        </w:rPr>
        <w:t>赵文超</w:t>
      </w:r>
      <w:r w:rsidRPr="005271DE">
        <w:rPr>
          <w:rFonts w:ascii="Times New Roman" w:eastAsia="宋体" w:hAnsi="Times New Roman"/>
          <w:sz w:val="18"/>
          <w:szCs w:val="18"/>
        </w:rPr>
        <w:t xml:space="preserve">, </w:t>
      </w:r>
      <w:r w:rsidRPr="005271DE">
        <w:rPr>
          <w:rFonts w:ascii="Times New Roman" w:eastAsia="宋体" w:hAnsi="Times New Roman"/>
          <w:sz w:val="18"/>
          <w:szCs w:val="18"/>
        </w:rPr>
        <w:t>等</w:t>
      </w:r>
      <w:r w:rsidRPr="005271DE">
        <w:rPr>
          <w:rFonts w:ascii="Times New Roman" w:eastAsia="宋体" w:hAnsi="Times New Roman"/>
          <w:sz w:val="18"/>
          <w:szCs w:val="18"/>
        </w:rPr>
        <w:t xml:space="preserve">. </w:t>
      </w:r>
      <w:r w:rsidRPr="005271DE">
        <w:rPr>
          <w:rFonts w:ascii="Times New Roman" w:eastAsia="宋体" w:hAnsi="Times New Roman"/>
          <w:sz w:val="18"/>
          <w:szCs w:val="18"/>
        </w:rPr>
        <w:t>海上风电应急检修经济性评价模型的建立及分析</w:t>
      </w:r>
      <w:r w:rsidRPr="005271DE">
        <w:rPr>
          <w:rFonts w:ascii="Times New Roman" w:eastAsia="宋体" w:hAnsi="Times New Roman"/>
          <w:sz w:val="18"/>
          <w:szCs w:val="18"/>
        </w:rPr>
        <w:t xml:space="preserve">[J]. </w:t>
      </w:r>
      <w:r w:rsidRPr="005271DE">
        <w:rPr>
          <w:rFonts w:ascii="Times New Roman" w:eastAsia="宋体" w:hAnsi="Times New Roman"/>
          <w:sz w:val="18"/>
          <w:szCs w:val="18"/>
        </w:rPr>
        <w:t>船舶工程</w:t>
      </w:r>
      <w:r w:rsidRPr="005271DE">
        <w:rPr>
          <w:rFonts w:ascii="Times New Roman" w:eastAsia="宋体" w:hAnsi="Times New Roman"/>
          <w:sz w:val="18"/>
          <w:szCs w:val="18"/>
        </w:rPr>
        <w:t>, 2020, 42 (S1): 605-608, 611.</w:t>
      </w:r>
      <w:bookmarkEnd w:id="28"/>
    </w:p>
    <w:p w14:paraId="78F1EF59" w14:textId="77777777" w:rsidR="00337241" w:rsidRPr="005271DE" w:rsidRDefault="00337241" w:rsidP="00337241">
      <w:pPr>
        <w:pStyle w:val="af7"/>
        <w:numPr>
          <w:ilvl w:val="0"/>
          <w:numId w:val="7"/>
        </w:numPr>
        <w:ind w:firstLineChars="0"/>
        <w:rPr>
          <w:rFonts w:ascii="Times New Roman" w:eastAsia="宋体" w:hAnsi="Times New Roman"/>
          <w:sz w:val="18"/>
          <w:szCs w:val="18"/>
        </w:rPr>
      </w:pPr>
      <w:r w:rsidRPr="005271DE">
        <w:rPr>
          <w:rFonts w:ascii="Times New Roman" w:eastAsia="宋体" w:hAnsi="Times New Roman"/>
          <w:sz w:val="18"/>
          <w:szCs w:val="18"/>
        </w:rPr>
        <w:t>WANG Y, HAN B, ZHAO W C, et al. The establishment and analysis of economic evaluation model for offshore wind power emergency maintenance[J]. Ship Engineering, 2020, 42 (S1): 605-608, 611. (in Chinese)</w:t>
      </w:r>
    </w:p>
    <w:p w14:paraId="37BC1747" w14:textId="77777777" w:rsidR="00331419" w:rsidRDefault="00331419">
      <w:pPr>
        <w:tabs>
          <w:tab w:val="left" w:pos="426"/>
        </w:tabs>
        <w:spacing w:line="260" w:lineRule="exact"/>
        <w:rPr>
          <w:color w:val="000000" w:themeColor="text1"/>
          <w:sz w:val="18"/>
          <w:szCs w:val="18"/>
        </w:rPr>
        <w:sectPr w:rsidR="00331419">
          <w:type w:val="continuous"/>
          <w:pgSz w:w="11906" w:h="16838"/>
          <w:pgMar w:top="1089" w:right="879" w:bottom="624" w:left="1157" w:header="851" w:footer="893" w:gutter="0"/>
          <w:cols w:num="2" w:space="425"/>
          <w:docGrid w:type="lines" w:linePitch="312"/>
        </w:sectPr>
      </w:pPr>
    </w:p>
    <w:p w14:paraId="37633658" w14:textId="5DCC165E" w:rsidR="00331419" w:rsidRDefault="00337241">
      <w:pPr>
        <w:jc w:val="center"/>
        <w:rPr>
          <w:bCs/>
          <w:color w:val="000000" w:themeColor="text1"/>
          <w:sz w:val="16"/>
          <w:szCs w:val="16"/>
        </w:rPr>
      </w:pPr>
      <w:r w:rsidRPr="00337241">
        <w:rPr>
          <w:b/>
          <w:color w:val="000000" w:themeColor="text1"/>
        </w:rPr>
        <w:t>Study on the smart closed-loop asset management method and application of offshore wind power project in the full life cycle</w:t>
      </w:r>
    </w:p>
    <w:p w14:paraId="26DFDB5C" w14:textId="77777777" w:rsidR="00331419" w:rsidRDefault="00331419">
      <w:pPr>
        <w:rPr>
          <w:rFonts w:ascii="Verdana" w:hAnsi="Verdana"/>
          <w:b/>
          <w:bCs/>
        </w:rPr>
      </w:pPr>
    </w:p>
    <w:p w14:paraId="03390650" w14:textId="05BAF7E2" w:rsidR="00331419" w:rsidRDefault="00000000" w:rsidP="004E2F59">
      <w:pPr>
        <w:rPr>
          <w:rFonts w:ascii="Verdana" w:hAnsi="Verdana"/>
        </w:rPr>
      </w:pPr>
      <w:r w:rsidRPr="00EF5D4E">
        <w:rPr>
          <w:b/>
          <w:bCs/>
        </w:rPr>
        <w:t>Abstract:</w:t>
      </w:r>
      <w:r>
        <w:rPr>
          <w:rFonts w:ascii="Verdana" w:hAnsi="Verdana"/>
        </w:rPr>
        <w:t xml:space="preserve"> </w:t>
      </w:r>
      <w:r w:rsidR="004E2F59" w:rsidRPr="004E2F59">
        <w:rPr>
          <w:szCs w:val="21"/>
        </w:rPr>
        <w:t xml:space="preserve">With the cancellation of China’s subsidy policy for offshore wind power (OWP), the OWP industry has entered a critical period of cost reduction and efficiency enhancement, necessitating the implementation of new full-lifecycle construction, operation and management patterns to promote high-quality development. Firstly, this paper analyzes the current development status of OWP management in China, proposing a closed-loop feedback method for the life cycle of OWP projects based on the concept of “comprehensive perception, real analysis, real-time control, and continuous optimization”, and presenting a cost, performance, and risk assessment model for OWP asset management. Secondly, a smart management platform architecture for the life cycle is constructed. Following this architecture, smart management modules for project development, smart construction, smart operation and maintenance to extended service retirement were developed. The research results have been successfully applied in </w:t>
      </w:r>
      <w:r w:rsidR="00742116">
        <w:rPr>
          <w:rFonts w:hint="eastAsia"/>
          <w:szCs w:val="21"/>
        </w:rPr>
        <w:t>an</w:t>
      </w:r>
      <w:r w:rsidR="004E2F59" w:rsidRPr="004E2F59">
        <w:rPr>
          <w:szCs w:val="21"/>
        </w:rPr>
        <w:t xml:space="preserve"> offshore wind farm</w:t>
      </w:r>
      <w:r w:rsidR="00742116">
        <w:rPr>
          <w:rFonts w:hint="eastAsia"/>
          <w:szCs w:val="21"/>
        </w:rPr>
        <w:t xml:space="preserve"> in Jiangsu, China</w:t>
      </w:r>
      <w:r w:rsidR="004E2F59" w:rsidRPr="004E2F59">
        <w:rPr>
          <w:szCs w:val="21"/>
        </w:rPr>
        <w:t>, improving the reliability of asset equipment, reducing overall costs, and increasing power generation. This successful application can provide a reference for similar projects to achieve smart management.</w:t>
      </w:r>
    </w:p>
    <w:p w14:paraId="3DB3EA27" w14:textId="77777777" w:rsidR="00331419" w:rsidRDefault="00331419">
      <w:pPr>
        <w:spacing w:beforeLines="50" w:before="156" w:line="260" w:lineRule="exact"/>
        <w:rPr>
          <w:color w:val="000000" w:themeColor="text1"/>
          <w:sz w:val="18"/>
          <w:szCs w:val="18"/>
        </w:rPr>
      </w:pPr>
    </w:p>
    <w:p w14:paraId="3A2AB1C3" w14:textId="1C0B1E95" w:rsidR="00331419" w:rsidRPr="00EF5D4E" w:rsidRDefault="00000000">
      <w:pPr>
        <w:tabs>
          <w:tab w:val="left" w:pos="735"/>
        </w:tabs>
        <w:spacing w:line="260" w:lineRule="exact"/>
        <w:rPr>
          <w:color w:val="000000" w:themeColor="text1"/>
          <w:szCs w:val="21"/>
        </w:rPr>
      </w:pPr>
      <w:r w:rsidRPr="00EF5D4E">
        <w:rPr>
          <w:b/>
          <w:color w:val="000000" w:themeColor="text1"/>
          <w:szCs w:val="21"/>
        </w:rPr>
        <w:t>Key Words</w:t>
      </w:r>
      <w:r w:rsidRPr="00EF5D4E">
        <w:rPr>
          <w:b/>
          <w:color w:val="000000" w:themeColor="text1"/>
          <w:szCs w:val="21"/>
        </w:rPr>
        <w:t>：</w:t>
      </w:r>
      <w:r w:rsidR="00337241" w:rsidRPr="00EF5D4E">
        <w:rPr>
          <w:color w:val="000000" w:themeColor="text1"/>
          <w:szCs w:val="21"/>
        </w:rPr>
        <w:t xml:space="preserve"> offshore wind power, life cycle analysis, intelligent construction, closed-loop control, </w:t>
      </w:r>
      <w:r w:rsidR="00E2008C">
        <w:rPr>
          <w:rFonts w:hint="eastAsia"/>
          <w:color w:val="000000" w:themeColor="text1"/>
          <w:szCs w:val="21"/>
        </w:rPr>
        <w:t xml:space="preserve">asset management, </w:t>
      </w:r>
    </w:p>
    <w:p w14:paraId="12F25D49" w14:textId="77777777" w:rsidR="00331419" w:rsidRDefault="00331419">
      <w:pPr>
        <w:rPr>
          <w:rFonts w:ascii="Verdana" w:hAnsi="Verdana"/>
        </w:rPr>
      </w:pPr>
    </w:p>
    <w:p w14:paraId="26C9E5FE" w14:textId="77777777" w:rsidR="00331419" w:rsidRDefault="00331419">
      <w:pPr>
        <w:rPr>
          <w:rFonts w:ascii="Verdana" w:hAnsi="Verdana"/>
        </w:rPr>
      </w:pPr>
    </w:p>
    <w:p w14:paraId="2A890396" w14:textId="77777777" w:rsidR="00331419" w:rsidRDefault="00331419">
      <w:pPr>
        <w:rPr>
          <w:rFonts w:ascii="Verdana" w:hAnsi="Verdana"/>
        </w:rPr>
      </w:pPr>
    </w:p>
    <w:p w14:paraId="655B61D0" w14:textId="77777777" w:rsidR="00331419" w:rsidRDefault="00331419">
      <w:pPr>
        <w:rPr>
          <w:rFonts w:ascii="Verdana" w:hAnsi="Verdana"/>
        </w:rPr>
        <w:sectPr w:rsidR="00331419">
          <w:type w:val="continuous"/>
          <w:pgSz w:w="11906" w:h="16838"/>
          <w:pgMar w:top="1089" w:right="879" w:bottom="624" w:left="1157" w:header="851" w:footer="893" w:gutter="0"/>
          <w:cols w:space="425"/>
          <w:docGrid w:type="lines" w:linePitch="312"/>
        </w:sectPr>
      </w:pPr>
    </w:p>
    <w:p w14:paraId="7DC45DF9" w14:textId="77777777" w:rsidR="00331419" w:rsidRDefault="00331419">
      <w:pPr>
        <w:tabs>
          <w:tab w:val="left" w:pos="426"/>
        </w:tabs>
        <w:spacing w:line="260" w:lineRule="exact"/>
        <w:rPr>
          <w:color w:val="000000" w:themeColor="text1"/>
          <w:sz w:val="18"/>
          <w:szCs w:val="18"/>
        </w:rPr>
      </w:pPr>
    </w:p>
    <w:p w14:paraId="71560B7F" w14:textId="77777777" w:rsidR="00331419" w:rsidRDefault="00331419">
      <w:pPr>
        <w:rPr>
          <w:rFonts w:ascii="Verdana" w:hAnsi="Verdana"/>
          <w:b/>
          <w:bCs/>
        </w:rPr>
      </w:pPr>
    </w:p>
    <w:p w14:paraId="0D03F2AA" w14:textId="77777777" w:rsidR="00331419" w:rsidRDefault="00331419">
      <w:pPr>
        <w:tabs>
          <w:tab w:val="left" w:pos="426"/>
        </w:tabs>
        <w:spacing w:line="260" w:lineRule="exact"/>
        <w:rPr>
          <w:color w:val="000000" w:themeColor="text1"/>
          <w:sz w:val="18"/>
          <w:szCs w:val="18"/>
        </w:rPr>
      </w:pPr>
    </w:p>
    <w:sectPr w:rsidR="00331419">
      <w:type w:val="continuous"/>
      <w:pgSz w:w="11906" w:h="16838"/>
      <w:pgMar w:top="1089" w:right="879" w:bottom="624" w:left="1157" w:header="851" w:footer="893"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B1A6A" w14:textId="77777777" w:rsidR="001F7562" w:rsidRDefault="001F7562">
      <w:r>
        <w:separator/>
      </w:r>
    </w:p>
  </w:endnote>
  <w:endnote w:type="continuationSeparator" w:id="0">
    <w:p w14:paraId="48283D30" w14:textId="77777777" w:rsidR="001F7562" w:rsidRDefault="001F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楷体">
    <w:charset w:val="86"/>
    <w:family w:val="auto"/>
    <w:pitch w:val="variable"/>
    <w:sig w:usb0="00000287" w:usb1="080F0000" w:usb2="00000010" w:usb3="00000000" w:csb0="0004009F" w:csb1="00000000"/>
  </w:font>
  <w:font w:name="华文中宋">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8115" w14:textId="77777777" w:rsidR="00331419" w:rsidRDefault="00000000">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rPr>
      <w:t>2</w:t>
    </w:r>
    <w:r>
      <w:rPr>
        <w:rStyle w:val="af2"/>
      </w:rPr>
      <w:fldChar w:fldCharType="end"/>
    </w:r>
  </w:p>
  <w:p w14:paraId="55C4B56E" w14:textId="77777777" w:rsidR="00331419" w:rsidRDefault="0033141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FD327" w14:textId="77777777" w:rsidR="001F7562" w:rsidRDefault="001F7562">
      <w:r>
        <w:separator/>
      </w:r>
    </w:p>
  </w:footnote>
  <w:footnote w:type="continuationSeparator" w:id="0">
    <w:p w14:paraId="646810E2" w14:textId="77777777" w:rsidR="001F7562" w:rsidRDefault="001F75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504D83"/>
    <w:multiLevelType w:val="singleLevel"/>
    <w:tmpl w:val="BA504D83"/>
    <w:lvl w:ilvl="0">
      <w:start w:val="1"/>
      <w:numFmt w:val="decimal"/>
      <w:lvlText w:val="%1."/>
      <w:lvlJc w:val="left"/>
      <w:pPr>
        <w:tabs>
          <w:tab w:val="left" w:pos="312"/>
        </w:tabs>
      </w:pPr>
    </w:lvl>
  </w:abstractNum>
  <w:abstractNum w:abstractNumId="1" w15:restartNumberingAfterBreak="0">
    <w:nsid w:val="05D02D71"/>
    <w:multiLevelType w:val="hybridMultilevel"/>
    <w:tmpl w:val="66A42BF4"/>
    <w:lvl w:ilvl="0" w:tplc="48FC62B0">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1C960A7"/>
    <w:multiLevelType w:val="hybridMultilevel"/>
    <w:tmpl w:val="CE3E9EDE"/>
    <w:lvl w:ilvl="0" w:tplc="1CF8999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2F01268"/>
    <w:multiLevelType w:val="hybridMultilevel"/>
    <w:tmpl w:val="EDFEB5E8"/>
    <w:lvl w:ilvl="0" w:tplc="8E8AB44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6815234"/>
    <w:multiLevelType w:val="hybridMultilevel"/>
    <w:tmpl w:val="92287A02"/>
    <w:lvl w:ilvl="0" w:tplc="9F36463A">
      <w:start w:val="1"/>
      <w:numFmt w:val="lowerLetter"/>
      <w:lvlText w:val="(%1)"/>
      <w:lvlJc w:val="left"/>
      <w:pPr>
        <w:ind w:left="786"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A123060"/>
    <w:multiLevelType w:val="multilevel"/>
    <w:tmpl w:val="5A123060"/>
    <w:lvl w:ilvl="0">
      <w:start w:val="1"/>
      <w:numFmt w:val="decimal"/>
      <w:lvlText w:val="[%1]"/>
      <w:lvlJc w:val="left"/>
      <w:pPr>
        <w:ind w:left="562" w:hanging="420"/>
      </w:pPr>
      <w:rPr>
        <w:rFonts w:ascii="Times New Roman" w:eastAsia="宋体" w:hAnsi="Times New Roman" w:hint="default"/>
        <w:b w:val="0"/>
        <w:i w:val="0"/>
        <w:sz w:val="15"/>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C171D4F"/>
    <w:multiLevelType w:val="hybridMultilevel"/>
    <w:tmpl w:val="DA7690E4"/>
    <w:lvl w:ilvl="0" w:tplc="DC6A47E8">
      <w:start w:val="1"/>
      <w:numFmt w:val="decimal"/>
      <w:lvlText w:val="[%1]"/>
      <w:lvlJc w:val="left"/>
      <w:pPr>
        <w:ind w:left="420" w:hanging="420"/>
      </w:pPr>
      <w:rPr>
        <w:rFonts w:ascii="Times New Roman" w:hAnsi="Times New Roman" w:cs="Times New Roman" w:hint="default"/>
        <w:sz w:val="15"/>
        <w:szCs w:val="1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31BD41C"/>
    <w:multiLevelType w:val="singleLevel"/>
    <w:tmpl w:val="631BD41C"/>
    <w:lvl w:ilvl="0">
      <w:start w:val="1"/>
      <w:numFmt w:val="decimal"/>
      <w:lvlText w:val="%1."/>
      <w:lvlJc w:val="left"/>
      <w:pPr>
        <w:tabs>
          <w:tab w:val="left" w:pos="312"/>
        </w:tabs>
      </w:pPr>
    </w:lvl>
  </w:abstractNum>
  <w:num w:numId="1" w16cid:durableId="328875442">
    <w:abstractNumId w:val="0"/>
  </w:num>
  <w:num w:numId="2" w16cid:durableId="1333727138">
    <w:abstractNumId w:val="7"/>
  </w:num>
  <w:num w:numId="3" w16cid:durableId="2076002495">
    <w:abstractNumId w:val="5"/>
  </w:num>
  <w:num w:numId="4" w16cid:durableId="564485303">
    <w:abstractNumId w:val="1"/>
  </w:num>
  <w:num w:numId="5" w16cid:durableId="1963460519">
    <w:abstractNumId w:val="4"/>
  </w:num>
  <w:num w:numId="6" w16cid:durableId="1413426278">
    <w:abstractNumId w:val="2"/>
  </w:num>
  <w:num w:numId="7" w16cid:durableId="1692338957">
    <w:abstractNumId w:val="6"/>
  </w:num>
  <w:num w:numId="8" w16cid:durableId="1248929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wNzQ0MzUwsDC3NDBT0lEKTi0uzszPAykwMa8FAK7OLvEtAAAA"/>
    <w:docVar w:name="commondata" w:val="eyJoZGlkIjoiOWU0MmY0YzQxOTM5ZGYwZTQxMTI1M2M5MTMyZWVhZGMifQ=="/>
    <w:docVar w:name="EN.InstantFormat" w:val="&lt;ENInstantFormat&gt;&lt;Enabled&gt;1&lt;/Enabled&gt;&lt;ScanUnformatted&gt;1&lt;/ScanUnformatted&gt;&lt;ScanChanges&gt;1&lt;/ScanChanges&gt;&lt;Suspended&gt;1&lt;/Suspended&gt;&lt;/ENInstantFormat&gt;"/>
    <w:docVar w:name="EN.Layout" w:val="&lt;ENLayout&gt;&lt;Style&gt;Tunnel Underground Space Te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fx9sw5ias5zgedw5yva0z402ze5er2xr9r&quot;&gt;My EndNote Library&lt;record-ids&gt;&lt;item&gt;35&lt;/item&gt;&lt;item&gt;72&lt;/item&gt;&lt;/record-ids&gt;&lt;/item&gt;&lt;/Libraries&gt;"/>
  </w:docVars>
  <w:rsids>
    <w:rsidRoot w:val="0043121F"/>
    <w:rsid w:val="0000275F"/>
    <w:rsid w:val="00021FEA"/>
    <w:rsid w:val="00031582"/>
    <w:rsid w:val="000423AD"/>
    <w:rsid w:val="00043AB6"/>
    <w:rsid w:val="00043C29"/>
    <w:rsid w:val="00045CDD"/>
    <w:rsid w:val="000569CD"/>
    <w:rsid w:val="00061528"/>
    <w:rsid w:val="00074584"/>
    <w:rsid w:val="00083854"/>
    <w:rsid w:val="00097987"/>
    <w:rsid w:val="000A0233"/>
    <w:rsid w:val="000B04FE"/>
    <w:rsid w:val="000E01A1"/>
    <w:rsid w:val="000E24CE"/>
    <w:rsid w:val="000F1815"/>
    <w:rsid w:val="00101598"/>
    <w:rsid w:val="00105782"/>
    <w:rsid w:val="001429F0"/>
    <w:rsid w:val="001436DF"/>
    <w:rsid w:val="00144A9A"/>
    <w:rsid w:val="00153E97"/>
    <w:rsid w:val="001547AA"/>
    <w:rsid w:val="00157342"/>
    <w:rsid w:val="00174648"/>
    <w:rsid w:val="00176A70"/>
    <w:rsid w:val="00177892"/>
    <w:rsid w:val="00191470"/>
    <w:rsid w:val="001B109C"/>
    <w:rsid w:val="001C0889"/>
    <w:rsid w:val="001C2E9D"/>
    <w:rsid w:val="001D1DA6"/>
    <w:rsid w:val="001E0ACE"/>
    <w:rsid w:val="001E45BD"/>
    <w:rsid w:val="001F5CC6"/>
    <w:rsid w:val="001F7562"/>
    <w:rsid w:val="00214936"/>
    <w:rsid w:val="00215C41"/>
    <w:rsid w:val="00216814"/>
    <w:rsid w:val="00216A74"/>
    <w:rsid w:val="00231514"/>
    <w:rsid w:val="002614B4"/>
    <w:rsid w:val="00263344"/>
    <w:rsid w:val="002639D9"/>
    <w:rsid w:val="00275BDE"/>
    <w:rsid w:val="00284276"/>
    <w:rsid w:val="002915B2"/>
    <w:rsid w:val="00293041"/>
    <w:rsid w:val="00295F26"/>
    <w:rsid w:val="002A58E9"/>
    <w:rsid w:val="002A5D3C"/>
    <w:rsid w:val="002D3F9B"/>
    <w:rsid w:val="002D4EC0"/>
    <w:rsid w:val="002F444C"/>
    <w:rsid w:val="00325720"/>
    <w:rsid w:val="0032795E"/>
    <w:rsid w:val="00331419"/>
    <w:rsid w:val="00337241"/>
    <w:rsid w:val="00337B88"/>
    <w:rsid w:val="003405B8"/>
    <w:rsid w:val="003428C6"/>
    <w:rsid w:val="0034630F"/>
    <w:rsid w:val="00351FE8"/>
    <w:rsid w:val="00356F1D"/>
    <w:rsid w:val="00361A0E"/>
    <w:rsid w:val="00363A55"/>
    <w:rsid w:val="00363AE7"/>
    <w:rsid w:val="00370036"/>
    <w:rsid w:val="003810B9"/>
    <w:rsid w:val="00381C94"/>
    <w:rsid w:val="0039143E"/>
    <w:rsid w:val="003A6D00"/>
    <w:rsid w:val="003B5E37"/>
    <w:rsid w:val="003D387A"/>
    <w:rsid w:val="003E23C1"/>
    <w:rsid w:val="003E55CC"/>
    <w:rsid w:val="003F7334"/>
    <w:rsid w:val="003F7808"/>
    <w:rsid w:val="004057C3"/>
    <w:rsid w:val="00407DC4"/>
    <w:rsid w:val="0043121F"/>
    <w:rsid w:val="00435116"/>
    <w:rsid w:val="00445128"/>
    <w:rsid w:val="00460392"/>
    <w:rsid w:val="004631B4"/>
    <w:rsid w:val="00465B47"/>
    <w:rsid w:val="00472DF7"/>
    <w:rsid w:val="00485819"/>
    <w:rsid w:val="00493E9D"/>
    <w:rsid w:val="00496743"/>
    <w:rsid w:val="004A5E4D"/>
    <w:rsid w:val="004B125A"/>
    <w:rsid w:val="004B1423"/>
    <w:rsid w:val="004B7432"/>
    <w:rsid w:val="004C0656"/>
    <w:rsid w:val="004C3F69"/>
    <w:rsid w:val="004C629E"/>
    <w:rsid w:val="004D133D"/>
    <w:rsid w:val="004D1D4B"/>
    <w:rsid w:val="004E2F59"/>
    <w:rsid w:val="004F5B9A"/>
    <w:rsid w:val="00501AF3"/>
    <w:rsid w:val="005271DE"/>
    <w:rsid w:val="005315B6"/>
    <w:rsid w:val="005317CF"/>
    <w:rsid w:val="00546DA3"/>
    <w:rsid w:val="005529DC"/>
    <w:rsid w:val="00552B0A"/>
    <w:rsid w:val="005540DB"/>
    <w:rsid w:val="00560399"/>
    <w:rsid w:val="0056519E"/>
    <w:rsid w:val="00581FA9"/>
    <w:rsid w:val="00586A21"/>
    <w:rsid w:val="00593B65"/>
    <w:rsid w:val="005C3670"/>
    <w:rsid w:val="005C6686"/>
    <w:rsid w:val="005D749E"/>
    <w:rsid w:val="005E59C8"/>
    <w:rsid w:val="005E7A9C"/>
    <w:rsid w:val="005F71A5"/>
    <w:rsid w:val="00612994"/>
    <w:rsid w:val="00615866"/>
    <w:rsid w:val="00623897"/>
    <w:rsid w:val="006370EB"/>
    <w:rsid w:val="00641C7B"/>
    <w:rsid w:val="006534FF"/>
    <w:rsid w:val="0065750B"/>
    <w:rsid w:val="00673204"/>
    <w:rsid w:val="0067348A"/>
    <w:rsid w:val="006811DE"/>
    <w:rsid w:val="006817D2"/>
    <w:rsid w:val="00696065"/>
    <w:rsid w:val="006A4141"/>
    <w:rsid w:val="006A5882"/>
    <w:rsid w:val="006B1D56"/>
    <w:rsid w:val="006C354B"/>
    <w:rsid w:val="006C4BAB"/>
    <w:rsid w:val="006C64E2"/>
    <w:rsid w:val="006D6E53"/>
    <w:rsid w:val="006D7173"/>
    <w:rsid w:val="006D7CA9"/>
    <w:rsid w:val="0070279B"/>
    <w:rsid w:val="00707548"/>
    <w:rsid w:val="007259BF"/>
    <w:rsid w:val="00742116"/>
    <w:rsid w:val="007435D5"/>
    <w:rsid w:val="00753E5F"/>
    <w:rsid w:val="007656F1"/>
    <w:rsid w:val="007828C1"/>
    <w:rsid w:val="00783C1D"/>
    <w:rsid w:val="00787401"/>
    <w:rsid w:val="0079679D"/>
    <w:rsid w:val="007D4895"/>
    <w:rsid w:val="007D4EC2"/>
    <w:rsid w:val="007D5507"/>
    <w:rsid w:val="007E7D63"/>
    <w:rsid w:val="007F4AB0"/>
    <w:rsid w:val="0081410C"/>
    <w:rsid w:val="00815A10"/>
    <w:rsid w:val="00847B14"/>
    <w:rsid w:val="00851BBD"/>
    <w:rsid w:val="00854BD4"/>
    <w:rsid w:val="0085716D"/>
    <w:rsid w:val="00871673"/>
    <w:rsid w:val="00880790"/>
    <w:rsid w:val="0088784E"/>
    <w:rsid w:val="008A07E9"/>
    <w:rsid w:val="008A1B4A"/>
    <w:rsid w:val="008A632F"/>
    <w:rsid w:val="008A7B70"/>
    <w:rsid w:val="008C318E"/>
    <w:rsid w:val="00917273"/>
    <w:rsid w:val="009374A8"/>
    <w:rsid w:val="00942763"/>
    <w:rsid w:val="00950679"/>
    <w:rsid w:val="00952F6F"/>
    <w:rsid w:val="00953628"/>
    <w:rsid w:val="0095509B"/>
    <w:rsid w:val="00955405"/>
    <w:rsid w:val="0095720D"/>
    <w:rsid w:val="009661A7"/>
    <w:rsid w:val="009727E4"/>
    <w:rsid w:val="00974EDC"/>
    <w:rsid w:val="009845D8"/>
    <w:rsid w:val="00984FDE"/>
    <w:rsid w:val="00987FF1"/>
    <w:rsid w:val="009A18F5"/>
    <w:rsid w:val="009A7CCB"/>
    <w:rsid w:val="009C6E35"/>
    <w:rsid w:val="009E2573"/>
    <w:rsid w:val="009E552D"/>
    <w:rsid w:val="009F23C1"/>
    <w:rsid w:val="009F4F03"/>
    <w:rsid w:val="00A26C4B"/>
    <w:rsid w:val="00A66617"/>
    <w:rsid w:val="00A702C0"/>
    <w:rsid w:val="00A70F14"/>
    <w:rsid w:val="00A80CEB"/>
    <w:rsid w:val="00AD0131"/>
    <w:rsid w:val="00AF54F4"/>
    <w:rsid w:val="00AF7E99"/>
    <w:rsid w:val="00B17BDB"/>
    <w:rsid w:val="00B23F6E"/>
    <w:rsid w:val="00B24FDC"/>
    <w:rsid w:val="00B358AB"/>
    <w:rsid w:val="00B40BC0"/>
    <w:rsid w:val="00B62A85"/>
    <w:rsid w:val="00B7724A"/>
    <w:rsid w:val="00B851FB"/>
    <w:rsid w:val="00B90575"/>
    <w:rsid w:val="00B916D2"/>
    <w:rsid w:val="00BB1BBB"/>
    <w:rsid w:val="00BD6FFC"/>
    <w:rsid w:val="00BE02F4"/>
    <w:rsid w:val="00BE7832"/>
    <w:rsid w:val="00BF7389"/>
    <w:rsid w:val="00C00022"/>
    <w:rsid w:val="00C1240F"/>
    <w:rsid w:val="00C14B40"/>
    <w:rsid w:val="00C23D64"/>
    <w:rsid w:val="00C30C58"/>
    <w:rsid w:val="00C3795A"/>
    <w:rsid w:val="00C4649A"/>
    <w:rsid w:val="00C46794"/>
    <w:rsid w:val="00C709F1"/>
    <w:rsid w:val="00C84408"/>
    <w:rsid w:val="00C87C36"/>
    <w:rsid w:val="00CA011E"/>
    <w:rsid w:val="00CB5DCE"/>
    <w:rsid w:val="00CC122F"/>
    <w:rsid w:val="00CC7A96"/>
    <w:rsid w:val="00CD183E"/>
    <w:rsid w:val="00CD4B92"/>
    <w:rsid w:val="00CD5A26"/>
    <w:rsid w:val="00CE4827"/>
    <w:rsid w:val="00CE6189"/>
    <w:rsid w:val="00CE6EC8"/>
    <w:rsid w:val="00D1098A"/>
    <w:rsid w:val="00D217AB"/>
    <w:rsid w:val="00D2366B"/>
    <w:rsid w:val="00D25360"/>
    <w:rsid w:val="00D3565B"/>
    <w:rsid w:val="00D56497"/>
    <w:rsid w:val="00D74C42"/>
    <w:rsid w:val="00D82459"/>
    <w:rsid w:val="00D82ACA"/>
    <w:rsid w:val="00D83768"/>
    <w:rsid w:val="00D93E15"/>
    <w:rsid w:val="00DB0FB8"/>
    <w:rsid w:val="00DC0569"/>
    <w:rsid w:val="00DD49F4"/>
    <w:rsid w:val="00E000D3"/>
    <w:rsid w:val="00E033AA"/>
    <w:rsid w:val="00E1698F"/>
    <w:rsid w:val="00E2008C"/>
    <w:rsid w:val="00E270FD"/>
    <w:rsid w:val="00E53ED2"/>
    <w:rsid w:val="00E54110"/>
    <w:rsid w:val="00E559EA"/>
    <w:rsid w:val="00E707E3"/>
    <w:rsid w:val="00E8104E"/>
    <w:rsid w:val="00E83C2F"/>
    <w:rsid w:val="00EA304B"/>
    <w:rsid w:val="00EA336D"/>
    <w:rsid w:val="00EA3CAC"/>
    <w:rsid w:val="00EA5DAC"/>
    <w:rsid w:val="00EB4675"/>
    <w:rsid w:val="00EE3A9C"/>
    <w:rsid w:val="00EE7341"/>
    <w:rsid w:val="00EF4038"/>
    <w:rsid w:val="00EF5D4E"/>
    <w:rsid w:val="00F170CF"/>
    <w:rsid w:val="00F26472"/>
    <w:rsid w:val="00F46D15"/>
    <w:rsid w:val="00F47046"/>
    <w:rsid w:val="00F52D79"/>
    <w:rsid w:val="00F60575"/>
    <w:rsid w:val="00F669E0"/>
    <w:rsid w:val="00F67996"/>
    <w:rsid w:val="00F73A82"/>
    <w:rsid w:val="00F7580E"/>
    <w:rsid w:val="00F9025A"/>
    <w:rsid w:val="00F975D2"/>
    <w:rsid w:val="00FB4D54"/>
    <w:rsid w:val="00FE7310"/>
    <w:rsid w:val="02D013E1"/>
    <w:rsid w:val="039C3694"/>
    <w:rsid w:val="03A8028B"/>
    <w:rsid w:val="03E2379C"/>
    <w:rsid w:val="04ED3F26"/>
    <w:rsid w:val="052878D5"/>
    <w:rsid w:val="05526700"/>
    <w:rsid w:val="056703FD"/>
    <w:rsid w:val="0620235A"/>
    <w:rsid w:val="0627776C"/>
    <w:rsid w:val="064E336B"/>
    <w:rsid w:val="06500E91"/>
    <w:rsid w:val="06532CB9"/>
    <w:rsid w:val="06560982"/>
    <w:rsid w:val="071023CF"/>
    <w:rsid w:val="073562D9"/>
    <w:rsid w:val="074958E1"/>
    <w:rsid w:val="07A019A5"/>
    <w:rsid w:val="080812F8"/>
    <w:rsid w:val="08713341"/>
    <w:rsid w:val="089F6DD6"/>
    <w:rsid w:val="0A3D172D"/>
    <w:rsid w:val="0AF142C5"/>
    <w:rsid w:val="0B0A5387"/>
    <w:rsid w:val="0B6C7DF0"/>
    <w:rsid w:val="0B7258F9"/>
    <w:rsid w:val="0B867103"/>
    <w:rsid w:val="0B884C29"/>
    <w:rsid w:val="0B957AD2"/>
    <w:rsid w:val="0C0048F0"/>
    <w:rsid w:val="0C5B233E"/>
    <w:rsid w:val="0D2B61B4"/>
    <w:rsid w:val="0D2D6556"/>
    <w:rsid w:val="0D4C7ED9"/>
    <w:rsid w:val="0DFA7935"/>
    <w:rsid w:val="0E15698D"/>
    <w:rsid w:val="0E4358CB"/>
    <w:rsid w:val="0EAA4993"/>
    <w:rsid w:val="0EEE7E98"/>
    <w:rsid w:val="0F1D44D7"/>
    <w:rsid w:val="0F2A1829"/>
    <w:rsid w:val="0FD82A72"/>
    <w:rsid w:val="103660B7"/>
    <w:rsid w:val="111A38EF"/>
    <w:rsid w:val="11285FC6"/>
    <w:rsid w:val="114A0BD3"/>
    <w:rsid w:val="11904838"/>
    <w:rsid w:val="11A71B81"/>
    <w:rsid w:val="11C20769"/>
    <w:rsid w:val="12D20E80"/>
    <w:rsid w:val="13423AF8"/>
    <w:rsid w:val="138C0E00"/>
    <w:rsid w:val="13DD7ADC"/>
    <w:rsid w:val="14357918"/>
    <w:rsid w:val="14D051E3"/>
    <w:rsid w:val="15AE4D85"/>
    <w:rsid w:val="15F64E85"/>
    <w:rsid w:val="16315EBE"/>
    <w:rsid w:val="16646293"/>
    <w:rsid w:val="166E0EC0"/>
    <w:rsid w:val="167A757C"/>
    <w:rsid w:val="16B13261"/>
    <w:rsid w:val="16BC7326"/>
    <w:rsid w:val="173F74B1"/>
    <w:rsid w:val="174F2A9F"/>
    <w:rsid w:val="177D585E"/>
    <w:rsid w:val="17DD49B3"/>
    <w:rsid w:val="183F48C2"/>
    <w:rsid w:val="18720CCA"/>
    <w:rsid w:val="18E711BC"/>
    <w:rsid w:val="19462C1B"/>
    <w:rsid w:val="1ADF05DE"/>
    <w:rsid w:val="1B551A34"/>
    <w:rsid w:val="1B6611B4"/>
    <w:rsid w:val="1B9273FE"/>
    <w:rsid w:val="1C3271EB"/>
    <w:rsid w:val="1E0F24D3"/>
    <w:rsid w:val="1E91399D"/>
    <w:rsid w:val="1EA30D2C"/>
    <w:rsid w:val="1F1D3483"/>
    <w:rsid w:val="1F3F5AEF"/>
    <w:rsid w:val="20DB53A4"/>
    <w:rsid w:val="2173382E"/>
    <w:rsid w:val="21BC7ACD"/>
    <w:rsid w:val="22431452"/>
    <w:rsid w:val="225278E7"/>
    <w:rsid w:val="22A83271"/>
    <w:rsid w:val="242D4168"/>
    <w:rsid w:val="2442714D"/>
    <w:rsid w:val="24A65CC9"/>
    <w:rsid w:val="24AF1021"/>
    <w:rsid w:val="24BA673E"/>
    <w:rsid w:val="250E6839"/>
    <w:rsid w:val="251164E6"/>
    <w:rsid w:val="2580476C"/>
    <w:rsid w:val="25AE752B"/>
    <w:rsid w:val="262136CC"/>
    <w:rsid w:val="26B01C27"/>
    <w:rsid w:val="26E825C8"/>
    <w:rsid w:val="27A04C51"/>
    <w:rsid w:val="27D52B4D"/>
    <w:rsid w:val="27F76F67"/>
    <w:rsid w:val="28AD1D1C"/>
    <w:rsid w:val="28B13467"/>
    <w:rsid w:val="28E71D30"/>
    <w:rsid w:val="293D309F"/>
    <w:rsid w:val="2940493E"/>
    <w:rsid w:val="2A6B59EA"/>
    <w:rsid w:val="2B2A7CBE"/>
    <w:rsid w:val="2B763693"/>
    <w:rsid w:val="2C2F0132"/>
    <w:rsid w:val="2CCE2260"/>
    <w:rsid w:val="2D104627"/>
    <w:rsid w:val="2D14247A"/>
    <w:rsid w:val="2DA07759"/>
    <w:rsid w:val="2DD92B22"/>
    <w:rsid w:val="2E2E2FB7"/>
    <w:rsid w:val="2E7D7A9A"/>
    <w:rsid w:val="2E8E2568"/>
    <w:rsid w:val="2EF835C5"/>
    <w:rsid w:val="2F950E14"/>
    <w:rsid w:val="2FFF10AF"/>
    <w:rsid w:val="309537C1"/>
    <w:rsid w:val="309F4A2D"/>
    <w:rsid w:val="30C9346B"/>
    <w:rsid w:val="30F77FD8"/>
    <w:rsid w:val="31442AF1"/>
    <w:rsid w:val="32476D3D"/>
    <w:rsid w:val="325B21B4"/>
    <w:rsid w:val="325D20BC"/>
    <w:rsid w:val="32CF0FCD"/>
    <w:rsid w:val="32F10023"/>
    <w:rsid w:val="34180188"/>
    <w:rsid w:val="342B346E"/>
    <w:rsid w:val="345D45F6"/>
    <w:rsid w:val="34796F56"/>
    <w:rsid w:val="34930017"/>
    <w:rsid w:val="34EC597A"/>
    <w:rsid w:val="35F44AE6"/>
    <w:rsid w:val="3647730B"/>
    <w:rsid w:val="36527A5E"/>
    <w:rsid w:val="372C02AF"/>
    <w:rsid w:val="373A6E70"/>
    <w:rsid w:val="374C2700"/>
    <w:rsid w:val="38242383"/>
    <w:rsid w:val="382A35A1"/>
    <w:rsid w:val="38B16CBE"/>
    <w:rsid w:val="391C05B6"/>
    <w:rsid w:val="39F118DA"/>
    <w:rsid w:val="3A5003D8"/>
    <w:rsid w:val="3A577D39"/>
    <w:rsid w:val="3A667F7C"/>
    <w:rsid w:val="3A7A7584"/>
    <w:rsid w:val="3B003F2D"/>
    <w:rsid w:val="3BA05983"/>
    <w:rsid w:val="3BC47902"/>
    <w:rsid w:val="3BC66F24"/>
    <w:rsid w:val="3C035F1A"/>
    <w:rsid w:val="3D9372DA"/>
    <w:rsid w:val="3DEC2546"/>
    <w:rsid w:val="3DEE4511"/>
    <w:rsid w:val="3E1D4B75"/>
    <w:rsid w:val="3E2B306F"/>
    <w:rsid w:val="3F543F9C"/>
    <w:rsid w:val="3F6E3B5B"/>
    <w:rsid w:val="400C6ED0"/>
    <w:rsid w:val="404E7113"/>
    <w:rsid w:val="4071367D"/>
    <w:rsid w:val="41432DC5"/>
    <w:rsid w:val="414E1EC8"/>
    <w:rsid w:val="415734FE"/>
    <w:rsid w:val="41CF1E7C"/>
    <w:rsid w:val="41EA4926"/>
    <w:rsid w:val="421E752E"/>
    <w:rsid w:val="422C7A52"/>
    <w:rsid w:val="426254CD"/>
    <w:rsid w:val="42E3660E"/>
    <w:rsid w:val="42E85E49"/>
    <w:rsid w:val="435E3EE6"/>
    <w:rsid w:val="436808C1"/>
    <w:rsid w:val="43B26206"/>
    <w:rsid w:val="43FC3F5B"/>
    <w:rsid w:val="442E5667"/>
    <w:rsid w:val="446217B4"/>
    <w:rsid w:val="44663053"/>
    <w:rsid w:val="44AA44D5"/>
    <w:rsid w:val="44C540A3"/>
    <w:rsid w:val="44E4666D"/>
    <w:rsid w:val="45B93656"/>
    <w:rsid w:val="46A460B4"/>
    <w:rsid w:val="471A1ED2"/>
    <w:rsid w:val="47C63E08"/>
    <w:rsid w:val="47FF2226"/>
    <w:rsid w:val="480212E4"/>
    <w:rsid w:val="480908C5"/>
    <w:rsid w:val="484F02A2"/>
    <w:rsid w:val="484F2050"/>
    <w:rsid w:val="48D04F3E"/>
    <w:rsid w:val="49331971"/>
    <w:rsid w:val="4941204B"/>
    <w:rsid w:val="498B45BD"/>
    <w:rsid w:val="49930668"/>
    <w:rsid w:val="49EA64D4"/>
    <w:rsid w:val="4A1A7952"/>
    <w:rsid w:val="4A217D39"/>
    <w:rsid w:val="4A370FED"/>
    <w:rsid w:val="4A691724"/>
    <w:rsid w:val="4A761B16"/>
    <w:rsid w:val="4A9B5A20"/>
    <w:rsid w:val="4AA57118"/>
    <w:rsid w:val="4AA92D72"/>
    <w:rsid w:val="4B1410C5"/>
    <w:rsid w:val="4C8E75EA"/>
    <w:rsid w:val="4D31441A"/>
    <w:rsid w:val="4D487BDA"/>
    <w:rsid w:val="4D6614CB"/>
    <w:rsid w:val="4D972723"/>
    <w:rsid w:val="4DC332C4"/>
    <w:rsid w:val="4E231FB4"/>
    <w:rsid w:val="4E235B10"/>
    <w:rsid w:val="4E550E9F"/>
    <w:rsid w:val="4E660DBA"/>
    <w:rsid w:val="4E6D76D3"/>
    <w:rsid w:val="4E9133C2"/>
    <w:rsid w:val="4EA35CBF"/>
    <w:rsid w:val="4F2E29BF"/>
    <w:rsid w:val="4FAB04B3"/>
    <w:rsid w:val="4FE14544"/>
    <w:rsid w:val="50210776"/>
    <w:rsid w:val="50666188"/>
    <w:rsid w:val="50DC04EE"/>
    <w:rsid w:val="51AB6549"/>
    <w:rsid w:val="51BA678C"/>
    <w:rsid w:val="51E97071"/>
    <w:rsid w:val="520333D5"/>
    <w:rsid w:val="521A547C"/>
    <w:rsid w:val="52734B8D"/>
    <w:rsid w:val="52DE294E"/>
    <w:rsid w:val="53FD6E04"/>
    <w:rsid w:val="541C0D51"/>
    <w:rsid w:val="54E56216"/>
    <w:rsid w:val="55142657"/>
    <w:rsid w:val="55654C60"/>
    <w:rsid w:val="556654A5"/>
    <w:rsid w:val="557355CF"/>
    <w:rsid w:val="55DB3175"/>
    <w:rsid w:val="563C00B7"/>
    <w:rsid w:val="56933A4F"/>
    <w:rsid w:val="56E85B49"/>
    <w:rsid w:val="57097E39"/>
    <w:rsid w:val="57276F71"/>
    <w:rsid w:val="577675F9"/>
    <w:rsid w:val="578735B4"/>
    <w:rsid w:val="57BD0D84"/>
    <w:rsid w:val="57CF0AB7"/>
    <w:rsid w:val="581B3CFC"/>
    <w:rsid w:val="585C67EF"/>
    <w:rsid w:val="586423C0"/>
    <w:rsid w:val="5996188C"/>
    <w:rsid w:val="599D70BF"/>
    <w:rsid w:val="599F548E"/>
    <w:rsid w:val="5A8C5E47"/>
    <w:rsid w:val="5AE14D89"/>
    <w:rsid w:val="5AFD593B"/>
    <w:rsid w:val="5B465534"/>
    <w:rsid w:val="5C744DB6"/>
    <w:rsid w:val="5CFD7E74"/>
    <w:rsid w:val="5DA402F0"/>
    <w:rsid w:val="5E5934EA"/>
    <w:rsid w:val="5EDD102A"/>
    <w:rsid w:val="5F116F65"/>
    <w:rsid w:val="5F610B8F"/>
    <w:rsid w:val="5FE10EFE"/>
    <w:rsid w:val="5FF50A8B"/>
    <w:rsid w:val="603911C4"/>
    <w:rsid w:val="613C3152"/>
    <w:rsid w:val="61D513C0"/>
    <w:rsid w:val="62A60731"/>
    <w:rsid w:val="62BE3C02"/>
    <w:rsid w:val="62C751AC"/>
    <w:rsid w:val="62F31AFE"/>
    <w:rsid w:val="634560D1"/>
    <w:rsid w:val="63B4281C"/>
    <w:rsid w:val="63CC234F"/>
    <w:rsid w:val="642B7FF6"/>
    <w:rsid w:val="650F6997"/>
    <w:rsid w:val="6529721B"/>
    <w:rsid w:val="65960E66"/>
    <w:rsid w:val="65A34757"/>
    <w:rsid w:val="65DF76FB"/>
    <w:rsid w:val="66524D8D"/>
    <w:rsid w:val="666231FD"/>
    <w:rsid w:val="671B3414"/>
    <w:rsid w:val="676A1B5C"/>
    <w:rsid w:val="677D0557"/>
    <w:rsid w:val="681744E0"/>
    <w:rsid w:val="684C6D22"/>
    <w:rsid w:val="6881195A"/>
    <w:rsid w:val="68CA1553"/>
    <w:rsid w:val="699441C6"/>
    <w:rsid w:val="6A2C3B47"/>
    <w:rsid w:val="6A5F5CCB"/>
    <w:rsid w:val="6AAD4C88"/>
    <w:rsid w:val="6AE461D0"/>
    <w:rsid w:val="6B95409A"/>
    <w:rsid w:val="6BC524A5"/>
    <w:rsid w:val="6BDD5BC3"/>
    <w:rsid w:val="6C353187"/>
    <w:rsid w:val="6C8D2FC3"/>
    <w:rsid w:val="6DAD3505"/>
    <w:rsid w:val="6DC5678C"/>
    <w:rsid w:val="6DCE3893"/>
    <w:rsid w:val="6DE2733E"/>
    <w:rsid w:val="6E661D1D"/>
    <w:rsid w:val="6EBF7FF4"/>
    <w:rsid w:val="6ED749C9"/>
    <w:rsid w:val="6F60051B"/>
    <w:rsid w:val="6FBE5948"/>
    <w:rsid w:val="70291255"/>
    <w:rsid w:val="702C72CB"/>
    <w:rsid w:val="705D07EF"/>
    <w:rsid w:val="71233EF6"/>
    <w:rsid w:val="71BE6D71"/>
    <w:rsid w:val="72936E59"/>
    <w:rsid w:val="72BF19FC"/>
    <w:rsid w:val="72C573B8"/>
    <w:rsid w:val="73522870"/>
    <w:rsid w:val="737E5413"/>
    <w:rsid w:val="73BC23E0"/>
    <w:rsid w:val="73F05BE5"/>
    <w:rsid w:val="740873D3"/>
    <w:rsid w:val="7444734A"/>
    <w:rsid w:val="7445143B"/>
    <w:rsid w:val="74CA3F6B"/>
    <w:rsid w:val="753922F4"/>
    <w:rsid w:val="758C6643"/>
    <w:rsid w:val="763B75EC"/>
    <w:rsid w:val="7645287E"/>
    <w:rsid w:val="774B02AD"/>
    <w:rsid w:val="775555D0"/>
    <w:rsid w:val="7798281C"/>
    <w:rsid w:val="77A6318B"/>
    <w:rsid w:val="77E872FF"/>
    <w:rsid w:val="77F04406"/>
    <w:rsid w:val="781D0B0B"/>
    <w:rsid w:val="78202F3D"/>
    <w:rsid w:val="784D3606"/>
    <w:rsid w:val="787E5EB6"/>
    <w:rsid w:val="78B47B29"/>
    <w:rsid w:val="78E21B72"/>
    <w:rsid w:val="78E33FFB"/>
    <w:rsid w:val="7911308D"/>
    <w:rsid w:val="797E7C8C"/>
    <w:rsid w:val="79C172FF"/>
    <w:rsid w:val="79CE4C1B"/>
    <w:rsid w:val="79F66D8F"/>
    <w:rsid w:val="7A8C2B0C"/>
    <w:rsid w:val="7ACE4ED2"/>
    <w:rsid w:val="7B05466C"/>
    <w:rsid w:val="7B070804"/>
    <w:rsid w:val="7B1228E5"/>
    <w:rsid w:val="7B3960C4"/>
    <w:rsid w:val="7B9112E5"/>
    <w:rsid w:val="7BAE42B3"/>
    <w:rsid w:val="7BE37335"/>
    <w:rsid w:val="7C150911"/>
    <w:rsid w:val="7C6747CA"/>
    <w:rsid w:val="7D197F5B"/>
    <w:rsid w:val="7D286048"/>
    <w:rsid w:val="7E2117BD"/>
    <w:rsid w:val="7E8A7362"/>
    <w:rsid w:val="7F2A2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2488182"/>
  <w15:docId w15:val="{CA586CD8-3AF9-474A-A200-D3BE60A2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183E"/>
    <w:pPr>
      <w:widowControl w:val="0"/>
      <w:spacing w:line="240" w:lineRule="exact"/>
      <w:jc w:val="both"/>
    </w:pPr>
    <w:rPr>
      <w:kern w:val="2"/>
      <w:sz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5">
    <w:name w:val="heading 5"/>
    <w:basedOn w:val="a"/>
    <w:next w:val="a"/>
    <w:link w:val="50"/>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spacing w:line="440" w:lineRule="exact"/>
    </w:pPr>
    <w:rPr>
      <w:rFonts w:ascii="Cambria" w:eastAsia="黑体" w:hAnsi="Cambria"/>
      <w:kern w:val="0"/>
      <w:sz w:val="20"/>
    </w:rPr>
  </w:style>
  <w:style w:type="paragraph" w:styleId="a5">
    <w:name w:val="annotation text"/>
    <w:basedOn w:val="a"/>
    <w:link w:val="a6"/>
    <w:qFormat/>
    <w:pPr>
      <w:jc w:val="left"/>
    </w:pPr>
  </w:style>
  <w:style w:type="paragraph" w:styleId="a7">
    <w:name w:val="Body Text Indent"/>
    <w:basedOn w:val="a"/>
    <w:qFormat/>
    <w:pPr>
      <w:spacing w:line="360" w:lineRule="auto"/>
      <w:ind w:firstLineChars="257" w:firstLine="540"/>
    </w:pPr>
  </w:style>
  <w:style w:type="paragraph" w:styleId="a8">
    <w:name w:val="Date"/>
    <w:basedOn w:val="a"/>
    <w:next w:val="a"/>
    <w:qFormat/>
    <w:rPr>
      <w:sz w:val="18"/>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semiHidden/>
    <w:unhideWhenUsed/>
    <w:qFormat/>
    <w:pPr>
      <w:spacing w:beforeAutospacing="1" w:afterAutospacing="1"/>
      <w:jc w:val="left"/>
    </w:pPr>
    <w:rPr>
      <w:kern w:val="0"/>
      <w:sz w:val="24"/>
    </w:rPr>
  </w:style>
  <w:style w:type="paragraph" w:styleId="af">
    <w:name w:val="annotation subject"/>
    <w:basedOn w:val="a5"/>
    <w:next w:val="a5"/>
    <w:link w:val="af0"/>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1"/>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styleId="af2">
    <w:name w:val="page number"/>
    <w:basedOn w:val="a0"/>
    <w:qFormat/>
  </w:style>
  <w:style w:type="character" w:styleId="af3">
    <w:name w:val="FollowedHyperlink"/>
    <w:basedOn w:val="a0"/>
    <w:semiHidden/>
    <w:unhideWhenUsed/>
    <w:qFormat/>
    <w:rPr>
      <w:color w:val="954F72" w:themeColor="followedHyperlink"/>
      <w:u w:val="single"/>
    </w:rPr>
  </w:style>
  <w:style w:type="character" w:styleId="af4">
    <w:name w:val="Emphasis"/>
    <w:basedOn w:val="a0"/>
    <w:uiPriority w:val="20"/>
    <w:qFormat/>
    <w:rPr>
      <w:i/>
      <w:iCs/>
    </w:rPr>
  </w:style>
  <w:style w:type="character" w:styleId="af5">
    <w:name w:val="Hyperlink"/>
    <w:basedOn w:val="a0"/>
    <w:qFormat/>
    <w:rPr>
      <w:color w:val="0563C1" w:themeColor="hyperlink"/>
      <w:u w:val="single"/>
    </w:rPr>
  </w:style>
  <w:style w:type="character" w:styleId="af6">
    <w:name w:val="annotation reference"/>
    <w:qFormat/>
    <w:rPr>
      <w:sz w:val="21"/>
      <w:szCs w:val="21"/>
    </w:rPr>
  </w:style>
  <w:style w:type="table" w:customStyle="1" w:styleId="21">
    <w:name w:val="表格样式2"/>
    <w:basedOn w:val="11"/>
    <w:qFormat/>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3">
    <w:name w:val="表格样式3"/>
    <w:basedOn w:val="21"/>
    <w:qFormat/>
    <w:tbl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af7">
    <w:name w:val="List Paragraph"/>
    <w:basedOn w:val="a"/>
    <w:link w:val="af8"/>
    <w:uiPriority w:val="34"/>
    <w:qFormat/>
    <w:pPr>
      <w:ind w:firstLineChars="200" w:firstLine="420"/>
    </w:pPr>
    <w:rPr>
      <w:rFonts w:ascii="等线" w:eastAsia="等线" w:hAnsi="等线"/>
      <w:szCs w:val="22"/>
    </w:rPr>
  </w:style>
  <w:style w:type="character" w:customStyle="1" w:styleId="aa">
    <w:name w:val="批注框文本 字符"/>
    <w:link w:val="a9"/>
    <w:qFormat/>
    <w:rPr>
      <w:kern w:val="2"/>
      <w:sz w:val="18"/>
      <w:szCs w:val="18"/>
    </w:rPr>
  </w:style>
  <w:style w:type="character" w:customStyle="1" w:styleId="a6">
    <w:name w:val="批注文字 字符"/>
    <w:link w:val="a5"/>
    <w:qFormat/>
    <w:rPr>
      <w:kern w:val="2"/>
      <w:sz w:val="21"/>
    </w:rPr>
  </w:style>
  <w:style w:type="character" w:customStyle="1" w:styleId="af0">
    <w:name w:val="批注主题 字符"/>
    <w:link w:val="af"/>
    <w:qFormat/>
    <w:rPr>
      <w:b/>
      <w:bCs/>
      <w:kern w:val="2"/>
      <w:sz w:val="21"/>
    </w:rPr>
  </w:style>
  <w:style w:type="character" w:customStyle="1" w:styleId="text">
    <w:name w:val="text"/>
    <w:qFormat/>
  </w:style>
  <w:style w:type="character" w:customStyle="1" w:styleId="author-ref">
    <w:name w:val="author-ref"/>
    <w:qFormat/>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af8">
    <w:name w:val="列表段落 字符"/>
    <w:link w:val="af7"/>
    <w:uiPriority w:val="34"/>
    <w:qFormat/>
    <w:rPr>
      <w:rFonts w:ascii="等线" w:eastAsia="等线" w:hAnsi="等线"/>
      <w:kern w:val="2"/>
      <w:sz w:val="21"/>
      <w:szCs w:val="22"/>
    </w:rPr>
  </w:style>
  <w:style w:type="character" w:customStyle="1" w:styleId="EndNoteBibliographyTitle0">
    <w:name w:val="EndNote Bibliography Title 字符"/>
    <w:link w:val="EndNoteBibliographyTitle"/>
    <w:qFormat/>
    <w:rPr>
      <w:rFonts w:ascii="等线" w:eastAsia="等线" w:hAnsi="等线"/>
      <w:kern w:val="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link w:val="EndNoteBibliography"/>
    <w:qFormat/>
    <w:rPr>
      <w:rFonts w:ascii="等线" w:eastAsia="等线" w:hAnsi="等线"/>
      <w:kern w:val="2"/>
    </w:rPr>
  </w:style>
  <w:style w:type="character" w:styleId="af9">
    <w:name w:val="Placeholder Text"/>
    <w:basedOn w:val="a0"/>
    <w:uiPriority w:val="99"/>
    <w:semiHidden/>
    <w:qFormat/>
    <w:rPr>
      <w:color w:val="808080"/>
    </w:rPr>
  </w:style>
  <w:style w:type="character" w:customStyle="1" w:styleId="10">
    <w:name w:val="标题 1 字符"/>
    <w:basedOn w:val="a0"/>
    <w:link w:val="1"/>
    <w:qFormat/>
    <w:rPr>
      <w:b/>
      <w:bCs/>
      <w:kern w:val="44"/>
      <w:sz w:val="44"/>
      <w:szCs w:val="44"/>
    </w:rPr>
  </w:style>
  <w:style w:type="character" w:customStyle="1" w:styleId="50">
    <w:name w:val="标题 5 字符"/>
    <w:basedOn w:val="a0"/>
    <w:link w:val="5"/>
    <w:semiHidden/>
    <w:qFormat/>
    <w:rPr>
      <w:b/>
      <w:bCs/>
      <w:kern w:val="2"/>
      <w:sz w:val="28"/>
      <w:szCs w:val="28"/>
    </w:rPr>
  </w:style>
  <w:style w:type="character" w:customStyle="1" w:styleId="Char">
    <w:name w:val="表中内容 Char"/>
    <w:link w:val="afa"/>
    <w:qFormat/>
    <w:locked/>
    <w:rPr>
      <w:smallCaps/>
      <w:spacing w:val="4"/>
      <w:kern w:val="2"/>
      <w:sz w:val="15"/>
      <w:szCs w:val="15"/>
    </w:rPr>
  </w:style>
  <w:style w:type="paragraph" w:customStyle="1" w:styleId="afa">
    <w:name w:val="表中内容"/>
    <w:basedOn w:val="a"/>
    <w:link w:val="Char"/>
    <w:qFormat/>
    <w:pPr>
      <w:adjustRightInd w:val="0"/>
      <w:snapToGrid w:val="0"/>
      <w:ind w:leftChars="-16" w:left="-34" w:rightChars="-27" w:right="-57"/>
      <w:jc w:val="center"/>
    </w:pPr>
    <w:rPr>
      <w:smallCaps/>
      <w:spacing w:val="4"/>
      <w:sz w:val="15"/>
      <w:szCs w:val="15"/>
    </w:rPr>
  </w:style>
  <w:style w:type="character" w:customStyle="1" w:styleId="12">
    <w:name w:val="不明显强调1"/>
    <w:basedOn w:val="a0"/>
    <w:uiPriority w:val="19"/>
    <w:qFormat/>
    <w:rPr>
      <w:i/>
      <w:iCs/>
      <w:color w:val="404040" w:themeColor="text1" w:themeTint="BF"/>
    </w:rPr>
  </w:style>
  <w:style w:type="character" w:customStyle="1" w:styleId="a4">
    <w:name w:val="题注 字符"/>
    <w:link w:val="a3"/>
    <w:qFormat/>
    <w:locked/>
    <w:rPr>
      <w:rFonts w:ascii="Cambria" w:eastAsia="黑体" w:hAnsi="Cambria"/>
    </w:rPr>
  </w:style>
  <w:style w:type="paragraph" w:customStyle="1" w:styleId="afb">
    <w:name w:val="标准正文"/>
    <w:basedOn w:val="a"/>
    <w:link w:val="Char1"/>
    <w:qFormat/>
    <w:pPr>
      <w:autoSpaceDE w:val="0"/>
      <w:autoSpaceDN w:val="0"/>
      <w:adjustRightInd w:val="0"/>
      <w:spacing w:line="360" w:lineRule="auto"/>
      <w:ind w:firstLineChars="200" w:firstLine="480"/>
      <w:jc w:val="left"/>
    </w:pPr>
    <w:rPr>
      <w:kern w:val="0"/>
      <w:sz w:val="24"/>
      <w:szCs w:val="24"/>
    </w:rPr>
  </w:style>
  <w:style w:type="character" w:customStyle="1" w:styleId="Char1">
    <w:name w:val="标准正文 Char1"/>
    <w:link w:val="afb"/>
    <w:qFormat/>
    <w:rPr>
      <w:sz w:val="24"/>
      <w:szCs w:val="24"/>
    </w:rPr>
  </w:style>
  <w:style w:type="character" w:customStyle="1" w:styleId="60">
    <w:name w:val="标题 6 字符"/>
    <w:basedOn w:val="a0"/>
    <w:link w:val="6"/>
    <w:semiHidden/>
    <w:qFormat/>
    <w:rPr>
      <w:rFonts w:asciiTheme="majorHAnsi" w:eastAsiaTheme="majorEastAsia" w:hAnsiTheme="majorHAnsi" w:cstheme="majorBidi"/>
      <w:b/>
      <w:bCs/>
      <w:kern w:val="2"/>
      <w:sz w:val="24"/>
      <w:szCs w:val="24"/>
    </w:rPr>
  </w:style>
  <w:style w:type="paragraph" w:customStyle="1" w:styleId="13">
    <w:name w:val="修订1"/>
    <w:hidden/>
    <w:uiPriority w:val="99"/>
    <w:semiHidden/>
    <w:qFormat/>
    <w:rPr>
      <w:kern w:val="2"/>
      <w:sz w:val="21"/>
    </w:rPr>
  </w:style>
  <w:style w:type="character" w:customStyle="1" w:styleId="14">
    <w:name w:val="未处理的提及1"/>
    <w:basedOn w:val="a0"/>
    <w:uiPriority w:val="99"/>
    <w:semiHidden/>
    <w:unhideWhenUsed/>
    <w:qFormat/>
    <w:rPr>
      <w:color w:val="605E5C"/>
      <w:shd w:val="clear" w:color="auto" w:fill="E1DFDD"/>
    </w:rPr>
  </w:style>
  <w:style w:type="character" w:customStyle="1" w:styleId="20">
    <w:name w:val="标题 2 字符"/>
    <w:basedOn w:val="a0"/>
    <w:link w:val="2"/>
    <w:semiHidden/>
    <w:qFormat/>
    <w:rPr>
      <w:rFonts w:asciiTheme="majorHAnsi" w:eastAsiaTheme="majorEastAsia" w:hAnsiTheme="majorHAnsi" w:cstheme="majorBidi"/>
      <w:b/>
      <w:bCs/>
      <w:kern w:val="2"/>
      <w:sz w:val="32"/>
      <w:szCs w:val="32"/>
    </w:rPr>
  </w:style>
  <w:style w:type="character" w:customStyle="1" w:styleId="ac">
    <w:name w:val="页脚 字符"/>
    <w:basedOn w:val="a0"/>
    <w:link w:val="ab"/>
    <w:uiPriority w:val="99"/>
    <w:qFormat/>
    <w:rPr>
      <w:kern w:val="2"/>
      <w:sz w:val="18"/>
      <w:szCs w:val="18"/>
    </w:rPr>
  </w:style>
  <w:style w:type="character" w:customStyle="1" w:styleId="22">
    <w:name w:val="未处理的提及2"/>
    <w:basedOn w:val="a0"/>
    <w:uiPriority w:val="99"/>
    <w:semiHidden/>
    <w:unhideWhenUsed/>
    <w:qFormat/>
    <w:rPr>
      <w:color w:val="605E5C"/>
      <w:shd w:val="clear" w:color="auto" w:fill="E1DFDD"/>
    </w:rPr>
  </w:style>
  <w:style w:type="paragraph" w:styleId="afc">
    <w:name w:val="Revision"/>
    <w:hidden/>
    <w:uiPriority w:val="99"/>
    <w:semiHidden/>
    <w:rsid w:val="00B17BDB"/>
    <w:rPr>
      <w:kern w:val="2"/>
      <w:sz w:val="21"/>
    </w:rPr>
  </w:style>
  <w:style w:type="character" w:styleId="afd">
    <w:name w:val="Unresolved Mention"/>
    <w:basedOn w:val="a0"/>
    <w:uiPriority w:val="99"/>
    <w:semiHidden/>
    <w:unhideWhenUsed/>
    <w:rsid w:val="00CA011E"/>
    <w:rPr>
      <w:color w:val="605E5C"/>
      <w:shd w:val="clear" w:color="auto" w:fill="E1DFDD"/>
    </w:rPr>
  </w:style>
  <w:style w:type="paragraph" w:customStyle="1" w:styleId="body">
    <w:name w:val="body"/>
    <w:basedOn w:val="a"/>
    <w:link w:val="bodyChar"/>
    <w:qFormat/>
    <w:rsid w:val="009727E4"/>
    <w:pPr>
      <w:widowControl/>
      <w:spacing w:line="360" w:lineRule="auto"/>
      <w:ind w:firstLineChars="200" w:firstLine="200"/>
    </w:pPr>
    <w:rPr>
      <w:rFonts w:cstheme="minorBidi"/>
      <w:kern w:val="0"/>
      <w:sz w:val="24"/>
      <w:szCs w:val="24"/>
    </w:rPr>
  </w:style>
  <w:style w:type="character" w:customStyle="1" w:styleId="bodyChar">
    <w:name w:val="body Char"/>
    <w:basedOn w:val="a0"/>
    <w:link w:val="body"/>
    <w:rsid w:val="009727E4"/>
    <w:rPr>
      <w:rFonts w:cstheme="minorBidi"/>
      <w:sz w:val="24"/>
      <w:szCs w:val="24"/>
    </w:rPr>
  </w:style>
  <w:style w:type="paragraph" w:customStyle="1" w:styleId="15">
    <w:name w:val="样式1"/>
    <w:basedOn w:val="a"/>
    <w:link w:val="16"/>
    <w:qFormat/>
    <w:rsid w:val="00CD183E"/>
    <w:pPr>
      <w:spacing w:line="240" w:lineRule="atLeast"/>
      <w:ind w:firstLine="420"/>
    </w:pPr>
    <w:rPr>
      <w:szCs w:val="21"/>
    </w:rPr>
  </w:style>
  <w:style w:type="character" w:customStyle="1" w:styleId="16">
    <w:name w:val="样式1 字符"/>
    <w:basedOn w:val="a0"/>
    <w:link w:val="15"/>
    <w:rsid w:val="00CD183E"/>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2.png"/><Relationship Id="rId5" Type="http://schemas.openxmlformats.org/officeDocument/2006/relationships/settings" Target="settings.xml"/><Relationship Id="rId61" Type="http://schemas.openxmlformats.org/officeDocument/2006/relationships/oleObject" Target="embeddings/oleObject24.bin"/><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image" Target="media/image33.png"/><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png"/><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image" Target="media/image14.png"/><Relationship Id="rId50" Type="http://schemas.openxmlformats.org/officeDocument/2006/relationships/image" Target="media/image23.wmf"/><Relationship Id="rId55"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246DF60-8C14-48B0-A73B-6FC5F77B3CD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3497</Words>
  <Characters>19933</Characters>
  <Application>Microsoft Office Word</Application>
  <DocSecurity>0</DocSecurity>
  <Lines>166</Lines>
  <Paragraphs>46</Paragraphs>
  <ScaleCrop>false</ScaleCrop>
  <Company>清华大学学报</Company>
  <LinksUpToDate>false</LinksUpToDate>
  <CharactersWithSpaces>23384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2007年版的</dc:title>
  <dc:creator>王利群</dc:creator>
  <cp:lastModifiedBy>yh X</cp:lastModifiedBy>
  <cp:revision>4</cp:revision>
  <cp:lastPrinted>2009-11-24T01:38:00Z</cp:lastPrinted>
  <dcterms:created xsi:type="dcterms:W3CDTF">2025-04-27T06:48:00Z</dcterms:created>
  <dcterms:modified xsi:type="dcterms:W3CDTF">2026-04-13T03:59:00Z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loadURL">
    <vt:lpwstr>DD05E882EB56BE66A20C93E95CD733373092E89C5E5E5FC836288CD7A0298EBC06AFA8249EA8FA43AAD96F8F764862B23D5A2BE6A8FF37D632930891BBDCF49EC63EED2606961908FFD843130D3394B7205CDB874B8D65429093F78727AB6434</vt:lpwstr>
  </property>
  <property fmtid="{D5CDD505-2E9C-101B-9397-08002B2CF9AE}" pid="3" name="GrammarlyDocumentId">
    <vt:lpwstr>ed255fd11ba9f115e7b905eba1c0c72ee2241b6f8f5c1d7e53531c6f2d8b1138</vt:lpwstr>
  </property>
  <property fmtid="{D5CDD505-2E9C-101B-9397-08002B2CF9AE}" pid="4" name="MTWinEqns">
    <vt:bool>true</vt:bool>
  </property>
  <property fmtid="{D5CDD505-2E9C-101B-9397-08002B2CF9AE}" pid="5" name="KSOProductBuildVer">
    <vt:lpwstr>2052-11.1.0.13703</vt:lpwstr>
  </property>
  <property fmtid="{D5CDD505-2E9C-101B-9397-08002B2CF9AE}" pid="6" name="ICV">
    <vt:lpwstr>13C826485704400ABA6A2BA73FD5B8AC</vt:lpwstr>
  </property>
</Properties>
</file>