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4F9F38" w14:textId="77777777" w:rsidR="00FF694E" w:rsidRDefault="00000000">
      <w:pPr>
        <w:pStyle w:val="af2"/>
        <w:rPr>
          <w:rFonts w:hint="eastAsia"/>
        </w:rPr>
      </w:pPr>
      <w:bookmarkStart w:id="0" w:name="中文标题_2"/>
      <w:r>
        <w:rPr>
          <w:rFonts w:hAnsi="Times New Roman"/>
        </w:rPr>
        <w:t>基于原位虚实交互的盾构机空推过站仿真方法</w:t>
      </w:r>
      <w:bookmarkEnd w:id="0"/>
    </w:p>
    <w:p w14:paraId="4F9C11AB" w14:textId="77777777" w:rsidR="00FF694E" w:rsidRDefault="00FF694E">
      <w:pPr>
        <w:pStyle w:val="afff7"/>
      </w:pPr>
    </w:p>
    <w:p w14:paraId="3E109473" w14:textId="77777777" w:rsidR="00FF694E" w:rsidRDefault="00FF694E">
      <w:pPr>
        <w:jc w:val="center"/>
        <w:rPr>
          <w:rFonts w:ascii="宋体" w:hAnsi="宋体" w:hint="eastAsia"/>
          <w:sz w:val="24"/>
        </w:rPr>
      </w:pPr>
    </w:p>
    <w:p w14:paraId="1D1BE84E" w14:textId="77777777" w:rsidR="00FF694E" w:rsidRDefault="00FF694E">
      <w:pPr>
        <w:pStyle w:val="af2"/>
        <w:rPr>
          <w:rFonts w:hint="eastAsia"/>
        </w:rPr>
        <w:sectPr w:rsidR="00FF694E">
          <w:headerReference w:type="even" r:id="rId10"/>
          <w:headerReference w:type="default" r:id="rId11"/>
          <w:headerReference w:type="first" r:id="rId12"/>
          <w:footerReference w:type="first" r:id="rId13"/>
          <w:endnotePr>
            <w:numFmt w:val="decimal"/>
          </w:endnotePr>
          <w:type w:val="continuous"/>
          <w:pgSz w:w="11906" w:h="16838"/>
          <w:pgMar w:top="1701" w:right="1134" w:bottom="1134" w:left="1134" w:header="992" w:footer="992" w:gutter="0"/>
          <w:cols w:space="720"/>
          <w:titlePg/>
          <w:docGrid w:type="lines" w:linePitch="312"/>
        </w:sectPr>
      </w:pPr>
    </w:p>
    <w:p w14:paraId="52ABBAB9" w14:textId="77777777" w:rsidR="00FF694E" w:rsidRDefault="00000000">
      <w:pPr>
        <w:pStyle w:val="affff3"/>
        <w:rPr>
          <w:rFonts w:eastAsia="楷体" w:hint="eastAsia"/>
        </w:rPr>
      </w:pPr>
      <w:bookmarkStart w:id="1" w:name="中文摘要_2"/>
      <w:r>
        <w:rPr>
          <w:rStyle w:val="af5"/>
          <w:szCs w:val="18"/>
        </w:rPr>
        <w:t>摘  要：</w:t>
      </w:r>
      <w:r>
        <w:rPr>
          <w:rFonts w:hAnsi="Times New Roman"/>
        </w:rPr>
        <w:t>在地铁隧道建设中，由于盾构机体积和质量较大，在狭窄的地下空间进行空推过站时，极易与隧道主体结构或周边临时设施发生碰撞，构成重大安全风险。传统检验盾构机过站的方式依赖有限传感器和人工测量的方法实时感知能力弱、精度不足，现场实物演练则风险高、成本大且难以重复；而纯虚拟仿真难以精确反映复杂多变的真实施工环境细节。针对这一地下空间约束性强、碰撞风险点隐蔽且动态演变的痛点，本研究提出一种基于原位虚实交互的盾构机空推过站仿真方法。首先，融合盾构机及施工场景多源数据，构建高保真虚拟模型；其次，通过混合现实技术及数据处理算法，将盾构机虚拟模型高精度配准并同步至真实施工现场，实现虚拟模型与真实环境的实时耦合模拟及碰撞检测反馈；最终，经北京平谷地铁站盾构机空推过站原位仿真验证，该方法实现了虚实同步精度</w:t>
      </w:r>
      <w:r>
        <w:rPr>
          <w:rFonts w:hAnsi="Times New Roman"/>
        </w:rPr>
        <w:t>±4.5mm</w:t>
      </w:r>
      <w:r>
        <w:rPr>
          <w:rFonts w:hAnsi="Times New Roman"/>
        </w:rPr>
        <w:t>、核心计算延迟</w:t>
      </w:r>
      <w:r>
        <w:rPr>
          <w:rFonts w:hAnsi="Times New Roman"/>
        </w:rPr>
        <w:t>&lt;6ms</w:t>
      </w:r>
      <w:r>
        <w:rPr>
          <w:rFonts w:hAnsi="Times New Roman"/>
        </w:rPr>
        <w:t>、可视化延迟</w:t>
      </w:r>
      <w:r>
        <w:rPr>
          <w:rFonts w:hAnsi="Times New Roman"/>
        </w:rPr>
        <w:t>&lt;77ms</w:t>
      </w:r>
      <w:r>
        <w:rPr>
          <w:rFonts w:hAnsi="Times New Roman"/>
        </w:rPr>
        <w:t>、虚实帧同步率</w:t>
      </w:r>
      <w:r>
        <w:rPr>
          <w:rFonts w:hAnsi="Times New Roman"/>
        </w:rPr>
        <w:t>&gt;95%</w:t>
      </w:r>
      <w:r>
        <w:rPr>
          <w:rFonts w:hAnsi="Times New Roman"/>
        </w:rPr>
        <w:t>的高性能表现，能实时触发碰撞部件高亮预警，有效解决了传统方法实时性与精度不足的问题，显著提升了复杂地下空间盾构机空推过站过程碰撞风险的超前识别与预警能力，为现场人员决策提供即时、可靠的依据。</w:t>
      </w:r>
      <w:bookmarkEnd w:id="1"/>
    </w:p>
    <w:p w14:paraId="21272280" w14:textId="77777777" w:rsidR="00FF694E" w:rsidRDefault="00000000">
      <w:pPr>
        <w:rPr>
          <w:rFonts w:eastAsia="楷体" w:hAnsi="楷体" w:hint="eastAsia"/>
          <w:sz w:val="18"/>
          <w:szCs w:val="18"/>
        </w:rPr>
      </w:pPr>
      <w:r>
        <w:rPr>
          <w:rStyle w:val="af6"/>
          <w:sz w:val="18"/>
          <w:szCs w:val="18"/>
        </w:rPr>
        <w:t>关键词：</w:t>
      </w:r>
      <w:bookmarkStart w:id="2" w:name="中文关键词_2"/>
      <w:r>
        <w:rPr>
          <w:rStyle w:val="af7"/>
          <w:kern w:val="0"/>
          <w:szCs w:val="20"/>
        </w:rPr>
        <w:t>混合现实；空推过站；原位；仿真方法；盾构施工</w:t>
      </w:r>
      <w:bookmarkEnd w:id="2"/>
    </w:p>
    <w:p w14:paraId="7563536D" w14:textId="77777777" w:rsidR="00FF694E" w:rsidRDefault="00000000">
      <w:pPr>
        <w:rPr>
          <w:rStyle w:val="aff7"/>
          <w:sz w:val="18"/>
          <w:szCs w:val="18"/>
        </w:rPr>
      </w:pPr>
      <w:r>
        <w:rPr>
          <w:rFonts w:ascii="黑体" w:eastAsia="黑体" w:hAnsi="黑体"/>
          <w:sz w:val="18"/>
          <w:szCs w:val="18"/>
        </w:rPr>
        <w:t>中图分类号：</w:t>
      </w:r>
      <w:bookmarkStart w:id="3" w:name="中图分类号_1"/>
      <w:r>
        <w:rPr>
          <w:rStyle w:val="aff6"/>
          <w:kern w:val="0"/>
          <w:sz w:val="20"/>
          <w:szCs w:val="20"/>
        </w:rPr>
        <w:t>TU17</w:t>
      </w:r>
      <w:bookmarkEnd w:id="3"/>
      <w:r>
        <w:rPr>
          <w:rFonts w:hint="eastAsia"/>
          <w:sz w:val="18"/>
          <w:szCs w:val="18"/>
        </w:rPr>
        <w:t xml:space="preserve">  </w:t>
      </w:r>
      <w:r>
        <w:rPr>
          <w:rFonts w:ascii="黑体" w:eastAsia="黑体" w:hAnsi="黑体"/>
          <w:sz w:val="18"/>
          <w:szCs w:val="18"/>
        </w:rPr>
        <w:t>文献标</w:t>
      </w:r>
      <w:r>
        <w:rPr>
          <w:rFonts w:ascii="黑体" w:eastAsia="黑体" w:hAnsi="黑体" w:hint="eastAsia"/>
          <w:sz w:val="18"/>
          <w:szCs w:val="18"/>
        </w:rPr>
        <w:t>志</w:t>
      </w:r>
      <w:r>
        <w:rPr>
          <w:rFonts w:ascii="黑体" w:eastAsia="黑体" w:hAnsi="黑体"/>
          <w:sz w:val="18"/>
          <w:szCs w:val="18"/>
        </w:rPr>
        <w:t>码：</w:t>
      </w:r>
      <w:bookmarkStart w:id="4" w:name="文献标志码_1"/>
      <w:r>
        <w:rPr>
          <w:rStyle w:val="aff7"/>
          <w:kern w:val="0"/>
          <w:sz w:val="20"/>
          <w:szCs w:val="20"/>
        </w:rPr>
        <w:t>A</w:t>
      </w:r>
      <w:bookmarkEnd w:id="4"/>
    </w:p>
    <w:p w14:paraId="7E846F02" w14:textId="77777777" w:rsidR="00FF694E" w:rsidRDefault="00000000">
      <w:pPr>
        <w:ind w:rightChars="150" w:right="315"/>
        <w:rPr>
          <w:rStyle w:val="aff8"/>
        </w:rPr>
      </w:pPr>
      <w:bookmarkStart w:id="5" w:name="[文章编号]_1"/>
      <w:r>
        <w:rPr>
          <w:rFonts w:ascii="黑体" w:eastAsia="黑体" w:hAnsi="黑体"/>
          <w:sz w:val="18"/>
          <w:szCs w:val="18"/>
        </w:rPr>
        <w:t>文章编号：</w:t>
      </w:r>
      <w:bookmarkEnd w:id="5"/>
    </w:p>
    <w:p w14:paraId="39A3AE04" w14:textId="77777777" w:rsidR="00FF694E" w:rsidRDefault="00000000">
      <w:pPr>
        <w:pStyle w:val="afe"/>
        <w:ind w:firstLine="420"/>
      </w:pPr>
      <w:bookmarkStart w:id="6" w:name="正文段落_2_0"/>
      <w:r>
        <w:t>随着国家建设水平逐年提高以及城市化水平不断加快，我国城市快速轨道交通正蓬勃发展，在地铁施工过程中为了缩短工期，大多数采用地铁车站与地铁隧道同时进行建设的施工方法</w:t>
      </w:r>
      <w:r>
        <w:rPr>
          <w:vertAlign w:val="superscript"/>
        </w:rPr>
        <w:t>[1]</w:t>
      </w:r>
      <w:r>
        <w:t>。建设地铁隧道使用的盾构机在当前区间完成盾构工作后，需要在地铁车站空推过站到车站另一端，到下一个区间进行隧道建设，相比地上工程，地下工程存在空间狭窄，线路埋深浅、站间距小、工期风险高、施工组织困难等问题</w:t>
      </w:r>
      <w:r>
        <w:rPr>
          <w:vertAlign w:val="superscript"/>
        </w:rPr>
        <w:t>[2]</w:t>
      </w:r>
      <w:r>
        <w:t>，且盾构机的体积及自重较大，盾构机空推过站的安全问题成为地铁建设的难题之一。</w:t>
      </w:r>
      <w:bookmarkEnd w:id="6"/>
    </w:p>
    <w:p w14:paraId="5757A6E5" w14:textId="77777777" w:rsidR="00FF694E" w:rsidRDefault="00000000">
      <w:pPr>
        <w:pStyle w:val="afe"/>
        <w:ind w:firstLine="420"/>
      </w:pPr>
      <w:bookmarkStart w:id="7" w:name="正文段落_4_0"/>
      <w:r>
        <w:t>当前盾构机空推过站多采用人工现场测量和传感器数据相结合的方式，初步实现了盾构机的智能化，虽然一定程度上提高了盾构机空推过站过程中的风险管理能力</w:t>
      </w:r>
      <w:r>
        <w:rPr>
          <w:vertAlign w:val="superscript"/>
        </w:rPr>
        <w:t>[3]</w:t>
      </w:r>
      <w:r>
        <w:t>，但由于（</w:t>
      </w:r>
      <w:r>
        <w:t>1</w:t>
      </w:r>
      <w:r>
        <w:t>）盾构机运行过程中数据更新机制的局限性，盾构隧道作业参数的调整仍然严重依赖于人类操作员的经验或固定间隔的传感器采样、并对数据进一步处理。这个过程耗</w:t>
      </w:r>
      <w:r>
        <w:t>时费力，且无法捕捉施工过程中连续动态变化的特征</w:t>
      </w:r>
      <w:r>
        <w:rPr>
          <w:vertAlign w:val="superscript"/>
        </w:rPr>
        <w:t>[4]</w:t>
      </w:r>
      <w:r>
        <w:t>。（</w:t>
      </w:r>
      <w:r>
        <w:t>2</w:t>
      </w:r>
      <w:r>
        <w:t>）盾构机过站时，受施工振动、温度变形等因素影响持续变化，可能会发生临时支撑设施发生位姿偏移等情况，但模型仍按照初始设计图纸坐标和扫描数据进行干涉校验，未纳入实时位姿监测数据，导致盾构机轴线纠偏决策依据过时和干涉误判的发生</w:t>
      </w:r>
      <w:r>
        <w:rPr>
          <w:vertAlign w:val="superscript"/>
        </w:rPr>
        <w:t>[5]</w:t>
      </w:r>
      <w:r>
        <w:t>。</w:t>
      </w:r>
      <w:bookmarkEnd w:id="7"/>
    </w:p>
    <w:p w14:paraId="58AA780E" w14:textId="77777777" w:rsidR="00FF694E" w:rsidRDefault="00000000">
      <w:pPr>
        <w:pStyle w:val="afe"/>
        <w:ind w:firstLine="420"/>
      </w:pPr>
      <w:bookmarkStart w:id="8" w:name="正文段落_6_0"/>
      <w:r>
        <w:t>在施工现场的安全风险管理实践中，危险识别是预防事故和保护工人的关键步骤</w:t>
      </w:r>
      <w:r>
        <w:rPr>
          <w:vertAlign w:val="superscript"/>
        </w:rPr>
        <w:t>[6]</w:t>
      </w:r>
      <w:r>
        <w:t>。有研究表明表明，建筑工地上大约</w:t>
      </w:r>
      <w:r>
        <w:t>50%</w:t>
      </w:r>
      <w:r>
        <w:t>的风险没有得到及时识别</w:t>
      </w:r>
      <w:r>
        <w:rPr>
          <w:vertAlign w:val="superscript"/>
        </w:rPr>
        <w:t>[7]</w:t>
      </w:r>
      <w:r>
        <w:t>。然而，盾构机空推过站涉及庞大设备在极端受限空间内移动，直接进行实物演练或实验风险极高、成本大且难以重复进行，同时各种人为因素和动态复杂环境会影响工人用来确定安全风险的视觉搜索过程，给施工带来新的风险。因此，面对复杂场景的施工任务，仿真模拟是必不可少的手段。</w:t>
      </w:r>
      <w:r>
        <w:t>Zhou</w:t>
      </w:r>
      <w:r>
        <w:rPr>
          <w:vertAlign w:val="superscript"/>
        </w:rPr>
        <w:t>[8]</w:t>
      </w:r>
      <w:r>
        <w:t>等人通过</w:t>
      </w:r>
      <w:r>
        <w:t>AR(Augmented Reality)</w:t>
      </w:r>
      <w:r>
        <w:t>系统将</w:t>
      </w:r>
      <w:r>
        <w:t>BIM(Building Information Modeling)</w:t>
      </w:r>
      <w:r>
        <w:t>模型与隧道管片实际位移进行配对，验证了其精度可满足工程检测需求，并显著提高检查效率。</w:t>
      </w:r>
      <w:r>
        <w:t>Lee</w:t>
      </w:r>
      <w:r>
        <w:rPr>
          <w:vertAlign w:val="superscript"/>
        </w:rPr>
        <w:t>[9]</w:t>
      </w:r>
      <w:r>
        <w:t>等利用安全标志进行图像配准实现混合现实工厂布局规划，但系统仅支持单标志注册虚拟物体，且缺乏未建立物理设备与虚拟模型的实时交互反馈机制。类似地，在盾构机的仿真模拟过程中，吕佳峻</w:t>
      </w:r>
      <w:r>
        <w:rPr>
          <w:vertAlign w:val="superscript"/>
        </w:rPr>
        <w:t>[10]</w:t>
      </w:r>
      <w:r>
        <w:t>借助</w:t>
      </w:r>
      <w:r>
        <w:t>Unity</w:t>
      </w:r>
      <w:r>
        <w:t>引擎实现了盾构机掘进过程中的模拟仿真。但盾构机运动过程是通过动画制作实现的，缺乏一定的实时交互性。寇健恺</w:t>
      </w:r>
      <w:r>
        <w:rPr>
          <w:vertAlign w:val="superscript"/>
        </w:rPr>
        <w:t>[11]</w:t>
      </w:r>
      <w:r>
        <w:t>提出基于位置动力学的盾构掘进虚拟仿真方法，将刀盘</w:t>
      </w:r>
      <w:r>
        <w:rPr>
          <w:rFonts w:hint="eastAsia"/>
        </w:rPr>
        <w:t>-</w:t>
      </w:r>
      <w:r>
        <w:t>碎石作用及掘进参数统一表征为约束求解，优化了碰撞检测。但模型对物理作用存在简化，且缺乏与实际盾构机的实时物理反馈闭环。翟晓强</w:t>
      </w:r>
      <w:r>
        <w:rPr>
          <w:vertAlign w:val="superscript"/>
        </w:rPr>
        <w:t>[12]</w:t>
      </w:r>
      <w:r>
        <w:t>等构建盾构施工仿真三维模型模拟施工场景但是通过</w:t>
      </w:r>
      <w:r>
        <w:t>3ds Max</w:t>
      </w:r>
      <w:r>
        <w:t>来制作掘进动画，缺少实时交互性。</w:t>
      </w:r>
      <w:bookmarkEnd w:id="8"/>
    </w:p>
    <w:p w14:paraId="1ECC9B43" w14:textId="77777777" w:rsidR="00FF694E" w:rsidRDefault="00000000">
      <w:pPr>
        <w:pStyle w:val="afe"/>
        <w:ind w:firstLine="420"/>
      </w:pPr>
      <w:bookmarkStart w:id="9" w:name="正文段落_8_0"/>
      <w:r>
        <w:t>因此，本研究提出基于</w:t>
      </w:r>
      <w:r>
        <w:t>MR(Mixed Reality)</w:t>
      </w:r>
      <w:r>
        <w:t>的原位虚实交互盾构机空推过站仿真方法，该方法区别于依赖预设模型或动画的纯虚拟仿真，通过混合现实等多种技术的融合，创新性地将虚拟模型原位映射到真实施工环境中实现实时交互，通过在真实环境中原位模拟盾构机空推过站全过程，能够为过站中潜在碰撞点及异常情况提供数据支撑，辅助现场</w:t>
      </w:r>
      <w:r>
        <w:lastRenderedPageBreak/>
        <w:t>工人进行决策，同时也为盾构机风险管理新方法的提出提供一定的参考价值。</w:t>
      </w:r>
      <w:bookmarkEnd w:id="9"/>
    </w:p>
    <w:p w14:paraId="2A6D1B94" w14:textId="77777777" w:rsidR="00FF694E" w:rsidRDefault="00000000">
      <w:pPr>
        <w:pStyle w:val="aff"/>
        <w:keepNext/>
        <w:spacing w:before="156" w:after="156"/>
      </w:pPr>
      <w:bookmarkStart w:id="10" w:name="一级标题序号_1_0"/>
      <w:bookmarkStart w:id="11" w:name="一级标题_2_0"/>
      <w:r>
        <w:rPr>
          <w:rStyle w:val="afffa"/>
          <w:b/>
          <w:kern w:val="0"/>
          <w:szCs w:val="20"/>
        </w:rPr>
        <w:t xml:space="preserve">1 </w:t>
      </w:r>
      <w:bookmarkEnd w:id="10"/>
      <w:r>
        <w:t>原位虚实交互仿真方法</w:t>
      </w:r>
      <w:bookmarkEnd w:id="11"/>
    </w:p>
    <w:p w14:paraId="36C7C61F" w14:textId="77777777" w:rsidR="00FF694E" w:rsidRDefault="00000000">
      <w:pPr>
        <w:pStyle w:val="aff0"/>
        <w:keepNext/>
      </w:pPr>
      <w:bookmarkStart w:id="12" w:name="二级标题序号_2_0"/>
      <w:bookmarkStart w:id="13" w:name="二级标题_2_0"/>
      <w:r>
        <w:rPr>
          <w:rStyle w:val="affff2"/>
          <w:b/>
          <w:szCs w:val="20"/>
        </w:rPr>
        <w:t xml:space="preserve">1.1 </w:t>
      </w:r>
      <w:bookmarkEnd w:id="12"/>
      <w:r>
        <w:t>系统总体框架</w:t>
      </w:r>
      <w:bookmarkEnd w:id="13"/>
    </w:p>
    <w:p w14:paraId="2908666F" w14:textId="77777777" w:rsidR="00FF694E" w:rsidRDefault="00000000">
      <w:pPr>
        <w:pStyle w:val="afe"/>
        <w:ind w:firstLine="420"/>
      </w:pPr>
      <w:bookmarkStart w:id="14" w:name="正文段落_10_0"/>
      <w:r>
        <w:t>本研究的方法框架基于</w:t>
      </w:r>
      <w:r>
        <w:t>BIM</w:t>
      </w:r>
      <w:r>
        <w:t>技术，收集前期阶段各种构件信息，然后使用</w:t>
      </w:r>
      <w:r>
        <w:t>unity 3D</w:t>
      </w:r>
      <w:r>
        <w:t>游戏引擎开发了基于</w:t>
      </w:r>
      <w:r>
        <w:t>MR</w:t>
      </w:r>
      <w:r>
        <w:t>的盾构机虚实交互仿真方法</w:t>
      </w:r>
      <w:r>
        <w:rPr>
          <w:vertAlign w:val="superscript"/>
        </w:rPr>
        <w:t>[13]</w:t>
      </w:r>
      <w:r>
        <w:t>。</w:t>
      </w:r>
      <w:bookmarkEnd w:id="14"/>
    </w:p>
    <w:p w14:paraId="424E7BA1" w14:textId="77777777" w:rsidR="00FF694E" w:rsidRDefault="00000000">
      <w:pPr>
        <w:pStyle w:val="afe"/>
        <w:ind w:firstLine="420"/>
      </w:pPr>
      <w:bookmarkStart w:id="15" w:name="正文段落_12_0"/>
      <w:r>
        <w:t>该方法的核心框架旨在给地下极端受限空间内动态碰撞风险精准感知与防控提供解决思路，构建了一个贯通数据融合、空间映射、运动仿真、动态反馈的闭环仿真系统。具体技术路线为：第一步，实现多源异构数据的数据转译融合与轻量化解析，构建高保真、可驱动的盾构机及施工环境虚拟模型，奠定精准仿真的数据基石；第二步，融合参数化</w:t>
      </w:r>
      <w:r>
        <w:t>BIM</w:t>
      </w:r>
      <w:r>
        <w:t>模型与实时传感数据，建立盾构机多自由度运动学</w:t>
      </w:r>
      <w:r>
        <w:t>精确仿真模型，驱动虚拟盾构机沿规划轴线完成位姿六自由度动态匹配，实现空推过站全流程的高保真动态模拟；第三步，将虚拟对象与物理对象对齐，突破性实现虚拟模型在真实施工环境的高精度动态配准与实时叠加可视化，以实现真实环境中无线传感器网络内静态和动态多源信息的无缝原位集成。第四步，构建基于物理引擎的高效碰撞检测与多模态即时反馈机制，识别盾构机与隧道衬砌、地下管线等关键障碍物的潜在干涉风险，并联动视觉高亮、空间音频等多通道交互手段提供直观、强化的预警信号；最终，集成上述核心模块，形成一套在真实隧道环境中运行、支撑盾构机空推过站全流程实时仿真与风险预警的原位虚实交互方法，为工程现场动态碰撞风险精准感知与防控提供闭环解决方案。</w:t>
      </w:r>
      <w:bookmarkEnd w:id="15"/>
    </w:p>
    <w:p w14:paraId="57E99805" w14:textId="77777777" w:rsidR="00FF694E" w:rsidRDefault="00FF694E">
      <w:pPr>
        <w:pStyle w:val="afe"/>
        <w:ind w:firstLine="420"/>
      </w:pPr>
    </w:p>
    <w:p w14:paraId="3779CB10" w14:textId="77777777" w:rsidR="00FF694E" w:rsidRDefault="00FF694E">
      <w:pPr>
        <w:pStyle w:val="afe"/>
        <w:ind w:firstLine="420"/>
        <w:sectPr w:rsidR="00FF694E">
          <w:endnotePr>
            <w:numFmt w:val="decimal"/>
          </w:endnotePr>
          <w:type w:val="continuous"/>
          <w:pgSz w:w="11906" w:h="16838"/>
          <w:pgMar w:top="1701" w:right="1134" w:bottom="1134" w:left="1134" w:header="992" w:footer="992" w:gutter="0"/>
          <w:cols w:num="2" w:space="420"/>
          <w:docGrid w:type="lines" w:linePitch="312"/>
        </w:sectPr>
      </w:pPr>
    </w:p>
    <w:p w14:paraId="566FF715" w14:textId="77777777" w:rsidR="00FF694E" w:rsidRDefault="00000000">
      <w:pPr>
        <w:pStyle w:val="affff"/>
        <w:keepLines/>
      </w:pPr>
      <w:bookmarkStart w:id="16" w:name="嵌入式图形_1_0"/>
      <w:r>
        <w:rPr>
          <w:noProof/>
        </w:rPr>
        <w:drawing>
          <wp:inline distT="0" distB="0" distL="114300" distR="114300" wp14:anchorId="0E33CE18" wp14:editId="747625CA">
            <wp:extent cx="4742180" cy="3807460"/>
            <wp:effectExtent l="0" t="0" r="7620" b="2540"/>
            <wp:docPr id="5" name="Nam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ame 1"/>
                    <pic:cNvPicPr>
                      <a:picLocks noChangeAspect="1"/>
                    </pic:cNvPicPr>
                  </pic:nvPicPr>
                  <pic:blipFill>
                    <a:blip r:embed="rId14"/>
                    <a:stretch>
                      <a:fillRect/>
                    </a:stretch>
                  </pic:blipFill>
                  <pic:spPr>
                    <a:xfrm>
                      <a:off x="0" y="0"/>
                      <a:ext cx="4742180" cy="3807460"/>
                    </a:xfrm>
                    <a:prstGeom prst="rect">
                      <a:avLst/>
                    </a:prstGeom>
                    <a:noFill/>
                    <a:ln>
                      <a:noFill/>
                    </a:ln>
                  </pic:spPr>
                </pic:pic>
              </a:graphicData>
            </a:graphic>
          </wp:inline>
        </w:drawing>
      </w:r>
      <w:bookmarkEnd w:id="16"/>
    </w:p>
    <w:p w14:paraId="2066CB67" w14:textId="77777777" w:rsidR="00FF694E" w:rsidRDefault="00000000">
      <w:pPr>
        <w:pStyle w:val="afffd"/>
      </w:pPr>
      <w:bookmarkStart w:id="17" w:name="中文图序_1_0"/>
      <w:bookmarkStart w:id="18" w:name="中文图题_1_0"/>
      <w:r>
        <w:t>图</w:t>
      </w:r>
      <w:r>
        <w:t>1</w:t>
      </w:r>
      <w:bookmarkEnd w:id="17"/>
      <w:r>
        <w:t xml:space="preserve"> </w:t>
      </w:r>
      <w:r>
        <w:t>盾构机空推过站动态仿真技术路线</w:t>
      </w:r>
      <w:bookmarkEnd w:id="18"/>
    </w:p>
    <w:p w14:paraId="2296020A" w14:textId="77777777" w:rsidR="00FF694E" w:rsidRDefault="00FF694E">
      <w:pPr>
        <w:pStyle w:val="afffd"/>
      </w:pPr>
    </w:p>
    <w:p w14:paraId="6FD90861" w14:textId="77777777" w:rsidR="00FF694E" w:rsidRDefault="00FF694E">
      <w:pPr>
        <w:pStyle w:val="afffd"/>
        <w:sectPr w:rsidR="00FF694E">
          <w:endnotePr>
            <w:numFmt w:val="decimal"/>
          </w:endnotePr>
          <w:type w:val="continuous"/>
          <w:pgSz w:w="11906" w:h="16838"/>
          <w:pgMar w:top="1701" w:right="1134" w:bottom="1134" w:left="1134" w:header="992" w:footer="992" w:gutter="0"/>
          <w:cols w:space="420"/>
          <w:docGrid w:type="lines" w:linePitch="312"/>
        </w:sectPr>
      </w:pPr>
    </w:p>
    <w:p w14:paraId="74236DC4" w14:textId="77777777" w:rsidR="00FF694E" w:rsidRDefault="00000000">
      <w:pPr>
        <w:pStyle w:val="aff"/>
        <w:keepNext/>
        <w:spacing w:before="156" w:after="156"/>
      </w:pPr>
      <w:bookmarkStart w:id="19" w:name="一级标题序号_3_0"/>
      <w:bookmarkStart w:id="20" w:name="一级标题_4_0"/>
      <w:r>
        <w:rPr>
          <w:rStyle w:val="afffa"/>
          <w:b/>
          <w:kern w:val="0"/>
          <w:szCs w:val="20"/>
        </w:rPr>
        <w:t xml:space="preserve">2 </w:t>
      </w:r>
      <w:bookmarkEnd w:id="19"/>
      <w:r>
        <w:t>空推施工演化系统建立</w:t>
      </w:r>
      <w:bookmarkEnd w:id="20"/>
    </w:p>
    <w:p w14:paraId="0E36F436" w14:textId="77777777" w:rsidR="00FF694E" w:rsidRDefault="00000000">
      <w:pPr>
        <w:pStyle w:val="aff0"/>
        <w:keepNext/>
      </w:pPr>
      <w:bookmarkStart w:id="21" w:name="二级标题序号_4_0"/>
      <w:bookmarkStart w:id="22" w:name="二级标题_4_0"/>
      <w:r>
        <w:rPr>
          <w:rStyle w:val="affff2"/>
          <w:b/>
          <w:szCs w:val="20"/>
        </w:rPr>
        <w:t xml:space="preserve">2.1 </w:t>
      </w:r>
      <w:bookmarkEnd w:id="21"/>
      <w:r>
        <w:t>多源数据智能融合与解析</w:t>
      </w:r>
      <w:bookmarkEnd w:id="22"/>
    </w:p>
    <w:p w14:paraId="6D4386C5" w14:textId="77777777" w:rsidR="00FF694E" w:rsidRDefault="00000000">
      <w:pPr>
        <w:pStyle w:val="afe"/>
        <w:ind w:firstLine="420"/>
      </w:pPr>
      <w:bookmarkStart w:id="23" w:name="正文段落_14_0"/>
      <w:r>
        <w:t>为实现高保真虚拟模型在混合现实设备上的高效呈现与实时交互，基于</w:t>
      </w:r>
      <w:r>
        <w:t>3ds Max</w:t>
      </w:r>
      <w:r>
        <w:t>、</w:t>
      </w:r>
      <w:r>
        <w:t>Revit</w:t>
      </w:r>
      <w:r>
        <w:t>与</w:t>
      </w:r>
      <w:proofErr w:type="spellStart"/>
      <w:r>
        <w:t>Pixyz</w:t>
      </w:r>
      <w:proofErr w:type="spellEnd"/>
      <w:r>
        <w:t xml:space="preserve"> Studio</w:t>
      </w:r>
      <w:r>
        <w:t>工具链，构建</w:t>
      </w:r>
      <w:r>
        <w:t>“</w:t>
      </w:r>
      <w:r>
        <w:t>数据转译</w:t>
      </w:r>
      <w:r>
        <w:t>-</w:t>
      </w:r>
      <w:r>
        <w:t>轻量化</w:t>
      </w:r>
      <w:r>
        <w:t>-</w:t>
      </w:r>
      <w:r>
        <w:t>跨平台集成</w:t>
      </w:r>
      <w:r>
        <w:t>”</w:t>
      </w:r>
      <w:r>
        <w:t>全流程框架，来搭建混合现实设备环境中的虚拟模型。</w:t>
      </w:r>
      <w:bookmarkEnd w:id="23"/>
    </w:p>
    <w:p w14:paraId="52961486" w14:textId="77777777" w:rsidR="00FF694E" w:rsidRDefault="00000000">
      <w:pPr>
        <w:pStyle w:val="afe"/>
        <w:ind w:firstLine="420"/>
      </w:pPr>
      <w:bookmarkStart w:id="24" w:name="正文段落_16_0"/>
      <w:r>
        <w:t>（</w:t>
      </w:r>
      <w:r>
        <w:t>1</w:t>
      </w:r>
      <w:r>
        <w:t>）</w:t>
      </w:r>
      <w:r>
        <w:t>BIM</w:t>
      </w:r>
      <w:r>
        <w:t>数据提取与几何重建</w:t>
      </w:r>
      <w:bookmarkEnd w:id="24"/>
    </w:p>
    <w:p w14:paraId="629E3451" w14:textId="77777777" w:rsidR="00FF694E" w:rsidRDefault="00000000">
      <w:pPr>
        <w:pStyle w:val="afe"/>
        <w:ind w:firstLine="420"/>
      </w:pPr>
      <w:bookmarkStart w:id="25" w:name="正文段落_18_0"/>
      <w:r>
        <w:t>以盾构机</w:t>
      </w:r>
      <w:r>
        <w:t>3dsmax</w:t>
      </w:r>
      <w:r>
        <w:t>模型和地铁站</w:t>
      </w:r>
      <w:r>
        <w:t>BIM</w:t>
      </w:r>
      <w:r>
        <w:t>模型为数据源，通过</w:t>
      </w:r>
      <w:r>
        <w:t>Revit API</w:t>
      </w:r>
      <w:r>
        <w:t>提取地铁站</w:t>
      </w:r>
      <w:r>
        <w:t>BIM</w:t>
      </w:r>
      <w:r>
        <w:t>模型的几何数据与属性信息；同时解析</w:t>
      </w:r>
      <w:r>
        <w:t>3ds Max</w:t>
      </w:r>
      <w:r>
        <w:t>盾构机模型的多层</w:t>
      </w:r>
      <w:r>
        <w:lastRenderedPageBreak/>
        <w:t>级几何结构，保留核心子系统装配关系，实现模型多源数据信息的处理与集成保证信息传递过程中的完整性与高效性，优化图形渲染与数据传输效率。</w:t>
      </w:r>
      <w:bookmarkEnd w:id="25"/>
    </w:p>
    <w:p w14:paraId="6A49E6E2" w14:textId="77777777" w:rsidR="00FF694E" w:rsidRDefault="00000000">
      <w:pPr>
        <w:pStyle w:val="afe"/>
        <w:ind w:firstLine="420"/>
      </w:pPr>
      <w:bookmarkStart w:id="26" w:name="正文段落_20_0"/>
      <w:r>
        <w:t>（</w:t>
      </w:r>
      <w:r>
        <w:t>2</w:t>
      </w:r>
      <w:r>
        <w:t>）轻量化与物理一致性优化</w:t>
      </w:r>
      <w:bookmarkEnd w:id="26"/>
    </w:p>
    <w:p w14:paraId="302B55AD" w14:textId="77777777" w:rsidR="00FF694E" w:rsidRDefault="00000000">
      <w:pPr>
        <w:pStyle w:val="afe"/>
        <w:ind w:firstLine="420"/>
      </w:pPr>
      <w:bookmarkStart w:id="27" w:name="正文段落_22_0"/>
      <w:r>
        <w:t>MR</w:t>
      </w:r>
      <w:r>
        <w:t>设备储存空间以及计算能力有限，为进一步平衡模型精度以及设备性能，需要对前期模型进行轻量化处理</w:t>
      </w:r>
      <w:r>
        <w:rPr>
          <w:vertAlign w:val="superscript"/>
        </w:rPr>
        <w:t>[14]</w:t>
      </w:r>
      <w:r>
        <w:t>。基于</w:t>
      </w:r>
      <w:proofErr w:type="spellStart"/>
      <w:r>
        <w:t>Pixyz</w:t>
      </w:r>
      <w:proofErr w:type="spellEnd"/>
      <w:r>
        <w:t xml:space="preserve"> Studio</w:t>
      </w:r>
      <w:r>
        <w:t>的</w:t>
      </w:r>
      <w:r>
        <w:t>Optimize Mesh</w:t>
      </w:r>
      <w:r>
        <w:t>模块，设置目标面数比例，将</w:t>
      </w:r>
      <w:r>
        <w:t>NURBS</w:t>
      </w:r>
      <w:r>
        <w:t>曲面与多边形网格统一转为轻量化拓扑结构，结合</w:t>
      </w:r>
      <w:r>
        <w:t>“</w:t>
      </w:r>
      <w:r>
        <w:t>锐边保留</w:t>
      </w:r>
      <w:r>
        <w:t>”</w:t>
      </w:r>
      <w:r>
        <w:t>与</w:t>
      </w:r>
      <w:r>
        <w:t>“UX</w:t>
      </w:r>
      <w:r>
        <w:t>边界保护</w:t>
      </w:r>
      <w:r>
        <w:t>”</w:t>
      </w:r>
      <w:r>
        <w:t>策略维持盾构机关键节点特征的完整性。运用</w:t>
      </w:r>
      <w:r>
        <w:t>K-means</w:t>
      </w:r>
      <w:r>
        <w:t>聚类算法基于反射系数等物理属性对模型的材质进行合并，同时保持材质物理渲染的一致性，避免单纯颜色聚类导致的光照失真。</w:t>
      </w:r>
      <w:bookmarkEnd w:id="27"/>
    </w:p>
    <w:p w14:paraId="0982A511" w14:textId="77777777" w:rsidR="00FF694E" w:rsidRDefault="00000000">
      <w:pPr>
        <w:pStyle w:val="afe"/>
        <w:ind w:firstLine="420"/>
      </w:pPr>
      <w:bookmarkStart w:id="28" w:name="正文段落_24_0"/>
      <w:r>
        <w:t>同时在</w:t>
      </w:r>
      <w:proofErr w:type="spellStart"/>
      <w:r>
        <w:t>Pixyz</w:t>
      </w:r>
      <w:proofErr w:type="spellEnd"/>
      <w:r>
        <w:t>中通过</w:t>
      </w:r>
      <w:r>
        <w:t>“</w:t>
      </w:r>
      <w:r>
        <w:t>区域标记</w:t>
      </w:r>
      <w:r>
        <w:t>”</w:t>
      </w:r>
      <w:r>
        <w:t>工具框选盾构机刀盘齿纹以及盾体等需要精细化处理的关键区域，提出局部精细化控制方法。对关键区域的每个顶点计算他周围三角面的</w:t>
      </w:r>
      <w:r>
        <w:t>“</w:t>
      </w:r>
      <w:r>
        <w:t>平坦程度</w:t>
      </w:r>
      <w:r>
        <w:t>”</w:t>
      </w:r>
      <w:r>
        <w:t>，综合顶点聚类（</w:t>
      </w:r>
      <w:r>
        <w:t>Vertex Clustering</w:t>
      </w:r>
      <w:r>
        <w:t>）、二次误差度量（</w:t>
      </w:r>
      <w:r>
        <w:t>Quadric Error Metrics, QEM</w:t>
      </w:r>
      <w:r>
        <w:t>）技术，通过阈值有效区分平坦区域</w:t>
      </w:r>
      <w:r>
        <w:t>与特征区域，在允许简化的同时保留曲率突变处的拓扑结构，防止接缝处接触面几何畸变。</w:t>
      </w:r>
      <w:bookmarkEnd w:id="28"/>
    </w:p>
    <w:p w14:paraId="74034122" w14:textId="77777777" w:rsidR="00FF694E" w:rsidRDefault="00000000">
      <w:pPr>
        <w:pStyle w:val="afe"/>
        <w:ind w:firstLine="420"/>
      </w:pPr>
      <w:bookmarkStart w:id="29" w:name="正文段落_26_0"/>
      <w:r>
        <w:t>综上，在确保不影响模型准确性和关键信息的前提下，有效降低模型的复杂度，从而提高模型在后续操作中的运行效率，保证模型高度</w:t>
      </w:r>
      <w:r>
        <w:rPr>
          <w:rFonts w:ascii="Cambria Math" w:eastAsia="Cambria Math" w:hAnsi="Cambria Math" w:cs="Cambria Math"/>
        </w:rPr>
        <w:t>可视化与实时渲染的鲁棒性需求。</w:t>
      </w:r>
      <w:bookmarkEnd w:id="29"/>
    </w:p>
    <w:p w14:paraId="3BE6ABE4" w14:textId="77777777" w:rsidR="00FF694E" w:rsidRDefault="00000000">
      <w:pPr>
        <w:pStyle w:val="afe"/>
        <w:ind w:firstLine="420"/>
      </w:pPr>
      <w:bookmarkStart w:id="30" w:name="正文段落_28_0"/>
      <w:r>
        <w:t>（</w:t>
      </w:r>
      <w:r>
        <w:t>3</w:t>
      </w:r>
      <w:r>
        <w:t>）跨平台环境搭建</w:t>
      </w:r>
      <w:bookmarkEnd w:id="30"/>
    </w:p>
    <w:p w14:paraId="1B5D0B18" w14:textId="77777777" w:rsidR="00FF694E" w:rsidRDefault="00000000">
      <w:pPr>
        <w:pStyle w:val="afe"/>
        <w:ind w:firstLine="420"/>
        <w:sectPr w:rsidR="00FF694E">
          <w:endnotePr>
            <w:numFmt w:val="decimal"/>
          </w:endnotePr>
          <w:type w:val="continuous"/>
          <w:pgSz w:w="11906" w:h="16838"/>
          <w:pgMar w:top="1701" w:right="1134" w:bottom="1134" w:left="1134" w:header="992" w:footer="992" w:gutter="0"/>
          <w:cols w:num="2" w:space="420"/>
          <w:docGrid w:type="lines" w:linePitch="312"/>
        </w:sectPr>
      </w:pPr>
      <w:bookmarkStart w:id="31" w:name="正文段落_30_0"/>
      <w:r>
        <w:rPr>
          <w:rFonts w:ascii="Cambria Math" w:eastAsia="Cambria Math" w:hAnsi="Cambria Math" w:cs="Cambria Math"/>
        </w:rPr>
        <w:t>随后在Unity中搭建轻量化模型管理系统，将盾构机和地铁站模型进行集成，同时采用了LOD控制策略，进一步进行模型的轻量化处理，根据模型与用户视点的距离及设备实时渲染压力，将盾构机模型划分为4个细节层级（LOD100-LOD400），通过实时计算视点距离与视角覆盖范围，动态切换模型精度层级，确保在用户交互关键区域（如刀盘、液压推进系统）维持高细节表现，而非交互区域（如盾体背部）采用简化模型。最终借助混合现实设备的开发与手部交互，形成支持实时调取设计数据的MR可视化交互环境。</w:t>
      </w:r>
      <w:bookmarkEnd w:id="31"/>
    </w:p>
    <w:p w14:paraId="5B7F5336" w14:textId="77777777" w:rsidR="00FF694E" w:rsidRDefault="00000000">
      <w:pPr>
        <w:pStyle w:val="affff"/>
        <w:keepLines/>
      </w:pPr>
      <w:bookmarkStart w:id="32" w:name="嵌入式图形_2_0"/>
      <w:r>
        <w:rPr>
          <w:noProof/>
        </w:rPr>
        <w:drawing>
          <wp:inline distT="0" distB="0" distL="114300" distR="114300" wp14:anchorId="7394A3A0" wp14:editId="28562B09">
            <wp:extent cx="4239260" cy="1762125"/>
            <wp:effectExtent l="0" t="0" r="2540" b="3175"/>
            <wp:docPr id="10" name="Nam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Name 2"/>
                    <pic:cNvPicPr>
                      <a:picLocks noChangeAspect="1"/>
                    </pic:cNvPicPr>
                  </pic:nvPicPr>
                  <pic:blipFill>
                    <a:blip r:embed="rId15"/>
                    <a:stretch>
                      <a:fillRect/>
                    </a:stretch>
                  </pic:blipFill>
                  <pic:spPr>
                    <a:xfrm>
                      <a:off x="0" y="0"/>
                      <a:ext cx="4239260" cy="1762125"/>
                    </a:xfrm>
                    <a:prstGeom prst="rect">
                      <a:avLst/>
                    </a:prstGeom>
                    <a:noFill/>
                    <a:ln>
                      <a:noFill/>
                    </a:ln>
                  </pic:spPr>
                </pic:pic>
              </a:graphicData>
            </a:graphic>
          </wp:inline>
        </w:drawing>
      </w:r>
      <w:bookmarkEnd w:id="32"/>
    </w:p>
    <w:p w14:paraId="3EA82100" w14:textId="77777777" w:rsidR="00FF694E" w:rsidRDefault="00000000">
      <w:pPr>
        <w:pStyle w:val="afffd"/>
        <w:sectPr w:rsidR="00FF694E">
          <w:endnotePr>
            <w:numFmt w:val="decimal"/>
          </w:endnotePr>
          <w:type w:val="continuous"/>
          <w:pgSz w:w="11906" w:h="16838"/>
          <w:pgMar w:top="1701" w:right="1134" w:bottom="1134" w:left="1134" w:header="992" w:footer="992" w:gutter="0"/>
          <w:cols w:space="420"/>
          <w:docGrid w:type="lines" w:linePitch="312"/>
        </w:sectPr>
      </w:pPr>
      <w:bookmarkStart w:id="33" w:name="中文图序_2_0"/>
      <w:bookmarkStart w:id="34" w:name="中文图题_2_0"/>
      <w:r>
        <w:t>图</w:t>
      </w:r>
      <w:r>
        <w:t>2</w:t>
      </w:r>
      <w:bookmarkEnd w:id="33"/>
      <w:r>
        <w:t xml:space="preserve"> MR</w:t>
      </w:r>
      <w:r>
        <w:t>模型轻量化简要流程</w:t>
      </w:r>
      <w:bookmarkEnd w:id="34"/>
    </w:p>
    <w:p w14:paraId="5306C36F" w14:textId="77777777" w:rsidR="00FF694E" w:rsidRDefault="00000000">
      <w:pPr>
        <w:pStyle w:val="aff0"/>
        <w:keepNext/>
      </w:pPr>
      <w:bookmarkStart w:id="35" w:name="二级标题序号_5_0"/>
      <w:bookmarkStart w:id="36" w:name="二级标题_6_0"/>
      <w:r>
        <w:rPr>
          <w:rStyle w:val="affff2"/>
          <w:b/>
          <w:szCs w:val="20"/>
        </w:rPr>
        <w:t xml:space="preserve">2.2 </w:t>
      </w:r>
      <w:bookmarkEnd w:id="35"/>
      <w:r>
        <w:t>盾构机运动仿真</w:t>
      </w:r>
      <w:bookmarkEnd w:id="36"/>
    </w:p>
    <w:p w14:paraId="45844946" w14:textId="77777777" w:rsidR="00FF694E" w:rsidRDefault="00000000">
      <w:pPr>
        <w:pStyle w:val="afe"/>
        <w:ind w:firstLine="420"/>
      </w:pPr>
      <w:bookmarkStart w:id="37" w:name="正文段落_32_0"/>
      <w:r>
        <w:t>盾构机空推过站是一个受约束的多刚体系统运动，运动有</w:t>
      </w:r>
      <w:r>
        <w:t>6</w:t>
      </w:r>
      <w:r>
        <w:t>个自由度，</w:t>
      </w:r>
      <w:r>
        <w:t>3</w:t>
      </w:r>
      <w:r>
        <w:t>个为位置，</w:t>
      </w:r>
      <w:r>
        <w:t>3</w:t>
      </w:r>
      <w:r>
        <w:t>个为姿态</w:t>
      </w:r>
      <w:r>
        <w:rPr>
          <w:vertAlign w:val="superscript"/>
        </w:rPr>
        <w:t>[15-16]</w:t>
      </w:r>
      <w:r>
        <w:t>。其运动核心原理为：纵向推进由液压缸驱动，沿预设隧道轴线进行，推进速度是控制的关键参数；刚性轨道或滑移基座严格约束侧向和垂向位移，理想状态下质心轨迹应与预设轴线重合；整体姿态由盾构机铰接的相对运动合成，受轨道几何、导向机构及铰接角度影响，姿态变化是偏离预设轴线的主要表现；由于轨道倾斜或不均匀支撑变形可能会发生滚转运动，需在设计与仿真中极力抑制，以确保设备竖直状态，避免倾覆或卡死风险。</w:t>
      </w:r>
      <w:bookmarkEnd w:id="37"/>
    </w:p>
    <w:p w14:paraId="7EFBD4FF" w14:textId="77777777" w:rsidR="00FF694E" w:rsidRDefault="00000000">
      <w:pPr>
        <w:pStyle w:val="afe"/>
        <w:ind w:firstLine="420"/>
      </w:pPr>
      <w:bookmarkStart w:id="38" w:name="正文段落_34_0"/>
      <w:r>
        <w:t>因此，高精度轨迹规划与精准推进速度控制是盾构机自动推进运动仿真的核心要素，二者精度直接决定施工质量与安全水平。推进速度设定需综合</w:t>
      </w:r>
      <w:r>
        <w:t>考虑推进力策略、速度闭环控制及盾构机与环境动态交互等因素，并通过</w:t>
      </w:r>
      <w:r>
        <w:t>Unity</w:t>
      </w:r>
      <w:r>
        <w:t>程序化脚本实现。轨迹规划的核心流程包括：路径点生成、</w:t>
      </w:r>
      <w:proofErr w:type="spellStart"/>
      <w:r>
        <w:t>Frenet</w:t>
      </w:r>
      <w:proofErr w:type="spellEnd"/>
      <w:r>
        <w:t>标架构建、滚转约束处理以及位姿驱动。</w:t>
      </w:r>
      <w:bookmarkEnd w:id="38"/>
    </w:p>
    <w:p w14:paraId="1E274149" w14:textId="77777777" w:rsidR="00FF694E" w:rsidRDefault="00000000">
      <w:pPr>
        <w:pStyle w:val="afe"/>
        <w:ind w:firstLine="420"/>
      </w:pPr>
      <w:bookmarkStart w:id="39" w:name="正文段落_怀疑_1_0"/>
      <w:r>
        <w:t>​</w:t>
      </w:r>
      <w:r>
        <w:t>（</w:t>
      </w:r>
      <w:r>
        <w:t>1</w:t>
      </w:r>
      <w:r>
        <w:t>）基于</w:t>
      </w:r>
      <w:r>
        <w:t>BIM</w:t>
      </w:r>
      <w:r>
        <w:t>的路径点自适应采样</w:t>
      </w:r>
      <w:r>
        <w:t>​</w:t>
      </w:r>
      <w:bookmarkEnd w:id="39"/>
    </w:p>
    <w:p w14:paraId="630050BA" w14:textId="77777777" w:rsidR="00FF694E" w:rsidRDefault="00000000">
      <w:pPr>
        <w:pStyle w:val="afe"/>
        <w:ind w:firstLine="420"/>
      </w:pPr>
      <w:bookmarkStart w:id="40" w:name="正文段落_38_0"/>
      <w:r>
        <w:t>首先利用</w:t>
      </w:r>
      <w:r>
        <w:t>IFC(Industry Foundation Classes)</w:t>
      </w:r>
      <w:r>
        <w:t>标准解析</w:t>
      </w:r>
      <w:r>
        <w:t>BIM</w:t>
      </w:r>
      <w:r>
        <w:t>模型，提取隧道中心线的参数化</w:t>
      </w:r>
      <w:r>
        <w:t>B</w:t>
      </w:r>
      <w:r>
        <w:t>样条曲线表达，其计算公式如式（</w:t>
      </w:r>
      <w:r>
        <w:t>1</w:t>
      </w:r>
      <w:r>
        <w:t>）所示：</w:t>
      </w:r>
      <w:bookmarkEnd w:id="40"/>
    </w:p>
    <w:p w14:paraId="1E25ED27" w14:textId="77777777" w:rsidR="00FF694E" w:rsidRDefault="00000000">
      <w:pPr>
        <w:pStyle w:val="new1"/>
        <w:tabs>
          <w:tab w:val="center" w:pos="2264"/>
          <w:tab w:val="right" w:pos="4529"/>
        </w:tabs>
        <w:jc w:val="right"/>
      </w:pPr>
      <w:r>
        <w:tab/>
      </w:r>
      <w:bookmarkStart w:id="41" w:name="公式_2_0"/>
      <w:r>
        <w:rPr>
          <w:rFonts w:hint="eastAsia"/>
          <w:bCs/>
          <w:position w:val="-60"/>
        </w:rPr>
        <w:object w:dxaOrig="2265" w:dyaOrig="1005" w14:anchorId="0CBDC02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13.25pt;height:50.25pt" o:ole="">
            <v:imagedata r:id="rId16" o:title=""/>
          </v:shape>
          <o:OLEObject Type="Embed" ProgID="Equation.3" ShapeID="_x0000_i1025" DrawAspect="Content" ObjectID="_1840790622" r:id="rId17"/>
        </w:object>
      </w:r>
      <w:r>
        <w:rPr>
          <w:sz w:val="21"/>
        </w:rPr>
        <w:tab/>
        <w:t>(1)</w:t>
      </w:r>
      <w:bookmarkEnd w:id="41"/>
    </w:p>
    <w:p w14:paraId="3007B521" w14:textId="77777777" w:rsidR="00FF694E" w:rsidRDefault="00000000">
      <w:pPr>
        <w:pStyle w:val="afe"/>
        <w:ind w:firstLine="420"/>
      </w:pPr>
      <w:bookmarkStart w:id="42" w:name="正文段落_40_0"/>
      <w:r>
        <w:t>其中</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P</m:t>
                </m:r>
              </m:e>
            </m:acc>
          </m:e>
          <m:sub>
            <m:r>
              <m:rPr>
                <m:sty m:val="p"/>
              </m:rPr>
              <w:rPr>
                <w:rFonts w:ascii="Cambria Math" w:hAnsi="Cambria Math"/>
              </w:rPr>
              <m:t>i</m:t>
            </m:r>
          </m:sub>
        </m:sSub>
      </m:oMath>
      <w:r>
        <w:t>为控制点，</w:t>
      </w:r>
      <m:oMath>
        <m:sSub>
          <m:sSubPr>
            <m:ctrlPr>
              <w:rPr>
                <w:rFonts w:ascii="Cambria Math" w:hAnsi="Cambria Math"/>
                <w:i/>
              </w:rPr>
            </m:ctrlPr>
          </m:sSubPr>
          <m:e>
            <m:r>
              <w:rPr>
                <w:rFonts w:ascii="Cambria Math" w:hAnsi="Cambria Math"/>
              </w:rPr>
              <m:t>ω</m:t>
            </m:r>
          </m:e>
          <m:sub>
            <m:r>
              <m:rPr>
                <m:sty m:val="p"/>
              </m:rPr>
              <w:rPr>
                <w:rFonts w:ascii="Cambria Math" w:hAnsi="Cambria Math"/>
              </w:rPr>
              <m:t>i</m:t>
            </m:r>
          </m:sub>
        </m:sSub>
      </m:oMath>
      <w:r>
        <w:t>为权重系数，</w:t>
      </w:r>
      <m:oMath>
        <m:sSub>
          <m:sSubPr>
            <m:ctrlPr>
              <w:rPr>
                <w:rFonts w:ascii="Cambria Math" w:hAnsi="Cambria Math"/>
                <w:i/>
              </w:rPr>
            </m:ctrlPr>
          </m:sSubPr>
          <m:e>
            <m:r>
              <w:rPr>
                <w:rFonts w:ascii="Cambria Math" w:hAnsi="Cambria Math"/>
              </w:rPr>
              <m:t>N</m:t>
            </m:r>
          </m:e>
          <m:sub>
            <m:r>
              <m:rPr>
                <m:sty m:val="p"/>
              </m:rPr>
              <w:rPr>
                <w:rFonts w:ascii="Cambria Math" w:hAnsi="Cambria Math"/>
              </w:rPr>
              <m:t>i,p</m:t>
            </m:r>
          </m:sub>
        </m:sSub>
        <m:r>
          <w:rPr>
            <w:rFonts w:ascii="Cambria Math" w:hAnsi="Cambria Math"/>
          </w:rPr>
          <m:t>(u)</m:t>
        </m:r>
      </m:oMath>
      <w:r>
        <w:t>为</w:t>
      </w:r>
      <w:r>
        <w:t>p</w:t>
      </w:r>
      <w:r>
        <w:t>次</w:t>
      </w:r>
      <w:r>
        <w:t>B</w:t>
      </w:r>
      <w:r>
        <w:t>样条基函数。</w:t>
      </w:r>
      <w:bookmarkEnd w:id="42"/>
    </w:p>
    <w:p w14:paraId="32BC832A" w14:textId="77777777" w:rsidR="00FF694E" w:rsidRDefault="00000000">
      <w:pPr>
        <w:pStyle w:val="afe"/>
        <w:ind w:firstLine="420"/>
      </w:pPr>
      <w:bookmarkStart w:id="43" w:name="正文段落_42_0"/>
      <w:r>
        <w:t>为克服均匀采样在曲率变化区域精度不足的</w:t>
      </w:r>
      <w:r>
        <w:lastRenderedPageBreak/>
        <w:t>问题，采用曲率驱动的变步长离散策略生成离散路径点序列</w:t>
      </w:r>
      <m:oMath>
        <m:d>
          <m:dPr>
            <m:begChr m:val="{"/>
            <m:endChr m:val="}"/>
            <m:ctrlPr>
              <w:rPr>
                <w:rFonts w:ascii="Cambria Math" w:hAnsi="Cambria Math"/>
                <w:bCs/>
                <w:i/>
              </w:rPr>
            </m:ctrlPr>
          </m:dPr>
          <m:e>
            <m:sSub>
              <m:sSubPr>
                <m:ctrlPr>
                  <w:rPr>
                    <w:rFonts w:ascii="Cambria Math" w:hAnsi="Cambria Math"/>
                    <w:bCs/>
                    <w:i/>
                  </w:rPr>
                </m:ctrlPr>
              </m:sSubPr>
              <m:e>
                <m:r>
                  <w:rPr>
                    <w:rFonts w:ascii="Cambria Math" w:hAnsi="Cambria Math"/>
                  </w:rPr>
                  <m:t>P</m:t>
                </m:r>
              </m:e>
              <m:sub>
                <m:r>
                  <m:rPr>
                    <m:sty m:val="p"/>
                  </m:rPr>
                  <w:rPr>
                    <w:rFonts w:ascii="Cambria Math" w:hAnsi="Cambria Math"/>
                  </w:rPr>
                  <m:t>k</m:t>
                </m:r>
              </m:sub>
            </m:sSub>
          </m:e>
          <m:e>
            <m:r>
              <m:rPr>
                <m:sty m:val="p"/>
              </m:rPr>
              <w:rPr>
                <w:rFonts w:ascii="Cambria Math" w:hAnsi="Cambria Math"/>
              </w:rPr>
              <m:t>k</m:t>
            </m:r>
            <m:r>
              <w:rPr>
                <w:rFonts w:ascii="Cambria Math" w:hAnsi="Cambria Math"/>
              </w:rPr>
              <m:t>=0,1,...,m</m:t>
            </m:r>
          </m:e>
        </m:d>
      </m:oMath>
      <w:r>
        <w:t>。路径点间距</w:t>
      </w:r>
      <m:oMath>
        <m:r>
          <w:rPr>
            <w:rFonts w:ascii="Cambria Math" w:hAnsi="Cambria Math"/>
          </w:rPr>
          <m:t>∆</m:t>
        </m:r>
        <m:sSub>
          <m:sSubPr>
            <m:ctrlPr>
              <w:rPr>
                <w:rFonts w:ascii="Cambria Math" w:hAnsi="Cambria Math"/>
                <w:bCs/>
                <w:i/>
              </w:rPr>
            </m:ctrlPr>
          </m:sSubPr>
          <m:e>
            <m:r>
              <w:rPr>
                <w:rFonts w:ascii="Cambria Math" w:hAnsi="Cambria Math"/>
              </w:rPr>
              <m:t>S</m:t>
            </m:r>
          </m:e>
          <m:sub>
            <m:r>
              <m:rPr>
                <m:sty m:val="p"/>
              </m:rPr>
              <w:rPr>
                <w:rFonts w:ascii="Cambria Math" w:hAnsi="Cambria Math"/>
              </w:rPr>
              <m:t>k</m:t>
            </m:r>
          </m:sub>
        </m:sSub>
      </m:oMath>
      <w:r>
        <w:t>由该点处的局部曲率半径</w:t>
      </w:r>
      <m:oMath>
        <m:sSub>
          <m:sSubPr>
            <m:ctrlPr>
              <w:rPr>
                <w:rFonts w:ascii="Cambria Math" w:hAnsi="Cambria Math"/>
                <w:bCs/>
                <w:i/>
              </w:rPr>
            </m:ctrlPr>
          </m:sSubPr>
          <m:e>
            <m:r>
              <w:rPr>
                <w:rFonts w:ascii="Cambria Math" w:hAnsi="Cambria Math"/>
              </w:rPr>
              <m:t>R</m:t>
            </m:r>
          </m:e>
          <m:sub>
            <m:r>
              <w:rPr>
                <w:rFonts w:ascii="Cambria Math" w:hAnsi="Cambria Math"/>
              </w:rPr>
              <m:t>k</m:t>
            </m:r>
          </m:sub>
        </m:sSub>
      </m:oMath>
      <w:r>
        <w:t>动态确定：</w:t>
      </w:r>
      <w:bookmarkEnd w:id="43"/>
    </w:p>
    <w:p w14:paraId="0500A360" w14:textId="77777777" w:rsidR="00FF694E" w:rsidRDefault="00000000">
      <w:pPr>
        <w:pStyle w:val="afff4"/>
        <w:tabs>
          <w:tab w:val="center" w:pos="2274"/>
          <w:tab w:val="right" w:pos="4549"/>
        </w:tabs>
        <w:ind w:left="0"/>
        <w:jc w:val="right"/>
      </w:pPr>
      <w:r>
        <w:tab/>
      </w:r>
      <w:bookmarkStart w:id="44" w:name="公式_8_0"/>
      <w:r>
        <w:rPr>
          <w:rFonts w:hint="eastAsia"/>
          <w:position w:val="-32"/>
        </w:rPr>
        <w:object w:dxaOrig="2400" w:dyaOrig="615" w14:anchorId="66806CE1">
          <v:shape id="_x0000_i1026" type="#_x0000_t75" style="width:120pt;height:30.75pt" o:ole="">
            <v:imagedata r:id="rId18" o:title=""/>
          </v:shape>
          <o:OLEObject Type="Embed" ProgID="Equation.3" ShapeID="_x0000_i1026" DrawAspect="Content" ObjectID="_1840790623" r:id="rId19"/>
        </w:object>
      </w:r>
      <w:r>
        <w:tab/>
        <w:t>(2)</w:t>
      </w:r>
      <w:bookmarkEnd w:id="44"/>
    </w:p>
    <w:p w14:paraId="0488476F" w14:textId="77777777" w:rsidR="00FF694E" w:rsidRDefault="00000000">
      <w:pPr>
        <w:pStyle w:val="afe"/>
        <w:ind w:firstLine="420"/>
      </w:pPr>
      <w:bookmarkStart w:id="45" w:name="正文段落_44_0"/>
      <w:r>
        <w:t>式中</w:t>
      </w:r>
      <m:oMath>
        <m:sSub>
          <m:sSubPr>
            <m:ctrlPr>
              <w:rPr>
                <w:rFonts w:ascii="Cambria Math" w:hAnsi="Cambria Math"/>
                <w:i/>
              </w:rPr>
            </m:ctrlPr>
          </m:sSubPr>
          <m:e>
            <m:r>
              <w:rPr>
                <w:rFonts w:ascii="Cambria Math" w:hAnsi="Cambria Math"/>
              </w:rPr>
              <m:t>R</m:t>
            </m:r>
          </m:e>
          <m:sub>
            <m:r>
              <m:rPr>
                <m:sty m:val="p"/>
              </m:rPr>
              <w:rPr>
                <w:rFonts w:ascii="Cambria Math" w:hAnsi="Cambria Math"/>
              </w:rPr>
              <m:t>k</m:t>
            </m:r>
          </m:sub>
        </m:sSub>
        <m:r>
          <w:rPr>
            <w:rFonts w:ascii="Cambria Math" w:hAnsi="Cambria Math"/>
          </w:rPr>
          <m:t>=</m:t>
        </m:r>
        <m:f>
          <m:fPr>
            <m:ctrlPr>
              <w:rPr>
                <w:rFonts w:ascii="Cambria Math" w:hAnsi="Cambria Math"/>
                <w:i/>
              </w:rPr>
            </m:ctrlPr>
          </m:fPr>
          <m:num>
            <m:r>
              <w:rPr>
                <w:rFonts w:ascii="Cambria Math" w:hAnsi="Cambria Math"/>
              </w:rPr>
              <m:t>1</m:t>
            </m:r>
          </m:num>
          <m:den>
            <m:sSub>
              <m:sSubPr>
                <m:ctrlPr>
                  <w:rPr>
                    <w:rFonts w:ascii="Cambria Math" w:hAnsi="Cambria Math"/>
                    <w:i/>
                  </w:rPr>
                </m:ctrlPr>
              </m:sSubPr>
              <m:e>
                <m:r>
                  <w:rPr>
                    <w:rFonts w:ascii="Cambria Math" w:hAnsi="Cambria Math"/>
                  </w:rPr>
                  <m:t>K</m:t>
                </m:r>
              </m:e>
              <m:sub>
                <m:r>
                  <m:rPr>
                    <m:sty m:val="p"/>
                  </m:rPr>
                  <w:rPr>
                    <w:rFonts w:ascii="Cambria Math" w:hAnsi="Cambria Math"/>
                  </w:rPr>
                  <m:t>k</m:t>
                </m:r>
              </m:sub>
            </m:sSub>
          </m:den>
        </m:f>
      </m:oMath>
      <w:r>
        <w:t>为曲率半径，</w:t>
      </w:r>
      <m:oMath>
        <m:sSub>
          <m:sSubPr>
            <m:ctrlPr>
              <w:rPr>
                <w:rFonts w:ascii="Cambria Math" w:hAnsi="Cambria Math"/>
                <w:i/>
              </w:rPr>
            </m:ctrlPr>
          </m:sSubPr>
          <m:e>
            <m:r>
              <w:rPr>
                <w:rFonts w:ascii="Cambria Math" w:hAnsi="Cambria Math"/>
              </w:rPr>
              <m:t>K</m:t>
            </m:r>
          </m:e>
          <m:sub>
            <m:r>
              <m:rPr>
                <m:sty m:val="p"/>
              </m:rPr>
              <w:rPr>
                <w:rFonts w:ascii="Cambria Math" w:hAnsi="Cambria Math"/>
              </w:rPr>
              <m:t>k</m:t>
            </m:r>
          </m:sub>
        </m:sSub>
      </m:oMath>
      <w:r>
        <w:t>通过中心差分法计算：</w:t>
      </w:r>
      <w:bookmarkEnd w:id="45"/>
    </w:p>
    <w:p w14:paraId="7B293195" w14:textId="77777777" w:rsidR="00FF694E" w:rsidRDefault="00000000">
      <w:pPr>
        <w:pStyle w:val="afff4"/>
        <w:tabs>
          <w:tab w:val="center" w:pos="2274"/>
          <w:tab w:val="right" w:pos="4549"/>
        </w:tabs>
        <w:ind w:left="0"/>
        <w:jc w:val="right"/>
      </w:pPr>
      <w:r>
        <w:tab/>
      </w:r>
      <w:bookmarkStart w:id="46" w:name="公式_10_0"/>
      <w:r>
        <w:rPr>
          <w:rFonts w:hint="eastAsia"/>
          <w:position w:val="-32"/>
        </w:rPr>
        <w:object w:dxaOrig="2070" w:dyaOrig="525" w14:anchorId="67DDEB19">
          <v:shape id="_x0000_i1027" type="#_x0000_t75" style="width:103.5pt;height:26.25pt" o:ole="">
            <v:imagedata r:id="rId20" o:title=""/>
          </v:shape>
          <o:OLEObject Type="Embed" ProgID="Equation.3" ShapeID="_x0000_i1027" DrawAspect="Content" ObjectID="_1840790624" r:id="rId21"/>
        </w:object>
      </w:r>
      <w:r>
        <w:tab/>
        <w:t>(3)</w:t>
      </w:r>
      <w:bookmarkEnd w:id="46"/>
    </w:p>
    <w:p w14:paraId="76600D2C" w14:textId="77777777" w:rsidR="00FF694E" w:rsidRDefault="00000000">
      <w:pPr>
        <w:pStyle w:val="afff4"/>
        <w:tabs>
          <w:tab w:val="center" w:pos="2274"/>
          <w:tab w:val="right" w:pos="4549"/>
        </w:tabs>
        <w:ind w:left="0"/>
        <w:jc w:val="right"/>
      </w:pPr>
      <w:r>
        <w:tab/>
      </w:r>
      <w:bookmarkStart w:id="47" w:name="公式_12_0"/>
      <w:r>
        <w:rPr>
          <w:position w:val="-68"/>
        </w:rPr>
        <w:object w:dxaOrig="960" w:dyaOrig="840" w14:anchorId="4791057C">
          <v:shape id="_x0000_i1028" type="#_x0000_t75" style="width:48pt;height:42pt" o:ole="">
            <v:imagedata r:id="rId22" o:title=""/>
          </v:shape>
          <o:OLEObject Type="Embed" ProgID="Equation.3" ShapeID="_x0000_i1028" DrawAspect="Content" ObjectID="_1840790625" r:id="rId23"/>
        </w:object>
      </w:r>
      <w:r>
        <w:tab/>
        <w:t>(4)</w:t>
      </w:r>
      <w:bookmarkEnd w:id="47"/>
    </w:p>
    <w:p w14:paraId="5DE64E7D" w14:textId="77777777" w:rsidR="00FF694E" w:rsidRDefault="00000000">
      <w:pPr>
        <w:pStyle w:val="afe"/>
        <w:ind w:firstLine="420"/>
      </w:pPr>
      <w:bookmarkStart w:id="48" w:name="正文段落_46_0"/>
      <w:r>
        <w:t>最终，参数增量</w:t>
      </w:r>
      <m:oMath>
        <m:r>
          <w:rPr>
            <w:rFonts w:ascii="Cambria Math" w:hAnsi="Cambria Math"/>
          </w:rPr>
          <m:t>∆</m:t>
        </m:r>
        <m:sSub>
          <m:sSubPr>
            <m:ctrlPr>
              <w:rPr>
                <w:rFonts w:ascii="Cambria Math" w:hAnsi="Cambria Math"/>
                <w:i/>
                <w:iCs/>
              </w:rPr>
            </m:ctrlPr>
          </m:sSubPr>
          <m:e>
            <m:r>
              <w:rPr>
                <w:rFonts w:ascii="Cambria Math" w:hAnsi="Cambria Math"/>
              </w:rPr>
              <m:t>u</m:t>
            </m:r>
          </m:e>
          <m:sub>
            <m:r>
              <m:rPr>
                <m:sty m:val="p"/>
              </m:rPr>
              <w:rPr>
                <w:rFonts w:ascii="Cambria Math" w:hAnsi="Cambria Math"/>
              </w:rPr>
              <m:t>k</m:t>
            </m:r>
          </m:sub>
        </m:sSub>
      </m:oMath>
      <w:r>
        <w:t>决定了下一个采样点的参数值。该策略确保了直线段采样点稀疏、小半径曲线段采样点密集，显著提升了路径描述精度，为后续精确位姿计算奠定基础。</w:t>
      </w:r>
      <w:bookmarkEnd w:id="48"/>
    </w:p>
    <w:p w14:paraId="675DF4D7" w14:textId="77777777" w:rsidR="00FF694E" w:rsidRDefault="00000000">
      <w:pPr>
        <w:pStyle w:val="afe"/>
        <w:ind w:firstLine="420"/>
      </w:pPr>
      <w:bookmarkStart w:id="49" w:name="正文段落_48_0"/>
      <w:r>
        <w:t>（</w:t>
      </w:r>
      <w:r>
        <w:t>2</w:t>
      </w:r>
      <w:r>
        <w:t>）基于</w:t>
      </w:r>
      <w:proofErr w:type="spellStart"/>
      <w:r>
        <w:t>Frenet</w:t>
      </w:r>
      <w:proofErr w:type="spellEnd"/>
      <w:r>
        <w:t>标架的位姿定义</w:t>
      </w:r>
      <w:bookmarkEnd w:id="49"/>
    </w:p>
    <w:p w14:paraId="1A86B75F" w14:textId="77777777" w:rsidR="00FF694E" w:rsidRDefault="00000000">
      <w:pPr>
        <w:pStyle w:val="afe"/>
        <w:ind w:firstLine="420"/>
      </w:pPr>
      <w:bookmarkStart w:id="50" w:name="正文段落_50_0"/>
      <w:r>
        <w:t>在离散路径点</w:t>
      </w:r>
      <m:oMath>
        <m:sSub>
          <m:sSubPr>
            <m:ctrlPr>
              <w:rPr>
                <w:rFonts w:ascii="Cambria Math" w:hAnsi="Cambria Math"/>
                <w:i/>
              </w:rPr>
            </m:ctrlPr>
          </m:sSubPr>
          <m:e>
            <m:r>
              <w:rPr>
                <w:rFonts w:ascii="Cambria Math" w:hAnsi="Cambria Math"/>
              </w:rPr>
              <m:t>P</m:t>
            </m:r>
          </m:e>
          <m:sub>
            <m:r>
              <m:rPr>
                <m:sty m:val="p"/>
              </m:rPr>
              <w:rPr>
                <w:rFonts w:ascii="Cambria Math" w:hAnsi="Cambria Math"/>
              </w:rPr>
              <m:t>k</m:t>
            </m:r>
          </m:sub>
        </m:sSub>
      </m:oMath>
      <w:r>
        <w:t>处，盾构机的空间位姿由其位置</w:t>
      </w:r>
      <w:r>
        <w:t>(</w:t>
      </w:r>
      <m:oMath>
        <m:sSub>
          <m:sSubPr>
            <m:ctrlPr>
              <w:rPr>
                <w:rFonts w:ascii="Cambria Math" w:hAnsi="Cambria Math"/>
                <w:i/>
              </w:rPr>
            </m:ctrlPr>
          </m:sSubPr>
          <m:e>
            <m:r>
              <w:rPr>
                <w:rFonts w:ascii="Cambria Math" w:hAnsi="Cambria Math"/>
              </w:rPr>
              <m:t>t</m:t>
            </m:r>
          </m:e>
          <m:sub>
            <m:r>
              <m:rPr>
                <m:sty m:val="p"/>
              </m:rPr>
              <w:rPr>
                <w:rFonts w:ascii="Cambria Math" w:hAnsi="Cambria Math"/>
              </w:rPr>
              <m:t>k</m:t>
            </m:r>
          </m:sub>
        </m:sSub>
      </m:oMath>
      <w:r>
        <w:t>)</w:t>
      </w:r>
      <w:r>
        <w:t>和姿态</w:t>
      </w:r>
      <w:r>
        <w:t>(</w:t>
      </w:r>
      <m:oMath>
        <m:sSub>
          <m:sSubPr>
            <m:ctrlPr>
              <w:rPr>
                <w:rFonts w:ascii="Cambria Math" w:hAnsi="Cambria Math"/>
                <w:i/>
              </w:rPr>
            </m:ctrlPr>
          </m:sSubPr>
          <m:e>
            <m:r>
              <w:rPr>
                <w:rFonts w:ascii="Cambria Math" w:hAnsi="Cambria Math"/>
              </w:rPr>
              <m:t>R</m:t>
            </m:r>
          </m:e>
          <m:sub>
            <m:r>
              <m:rPr>
                <m:sty m:val="p"/>
              </m:rPr>
              <w:rPr>
                <w:rFonts w:ascii="Cambria Math" w:hAnsi="Cambria Math"/>
              </w:rPr>
              <m:t>k</m:t>
            </m:r>
          </m:sub>
        </m:sSub>
      </m:oMath>
      <w:r>
        <w:t>)</w:t>
      </w:r>
      <w:r>
        <w:t>共同定义。位置向量直接取路径点坐标：</w:t>
      </w:r>
      <m:oMath>
        <m:sSub>
          <m:sSubPr>
            <m:ctrlPr>
              <w:rPr>
                <w:rFonts w:ascii="Cambria Math" w:hAnsi="Cambria Math"/>
                <w:i/>
              </w:rPr>
            </m:ctrlPr>
          </m:sSubPr>
          <m:e>
            <m:r>
              <w:rPr>
                <w:rFonts w:ascii="Cambria Math" w:hAnsi="Cambria Math"/>
              </w:rPr>
              <m:t>t</m:t>
            </m:r>
          </m:e>
          <m:sub>
            <m:r>
              <m:rPr>
                <m:sty m:val="p"/>
              </m:rPr>
              <w:rPr>
                <w:rFonts w:ascii="Cambria Math" w:hAnsi="Cambria Math"/>
              </w:rPr>
              <m:t>k</m:t>
            </m:r>
          </m:sub>
        </m:sSub>
        <m:r>
          <w:rPr>
            <w:rFonts w:ascii="Cambria Math" w:hAnsi="Cambria Math"/>
          </w:rPr>
          <m:t>=</m:t>
        </m:r>
        <m:d>
          <m:dPr>
            <m:ctrlPr>
              <w:rPr>
                <w:rFonts w:ascii="Cambria Math" w:hAnsi="Cambria Math"/>
                <w:i/>
              </w:rPr>
            </m:ctrlPr>
          </m:dPr>
          <m:e>
            <m:sSub>
              <m:sSubPr>
                <m:ctrlPr>
                  <w:rPr>
                    <w:rFonts w:ascii="Cambria Math" w:hAnsi="Cambria Math"/>
                    <w:i/>
                  </w:rPr>
                </m:ctrlPr>
              </m:sSubPr>
              <m:e>
                <m:r>
                  <w:rPr>
                    <w:rFonts w:ascii="Cambria Math" w:hAnsi="Cambria Math"/>
                  </w:rPr>
                  <m:t>x</m:t>
                </m:r>
              </m:e>
              <m:sub>
                <m:r>
                  <m:rPr>
                    <m:sty m:val="p"/>
                  </m:rP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y</m:t>
                </m:r>
              </m:e>
              <m:sub>
                <m:r>
                  <m:rPr>
                    <m:sty m:val="p"/>
                  </m:rP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z</m:t>
                </m:r>
              </m:e>
              <m:sub>
                <m:r>
                  <m:rPr>
                    <m:sty m:val="p"/>
                  </m:rPr>
                  <w:rPr>
                    <w:rFonts w:ascii="Cambria Math" w:hAnsi="Cambria Math"/>
                  </w:rPr>
                  <m:t>k</m:t>
                </m:r>
              </m:sub>
            </m:sSub>
          </m:e>
        </m:d>
      </m:oMath>
      <w:r>
        <w:t>。姿态描述则通过建立局部坐标系实现。本研究采用</w:t>
      </w:r>
      <w:proofErr w:type="spellStart"/>
      <w:r>
        <w:t>Frenet</w:t>
      </w:r>
      <w:proofErr w:type="spellEnd"/>
      <w:r>
        <w:t>标架（</w:t>
      </w:r>
      <w:proofErr w:type="spellStart"/>
      <w:r>
        <w:t>Frenet</w:t>
      </w:r>
      <w:proofErr w:type="spellEnd"/>
      <w:r>
        <w:t xml:space="preserve"> Frame</w:t>
      </w:r>
      <w:r>
        <w:t>）在路径点</w:t>
      </w:r>
      <m:oMath>
        <m:sSub>
          <m:sSubPr>
            <m:ctrlPr>
              <w:rPr>
                <w:rFonts w:ascii="Cambria Math" w:hAnsi="Cambria Math"/>
                <w:i/>
              </w:rPr>
            </m:ctrlPr>
          </m:sSubPr>
          <m:e>
            <m:r>
              <w:rPr>
                <w:rFonts w:ascii="Cambria Math" w:hAnsi="Cambria Math"/>
              </w:rPr>
              <m:t>P</m:t>
            </m:r>
          </m:e>
          <m:sub>
            <m:r>
              <m:rPr>
                <m:sty m:val="p"/>
              </m:rPr>
              <w:rPr>
                <w:rFonts w:ascii="Cambria Math" w:hAnsi="Cambria Math"/>
              </w:rPr>
              <m:t>k</m:t>
            </m:r>
          </m:sub>
        </m:sSub>
      </m:oMath>
      <w:r>
        <w:t>处构建姿态旋转矩阵</w:t>
      </w:r>
      <m:oMath>
        <m:sSub>
          <m:sSubPr>
            <m:ctrlPr>
              <w:rPr>
                <w:rFonts w:ascii="Cambria Math" w:hAnsi="Cambria Math"/>
                <w:i/>
              </w:rPr>
            </m:ctrlPr>
          </m:sSubPr>
          <m:e>
            <m:r>
              <w:rPr>
                <w:rFonts w:ascii="Cambria Math" w:hAnsi="Cambria Math"/>
              </w:rPr>
              <m:t>R</m:t>
            </m:r>
          </m:e>
          <m:sub>
            <m:r>
              <m:rPr>
                <m:sty m:val="p"/>
              </m:rPr>
              <w:rPr>
                <w:rFonts w:ascii="Cambria Math" w:hAnsi="Cambria Math"/>
              </w:rPr>
              <m:t>k</m:t>
            </m:r>
          </m:sub>
        </m:sSub>
        <m:r>
          <w:rPr>
            <w:rFonts w:ascii="Cambria Math" w:hAns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hAnsi="Cambria Math"/>
                  </w:rPr>
                  <m:t>T</m:t>
                </m:r>
              </m:e>
              <m:sub>
                <m:r>
                  <m:rPr>
                    <m:sty m:val="p"/>
                  </m:rP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N</m:t>
                </m:r>
              </m:e>
              <m:sub>
                <m:r>
                  <m:rPr>
                    <m:sty m:val="p"/>
                  </m:rPr>
                  <w:rPr>
                    <w:rFonts w:ascii="Cambria Math" w:hAnsi="Cambria Math"/>
                  </w:rPr>
                  <m:t>k</m:t>
                </m:r>
              </m:sub>
            </m:sSub>
            <m:r>
              <w:rPr>
                <w:rFonts w:ascii="Cambria Math" w:hAnsi="Cambria Math"/>
              </w:rPr>
              <m:t>,</m:t>
            </m:r>
            <m:sSub>
              <m:sSubPr>
                <m:ctrlPr>
                  <w:rPr>
                    <w:rFonts w:ascii="Cambria Math" w:hAnsi="Cambria Math"/>
                    <w:i/>
                  </w:rPr>
                </m:ctrlPr>
              </m:sSubPr>
              <m:e>
                <m:r>
                  <w:rPr>
                    <w:rFonts w:ascii="Cambria Math" w:hAnsi="Cambria Math"/>
                  </w:rPr>
                  <m:t>B</m:t>
                </m:r>
              </m:e>
              <m:sub>
                <m:r>
                  <m:rPr>
                    <m:sty m:val="p"/>
                  </m:rPr>
                  <w:rPr>
                    <w:rFonts w:ascii="Cambria Math" w:hAnsi="Cambria Math"/>
                  </w:rPr>
                  <m:t>k</m:t>
                </m:r>
              </m:sub>
            </m:sSub>
          </m:e>
        </m:d>
      </m:oMath>
      <w:r>
        <w:t>，其中切向量</w:t>
      </w:r>
      <w:r>
        <w:t>T</w:t>
      </w:r>
      <w:r>
        <w:t>表征前进方向，法向量</w:t>
      </w:r>
      <w:r>
        <w:t>N</w:t>
      </w:r>
      <w:r>
        <w:t>指示曲线弯曲方向，副法向通过叉积获得。该标架的三个基向量计算公式为（</w:t>
      </w:r>
      <w:r>
        <w:t>5</w:t>
      </w:r>
      <w:r>
        <w:t>）（</w:t>
      </w:r>
      <w:r>
        <w:t>6</w:t>
      </w:r>
      <w:r>
        <w:t>）（</w:t>
      </w:r>
      <w:r>
        <w:t>7</w:t>
      </w:r>
      <w:r>
        <w:t>）：：</w:t>
      </w:r>
      <w:bookmarkEnd w:id="50"/>
    </w:p>
    <w:p w14:paraId="3D357421" w14:textId="77777777" w:rsidR="00FF694E" w:rsidRDefault="00000000">
      <w:pPr>
        <w:pStyle w:val="afff4"/>
        <w:tabs>
          <w:tab w:val="center" w:pos="2274"/>
          <w:tab w:val="right" w:pos="4549"/>
        </w:tabs>
        <w:ind w:left="0"/>
        <w:jc w:val="right"/>
      </w:pPr>
      <w:r>
        <w:tab/>
      </w:r>
      <w:bookmarkStart w:id="51" w:name="公式_17_0"/>
      <w:r>
        <w:rPr>
          <w:rFonts w:hAnsi="Cambria Math"/>
          <w:position w:val="-32"/>
        </w:rPr>
        <w:object w:dxaOrig="1155" w:dyaOrig="540" w14:anchorId="218C3300">
          <v:shape id="_x0000_i1029" type="#_x0000_t75" style="width:57.75pt;height:27pt" o:ole="">
            <v:imagedata r:id="rId24" o:title=""/>
          </v:shape>
          <o:OLEObject Type="Embed" ProgID="Equation.3" ShapeID="_x0000_i1029" DrawAspect="Content" ObjectID="_1840790626" r:id="rId25"/>
        </w:object>
      </w:r>
      <w:r>
        <w:tab/>
        <w:t>(5)</w:t>
      </w:r>
      <w:bookmarkEnd w:id="51"/>
    </w:p>
    <w:p w14:paraId="46B4EDCE" w14:textId="77777777" w:rsidR="00FF694E" w:rsidRDefault="00000000">
      <w:pPr>
        <w:pStyle w:val="afff4"/>
        <w:tabs>
          <w:tab w:val="center" w:pos="2274"/>
          <w:tab w:val="right" w:pos="4549"/>
        </w:tabs>
        <w:ind w:left="0"/>
        <w:jc w:val="right"/>
      </w:pPr>
      <w:r>
        <w:tab/>
      </w:r>
      <w:bookmarkStart w:id="52" w:name="公式_19_0"/>
      <w:r>
        <w:rPr>
          <w:rFonts w:hAnsi="Cambria Math"/>
          <w:position w:val="-32"/>
        </w:rPr>
        <w:object w:dxaOrig="1215" w:dyaOrig="600" w14:anchorId="1A8D4F62">
          <v:shape id="_x0000_i1030" type="#_x0000_t75" style="width:60.75pt;height:30pt" o:ole="">
            <v:imagedata r:id="rId26" o:title=""/>
          </v:shape>
          <o:OLEObject Type="Embed" ProgID="Equation.3" ShapeID="_x0000_i1030" DrawAspect="Content" ObjectID="_1840790627" r:id="rId27"/>
        </w:object>
      </w:r>
      <w:r>
        <w:tab/>
        <w:t>(6)</w:t>
      </w:r>
      <w:bookmarkEnd w:id="52"/>
    </w:p>
    <w:p w14:paraId="2613CD2E" w14:textId="77777777" w:rsidR="00FF694E" w:rsidRDefault="00000000">
      <w:pPr>
        <w:pStyle w:val="afff4"/>
        <w:tabs>
          <w:tab w:val="center" w:pos="2274"/>
          <w:tab w:val="right" w:pos="4549"/>
        </w:tabs>
        <w:ind w:left="0"/>
        <w:jc w:val="right"/>
      </w:pPr>
      <w:r>
        <w:tab/>
      </w:r>
      <w:bookmarkStart w:id="53" w:name="公式_21_0"/>
      <w:r>
        <w:rPr>
          <w:rFonts w:hAnsi="Cambria Math"/>
          <w:position w:val="-10"/>
        </w:rPr>
        <w:object w:dxaOrig="1185" w:dyaOrig="360" w14:anchorId="3A2B27E9">
          <v:shape id="_x0000_i1031" type="#_x0000_t75" style="width:59.25pt;height:18pt" o:ole="">
            <v:imagedata r:id="rId28" o:title=""/>
          </v:shape>
          <o:OLEObject Type="Embed" ProgID="Equation.3" ShapeID="_x0000_i1031" DrawAspect="Content" ObjectID="_1840790628" r:id="rId29"/>
        </w:object>
      </w:r>
      <w:r>
        <w:tab/>
        <w:t>(7)</w:t>
      </w:r>
      <w:bookmarkEnd w:id="53"/>
    </w:p>
    <w:p w14:paraId="60B33347" w14:textId="77777777" w:rsidR="00FF694E" w:rsidRDefault="00000000">
      <w:pPr>
        <w:pStyle w:val="afe"/>
        <w:ind w:firstLine="420"/>
      </w:pPr>
      <w:bookmarkStart w:id="54" w:name="正文段落_52_0"/>
      <w:r>
        <w:t>针对盾构机无主动滚转的特性，约束</w:t>
      </w:r>
      <m:oMath>
        <m:sSub>
          <m:sSubPr>
            <m:ctrlPr>
              <w:rPr>
                <w:rFonts w:ascii="Cambria Math" w:hAnsi="Cambria Math"/>
                <w:i/>
              </w:rPr>
            </m:ctrlPr>
          </m:sSubPr>
          <m:e>
            <m:acc>
              <m:accPr>
                <m:chr m:val="⃗"/>
                <m:ctrlPr>
                  <w:rPr>
                    <w:rFonts w:ascii="Cambria Math" w:hAnsi="Cambria Math"/>
                    <w:i/>
                  </w:rPr>
                </m:ctrlPr>
              </m:accPr>
              <m:e>
                <m:r>
                  <w:rPr>
                    <w:rFonts w:ascii="Cambria Math" w:hAnsi="Cambria Math"/>
                  </w:rPr>
                  <m:t>B</m:t>
                </m:r>
              </m:e>
            </m:acc>
          </m:e>
          <m:sub>
            <m:r>
              <m:rPr>
                <m:sty m:val="p"/>
              </m:rPr>
              <w:rPr>
                <w:rFonts w:ascii="Cambria Math" w:hAnsi="Cambria Math"/>
              </w:rPr>
              <m:t>k</m:t>
            </m:r>
          </m:sub>
        </m:sSub>
      </m:oMath>
      <w:r>
        <w:t>始终与重力方向正交，引入滚转角归零处理即：</w:t>
      </w:r>
      <w:bookmarkEnd w:id="54"/>
    </w:p>
    <w:p w14:paraId="55C31544" w14:textId="77777777" w:rsidR="00FF694E" w:rsidRDefault="00000000">
      <w:pPr>
        <w:pStyle w:val="afff4"/>
        <w:tabs>
          <w:tab w:val="center" w:pos="2274"/>
          <w:tab w:val="right" w:pos="4549"/>
        </w:tabs>
        <w:ind w:left="0"/>
        <w:jc w:val="right"/>
      </w:pPr>
      <w:r>
        <w:tab/>
      </w:r>
      <w:bookmarkStart w:id="55" w:name="公式_23_0"/>
      <w:r>
        <w:rPr>
          <w:rFonts w:hint="eastAsia"/>
          <w:position w:val="-18"/>
        </w:rPr>
        <w:object w:dxaOrig="2415" w:dyaOrig="480" w14:anchorId="24A6F029">
          <v:shape id="_x0000_i1032" type="#_x0000_t75" style="width:120.75pt;height:24pt" o:ole="">
            <v:imagedata r:id="rId30" o:title=""/>
          </v:shape>
          <o:OLEObject Type="Embed" ProgID="Equation.3" ShapeID="_x0000_i1032" DrawAspect="Content" ObjectID="_1840790629" r:id="rId31"/>
        </w:object>
      </w:r>
      <w:r>
        <w:tab/>
        <w:t>(8)</w:t>
      </w:r>
      <w:bookmarkEnd w:id="55"/>
    </w:p>
    <w:p w14:paraId="3813AFD0" w14:textId="77777777" w:rsidR="00FF694E" w:rsidRDefault="00000000">
      <w:pPr>
        <w:pStyle w:val="afe"/>
        <w:ind w:firstLine="420"/>
      </w:pPr>
      <w:bookmarkStart w:id="56" w:name="正文段落_54_0"/>
      <w:r>
        <w:t>确保盾构机在复杂曲线段仍保持竖直状态。使用正交化后的向量构建新的旋转矩阵：</w:t>
      </w:r>
      <w:bookmarkEnd w:id="56"/>
    </w:p>
    <w:p w14:paraId="664C9DCB" w14:textId="77777777" w:rsidR="00FF694E" w:rsidRDefault="00000000">
      <w:pPr>
        <w:pStyle w:val="afff4"/>
        <w:tabs>
          <w:tab w:val="center" w:pos="2274"/>
          <w:tab w:val="right" w:pos="4549"/>
        </w:tabs>
        <w:ind w:left="0"/>
        <w:jc w:val="right"/>
      </w:pPr>
      <w:r>
        <w:tab/>
      </w:r>
      <w:bookmarkStart w:id="57" w:name="公式_25_0"/>
      <w:r>
        <w:rPr>
          <w:rFonts w:hint="eastAsia"/>
          <w:position w:val="-38"/>
        </w:rPr>
        <w:object w:dxaOrig="1935" w:dyaOrig="735" w14:anchorId="3358188E">
          <v:shape id="_x0000_i1033" type="#_x0000_t75" style="width:96.75pt;height:36.75pt" o:ole="">
            <v:imagedata r:id="rId32" o:title=""/>
          </v:shape>
          <o:OLEObject Type="Embed" ProgID="Equation.3" ShapeID="_x0000_i1033" DrawAspect="Content" ObjectID="_1840790630" r:id="rId33"/>
        </w:object>
      </w:r>
      <w:r>
        <w:tab/>
        <w:t>(9)</w:t>
      </w:r>
      <w:bookmarkEnd w:id="57"/>
    </w:p>
    <w:p w14:paraId="244E6FC8" w14:textId="77777777" w:rsidR="00FF694E" w:rsidRDefault="00000000">
      <w:pPr>
        <w:pStyle w:val="afff4"/>
        <w:tabs>
          <w:tab w:val="center" w:pos="2274"/>
          <w:tab w:val="right" w:pos="4549"/>
        </w:tabs>
        <w:ind w:left="0"/>
        <w:jc w:val="right"/>
      </w:pPr>
      <w:r>
        <w:tab/>
      </w:r>
      <w:bookmarkStart w:id="58" w:name="公式_27_0"/>
      <w:r>
        <w:rPr>
          <w:rFonts w:hint="eastAsia"/>
          <w:position w:val="-38"/>
        </w:rPr>
        <w:object w:dxaOrig="1230" w:dyaOrig="645" w14:anchorId="55B2DA40">
          <v:shape id="_x0000_i1034" type="#_x0000_t75" style="width:61.5pt;height:32.25pt" o:ole="">
            <v:imagedata r:id="rId34" o:title=""/>
          </v:shape>
          <o:OLEObject Type="Embed" ProgID="Equation.3" ShapeID="_x0000_i1034" DrawAspect="Content" ObjectID="_1840790631" r:id="rId35"/>
        </w:object>
      </w:r>
      <w:r>
        <w:tab/>
        <w:t>(10)</w:t>
      </w:r>
      <w:bookmarkEnd w:id="58"/>
    </w:p>
    <w:p w14:paraId="702308DF" w14:textId="77777777" w:rsidR="00FF694E" w:rsidRDefault="00000000">
      <w:pPr>
        <w:pStyle w:val="afff4"/>
        <w:tabs>
          <w:tab w:val="center" w:pos="2274"/>
          <w:tab w:val="right" w:pos="4549"/>
        </w:tabs>
        <w:ind w:left="0"/>
        <w:jc w:val="right"/>
      </w:pPr>
      <w:r>
        <w:tab/>
      </w:r>
      <w:bookmarkStart w:id="59" w:name="公式_29_0"/>
      <w:r>
        <w:rPr>
          <w:rFonts w:hint="eastAsia"/>
          <w:position w:val="-10"/>
        </w:rPr>
        <w:object w:dxaOrig="1590" w:dyaOrig="315" w14:anchorId="496B9AD9">
          <v:shape id="_x0000_i1035" type="#_x0000_t75" style="width:79.5pt;height:15.75pt" o:ole="">
            <v:imagedata r:id="rId36" o:title=""/>
          </v:shape>
          <o:OLEObject Type="Embed" ProgID="Equation.3" ShapeID="_x0000_i1035" DrawAspect="Content" ObjectID="_1840790632" r:id="rId37"/>
        </w:object>
      </w:r>
      <w:r>
        <w:tab/>
        <w:t>(11)</w:t>
      </w:r>
      <w:bookmarkEnd w:id="59"/>
    </w:p>
    <w:p w14:paraId="0B183C37" w14:textId="77777777" w:rsidR="00FF694E" w:rsidRDefault="00000000">
      <w:pPr>
        <w:pStyle w:val="afe"/>
        <w:ind w:firstLine="420"/>
      </w:pPr>
      <w:bookmarkStart w:id="60" w:name="正文段落_56_0"/>
      <w:r>
        <w:rPr>
          <w:rFonts w:ascii="Cambria Math" w:eastAsia="Cambria Math" w:hAnsi="Cambria Math" w:cs="Cambria Math"/>
        </w:rPr>
        <w:t>在Unity引擎中，可以使用内置函数</w:t>
      </w:r>
      <w:proofErr w:type="spellStart"/>
      <w:r>
        <w:rPr>
          <w:rFonts w:ascii="Cambria Math" w:eastAsia="Cambria Math" w:hAnsi="Cambria Math" w:cs="Cambria Math"/>
        </w:rPr>
        <w:t>Quaternion.LookRotation</w:t>
      </w:r>
      <w:proofErr w:type="spellEnd"/>
      <w:r>
        <w:rPr>
          <w:rFonts w:ascii="Cambria Math" w:eastAsia="Cambria Math" w:hAnsi="Cambria Math" w:cs="Cambria Math"/>
        </w:rPr>
        <w:t>将修正后的旋转矩阵</w:t>
      </w:r>
      <m:oMath>
        <m:sSubSup>
          <m:sSubSupPr>
            <m:ctrlPr>
              <w:rPr>
                <w:rFonts w:ascii="Cambria Math" w:hAnsi="Cambria Math" w:cs="Cambria Math"/>
                <w:bCs/>
                <w:i/>
                <w:lang w:bidi="ar"/>
              </w:rPr>
            </m:ctrlPr>
          </m:sSubSupPr>
          <m:e>
            <m:acc>
              <m:accPr>
                <m:chr m:val="⃗"/>
                <m:ctrlPr>
                  <w:rPr>
                    <w:rFonts w:ascii="Cambria Math" w:hAnsi="Cambria Math" w:cs="Cambria Math"/>
                    <w:bCs/>
                    <w:i/>
                    <w:lang w:bidi="ar"/>
                  </w:rPr>
                </m:ctrlPr>
              </m:accPr>
              <m:e>
                <m:r>
                  <w:rPr>
                    <w:rFonts w:ascii="Cambria Math" w:hAnsi="Cambria Math" w:cs="Cambria Math"/>
                    <w:lang w:bidi="ar"/>
                  </w:rPr>
                  <m:t>R</m:t>
                </m:r>
              </m:e>
            </m:acc>
          </m:e>
          <m:sub>
            <m:r>
              <m:rPr>
                <m:sty m:val="p"/>
              </m:rPr>
              <w:rPr>
                <w:rFonts w:ascii="Cambria Math" w:hAnsi="Cambria Math" w:cs="Cambria Math"/>
                <w:lang w:bidi="ar"/>
              </w:rPr>
              <m:t>k</m:t>
            </m:r>
          </m:sub>
          <m:sup>
            <m:r>
              <w:rPr>
                <w:rFonts w:ascii="Cambria Math" w:hAnsi="Cambria Math" w:cs="Cambria Math"/>
                <w:lang w:bidi="ar"/>
              </w:rPr>
              <m:t>'</m:t>
            </m:r>
          </m:sup>
        </m:sSubSup>
      </m:oMath>
      <w:r>
        <w:rPr>
          <w:rFonts w:ascii="Cambria Math" w:eastAsia="Cambria Math" w:hAnsi="Cambria Math" w:cs="Cambria Math"/>
        </w:rPr>
        <w:t>转换为四元数。</w:t>
      </w:r>
      <w:bookmarkEnd w:id="60"/>
    </w:p>
    <w:p w14:paraId="3BCABE5B" w14:textId="77777777" w:rsidR="00FF694E" w:rsidRDefault="00000000">
      <w:pPr>
        <w:pStyle w:val="afff4"/>
        <w:tabs>
          <w:tab w:val="center" w:pos="2274"/>
          <w:tab w:val="right" w:pos="4549"/>
        </w:tabs>
        <w:ind w:left="0"/>
        <w:jc w:val="right"/>
      </w:pPr>
      <w:r>
        <w:tab/>
      </w:r>
      <w:bookmarkStart w:id="61" w:name="公式_31_0"/>
      <w:r>
        <w:rPr>
          <w:position w:val="-28"/>
        </w:rPr>
        <w:object w:dxaOrig="1905" w:dyaOrig="555" w14:anchorId="40204941">
          <v:shape id="_x0000_i1036" type="#_x0000_t75" style="width:95.25pt;height:27.75pt" o:ole="">
            <v:imagedata r:id="rId38" o:title=""/>
          </v:shape>
          <o:OLEObject Type="Embed" ProgID="Equation.3" ShapeID="_x0000_i1036" DrawAspect="Content" ObjectID="_1840790633" r:id="rId39"/>
        </w:object>
      </w:r>
      <w:r>
        <w:tab/>
        <w:t>(12)</w:t>
      </w:r>
      <w:bookmarkEnd w:id="61"/>
    </w:p>
    <w:tbl>
      <w:tblPr>
        <w:tblW w:w="4980" w:type="dxa"/>
        <w:jc w:val="center"/>
        <w:tblBorders>
          <w:top w:val="single" w:sz="12" w:space="0" w:color="auto"/>
          <w:bottom w:val="single" w:sz="12" w:space="0" w:color="auto"/>
          <w:insideH w:val="single" w:sz="6" w:space="0" w:color="auto"/>
        </w:tblBorders>
        <w:tblLayout w:type="fixed"/>
        <w:tblLook w:val="04A0" w:firstRow="1" w:lastRow="0" w:firstColumn="1" w:lastColumn="0" w:noHBand="0" w:noVBand="1"/>
      </w:tblPr>
      <w:tblGrid>
        <w:gridCol w:w="4980"/>
      </w:tblGrid>
      <w:tr w:rsidR="00FF694E" w14:paraId="447AA56D" w14:textId="77777777">
        <w:trPr>
          <w:trHeight w:val="349"/>
          <w:jc w:val="center"/>
        </w:trPr>
        <w:tc>
          <w:tcPr>
            <w:tcW w:w="4980" w:type="dxa"/>
            <w:tcBorders>
              <w:tl2br w:val="nil"/>
              <w:tr2bl w:val="nil"/>
            </w:tcBorders>
            <w:vAlign w:val="center"/>
          </w:tcPr>
          <w:p w14:paraId="6BF5819F" w14:textId="77777777" w:rsidR="00FF694E" w:rsidRDefault="00000000">
            <w:pPr>
              <w:jc w:val="left"/>
              <w:rPr>
                <w:b/>
                <w:bCs/>
                <w:sz w:val="16"/>
                <w:szCs w:val="16"/>
              </w:rPr>
            </w:pPr>
            <w:bookmarkStart w:id="62" w:name="怀疑其他_2_0"/>
            <w:r>
              <w:rPr>
                <w:rFonts w:hint="eastAsia"/>
              </w:rPr>
              <w:t xml:space="preserve">Algorithm 1: </w:t>
            </w:r>
            <w:proofErr w:type="spellStart"/>
            <w:r>
              <w:rPr>
                <w:rFonts w:hint="eastAsia"/>
              </w:rPr>
              <w:t>Frenet</w:t>
            </w:r>
            <w:proofErr w:type="spellEnd"/>
            <w:r>
              <w:rPr>
                <w:rFonts w:hint="eastAsia"/>
              </w:rPr>
              <w:t xml:space="preserve"> Frame Computation</w:t>
            </w:r>
          </w:p>
        </w:tc>
      </w:tr>
      <w:tr w:rsidR="00FF694E" w14:paraId="667B1492" w14:textId="77777777">
        <w:trPr>
          <w:trHeight w:val="1400"/>
          <w:jc w:val="center"/>
        </w:trPr>
        <w:tc>
          <w:tcPr>
            <w:tcW w:w="4980" w:type="dxa"/>
            <w:tcBorders>
              <w:tl2br w:val="nil"/>
              <w:tr2bl w:val="nil"/>
            </w:tcBorders>
            <w:vAlign w:val="center"/>
          </w:tcPr>
          <w:p w14:paraId="30291965" w14:textId="77777777" w:rsidR="00FF694E" w:rsidRDefault="00000000">
            <w:pPr>
              <w:jc w:val="left"/>
            </w:pPr>
            <w:r>
              <w:rPr>
                <w:rFonts w:hint="eastAsia"/>
              </w:rPr>
              <w:t xml:space="preserve">Input: </w:t>
            </w:r>
            <w:proofErr w:type="spellStart"/>
            <w:r>
              <w:rPr>
                <w:rFonts w:hint="eastAsia"/>
              </w:rPr>
              <w:t>P_prev</w:t>
            </w:r>
            <w:proofErr w:type="spellEnd"/>
            <w:r>
              <w:rPr>
                <w:rFonts w:hint="eastAsia"/>
              </w:rPr>
              <w:t xml:space="preserve">, </w:t>
            </w:r>
            <w:proofErr w:type="spellStart"/>
            <w:r>
              <w:rPr>
                <w:rFonts w:hint="eastAsia"/>
              </w:rPr>
              <w:t>P_curr</w:t>
            </w:r>
            <w:proofErr w:type="spellEnd"/>
            <w:r>
              <w:rPr>
                <w:rFonts w:hint="eastAsia"/>
              </w:rPr>
              <w:t xml:space="preserve">, </w:t>
            </w:r>
            <w:proofErr w:type="spellStart"/>
            <w:r>
              <w:rPr>
                <w:rFonts w:hint="eastAsia"/>
              </w:rPr>
              <w:t>P_next</w:t>
            </w:r>
            <w:proofErr w:type="spellEnd"/>
            <w:r>
              <w:rPr>
                <w:rFonts w:hint="eastAsia"/>
              </w:rPr>
              <w:t xml:space="preserve">, </w:t>
            </w:r>
            <w:proofErr w:type="spellStart"/>
            <w:r>
              <w:rPr>
                <w:rFonts w:hint="eastAsia"/>
              </w:rPr>
              <w:t>T_prev</w:t>
            </w:r>
            <w:proofErr w:type="spellEnd"/>
          </w:p>
          <w:p w14:paraId="33C00684" w14:textId="77777777" w:rsidR="00FF694E" w:rsidRDefault="00000000">
            <w:pPr>
              <w:jc w:val="left"/>
            </w:pPr>
            <w:r>
              <w:rPr>
                <w:rFonts w:hint="eastAsia"/>
              </w:rPr>
              <w:t xml:space="preserve">Output: </w:t>
            </w:r>
            <w:proofErr w:type="spellStart"/>
            <w:r>
              <w:rPr>
                <w:rFonts w:hint="eastAsia"/>
              </w:rPr>
              <w:t>q_pose</w:t>
            </w:r>
            <w:proofErr w:type="spellEnd"/>
          </w:p>
          <w:p w14:paraId="68C6D316" w14:textId="77777777" w:rsidR="00FF694E" w:rsidRDefault="00000000">
            <w:pPr>
              <w:jc w:val="left"/>
            </w:pPr>
            <w:r>
              <w:rPr>
                <w:rFonts w:hint="eastAsia"/>
              </w:rPr>
              <w:t>1: if norm(</w:t>
            </w:r>
            <w:proofErr w:type="spellStart"/>
            <w:r>
              <w:rPr>
                <w:rFonts w:hint="eastAsia"/>
              </w:rPr>
              <w:t>P_next</w:t>
            </w:r>
            <w:proofErr w:type="spellEnd"/>
            <w:r>
              <w:rPr>
                <w:rFonts w:hint="eastAsia"/>
              </w:rPr>
              <w:t xml:space="preserve"> - </w:t>
            </w:r>
            <w:proofErr w:type="spellStart"/>
            <w:r>
              <w:rPr>
                <w:rFonts w:hint="eastAsia"/>
              </w:rPr>
              <w:t>P_prev</w:t>
            </w:r>
            <w:proofErr w:type="spellEnd"/>
            <w:r>
              <w:rPr>
                <w:rFonts w:hint="eastAsia"/>
              </w:rPr>
              <w:t xml:space="preserve">) &lt; 1e-5:      </w:t>
            </w:r>
          </w:p>
          <w:p w14:paraId="2E9CEABB" w14:textId="77777777" w:rsidR="00FF694E" w:rsidRDefault="00000000">
            <w:pPr>
              <w:jc w:val="left"/>
            </w:pPr>
            <w:r>
              <w:rPr>
                <w:rFonts w:hint="eastAsia"/>
              </w:rPr>
              <w:t xml:space="preserve">2:     T = </w:t>
            </w:r>
            <w:proofErr w:type="spellStart"/>
            <w:r>
              <w:rPr>
                <w:rFonts w:hint="eastAsia"/>
              </w:rPr>
              <w:t>T_prev</w:t>
            </w:r>
            <w:proofErr w:type="spellEnd"/>
            <w:r>
              <w:rPr>
                <w:rFonts w:hint="eastAsia"/>
              </w:rPr>
              <w:t xml:space="preserve">                       </w:t>
            </w:r>
          </w:p>
          <w:p w14:paraId="54E5C573" w14:textId="77777777" w:rsidR="00FF694E" w:rsidRDefault="00000000">
            <w:pPr>
              <w:jc w:val="left"/>
            </w:pPr>
            <w:r>
              <w:rPr>
                <w:rFonts w:hint="eastAsia"/>
              </w:rPr>
              <w:t>3: else:</w:t>
            </w:r>
          </w:p>
          <w:p w14:paraId="0DD4AB7D" w14:textId="77777777" w:rsidR="00FF694E" w:rsidRDefault="00000000">
            <w:pPr>
              <w:jc w:val="left"/>
            </w:pPr>
            <w:r>
              <w:rPr>
                <w:rFonts w:hint="eastAsia"/>
              </w:rPr>
              <w:t>4:     T = normalize(</w:t>
            </w:r>
            <w:proofErr w:type="spellStart"/>
            <w:r>
              <w:rPr>
                <w:rFonts w:hint="eastAsia"/>
              </w:rPr>
              <w:t>P_next</w:t>
            </w:r>
            <w:proofErr w:type="spellEnd"/>
            <w:r>
              <w:rPr>
                <w:rFonts w:hint="eastAsia"/>
              </w:rPr>
              <w:t xml:space="preserve"> - </w:t>
            </w:r>
            <w:proofErr w:type="spellStart"/>
            <w:r>
              <w:rPr>
                <w:rFonts w:hint="eastAsia"/>
              </w:rPr>
              <w:t>P_prev</w:t>
            </w:r>
            <w:proofErr w:type="spellEnd"/>
            <w:r>
              <w:rPr>
                <w:rFonts w:hint="eastAsia"/>
              </w:rPr>
              <w:t xml:space="preserve">)    </w:t>
            </w:r>
          </w:p>
          <w:p w14:paraId="32C3A4AA" w14:textId="77777777" w:rsidR="00FF694E" w:rsidRDefault="00000000">
            <w:pPr>
              <w:jc w:val="left"/>
            </w:pPr>
            <w:r>
              <w:rPr>
                <w:rFonts w:hint="eastAsia"/>
              </w:rPr>
              <w:t xml:space="preserve">5:  </w:t>
            </w:r>
          </w:p>
          <w:p w14:paraId="1690E7D3" w14:textId="77777777" w:rsidR="00FF694E" w:rsidRDefault="00000000">
            <w:pPr>
              <w:jc w:val="left"/>
            </w:pPr>
            <w:r>
              <w:rPr>
                <w:rFonts w:hint="eastAsia"/>
              </w:rPr>
              <w:t xml:space="preserve">6:  </w:t>
            </w:r>
            <w:proofErr w:type="spellStart"/>
            <w:r>
              <w:rPr>
                <w:rFonts w:hint="eastAsia"/>
              </w:rPr>
              <w:t>T_seg_prev</w:t>
            </w:r>
            <w:proofErr w:type="spellEnd"/>
            <w:r>
              <w:rPr>
                <w:rFonts w:hint="eastAsia"/>
              </w:rPr>
              <w:t xml:space="preserve"> = normalize(</w:t>
            </w:r>
            <w:proofErr w:type="spellStart"/>
            <w:r>
              <w:rPr>
                <w:rFonts w:hint="eastAsia"/>
              </w:rPr>
              <w:t>P_curr</w:t>
            </w:r>
            <w:proofErr w:type="spellEnd"/>
            <w:r>
              <w:rPr>
                <w:rFonts w:hint="eastAsia"/>
              </w:rPr>
              <w:t xml:space="preserve"> - </w:t>
            </w:r>
            <w:proofErr w:type="spellStart"/>
            <w:r>
              <w:rPr>
                <w:rFonts w:hint="eastAsia"/>
              </w:rPr>
              <w:t>P_prev</w:t>
            </w:r>
            <w:proofErr w:type="spellEnd"/>
            <w:r>
              <w:rPr>
                <w:rFonts w:hint="eastAsia"/>
              </w:rPr>
              <w:t>)</w:t>
            </w:r>
          </w:p>
          <w:p w14:paraId="501A49DE" w14:textId="77777777" w:rsidR="00FF694E" w:rsidRDefault="00000000">
            <w:pPr>
              <w:jc w:val="left"/>
            </w:pPr>
            <w:r>
              <w:rPr>
                <w:rFonts w:hint="eastAsia"/>
              </w:rPr>
              <w:t xml:space="preserve">7:  </w:t>
            </w:r>
            <w:proofErr w:type="spellStart"/>
            <w:r>
              <w:rPr>
                <w:rFonts w:hint="eastAsia"/>
              </w:rPr>
              <w:t>T_seg_next</w:t>
            </w:r>
            <w:proofErr w:type="spellEnd"/>
            <w:r>
              <w:rPr>
                <w:rFonts w:hint="eastAsia"/>
              </w:rPr>
              <w:t xml:space="preserve"> = normalize(</w:t>
            </w:r>
            <w:proofErr w:type="spellStart"/>
            <w:r>
              <w:rPr>
                <w:rFonts w:hint="eastAsia"/>
              </w:rPr>
              <w:t>P_next</w:t>
            </w:r>
            <w:proofErr w:type="spellEnd"/>
            <w:r>
              <w:rPr>
                <w:rFonts w:hint="eastAsia"/>
              </w:rPr>
              <w:t xml:space="preserve"> - </w:t>
            </w:r>
            <w:proofErr w:type="spellStart"/>
            <w:r>
              <w:rPr>
                <w:rFonts w:hint="eastAsia"/>
              </w:rPr>
              <w:t>P_curr</w:t>
            </w:r>
            <w:proofErr w:type="spellEnd"/>
            <w:r>
              <w:rPr>
                <w:rFonts w:hint="eastAsia"/>
              </w:rPr>
              <w:t>)</w:t>
            </w:r>
          </w:p>
          <w:p w14:paraId="1B9096AD" w14:textId="77777777" w:rsidR="00FF694E" w:rsidRDefault="00000000">
            <w:pPr>
              <w:jc w:val="left"/>
            </w:pPr>
            <w:r>
              <w:rPr>
                <w:rFonts w:hint="eastAsia"/>
              </w:rPr>
              <w:t>8:  N = normalize(</w:t>
            </w:r>
            <w:proofErr w:type="spellStart"/>
            <w:r>
              <w:rPr>
                <w:rFonts w:hint="eastAsia"/>
              </w:rPr>
              <w:t>T_seg_next</w:t>
            </w:r>
            <w:proofErr w:type="spellEnd"/>
            <w:r>
              <w:rPr>
                <w:rFonts w:hint="eastAsia"/>
              </w:rPr>
              <w:t xml:space="preserve"> - </w:t>
            </w:r>
            <w:proofErr w:type="spellStart"/>
            <w:r>
              <w:rPr>
                <w:rFonts w:hint="eastAsia"/>
              </w:rPr>
              <w:t>T_seg_prev</w:t>
            </w:r>
            <w:proofErr w:type="spellEnd"/>
            <w:r>
              <w:rPr>
                <w:rFonts w:hint="eastAsia"/>
              </w:rPr>
              <w:t xml:space="preserve">) </w:t>
            </w:r>
          </w:p>
          <w:p w14:paraId="14F13A33" w14:textId="77777777" w:rsidR="00FF694E" w:rsidRDefault="00000000">
            <w:pPr>
              <w:jc w:val="left"/>
            </w:pPr>
            <w:r>
              <w:rPr>
                <w:rFonts w:hint="eastAsia"/>
              </w:rPr>
              <w:t xml:space="preserve">9:  </w:t>
            </w:r>
          </w:p>
          <w:p w14:paraId="055277B8" w14:textId="77777777" w:rsidR="00FF694E" w:rsidRDefault="00000000">
            <w:pPr>
              <w:jc w:val="left"/>
            </w:pPr>
            <w:r>
              <w:rPr>
                <w:rFonts w:hint="eastAsia"/>
              </w:rPr>
              <w:t xml:space="preserve">10: if norm(N) &lt; 1e-3:                    </w:t>
            </w:r>
          </w:p>
          <w:p w14:paraId="47C7825E" w14:textId="77777777" w:rsidR="00FF694E" w:rsidRDefault="00000000">
            <w:pPr>
              <w:jc w:val="left"/>
            </w:pPr>
            <w:r>
              <w:rPr>
                <w:rFonts w:hint="eastAsia"/>
              </w:rPr>
              <w:t xml:space="preserve">11:     </w:t>
            </w:r>
            <w:proofErr w:type="spellStart"/>
            <w:r>
              <w:rPr>
                <w:rFonts w:hint="eastAsia"/>
              </w:rPr>
              <w:t>ref_vec</w:t>
            </w:r>
            <w:proofErr w:type="spellEnd"/>
            <w:r>
              <w:rPr>
                <w:rFonts w:hint="eastAsia"/>
              </w:rPr>
              <w:t xml:space="preserve"> = [0,1,0] if abs(T[0])&gt;0.9 else [1,0,0]</w:t>
            </w:r>
          </w:p>
          <w:p w14:paraId="4BE136A6" w14:textId="77777777" w:rsidR="00FF694E" w:rsidRDefault="00000000">
            <w:pPr>
              <w:jc w:val="left"/>
            </w:pPr>
            <w:r>
              <w:rPr>
                <w:rFonts w:hint="eastAsia"/>
              </w:rPr>
              <w:t xml:space="preserve">12:     N = normalize(cross(T, </w:t>
            </w:r>
            <w:proofErr w:type="spellStart"/>
            <w:r>
              <w:rPr>
                <w:rFonts w:hint="eastAsia"/>
              </w:rPr>
              <w:t>ref_vec</w:t>
            </w:r>
            <w:proofErr w:type="spellEnd"/>
            <w:r>
              <w:rPr>
                <w:rFonts w:hint="eastAsia"/>
              </w:rPr>
              <w:t>))</w:t>
            </w:r>
          </w:p>
          <w:p w14:paraId="19FA6ABB" w14:textId="77777777" w:rsidR="00FF694E" w:rsidRDefault="00000000">
            <w:pPr>
              <w:jc w:val="left"/>
            </w:pPr>
            <w:r>
              <w:rPr>
                <w:rFonts w:hint="eastAsia"/>
              </w:rPr>
              <w:t>13:</w:t>
            </w:r>
          </w:p>
          <w:p w14:paraId="36DD350B" w14:textId="77777777" w:rsidR="00FF694E" w:rsidRDefault="00000000">
            <w:pPr>
              <w:jc w:val="left"/>
            </w:pPr>
            <w:r>
              <w:rPr>
                <w:rFonts w:hint="eastAsia"/>
              </w:rPr>
              <w:t xml:space="preserve">14: B = cross(T, N)                       </w:t>
            </w:r>
          </w:p>
          <w:p w14:paraId="5F48A7CF" w14:textId="77777777" w:rsidR="00FF694E" w:rsidRDefault="00000000">
            <w:pPr>
              <w:jc w:val="left"/>
            </w:pPr>
            <w:r>
              <w:rPr>
                <w:rFonts w:hint="eastAsia"/>
              </w:rPr>
              <w:t xml:space="preserve">15: if abs(B[2]) &lt; 0.9: B = [0,0,1]       </w:t>
            </w:r>
          </w:p>
          <w:p w14:paraId="015A8E9D" w14:textId="77777777" w:rsidR="00FF694E" w:rsidRDefault="00000000">
            <w:pPr>
              <w:jc w:val="left"/>
            </w:pPr>
            <w:r>
              <w:rPr>
                <w:rFonts w:hint="eastAsia"/>
              </w:rPr>
              <w:t>16:</w:t>
            </w:r>
          </w:p>
          <w:p w14:paraId="0A1DCB6B" w14:textId="77777777" w:rsidR="00FF694E" w:rsidRDefault="00000000">
            <w:pPr>
              <w:jc w:val="left"/>
            </w:pPr>
            <w:r>
              <w:rPr>
                <w:rFonts w:hint="eastAsia"/>
              </w:rPr>
              <w:t xml:space="preserve">17: N = normalize(cross(B, T))            </w:t>
            </w:r>
          </w:p>
          <w:p w14:paraId="34118C0F" w14:textId="77777777" w:rsidR="00FF694E" w:rsidRDefault="00000000">
            <w:pPr>
              <w:jc w:val="left"/>
            </w:pPr>
            <w:r>
              <w:rPr>
                <w:rFonts w:hint="eastAsia"/>
              </w:rPr>
              <w:t>18: T = normalize(cross(N, B))</w:t>
            </w:r>
          </w:p>
          <w:p w14:paraId="2036E5AB" w14:textId="77777777" w:rsidR="00FF694E" w:rsidRDefault="00000000">
            <w:pPr>
              <w:jc w:val="left"/>
            </w:pPr>
            <w:r>
              <w:rPr>
                <w:rFonts w:hint="eastAsia"/>
              </w:rPr>
              <w:t>19:</w:t>
            </w:r>
          </w:p>
          <w:p w14:paraId="75159484" w14:textId="77777777" w:rsidR="00FF694E" w:rsidRDefault="00000000">
            <w:pPr>
              <w:jc w:val="left"/>
            </w:pPr>
            <w:r>
              <w:rPr>
                <w:rFonts w:hint="eastAsia"/>
              </w:rPr>
              <w:t xml:space="preserve">20: R = </w:t>
            </w:r>
            <w:proofErr w:type="spellStart"/>
            <w:r>
              <w:rPr>
                <w:rFonts w:hint="eastAsia"/>
              </w:rPr>
              <w:t>matrix_from_columns</w:t>
            </w:r>
            <w:proofErr w:type="spellEnd"/>
            <w:r>
              <w:rPr>
                <w:rFonts w:hint="eastAsia"/>
              </w:rPr>
              <w:t xml:space="preserve">(T, N, B)      </w:t>
            </w:r>
          </w:p>
          <w:p w14:paraId="57EF87C5" w14:textId="77777777" w:rsidR="00FF694E" w:rsidRDefault="00000000">
            <w:pPr>
              <w:jc w:val="left"/>
            </w:pPr>
            <w:r>
              <w:rPr>
                <w:rFonts w:hint="eastAsia"/>
              </w:rPr>
              <w:t xml:space="preserve">21: q = </w:t>
            </w:r>
            <w:proofErr w:type="spellStart"/>
            <w:r>
              <w:rPr>
                <w:rFonts w:hint="eastAsia"/>
              </w:rPr>
              <w:t>quaternion_from_matrix</w:t>
            </w:r>
            <w:proofErr w:type="spellEnd"/>
            <w:r>
              <w:rPr>
                <w:rFonts w:hint="eastAsia"/>
              </w:rPr>
              <w:t>(R)</w:t>
            </w:r>
          </w:p>
          <w:p w14:paraId="1B3883E2" w14:textId="77777777" w:rsidR="00FF694E" w:rsidRDefault="00000000">
            <w:pPr>
              <w:jc w:val="left"/>
            </w:pPr>
            <w:r>
              <w:rPr>
                <w:rFonts w:hint="eastAsia"/>
              </w:rPr>
              <w:t xml:space="preserve">22: roll = </w:t>
            </w:r>
            <w:proofErr w:type="spellStart"/>
            <w:r>
              <w:rPr>
                <w:rFonts w:hint="eastAsia"/>
              </w:rPr>
              <w:t>get_roll_angle</w:t>
            </w:r>
            <w:proofErr w:type="spellEnd"/>
            <w:r>
              <w:rPr>
                <w:rFonts w:hint="eastAsia"/>
              </w:rPr>
              <w:t xml:space="preserve">(q)              </w:t>
            </w:r>
          </w:p>
          <w:p w14:paraId="62283D7B" w14:textId="77777777" w:rsidR="00FF694E" w:rsidRDefault="00000000">
            <w:pPr>
              <w:jc w:val="left"/>
            </w:pPr>
            <w:r>
              <w:rPr>
                <w:rFonts w:hint="eastAsia"/>
              </w:rPr>
              <w:t xml:space="preserve">23: </w:t>
            </w:r>
            <w:proofErr w:type="spellStart"/>
            <w:r>
              <w:rPr>
                <w:rFonts w:hint="eastAsia"/>
              </w:rPr>
              <w:t>q_pose</w:t>
            </w:r>
            <w:proofErr w:type="spellEnd"/>
            <w:r>
              <w:rPr>
                <w:rFonts w:hint="eastAsia"/>
              </w:rPr>
              <w:t xml:space="preserve"> = q * </w:t>
            </w:r>
            <w:proofErr w:type="spellStart"/>
            <w:r>
              <w:rPr>
                <w:rFonts w:hint="eastAsia"/>
              </w:rPr>
              <w:t>quat_z_rotation</w:t>
            </w:r>
            <w:proofErr w:type="spellEnd"/>
            <w:r>
              <w:rPr>
                <w:rFonts w:hint="eastAsia"/>
              </w:rPr>
              <w:t>(-roll/2)</w:t>
            </w:r>
          </w:p>
          <w:p w14:paraId="3CCB835B" w14:textId="77777777" w:rsidR="00FF694E" w:rsidRDefault="00000000">
            <w:pPr>
              <w:jc w:val="left"/>
              <w:rPr>
                <w:sz w:val="16"/>
                <w:szCs w:val="16"/>
              </w:rPr>
            </w:pPr>
            <w:r>
              <w:rPr>
                <w:rFonts w:hint="eastAsia"/>
              </w:rPr>
              <w:t xml:space="preserve">24: return </w:t>
            </w:r>
            <w:proofErr w:type="spellStart"/>
            <w:r>
              <w:rPr>
                <w:rFonts w:hint="eastAsia"/>
              </w:rPr>
              <w:t>q_pose</w:t>
            </w:r>
            <w:proofErr w:type="spellEnd"/>
          </w:p>
        </w:tc>
      </w:tr>
    </w:tbl>
    <w:p w14:paraId="1AD10F11" w14:textId="77777777" w:rsidR="00FF694E" w:rsidRDefault="00000000">
      <w:pPr>
        <w:pStyle w:val="afffd"/>
      </w:pPr>
      <w:r>
        <w:rPr>
          <w:rFonts w:hint="eastAsia"/>
        </w:rPr>
        <w:t>图</w:t>
      </w:r>
      <w:r>
        <w:rPr>
          <w:rFonts w:hint="eastAsia"/>
        </w:rPr>
        <w:t xml:space="preserve">3 </w:t>
      </w:r>
      <w:r>
        <w:rPr>
          <w:rFonts w:hint="eastAsia"/>
        </w:rPr>
        <w:t>工程实现伪代码</w:t>
      </w:r>
      <w:bookmarkEnd w:id="62"/>
    </w:p>
    <w:p w14:paraId="613BB379" w14:textId="77777777" w:rsidR="00FF694E" w:rsidRDefault="00000000">
      <w:pPr>
        <w:pStyle w:val="afe"/>
        <w:ind w:firstLine="420"/>
      </w:pPr>
      <w:bookmarkStart w:id="63" w:name="正文段落_92_0"/>
      <w:r>
        <w:t>通过上述步骤，该运动仿真模型驱动虚拟盾构机严格沿预设工作路线推进。通过</w:t>
      </w:r>
      <w:r>
        <w:t>Unity</w:t>
      </w:r>
      <w:r>
        <w:t>物理引擎高保真复现盾构机空推过站的动态行为，确保虚拟运动紧密反映物理设备的动力学特性。最终，该高精度运动仿真模型实时输出盾构机虚拟模型在全局虚拟坐标系下的六自由度位姿矩阵及当前推进速度，为后续虚实空间原位映射提供精确、动态的驱动数据源。</w:t>
      </w:r>
      <w:bookmarkEnd w:id="63"/>
    </w:p>
    <w:p w14:paraId="4A6120EB" w14:textId="77777777" w:rsidR="00FF694E" w:rsidRDefault="00000000">
      <w:pPr>
        <w:pStyle w:val="aff0"/>
        <w:keepNext/>
      </w:pPr>
      <w:bookmarkStart w:id="64" w:name="二级标题序号_6_0"/>
      <w:bookmarkStart w:id="65" w:name="二级标题_8_0"/>
      <w:r>
        <w:rPr>
          <w:rStyle w:val="affff2"/>
          <w:b/>
          <w:szCs w:val="20"/>
        </w:rPr>
        <w:lastRenderedPageBreak/>
        <w:t xml:space="preserve">2.3 </w:t>
      </w:r>
      <w:bookmarkEnd w:id="64"/>
      <w:r>
        <w:t>虚实空间原位映射</w:t>
      </w:r>
      <w:bookmarkEnd w:id="65"/>
    </w:p>
    <w:p w14:paraId="0B38A9CC" w14:textId="77777777" w:rsidR="00FF694E" w:rsidRDefault="00000000">
      <w:pPr>
        <w:pStyle w:val="afe"/>
        <w:ind w:firstLine="420"/>
      </w:pPr>
      <w:bookmarkStart w:id="66" w:name="正文段落_94_0"/>
      <w:r>
        <w:rPr>
          <w:rFonts w:ascii="Cambria Math" w:eastAsia="Cambria Math" w:hAnsi="Cambria Math" w:cs="Cambria Math"/>
        </w:rPr>
        <w:t>为实现高保真盾构机运动模型及其位姿数据在真实施工环境中的精确、实时空间映射，并确保混合现实中虚拟与真实盾构机的空间一致性，本研究提出基于Vuforia运用三维注册技术，来进行盾构机虚实空间原位映射。首先在Unity中设置空间标记，录入Vuforia数据库，与Unity建立联系，随后在Unity中准确设置空间标记点与地铁站虚拟模型的相对位置。在现实空间中，MR设备可通过内置摄像机实施捕捉周围环境的图像信息，提取施工现场的图像标记，与虚拟模型建立联系，实现地铁站足尺寸虚拟模型与真实场景中地铁站的准确匹配。</w:t>
      </w:r>
      <w:bookmarkEnd w:id="66"/>
    </w:p>
    <w:p w14:paraId="17D6A318" w14:textId="77777777" w:rsidR="00FF694E" w:rsidRDefault="00000000">
      <w:pPr>
        <w:pStyle w:val="affff"/>
        <w:keepLines/>
      </w:pPr>
      <w:bookmarkStart w:id="67" w:name="嵌入式图形_3_0"/>
      <w:r>
        <w:rPr>
          <w:noProof/>
        </w:rPr>
        <w:drawing>
          <wp:inline distT="0" distB="0" distL="114300" distR="114300" wp14:anchorId="31A714F6" wp14:editId="71DBECBE">
            <wp:extent cx="2630805" cy="3388995"/>
            <wp:effectExtent l="0" t="0" r="10795" b="1905"/>
            <wp:docPr id="2" name="Nam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Name 3"/>
                    <pic:cNvPicPr>
                      <a:picLocks noChangeAspect="1"/>
                    </pic:cNvPicPr>
                  </pic:nvPicPr>
                  <pic:blipFill>
                    <a:blip r:embed="rId40"/>
                    <a:stretch>
                      <a:fillRect/>
                    </a:stretch>
                  </pic:blipFill>
                  <pic:spPr>
                    <a:xfrm>
                      <a:off x="0" y="0"/>
                      <a:ext cx="2630805" cy="3388995"/>
                    </a:xfrm>
                    <a:prstGeom prst="rect">
                      <a:avLst/>
                    </a:prstGeom>
                    <a:noFill/>
                    <a:ln>
                      <a:noFill/>
                    </a:ln>
                  </pic:spPr>
                </pic:pic>
              </a:graphicData>
            </a:graphic>
          </wp:inline>
        </w:drawing>
      </w:r>
      <w:bookmarkEnd w:id="67"/>
    </w:p>
    <w:p w14:paraId="203B9B19" w14:textId="77777777" w:rsidR="00FF694E" w:rsidRDefault="00000000">
      <w:pPr>
        <w:pStyle w:val="afffd"/>
      </w:pPr>
      <w:bookmarkStart w:id="68" w:name="中文图序_3_0"/>
      <w:bookmarkStart w:id="69" w:name="中文图题_3_0"/>
      <w:r>
        <w:t>图</w:t>
      </w:r>
      <w:r>
        <w:t>4</w:t>
      </w:r>
      <w:bookmarkEnd w:id="68"/>
      <w:r>
        <w:t xml:space="preserve"> </w:t>
      </w:r>
      <w:r>
        <w:t>三维注册技术流程图</w:t>
      </w:r>
      <w:bookmarkEnd w:id="69"/>
    </w:p>
    <w:p w14:paraId="29B9DD95" w14:textId="77777777" w:rsidR="00FF694E" w:rsidRDefault="00000000">
      <w:pPr>
        <w:pStyle w:val="affff"/>
        <w:keepLines/>
      </w:pPr>
      <w:bookmarkStart w:id="70" w:name="嵌入式图形_4_0"/>
      <w:r>
        <w:rPr>
          <w:noProof/>
        </w:rPr>
        <w:drawing>
          <wp:inline distT="0" distB="0" distL="114300" distR="114300" wp14:anchorId="1D162AE3" wp14:editId="767815A9">
            <wp:extent cx="1456690" cy="1411605"/>
            <wp:effectExtent l="0" t="0" r="3810" b="10795"/>
            <wp:docPr id="11" name="Nam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Name 4"/>
                    <pic:cNvPicPr>
                      <a:picLocks noChangeAspect="1"/>
                    </pic:cNvPicPr>
                  </pic:nvPicPr>
                  <pic:blipFill>
                    <a:blip r:embed="rId41"/>
                    <a:srcRect b="12141"/>
                    <a:stretch>
                      <a:fillRect/>
                    </a:stretch>
                  </pic:blipFill>
                  <pic:spPr>
                    <a:xfrm>
                      <a:off x="0" y="0"/>
                      <a:ext cx="1456690" cy="1411605"/>
                    </a:xfrm>
                    <a:prstGeom prst="rect">
                      <a:avLst/>
                    </a:prstGeom>
                    <a:noFill/>
                    <a:ln>
                      <a:noFill/>
                    </a:ln>
                  </pic:spPr>
                </pic:pic>
              </a:graphicData>
            </a:graphic>
          </wp:inline>
        </w:drawing>
      </w:r>
      <w:r>
        <w:rPr>
          <w:noProof/>
        </w:rPr>
        <w:drawing>
          <wp:inline distT="0" distB="0" distL="114300" distR="114300" wp14:anchorId="77E3F45E" wp14:editId="7F22C3A3">
            <wp:extent cx="1450975" cy="1430020"/>
            <wp:effectExtent l="0" t="0" r="9525" b="5080"/>
            <wp:docPr id="12" name="Nam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Name 5"/>
                    <pic:cNvPicPr>
                      <a:picLocks noChangeAspect="1"/>
                    </pic:cNvPicPr>
                  </pic:nvPicPr>
                  <pic:blipFill>
                    <a:blip r:embed="rId42"/>
                    <a:stretch>
                      <a:fillRect/>
                    </a:stretch>
                  </pic:blipFill>
                  <pic:spPr>
                    <a:xfrm>
                      <a:off x="0" y="0"/>
                      <a:ext cx="1450975" cy="1430020"/>
                    </a:xfrm>
                    <a:prstGeom prst="rect">
                      <a:avLst/>
                    </a:prstGeom>
                    <a:noFill/>
                    <a:ln>
                      <a:noFill/>
                    </a:ln>
                  </pic:spPr>
                </pic:pic>
              </a:graphicData>
            </a:graphic>
          </wp:inline>
        </w:drawing>
      </w:r>
      <w:bookmarkEnd w:id="70"/>
    </w:p>
    <w:p w14:paraId="5A766C40" w14:textId="77777777" w:rsidR="00FF694E" w:rsidRDefault="00000000">
      <w:pPr>
        <w:pStyle w:val="afffd"/>
      </w:pPr>
      <w:bookmarkStart w:id="71" w:name="中文图序_4_0"/>
      <w:bookmarkStart w:id="72" w:name="中文图题_4_0"/>
      <w:r>
        <w:t>图</w:t>
      </w:r>
      <w:r>
        <w:t>5</w:t>
      </w:r>
      <w:bookmarkEnd w:id="71"/>
      <w:r>
        <w:t xml:space="preserve"> </w:t>
      </w:r>
      <w:r>
        <w:t>基于图像信息的对齐示意图</w:t>
      </w:r>
      <w:bookmarkEnd w:id="72"/>
    </w:p>
    <w:p w14:paraId="0C23CC43" w14:textId="77777777" w:rsidR="00FF694E" w:rsidRDefault="00000000">
      <w:pPr>
        <w:pStyle w:val="afe"/>
        <w:ind w:firstLine="420"/>
      </w:pPr>
      <w:bookmarkStart w:id="73" w:name="正文段落_96_0"/>
      <w:r>
        <w:rPr>
          <w:rFonts w:ascii="Cambria Math" w:eastAsia="Cambria Math" w:hAnsi="Cambria Math" w:cs="Cambria Math"/>
        </w:rPr>
        <w:t>由于真实场景画面随时间动态变化，需对虚拟模型在相机各姿态下的画面进行实时渲染，因此运用三维注册技术来进行虚拟对象与真实世界之间坐标系转换，包括世界坐标系</w:t>
      </w:r>
      <m:oMath>
        <m:sSub>
          <m:sSubPr>
            <m:ctrlPr>
              <w:rPr>
                <w:rFonts w:ascii="Cambria Math" w:hAnsi="Cambria Math"/>
                <w:bCs/>
                <w:i/>
                <w:lang w:bidi="ar"/>
              </w:rPr>
            </m:ctrlPr>
          </m:sSubPr>
          <m:e>
            <m:r>
              <w:rPr>
                <w:rFonts w:ascii="Cambria Math" w:hAnsi="Cambria Math"/>
                <w:lang w:bidi="ar"/>
              </w:rPr>
              <m:t>P</m:t>
            </m:r>
          </m:e>
          <m:sub>
            <m:r>
              <m:rPr>
                <m:sty m:val="p"/>
              </m:rPr>
              <w:rPr>
                <w:rFonts w:ascii="Cambria Math" w:hAnsi="Cambria Math"/>
                <w:lang w:bidi="ar"/>
              </w:rPr>
              <m:t>w</m:t>
            </m:r>
          </m:sub>
        </m:sSub>
        <m:sSub>
          <m:sSubPr>
            <m:ctrlPr>
              <w:rPr>
                <w:rFonts w:ascii="Cambria Math" w:hAnsi="Cambria Math" w:cs="Cascadia Mono SemiBold"/>
                <w:bCs/>
                <w:i/>
                <w:lang w:bidi="ar"/>
              </w:rPr>
            </m:ctrlPr>
          </m:sSubPr>
          <m:e>
            <m:r>
              <w:rPr>
                <w:rFonts w:ascii="Cambria Math" w:hAnsi="Cambria Math" w:cs="Cascadia Mono SemiBold"/>
                <w:lang w:bidi="ar"/>
              </w:rPr>
              <m:t>(x</m:t>
            </m:r>
          </m:e>
          <m:sub>
            <m:r>
              <m:rPr>
                <m:sty m:val="p"/>
              </m:rPr>
              <w:rPr>
                <w:rFonts w:ascii="Cambria Math" w:hAnsi="Cambria Math" w:cs="Cascadia Mono SemiBold"/>
                <w:lang w:bidi="ar"/>
              </w:rPr>
              <m:t>w</m:t>
            </m:r>
          </m:sub>
        </m:sSub>
        <m:sSub>
          <m:sSubPr>
            <m:ctrlPr>
              <w:rPr>
                <w:rFonts w:ascii="Cambria Math" w:hAnsi="Cambria Math" w:cs="Cascadia Mono SemiBold"/>
                <w:bCs/>
                <w:i/>
                <w:lang w:bidi="ar"/>
              </w:rPr>
            </m:ctrlPr>
          </m:sSubPr>
          <m:e>
            <m:r>
              <w:rPr>
                <w:rFonts w:ascii="Cambria Math" w:hAnsi="Cambria Math" w:cs="Cascadia Mono SemiBold"/>
                <w:lang w:bidi="ar"/>
              </w:rPr>
              <m:t>,y</m:t>
            </m:r>
          </m:e>
          <m:sub>
            <m:r>
              <m:rPr>
                <m:sty m:val="p"/>
              </m:rPr>
              <w:rPr>
                <w:rFonts w:ascii="Cambria Math" w:hAnsi="Cambria Math" w:cs="Cascadia Mono SemiBold"/>
                <w:lang w:bidi="ar"/>
              </w:rPr>
              <m:t>w</m:t>
            </m:r>
          </m:sub>
        </m:sSub>
        <m:r>
          <w:rPr>
            <w:rFonts w:ascii="Cambria Math" w:hAnsi="Cambria Math" w:cs="Cascadia Mono SemiBold"/>
            <w:lang w:bidi="ar"/>
          </w:rPr>
          <m:t>,</m:t>
        </m:r>
        <m:sSub>
          <m:sSubPr>
            <m:ctrlPr>
              <w:rPr>
                <w:rFonts w:ascii="Cambria Math" w:hAnsi="Cambria Math" w:cs="Cascadia Mono SemiBold"/>
                <w:bCs/>
                <w:i/>
                <w:lang w:bidi="ar"/>
              </w:rPr>
            </m:ctrlPr>
          </m:sSubPr>
          <m:e>
            <m:r>
              <w:rPr>
                <w:rFonts w:ascii="Cambria Math" w:hAnsi="Cambria Math" w:cs="Cascadia Mono SemiBold"/>
                <w:lang w:bidi="ar"/>
              </w:rPr>
              <m:t>z</m:t>
            </m:r>
          </m:e>
          <m:sub>
            <m:r>
              <m:rPr>
                <m:sty m:val="p"/>
              </m:rPr>
              <w:rPr>
                <w:rFonts w:ascii="Cambria Math" w:hAnsi="Cambria Math" w:cs="Cascadia Mono SemiBold"/>
                <w:lang w:bidi="ar"/>
              </w:rPr>
              <m:t>w</m:t>
            </m:r>
          </m:sub>
        </m:sSub>
        <m:r>
          <w:rPr>
            <w:rFonts w:ascii="Cambria Math" w:hAnsi="Cambria Math" w:cs="Cascadia Mono SemiBold"/>
            <w:lang w:bidi="ar"/>
          </w:rPr>
          <m:t>)</m:t>
        </m:r>
      </m:oMath>
      <w:r>
        <w:rPr>
          <w:rFonts w:ascii="Cambria Math" w:eastAsia="Cambria Math" w:hAnsi="Cambria Math" w:cs="Cambria Math"/>
        </w:rPr>
        <w:t>、相机</w:t>
      </w:r>
      <w:r>
        <w:rPr>
          <w:rFonts w:ascii="Cambria Math" w:eastAsia="Cambria Math" w:hAnsi="Cambria Math" w:cs="Cambria Math"/>
        </w:rPr>
        <w:t>坐标系</w:t>
      </w:r>
      <m:oMath>
        <m:sSub>
          <m:sSubPr>
            <m:ctrlPr>
              <w:rPr>
                <w:rFonts w:ascii="Cambria Math" w:hAnsi="Cambria Math"/>
                <w:bCs/>
                <w:i/>
                <w:lang w:bidi="ar"/>
              </w:rPr>
            </m:ctrlPr>
          </m:sSubPr>
          <m:e>
            <m:r>
              <w:rPr>
                <w:rFonts w:ascii="Cambria Math" w:hAnsi="Cambria Math"/>
                <w:lang w:bidi="ar"/>
              </w:rPr>
              <m:t>P</m:t>
            </m:r>
          </m:e>
          <m:sub>
            <m:r>
              <m:rPr>
                <m:sty m:val="p"/>
              </m:rPr>
              <w:rPr>
                <w:rFonts w:ascii="Cambria Math" w:hAnsi="Cambria Math"/>
                <w:lang w:bidi="ar"/>
              </w:rPr>
              <m:t>c</m:t>
            </m:r>
          </m:sub>
        </m:sSub>
        <m:sSub>
          <m:sSubPr>
            <m:ctrlPr>
              <w:rPr>
                <w:rFonts w:ascii="Cambria Math" w:hAnsi="Cambria Math" w:cs="Cascadia Mono SemiBold"/>
                <w:bCs/>
                <w:i/>
                <w:lang w:bidi="ar"/>
              </w:rPr>
            </m:ctrlPr>
          </m:sSubPr>
          <m:e>
            <m:r>
              <w:rPr>
                <w:rFonts w:ascii="Cambria Math" w:hAnsi="Cambria Math" w:cs="Cascadia Mono SemiBold"/>
                <w:lang w:bidi="ar"/>
              </w:rPr>
              <m:t>(x</m:t>
            </m:r>
          </m:e>
          <m:sub>
            <m:r>
              <m:rPr>
                <m:sty m:val="p"/>
              </m:rPr>
              <w:rPr>
                <w:rFonts w:ascii="Cambria Math" w:hAnsi="Cambria Math" w:cs="Cascadia Mono SemiBold"/>
                <w:lang w:bidi="ar"/>
              </w:rPr>
              <m:t>c</m:t>
            </m:r>
          </m:sub>
        </m:sSub>
        <m:sSub>
          <m:sSubPr>
            <m:ctrlPr>
              <w:rPr>
                <w:rFonts w:ascii="Cambria Math" w:hAnsi="Cambria Math" w:cs="Cascadia Mono SemiBold"/>
                <w:bCs/>
                <w:i/>
                <w:lang w:bidi="ar"/>
              </w:rPr>
            </m:ctrlPr>
          </m:sSubPr>
          <m:e>
            <m:r>
              <w:rPr>
                <w:rFonts w:ascii="Cambria Math" w:hAnsi="Cambria Math" w:cs="Cascadia Mono SemiBold"/>
                <w:lang w:bidi="ar"/>
              </w:rPr>
              <m:t>,y</m:t>
            </m:r>
          </m:e>
          <m:sub>
            <m:r>
              <m:rPr>
                <m:sty m:val="p"/>
              </m:rPr>
              <w:rPr>
                <w:rFonts w:ascii="Cambria Math" w:hAnsi="Cambria Math" w:cs="Cascadia Mono SemiBold"/>
                <w:lang w:bidi="ar"/>
              </w:rPr>
              <m:t>c</m:t>
            </m:r>
          </m:sub>
        </m:sSub>
        <m:r>
          <w:rPr>
            <w:rFonts w:ascii="Cambria Math" w:hAnsi="Cambria Math" w:cs="Cascadia Mono SemiBold"/>
            <w:lang w:bidi="ar"/>
          </w:rPr>
          <m:t>,</m:t>
        </m:r>
        <m:sSub>
          <m:sSubPr>
            <m:ctrlPr>
              <w:rPr>
                <w:rFonts w:ascii="Cambria Math" w:hAnsi="Cambria Math" w:cs="Cascadia Mono SemiBold"/>
                <w:bCs/>
                <w:i/>
                <w:lang w:bidi="ar"/>
              </w:rPr>
            </m:ctrlPr>
          </m:sSubPr>
          <m:e>
            <m:r>
              <w:rPr>
                <w:rFonts w:ascii="Cambria Math" w:hAnsi="Cambria Math" w:cs="Cascadia Mono SemiBold"/>
                <w:lang w:bidi="ar"/>
              </w:rPr>
              <m:t>z</m:t>
            </m:r>
          </m:e>
          <m:sub>
            <m:r>
              <m:rPr>
                <m:sty m:val="p"/>
              </m:rPr>
              <w:rPr>
                <w:rFonts w:ascii="Cambria Math" w:hAnsi="Cambria Math" w:cs="Cascadia Mono SemiBold"/>
                <w:lang w:bidi="ar"/>
              </w:rPr>
              <m:t>c</m:t>
            </m:r>
          </m:sub>
        </m:sSub>
        <m:r>
          <w:rPr>
            <w:rFonts w:ascii="Cambria Math" w:hAnsi="Cambria Math" w:cs="Cascadia Mono SemiBold"/>
            <w:lang w:bidi="ar"/>
          </w:rPr>
          <m:t>)</m:t>
        </m:r>
      </m:oMath>
      <w:r>
        <w:rPr>
          <w:rFonts w:ascii="Cambria Math" w:eastAsia="Cambria Math" w:hAnsi="Cambria Math" w:cs="Cambria Math"/>
        </w:rPr>
        <w:t>、图像坐标系</w:t>
      </w:r>
      <m:oMath>
        <m:r>
          <w:rPr>
            <w:rFonts w:ascii="Cambria Math" w:hAnsi="Cambria Math" w:cs="Cascadia Mono SemiBold"/>
            <w:lang w:bidi="ar"/>
          </w:rPr>
          <m:t>P(u,v)</m:t>
        </m:r>
      </m:oMath>
      <w:r>
        <w:rPr>
          <w:rFonts w:ascii="Cambria Math" w:eastAsia="Cambria Math" w:hAnsi="Cambria Math" w:cs="Cambria Math"/>
          <w:i/>
        </w:rPr>
        <w:t>、</w:t>
      </w:r>
      <w:r>
        <w:rPr>
          <w:rFonts w:ascii="Cambria Math" w:eastAsia="Cambria Math" w:hAnsi="Cambria Math" w:cs="Cambria Math"/>
        </w:rPr>
        <w:t>虚拟坐标系</w:t>
      </w:r>
      <m:oMath>
        <m:sSub>
          <m:sSubPr>
            <m:ctrlPr>
              <w:rPr>
                <w:rFonts w:ascii="Cambria Math" w:hAnsi="Cambria Math"/>
                <w:bCs/>
                <w:i/>
                <w:lang w:bidi="ar"/>
              </w:rPr>
            </m:ctrlPr>
          </m:sSubPr>
          <m:e>
            <m:r>
              <w:rPr>
                <w:rFonts w:ascii="Cambria Math" w:hAnsi="Cambria Math"/>
                <w:lang w:bidi="ar"/>
              </w:rPr>
              <m:t>P</m:t>
            </m:r>
          </m:e>
          <m:sub>
            <m:r>
              <m:rPr>
                <m:sty m:val="p"/>
              </m:rPr>
              <w:rPr>
                <w:rFonts w:ascii="Cambria Math" w:hAnsi="Cambria Math"/>
                <w:lang w:bidi="ar"/>
              </w:rPr>
              <m:t>v</m:t>
            </m:r>
          </m:sub>
        </m:sSub>
        <m:sSub>
          <m:sSubPr>
            <m:ctrlPr>
              <w:rPr>
                <w:rFonts w:ascii="Cambria Math" w:hAnsi="Cambria Math" w:cs="Cascadia Mono SemiBold"/>
                <w:bCs/>
                <w:i/>
                <w:lang w:bidi="ar"/>
              </w:rPr>
            </m:ctrlPr>
          </m:sSubPr>
          <m:e>
            <m:r>
              <w:rPr>
                <w:rFonts w:ascii="Cambria Math" w:hAnsi="Cambria Math" w:cs="Cascadia Mono SemiBold"/>
                <w:lang w:bidi="ar"/>
              </w:rPr>
              <m:t>(x</m:t>
            </m:r>
          </m:e>
          <m:sub>
            <m:r>
              <m:rPr>
                <m:sty m:val="p"/>
              </m:rPr>
              <w:rPr>
                <w:rFonts w:ascii="Cambria Math" w:hAnsi="Cambria Math" w:cs="Cascadia Mono SemiBold"/>
                <w:lang w:bidi="ar"/>
              </w:rPr>
              <m:t>v</m:t>
            </m:r>
          </m:sub>
        </m:sSub>
        <m:sSub>
          <m:sSubPr>
            <m:ctrlPr>
              <w:rPr>
                <w:rFonts w:ascii="Cambria Math" w:hAnsi="Cambria Math" w:cs="Cascadia Mono SemiBold"/>
                <w:bCs/>
                <w:i/>
                <w:lang w:bidi="ar"/>
              </w:rPr>
            </m:ctrlPr>
          </m:sSubPr>
          <m:e>
            <m:r>
              <w:rPr>
                <w:rFonts w:ascii="Cambria Math" w:hAnsi="Cambria Math" w:cs="Cascadia Mono SemiBold"/>
                <w:lang w:bidi="ar"/>
              </w:rPr>
              <m:t>,y</m:t>
            </m:r>
          </m:e>
          <m:sub>
            <m:r>
              <m:rPr>
                <m:sty m:val="p"/>
              </m:rPr>
              <w:rPr>
                <w:rFonts w:ascii="Cambria Math" w:hAnsi="Cambria Math" w:cs="Cascadia Mono SemiBold"/>
                <w:lang w:bidi="ar"/>
              </w:rPr>
              <m:t>v</m:t>
            </m:r>
          </m:sub>
        </m:sSub>
        <m:r>
          <w:rPr>
            <w:rFonts w:ascii="Cambria Math" w:hAnsi="Cambria Math" w:cs="Cascadia Mono SemiBold"/>
            <w:lang w:bidi="ar"/>
          </w:rPr>
          <m:t>,</m:t>
        </m:r>
        <m:sSub>
          <m:sSubPr>
            <m:ctrlPr>
              <w:rPr>
                <w:rFonts w:ascii="Cambria Math" w:hAnsi="Cambria Math" w:cs="Cascadia Mono SemiBold"/>
                <w:bCs/>
                <w:i/>
                <w:lang w:bidi="ar"/>
              </w:rPr>
            </m:ctrlPr>
          </m:sSubPr>
          <m:e>
            <m:r>
              <w:rPr>
                <w:rFonts w:ascii="Cambria Math" w:hAnsi="Cambria Math" w:cs="Cascadia Mono SemiBold"/>
                <w:lang w:bidi="ar"/>
              </w:rPr>
              <m:t>z</m:t>
            </m:r>
          </m:e>
          <m:sub>
            <m:r>
              <m:rPr>
                <m:sty m:val="p"/>
              </m:rPr>
              <w:rPr>
                <w:rFonts w:ascii="Cambria Math" w:hAnsi="Cambria Math" w:cs="Cascadia Mono SemiBold"/>
                <w:lang w:bidi="ar"/>
              </w:rPr>
              <m:t>v</m:t>
            </m:r>
          </m:sub>
        </m:sSub>
        <m:r>
          <w:rPr>
            <w:rFonts w:ascii="Cambria Math" w:hAnsi="Cambria Math" w:cs="Cascadia Mono SemiBold"/>
            <w:lang w:bidi="ar"/>
          </w:rPr>
          <m:t>)</m:t>
        </m:r>
      </m:oMath>
      <w:r>
        <w:rPr>
          <w:rFonts w:ascii="Cambria Math" w:eastAsia="Cambria Math" w:hAnsi="Cambria Math" w:cs="Cambria Math"/>
        </w:rPr>
        <w:t>。</w:t>
      </w:r>
      <w:bookmarkEnd w:id="73"/>
    </w:p>
    <w:p w14:paraId="545FE73A" w14:textId="77777777" w:rsidR="00FF694E" w:rsidRDefault="00000000">
      <w:pPr>
        <w:pStyle w:val="affff"/>
        <w:keepLines/>
      </w:pPr>
      <w:bookmarkStart w:id="74" w:name="嵌入式图形_6_0"/>
      <w:r>
        <w:rPr>
          <w:noProof/>
        </w:rPr>
        <w:drawing>
          <wp:inline distT="0" distB="0" distL="114300" distR="114300" wp14:anchorId="73B85067" wp14:editId="00F179EE">
            <wp:extent cx="2007235" cy="1917065"/>
            <wp:effectExtent l="0" t="0" r="12065" b="635"/>
            <wp:docPr id="3" name="Nam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Name 6"/>
                    <pic:cNvPicPr>
                      <a:picLocks noChangeAspect="1"/>
                    </pic:cNvPicPr>
                  </pic:nvPicPr>
                  <pic:blipFill>
                    <a:blip r:embed="rId43"/>
                    <a:stretch>
                      <a:fillRect/>
                    </a:stretch>
                  </pic:blipFill>
                  <pic:spPr>
                    <a:xfrm>
                      <a:off x="0" y="0"/>
                      <a:ext cx="2007235" cy="1917065"/>
                    </a:xfrm>
                    <a:prstGeom prst="rect">
                      <a:avLst/>
                    </a:prstGeom>
                    <a:noFill/>
                    <a:ln>
                      <a:noFill/>
                    </a:ln>
                  </pic:spPr>
                </pic:pic>
              </a:graphicData>
            </a:graphic>
          </wp:inline>
        </w:drawing>
      </w:r>
      <w:bookmarkEnd w:id="74"/>
    </w:p>
    <w:p w14:paraId="7E368172" w14:textId="77777777" w:rsidR="00FF694E" w:rsidRDefault="00000000">
      <w:pPr>
        <w:pStyle w:val="afffd"/>
      </w:pPr>
      <w:bookmarkStart w:id="75" w:name="中文图序_5_0"/>
      <w:bookmarkStart w:id="76" w:name="中文图题_5_0"/>
      <w:r>
        <w:t>图</w:t>
      </w:r>
      <w:r>
        <w:t>6</w:t>
      </w:r>
      <w:bookmarkEnd w:id="75"/>
      <w:r>
        <w:t xml:space="preserve"> </w:t>
      </w:r>
      <w:r>
        <w:t>三维跟踪注册技术的坐标系转换</w:t>
      </w:r>
      <w:bookmarkEnd w:id="76"/>
    </w:p>
    <w:p w14:paraId="0C10E967" w14:textId="77777777" w:rsidR="00FF694E" w:rsidRDefault="00000000">
      <w:pPr>
        <w:pStyle w:val="afe"/>
        <w:ind w:firstLine="420"/>
      </w:pPr>
      <w:bookmarkStart w:id="77" w:name="正文段落_98_0"/>
      <w:r>
        <w:rPr>
          <w:rFonts w:ascii="Cambria Math" w:eastAsia="Cambria Math" w:hAnsi="Cambria Math" w:cs="Cambria Math"/>
        </w:rPr>
        <w:t>在此配准框架以及坐标系转换下，由运动仿真模块实时计算得到的盾构机虚拟位姿被直接应用于驱动混合现实场景中虚拟盾构机模型的运动仿真，同时保证虚拟模型的物理特性和光影效果与实际情况相匹配，实现虚拟运动状态在真实环境中的原位、同步可视化，从而营造出逼真的混合现实环境，有效提高用户体验和仿真效果的真实性。</w:t>
      </w:r>
      <w:bookmarkEnd w:id="77"/>
    </w:p>
    <w:p w14:paraId="7FD6D8F9" w14:textId="77777777" w:rsidR="00FF694E" w:rsidRDefault="00000000">
      <w:pPr>
        <w:pStyle w:val="aff0"/>
        <w:keepNext/>
      </w:pPr>
      <w:bookmarkStart w:id="78" w:name="二级标题序号_7_0"/>
      <w:bookmarkStart w:id="79" w:name="二级标题_10_0"/>
      <w:r>
        <w:rPr>
          <w:rStyle w:val="affff2"/>
          <w:b/>
          <w:szCs w:val="20"/>
        </w:rPr>
        <w:t xml:space="preserve">2.4 </w:t>
      </w:r>
      <w:bookmarkEnd w:id="78"/>
      <w:r>
        <w:t>动态反馈控制机制搭建</w:t>
      </w:r>
      <w:bookmarkEnd w:id="79"/>
    </w:p>
    <w:p w14:paraId="704ED060" w14:textId="77777777" w:rsidR="00FF694E" w:rsidRDefault="00000000">
      <w:pPr>
        <w:pStyle w:val="afe"/>
        <w:ind w:firstLine="420"/>
      </w:pPr>
      <w:bookmarkStart w:id="80" w:name="正文段落_100_0"/>
      <w:r>
        <w:t>要实现盾构机空推过站真实工作过程的仿真，基于碰撞检测的动态反馈机制是必不可少的，不仅可以避免模型在运动过程中的穿模现象，还可以实现潜在碰撞风险点的预测。通过</w:t>
      </w:r>
      <w:r>
        <w:t>Unity</w:t>
      </w:r>
      <w:r>
        <w:t>仿真平台的数据同步，确保虚拟模型与现实环境的实时交互。</w:t>
      </w:r>
      <w:bookmarkEnd w:id="80"/>
    </w:p>
    <w:p w14:paraId="1A9CDFE6" w14:textId="77777777" w:rsidR="00FF694E" w:rsidRDefault="00000000">
      <w:pPr>
        <w:pStyle w:val="afe"/>
        <w:ind w:firstLine="420"/>
      </w:pPr>
      <w:bookmarkStart w:id="81" w:name="正文段落_102_0"/>
      <w:r>
        <w:t>在</w:t>
      </w:r>
      <w:r>
        <w:t>Unity 3D</w:t>
      </w:r>
      <w:r>
        <w:t>开发平台中，考虑到检测效率和检测效果，选择使用刚体碰撞来实现基于空间网格的动态反馈机制搭建。</w:t>
      </w:r>
      <w:bookmarkEnd w:id="81"/>
    </w:p>
    <w:p w14:paraId="0F463920" w14:textId="77777777" w:rsidR="00FF694E" w:rsidRDefault="00000000">
      <w:pPr>
        <w:pStyle w:val="afe"/>
        <w:ind w:firstLine="420"/>
      </w:pPr>
      <w:bookmarkStart w:id="82" w:name="正文段落_104_0"/>
      <w:r>
        <w:t>通过</w:t>
      </w:r>
      <w:r>
        <w:t>HoloLens</w:t>
      </w:r>
      <w:r>
        <w:t>的空间网格技术，实现了实时扫描和环境映射功能。</w:t>
      </w:r>
      <w:r>
        <w:t>HoloLens</w:t>
      </w:r>
      <w:r>
        <w:t>的空间网格功能能够实时扫描周围环境，生成精细的空间网格。这些空间网格数据为机器人提供了环境的几何信息，帮助机器人实现对环境的准确感知。</w:t>
      </w:r>
      <w:bookmarkEnd w:id="82"/>
    </w:p>
    <w:p w14:paraId="140A2771" w14:textId="77777777" w:rsidR="00FF694E" w:rsidRDefault="00000000">
      <w:pPr>
        <w:pStyle w:val="affff"/>
        <w:keepLines/>
      </w:pPr>
      <w:bookmarkStart w:id="83" w:name="嵌入式图形_7_0"/>
      <w:r>
        <w:rPr>
          <w:noProof/>
        </w:rPr>
        <w:drawing>
          <wp:inline distT="0" distB="0" distL="114300" distR="114300" wp14:anchorId="4ADF5256" wp14:editId="746693E4">
            <wp:extent cx="2320925" cy="1648460"/>
            <wp:effectExtent l="0" t="0" r="3175" b="2540"/>
            <wp:docPr id="1124835151" name="Nam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4835151" name="Name 7"/>
                    <pic:cNvPicPr>
                      <a:picLocks noChangeAspect="1"/>
                    </pic:cNvPicPr>
                  </pic:nvPicPr>
                  <pic:blipFill>
                    <a:blip r:embed="rId44"/>
                    <a:stretch>
                      <a:fillRect/>
                    </a:stretch>
                  </pic:blipFill>
                  <pic:spPr>
                    <a:xfrm>
                      <a:off x="0" y="0"/>
                      <a:ext cx="2320925" cy="1648460"/>
                    </a:xfrm>
                    <a:prstGeom prst="rect">
                      <a:avLst/>
                    </a:prstGeom>
                    <a:noFill/>
                    <a:ln>
                      <a:noFill/>
                    </a:ln>
                  </pic:spPr>
                </pic:pic>
              </a:graphicData>
            </a:graphic>
          </wp:inline>
        </w:drawing>
      </w:r>
      <w:bookmarkEnd w:id="83"/>
    </w:p>
    <w:p w14:paraId="6497D0F9" w14:textId="77777777" w:rsidR="00FF694E" w:rsidRDefault="00000000">
      <w:pPr>
        <w:pStyle w:val="afffd"/>
      </w:pPr>
      <w:bookmarkStart w:id="84" w:name="中文图序_6_0"/>
      <w:bookmarkStart w:id="85" w:name="中文图题_6_0"/>
      <w:r>
        <w:t>图</w:t>
      </w:r>
      <w:r>
        <w:t>7</w:t>
      </w:r>
      <w:bookmarkEnd w:id="84"/>
      <w:r>
        <w:t xml:space="preserve"> </w:t>
      </w:r>
      <w:proofErr w:type="spellStart"/>
      <w:r>
        <w:t>Hololens</w:t>
      </w:r>
      <w:proofErr w:type="spellEnd"/>
      <w:r>
        <w:t>空间网格</w:t>
      </w:r>
      <w:bookmarkEnd w:id="85"/>
    </w:p>
    <w:p w14:paraId="2F38BFC4" w14:textId="77777777" w:rsidR="00FF694E" w:rsidRDefault="00000000">
      <w:pPr>
        <w:pStyle w:val="afe"/>
        <w:ind w:firstLine="420"/>
      </w:pPr>
      <w:bookmarkStart w:id="86" w:name="正文段落_106_0"/>
      <w:r>
        <w:lastRenderedPageBreak/>
        <w:t>为实现符合物理规律的碰撞交互，分别为施工空间（地铁站环境）和盾构机模型赋予物理属性：为模型内各构件添加</w:t>
      </w:r>
      <w:proofErr w:type="spellStart"/>
      <w:r>
        <w:t>Rigidbody</w:t>
      </w:r>
      <w:proofErr w:type="spellEnd"/>
      <w:r>
        <w:t>组件，赋予其刚体特性，使其能参与重力作用、动量传递及碰撞响应等物理模拟计算；同时添加</w:t>
      </w:r>
      <w:r>
        <w:t>Mesh Renderer</w:t>
      </w:r>
      <w:r>
        <w:t>组件确保构件在视觉呈现上的真实性。为精确界定碰撞边界，需依据构件的实际几何形态与物理尺寸，为盾构机本体及其施工空间内的所有相关构件分别配置</w:t>
      </w:r>
      <w:r>
        <w:t>Box Collider</w:t>
      </w:r>
      <w:r>
        <w:t>碰撞体。在完成虚实空间配准（</w:t>
      </w:r>
      <w:r>
        <w:t>2.3</w:t>
      </w:r>
      <w:r>
        <w:t>节）并应用实时运动位姿（</w:t>
      </w:r>
      <w:r>
        <w:t>2.2</w:t>
      </w:r>
      <w:r>
        <w:t>节）的基础上，盾构机构件上的碰撞体不启用</w:t>
      </w:r>
      <w:r>
        <w:t>Is Trigger</w:t>
      </w:r>
      <w:r>
        <w:t>属性，旨在提供实体物理碰撞效果，有效阻止物体间的相互穿透；而施工空间构件上的碰撞体则启用</w:t>
      </w:r>
      <w:r>
        <w:t>Is Trigger</w:t>
      </w:r>
      <w:r>
        <w:t>属性，使其成为触发器，从而高效检测接触事件并触发预设的逻辑响应。为实现碰撞响应的实时性与准确性，本研究设计并实现了基于</w:t>
      </w:r>
      <w:r>
        <w:t>C#</w:t>
      </w:r>
      <w:r>
        <w:t>的高效碰撞检测反馈脚本。该脚本的核心功能在于：当精确检测到盾构机与施工空间构件（配置为</w:t>
      </w:r>
      <w:r>
        <w:t>Trigger</w:t>
      </w:r>
      <w:r>
        <w:t>的碰撞体）发生接触事件时，立即触发目标构件的红色高亮视觉反馈，为确保交互反馈机制的全局一致性与可靠性。</w:t>
      </w:r>
      <w:bookmarkEnd w:id="86"/>
    </w:p>
    <w:p w14:paraId="2F219DD7" w14:textId="77777777" w:rsidR="00FF694E" w:rsidRDefault="00000000">
      <w:pPr>
        <w:pStyle w:val="affff"/>
        <w:keepLines/>
      </w:pPr>
      <w:bookmarkStart w:id="87" w:name="嵌入式图形_8_0"/>
      <w:r>
        <w:rPr>
          <w:noProof/>
        </w:rPr>
        <w:drawing>
          <wp:inline distT="0" distB="0" distL="114300" distR="114300" wp14:anchorId="1E4497A7" wp14:editId="487AA507">
            <wp:extent cx="1415415" cy="1085850"/>
            <wp:effectExtent l="0" t="0" r="6985" b="6350"/>
            <wp:docPr id="4" name="Nam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Name 8"/>
                    <pic:cNvPicPr>
                      <a:picLocks noChangeAspect="1"/>
                    </pic:cNvPicPr>
                  </pic:nvPicPr>
                  <pic:blipFill>
                    <a:blip r:embed="rId45"/>
                    <a:stretch>
                      <a:fillRect/>
                    </a:stretch>
                  </pic:blipFill>
                  <pic:spPr>
                    <a:xfrm>
                      <a:off x="0" y="0"/>
                      <a:ext cx="1415415" cy="1085850"/>
                    </a:xfrm>
                    <a:prstGeom prst="rect">
                      <a:avLst/>
                    </a:prstGeom>
                    <a:noFill/>
                    <a:ln>
                      <a:noFill/>
                    </a:ln>
                  </pic:spPr>
                </pic:pic>
              </a:graphicData>
            </a:graphic>
          </wp:inline>
        </w:drawing>
      </w:r>
      <w:r>
        <w:rPr>
          <w:noProof/>
        </w:rPr>
        <w:drawing>
          <wp:inline distT="0" distB="0" distL="114300" distR="114300" wp14:anchorId="2419E2B3" wp14:editId="101AA8C0">
            <wp:extent cx="1414780" cy="1087755"/>
            <wp:effectExtent l="0" t="0" r="7620" b="4445"/>
            <wp:docPr id="6" name="Nam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Name 9"/>
                    <pic:cNvPicPr>
                      <a:picLocks noChangeAspect="1"/>
                    </pic:cNvPicPr>
                  </pic:nvPicPr>
                  <pic:blipFill>
                    <a:blip r:embed="rId46"/>
                    <a:stretch>
                      <a:fillRect/>
                    </a:stretch>
                  </pic:blipFill>
                  <pic:spPr>
                    <a:xfrm>
                      <a:off x="0" y="0"/>
                      <a:ext cx="1414780" cy="1087755"/>
                    </a:xfrm>
                    <a:prstGeom prst="rect">
                      <a:avLst/>
                    </a:prstGeom>
                    <a:noFill/>
                    <a:ln>
                      <a:noFill/>
                    </a:ln>
                  </pic:spPr>
                </pic:pic>
              </a:graphicData>
            </a:graphic>
          </wp:inline>
        </w:drawing>
      </w:r>
      <w:bookmarkEnd w:id="87"/>
    </w:p>
    <w:p w14:paraId="37B12091" w14:textId="77777777" w:rsidR="00FF694E" w:rsidRDefault="00000000">
      <w:pPr>
        <w:pStyle w:val="affff"/>
        <w:keepLines/>
      </w:pPr>
      <w:bookmarkStart w:id="88" w:name="嵌入式图形_10_0"/>
      <w:r>
        <w:rPr>
          <w:noProof/>
        </w:rPr>
        <w:drawing>
          <wp:inline distT="0" distB="0" distL="114300" distR="114300" wp14:anchorId="69C8784F" wp14:editId="4ABC4F22">
            <wp:extent cx="1424305" cy="1083310"/>
            <wp:effectExtent l="0" t="0" r="10795" b="8890"/>
            <wp:docPr id="28" name="Nam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Name 10"/>
                    <pic:cNvPicPr>
                      <a:picLocks noChangeAspect="1"/>
                    </pic:cNvPicPr>
                  </pic:nvPicPr>
                  <pic:blipFill>
                    <a:blip r:embed="rId47"/>
                    <a:stretch>
                      <a:fillRect/>
                    </a:stretch>
                  </pic:blipFill>
                  <pic:spPr>
                    <a:xfrm>
                      <a:off x="0" y="0"/>
                      <a:ext cx="1424305" cy="1083310"/>
                    </a:xfrm>
                    <a:prstGeom prst="rect">
                      <a:avLst/>
                    </a:prstGeom>
                    <a:noFill/>
                    <a:ln>
                      <a:noFill/>
                    </a:ln>
                  </pic:spPr>
                </pic:pic>
              </a:graphicData>
            </a:graphic>
          </wp:inline>
        </w:drawing>
      </w:r>
      <w:r>
        <w:rPr>
          <w:noProof/>
        </w:rPr>
        <w:drawing>
          <wp:inline distT="0" distB="0" distL="114300" distR="114300" wp14:anchorId="35349C6D" wp14:editId="3E61C99B">
            <wp:extent cx="1421130" cy="1078230"/>
            <wp:effectExtent l="0" t="0" r="1270" b="1270"/>
            <wp:docPr id="17" name="Nam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Name 11"/>
                    <pic:cNvPicPr>
                      <a:picLocks noChangeAspect="1"/>
                    </pic:cNvPicPr>
                  </pic:nvPicPr>
                  <pic:blipFill>
                    <a:blip r:embed="rId48"/>
                    <a:stretch>
                      <a:fillRect/>
                    </a:stretch>
                  </pic:blipFill>
                  <pic:spPr>
                    <a:xfrm>
                      <a:off x="0" y="0"/>
                      <a:ext cx="1421130" cy="1078230"/>
                    </a:xfrm>
                    <a:prstGeom prst="rect">
                      <a:avLst/>
                    </a:prstGeom>
                    <a:noFill/>
                    <a:ln>
                      <a:noFill/>
                    </a:ln>
                  </pic:spPr>
                </pic:pic>
              </a:graphicData>
            </a:graphic>
          </wp:inline>
        </w:drawing>
      </w:r>
      <w:bookmarkEnd w:id="88"/>
    </w:p>
    <w:p w14:paraId="213B1DE3" w14:textId="77777777" w:rsidR="00FF694E" w:rsidRDefault="00000000">
      <w:pPr>
        <w:pStyle w:val="afffd"/>
      </w:pPr>
      <w:bookmarkStart w:id="89" w:name="中文图序_7_0"/>
      <w:bookmarkStart w:id="90" w:name="中文图题_7_0"/>
      <w:r>
        <w:t>图</w:t>
      </w:r>
      <w:r>
        <w:t>8</w:t>
      </w:r>
      <w:bookmarkEnd w:id="89"/>
      <w:r>
        <w:t xml:space="preserve"> </w:t>
      </w:r>
      <w:r>
        <w:t>碰撞反馈效果图</w:t>
      </w:r>
      <w:bookmarkEnd w:id="90"/>
    </w:p>
    <w:p w14:paraId="73F664AE" w14:textId="77777777" w:rsidR="00FF694E" w:rsidRDefault="00000000">
      <w:pPr>
        <w:pStyle w:val="aff0"/>
        <w:keepNext/>
      </w:pPr>
      <w:bookmarkStart w:id="91" w:name="二级标题序号_8_0"/>
      <w:bookmarkStart w:id="92" w:name="二级标题_12_0"/>
      <w:r>
        <w:rPr>
          <w:rStyle w:val="affff2"/>
          <w:b/>
          <w:szCs w:val="20"/>
        </w:rPr>
        <w:t xml:space="preserve">2.5 </w:t>
      </w:r>
      <w:bookmarkEnd w:id="91"/>
      <w:r>
        <w:t>仿真系统实现</w:t>
      </w:r>
      <w:bookmarkEnd w:id="92"/>
    </w:p>
    <w:p w14:paraId="4E815189" w14:textId="77777777" w:rsidR="00FF694E" w:rsidRDefault="00000000">
      <w:pPr>
        <w:snapToGrid w:val="0"/>
        <w:ind w:firstLine="420"/>
        <w:rPr>
          <w:rFonts w:eastAsia="方正书宋简体"/>
          <w:spacing w:val="2"/>
          <w:szCs w:val="21"/>
        </w:rPr>
      </w:pPr>
      <w:bookmarkStart w:id="93" w:name="正文段落_128_0"/>
      <w:r>
        <w:rPr>
          <w:rFonts w:eastAsia="方正书宋简体" w:hint="eastAsia"/>
          <w:spacing w:val="2"/>
          <w:szCs w:val="21"/>
        </w:rPr>
        <w:t>（</w:t>
      </w:r>
      <w:r>
        <w:rPr>
          <w:rFonts w:eastAsia="方正书宋简体" w:hint="eastAsia"/>
          <w:spacing w:val="2"/>
          <w:szCs w:val="21"/>
        </w:rPr>
        <w:t>1</w:t>
      </w:r>
      <w:r>
        <w:rPr>
          <w:rFonts w:eastAsia="方正书宋简体" w:hint="eastAsia"/>
          <w:spacing w:val="2"/>
          <w:szCs w:val="21"/>
        </w:rPr>
        <w:t>）智能交互界面设计</w:t>
      </w:r>
    </w:p>
    <w:p w14:paraId="5221C504" w14:textId="77777777" w:rsidR="00FF694E" w:rsidRDefault="00000000">
      <w:pPr>
        <w:snapToGrid w:val="0"/>
        <w:ind w:firstLine="420"/>
        <w:rPr>
          <w:rFonts w:eastAsia="方正书宋简体"/>
          <w:spacing w:val="2"/>
          <w:szCs w:val="21"/>
        </w:rPr>
      </w:pPr>
      <w:r>
        <w:rPr>
          <w:rFonts w:eastAsia="方正书宋简体" w:hint="eastAsia"/>
          <w:spacing w:val="2"/>
          <w:szCs w:val="21"/>
        </w:rPr>
        <w:t>基于</w:t>
      </w:r>
      <w:r>
        <w:rPr>
          <w:rFonts w:eastAsia="方正书宋简体" w:hint="eastAsia"/>
          <w:spacing w:val="2"/>
          <w:szCs w:val="21"/>
        </w:rPr>
        <w:t>unity</w:t>
      </w:r>
      <w:r>
        <w:rPr>
          <w:rFonts w:eastAsia="方正书宋简体" w:hint="eastAsia"/>
          <w:spacing w:val="2"/>
          <w:szCs w:val="21"/>
        </w:rPr>
        <w:t>引擎开发了“前进”“归位”“偏差检测”“整体调整”“站台调整”“盾构调整”六个核心功能的交互界面，支持手势操作与语音指令双模式控制。界面布局经过人机工程优化，关键操作响应时间控制，确保施工人员快速响应突发状况。如图</w:t>
      </w:r>
      <w:r>
        <w:rPr>
          <w:rFonts w:eastAsia="方正书宋简体" w:hint="eastAsia"/>
          <w:spacing w:val="2"/>
          <w:szCs w:val="21"/>
        </w:rPr>
        <w:t>9</w:t>
      </w:r>
      <w:r>
        <w:rPr>
          <w:rFonts w:eastAsia="方正书宋简体" w:hint="eastAsia"/>
          <w:spacing w:val="2"/>
          <w:szCs w:val="21"/>
        </w:rPr>
        <w:t>所示。</w:t>
      </w:r>
    </w:p>
    <w:p w14:paraId="749018E5" w14:textId="77777777" w:rsidR="00FF694E" w:rsidRDefault="00000000">
      <w:pPr>
        <w:pStyle w:val="affff5"/>
        <w:rPr>
          <w:rFonts w:hint="default"/>
        </w:rPr>
      </w:pPr>
      <w:r>
        <w:rPr>
          <w:noProof/>
        </w:rPr>
        <w:drawing>
          <wp:inline distT="0" distB="0" distL="114300" distR="114300" wp14:anchorId="48800824" wp14:editId="72C515D5">
            <wp:extent cx="2886710" cy="1934845"/>
            <wp:effectExtent l="0" t="0" r="8890" b="8255"/>
            <wp:docPr id="8"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9"/>
                    <pic:cNvPicPr>
                      <a:picLocks noChangeAspect="1"/>
                    </pic:cNvPicPr>
                  </pic:nvPicPr>
                  <pic:blipFill>
                    <a:blip r:embed="rId49"/>
                    <a:stretch>
                      <a:fillRect/>
                    </a:stretch>
                  </pic:blipFill>
                  <pic:spPr>
                    <a:xfrm>
                      <a:off x="0" y="0"/>
                      <a:ext cx="2886710" cy="1934845"/>
                    </a:xfrm>
                    <a:prstGeom prst="rect">
                      <a:avLst/>
                    </a:prstGeom>
                    <a:noFill/>
                    <a:ln>
                      <a:noFill/>
                    </a:ln>
                  </pic:spPr>
                </pic:pic>
              </a:graphicData>
            </a:graphic>
          </wp:inline>
        </w:drawing>
      </w:r>
    </w:p>
    <w:p w14:paraId="5717FF5A" w14:textId="77777777" w:rsidR="00FF694E" w:rsidRDefault="00000000">
      <w:pPr>
        <w:pStyle w:val="afffd"/>
      </w:pPr>
      <w:r>
        <w:rPr>
          <w:rFonts w:hint="eastAsia"/>
        </w:rPr>
        <w:t>图</w:t>
      </w:r>
      <w:r>
        <w:rPr>
          <w:rFonts w:hint="eastAsia"/>
        </w:rPr>
        <w:t xml:space="preserve">9 </w:t>
      </w:r>
      <w:r>
        <w:rPr>
          <w:rFonts w:hint="eastAsia"/>
        </w:rPr>
        <w:t>位置调整控制界面</w:t>
      </w:r>
    </w:p>
    <w:p w14:paraId="4EAC0AC4" w14:textId="77777777" w:rsidR="00FF694E" w:rsidRDefault="00000000">
      <w:pPr>
        <w:snapToGrid w:val="0"/>
        <w:ind w:firstLineChars="200" w:firstLine="428"/>
        <w:jc w:val="left"/>
        <w:rPr>
          <w:rFonts w:eastAsia="方正书宋简体"/>
          <w:spacing w:val="2"/>
          <w:szCs w:val="21"/>
        </w:rPr>
      </w:pPr>
      <w:r>
        <w:rPr>
          <w:rFonts w:eastAsia="方正书宋简体" w:hint="eastAsia"/>
          <w:bCs/>
          <w:spacing w:val="2"/>
          <w:szCs w:val="21"/>
        </w:rPr>
        <w:t>此外，严格遵循预设的碰撞检测规则，脚本中实现了“重新碰撞检测”功能，可在</w:t>
      </w:r>
      <w:r>
        <w:rPr>
          <w:rFonts w:eastAsia="方正书宋简体" w:hint="eastAsia"/>
          <w:bCs/>
          <w:spacing w:val="2"/>
          <w:szCs w:val="21"/>
        </w:rPr>
        <w:t>2</w:t>
      </w:r>
      <w:r>
        <w:rPr>
          <w:rFonts w:eastAsia="方正书宋简体" w:hint="eastAsia"/>
          <w:bCs/>
          <w:spacing w:val="2"/>
          <w:szCs w:val="21"/>
        </w:rPr>
        <w:t>秒内将盾构机复位至初始位置，显著提升仿真效率。并且支持预设轨迹自动推进与手动调速（</w:t>
      </w:r>
      <w:r>
        <w:rPr>
          <w:rFonts w:eastAsia="方正书宋简体" w:hint="eastAsia"/>
          <w:bCs/>
          <w:spacing w:val="2"/>
          <w:szCs w:val="21"/>
        </w:rPr>
        <w:t>0-80 mm/min</w:t>
      </w:r>
      <w:r>
        <w:rPr>
          <w:rFonts w:eastAsia="方正书宋简体" w:hint="eastAsia"/>
          <w:bCs/>
          <w:spacing w:val="2"/>
          <w:szCs w:val="21"/>
        </w:rPr>
        <w:t>）。该功能负责在每次检测周期或状态重置时，准确初始化所有相关碰撞体的状态，确保每次碰撞检测都是独立、无干扰且结果可靠的过程，从而显著提升整个动态反馈系统的运行可靠性与结果稳定性。</w:t>
      </w:r>
    </w:p>
    <w:p w14:paraId="3925F0B2" w14:textId="77777777" w:rsidR="00FF694E" w:rsidRDefault="00000000">
      <w:pPr>
        <w:snapToGrid w:val="0"/>
        <w:ind w:firstLineChars="200" w:firstLine="428"/>
        <w:rPr>
          <w:rFonts w:eastAsia="方正书宋简体"/>
          <w:spacing w:val="2"/>
          <w:szCs w:val="21"/>
        </w:rPr>
      </w:pPr>
      <w:r>
        <w:rPr>
          <w:rFonts w:eastAsia="方正书宋简体" w:hint="eastAsia"/>
          <w:spacing w:val="2"/>
          <w:szCs w:val="21"/>
        </w:rPr>
        <w:t>（</w:t>
      </w:r>
      <w:r>
        <w:rPr>
          <w:rFonts w:eastAsia="方正书宋简体" w:hint="eastAsia"/>
          <w:spacing w:val="2"/>
          <w:szCs w:val="21"/>
        </w:rPr>
        <w:t>2</w:t>
      </w:r>
      <w:r>
        <w:rPr>
          <w:rFonts w:eastAsia="方正书宋简体" w:hint="eastAsia"/>
          <w:spacing w:val="2"/>
          <w:szCs w:val="21"/>
        </w:rPr>
        <w:t>）硬件设备</w:t>
      </w:r>
    </w:p>
    <w:p w14:paraId="7F8FC14A" w14:textId="77777777" w:rsidR="00FF694E" w:rsidRDefault="00000000">
      <w:pPr>
        <w:snapToGrid w:val="0"/>
        <w:ind w:firstLineChars="200" w:firstLine="428"/>
        <w:rPr>
          <w:rFonts w:eastAsia="方正书宋简体"/>
          <w:spacing w:val="2"/>
          <w:szCs w:val="21"/>
        </w:rPr>
      </w:pPr>
      <w:r>
        <w:rPr>
          <w:rFonts w:eastAsia="方正书宋简体" w:hint="eastAsia"/>
          <w:spacing w:val="2"/>
          <w:szCs w:val="21"/>
        </w:rPr>
        <w:t>系统的硬件部分采用</w:t>
      </w:r>
      <w:r>
        <w:rPr>
          <w:rFonts w:eastAsia="方正书宋简体" w:hint="eastAsia"/>
          <w:spacing w:val="2"/>
          <w:szCs w:val="21"/>
        </w:rPr>
        <w:t>hololens2</w:t>
      </w:r>
      <w:r>
        <w:rPr>
          <w:rFonts w:eastAsia="方正书宋简体" w:hint="eastAsia"/>
          <w:spacing w:val="2"/>
          <w:szCs w:val="21"/>
        </w:rPr>
        <w:t>混合现实头盔显示器，因为</w:t>
      </w:r>
      <w:r>
        <w:rPr>
          <w:rFonts w:eastAsia="方正书宋简体" w:hint="eastAsia"/>
          <w:spacing w:val="2"/>
          <w:szCs w:val="21"/>
        </w:rPr>
        <w:t>HoloLens2</w:t>
      </w:r>
      <w:r>
        <w:rPr>
          <w:rFonts w:eastAsia="方正书宋简体" w:hint="eastAsia"/>
          <w:spacing w:val="2"/>
          <w:szCs w:val="21"/>
        </w:rPr>
        <w:t>的开发具有完整的工具链条和技术支持并且拥有手势追踪系统、语音命令、眼动凝视交互等优秀能力，能够给用户带来真实的交互性与沉浸感。</w:t>
      </w:r>
    </w:p>
    <w:p w14:paraId="48F731E9" w14:textId="77777777" w:rsidR="00FF694E" w:rsidRDefault="00000000">
      <w:pPr>
        <w:snapToGrid w:val="0"/>
        <w:jc w:val="center"/>
        <w:rPr>
          <w:rFonts w:eastAsia="方正书宋简体"/>
          <w:spacing w:val="2"/>
          <w:szCs w:val="21"/>
        </w:rPr>
      </w:pPr>
      <w:r>
        <w:rPr>
          <w:rFonts w:eastAsia="方正书宋简体"/>
          <w:noProof/>
          <w:spacing w:val="2"/>
          <w:szCs w:val="21"/>
        </w:rPr>
        <w:drawing>
          <wp:inline distT="0" distB="0" distL="114300" distR="114300" wp14:anchorId="0DE37488" wp14:editId="69FA4B76">
            <wp:extent cx="3023870" cy="1595120"/>
            <wp:effectExtent l="0" t="0" r="11430" b="5080"/>
            <wp:docPr id="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
                    <pic:cNvPicPr>
                      <a:picLocks noChangeAspect="1"/>
                    </pic:cNvPicPr>
                  </pic:nvPicPr>
                  <pic:blipFill>
                    <a:blip r:embed="rId50"/>
                    <a:srcRect l="11481" r="12590"/>
                    <a:stretch>
                      <a:fillRect/>
                    </a:stretch>
                  </pic:blipFill>
                  <pic:spPr>
                    <a:xfrm>
                      <a:off x="0" y="0"/>
                      <a:ext cx="3023870" cy="1595120"/>
                    </a:xfrm>
                    <a:prstGeom prst="rect">
                      <a:avLst/>
                    </a:prstGeom>
                    <a:noFill/>
                    <a:ln>
                      <a:noFill/>
                    </a:ln>
                  </pic:spPr>
                </pic:pic>
              </a:graphicData>
            </a:graphic>
          </wp:inline>
        </w:drawing>
      </w:r>
    </w:p>
    <w:p w14:paraId="4E42A590" w14:textId="77777777" w:rsidR="00FF694E" w:rsidRDefault="00000000">
      <w:pPr>
        <w:pStyle w:val="afffd"/>
      </w:pPr>
      <w:r>
        <w:rPr>
          <w:rFonts w:hint="eastAsia"/>
        </w:rPr>
        <w:t>图</w:t>
      </w:r>
      <w:r>
        <w:rPr>
          <w:rFonts w:hint="eastAsia"/>
        </w:rPr>
        <w:t>10 MR</w:t>
      </w:r>
      <w:r>
        <w:rPr>
          <w:rFonts w:hint="eastAsia"/>
        </w:rPr>
        <w:t>硬件设备</w:t>
      </w:r>
      <w:proofErr w:type="spellStart"/>
      <w:r>
        <w:rPr>
          <w:rFonts w:hint="eastAsia"/>
        </w:rPr>
        <w:t>Hololens</w:t>
      </w:r>
      <w:proofErr w:type="spellEnd"/>
      <w:r>
        <w:rPr>
          <w:rFonts w:hint="eastAsia"/>
        </w:rPr>
        <w:t xml:space="preserve"> 2</w:t>
      </w:r>
    </w:p>
    <w:p w14:paraId="6DD6710F" w14:textId="77777777" w:rsidR="00FF694E" w:rsidRDefault="00000000">
      <w:pPr>
        <w:pStyle w:val="afffb"/>
        <w:keepNext/>
        <w:keepLines/>
      </w:pPr>
      <w:r>
        <w:rPr>
          <w:rFonts w:hint="eastAsia"/>
        </w:rPr>
        <w:t>表</w:t>
      </w:r>
      <w:r>
        <w:rPr>
          <w:rFonts w:hint="eastAsia"/>
        </w:rPr>
        <w:t xml:space="preserve">1 </w:t>
      </w:r>
      <w:r>
        <w:rPr>
          <w:rFonts w:hint="eastAsia"/>
        </w:rPr>
        <w:t>设备硬件功能描述</w:t>
      </w:r>
    </w:p>
    <w:tbl>
      <w:tblPr>
        <w:tblW w:w="4810" w:type="dxa"/>
        <w:jc w:val="center"/>
        <w:tblBorders>
          <w:top w:val="single" w:sz="12" w:space="0" w:color="auto"/>
          <w:bottom w:val="single" w:sz="12" w:space="0" w:color="auto"/>
        </w:tblBorders>
        <w:tblLayout w:type="fixed"/>
        <w:tblLook w:val="04A0" w:firstRow="1" w:lastRow="0" w:firstColumn="1" w:lastColumn="0" w:noHBand="0" w:noVBand="1"/>
      </w:tblPr>
      <w:tblGrid>
        <w:gridCol w:w="1480"/>
        <w:gridCol w:w="3330"/>
      </w:tblGrid>
      <w:tr w:rsidR="00FF694E" w14:paraId="4B1A4FB1" w14:textId="77777777">
        <w:trPr>
          <w:jc w:val="center"/>
        </w:trPr>
        <w:tc>
          <w:tcPr>
            <w:tcW w:w="1480" w:type="dxa"/>
            <w:tcBorders>
              <w:bottom w:val="single" w:sz="6" w:space="0" w:color="auto"/>
            </w:tcBorders>
            <w:vAlign w:val="center"/>
          </w:tcPr>
          <w:p w14:paraId="56BC2DEE" w14:textId="77777777" w:rsidR="00FF694E" w:rsidRDefault="00000000">
            <w:pPr>
              <w:pStyle w:val="affd"/>
              <w:jc w:val="center"/>
              <w:rPr>
                <w:rFonts w:cs="宋体" w:hint="eastAsia"/>
              </w:rPr>
            </w:pPr>
            <w:r>
              <w:rPr>
                <w:rFonts w:cs="宋体" w:hint="eastAsia"/>
              </w:rPr>
              <w:t>功能名称</w:t>
            </w:r>
          </w:p>
        </w:tc>
        <w:tc>
          <w:tcPr>
            <w:tcW w:w="3330" w:type="dxa"/>
            <w:tcBorders>
              <w:bottom w:val="single" w:sz="6" w:space="0" w:color="auto"/>
            </w:tcBorders>
            <w:vAlign w:val="center"/>
          </w:tcPr>
          <w:p w14:paraId="0C3AE971" w14:textId="77777777" w:rsidR="00FF694E" w:rsidRDefault="00000000">
            <w:pPr>
              <w:pStyle w:val="affd"/>
              <w:jc w:val="center"/>
              <w:rPr>
                <w:rFonts w:cs="宋体" w:hint="eastAsia"/>
              </w:rPr>
            </w:pPr>
            <w:r>
              <w:rPr>
                <w:rFonts w:cs="宋体" w:hint="eastAsia"/>
              </w:rPr>
              <w:t>描述</w:t>
            </w:r>
          </w:p>
        </w:tc>
      </w:tr>
      <w:tr w:rsidR="00FF694E" w14:paraId="05553F58" w14:textId="77777777">
        <w:trPr>
          <w:jc w:val="center"/>
        </w:trPr>
        <w:tc>
          <w:tcPr>
            <w:tcW w:w="1480" w:type="dxa"/>
            <w:tcBorders>
              <w:top w:val="single" w:sz="6" w:space="0" w:color="auto"/>
              <w:tl2br w:val="nil"/>
              <w:tr2bl w:val="nil"/>
            </w:tcBorders>
            <w:vAlign w:val="center"/>
          </w:tcPr>
          <w:p w14:paraId="4B70299E" w14:textId="77777777" w:rsidR="00FF694E" w:rsidRDefault="00000000">
            <w:pPr>
              <w:pStyle w:val="affd"/>
              <w:jc w:val="center"/>
              <w:rPr>
                <w:rFonts w:cs="宋体" w:hint="eastAsia"/>
              </w:rPr>
            </w:pPr>
            <w:r>
              <w:rPr>
                <w:rFonts w:cs="宋体" w:hint="eastAsia"/>
              </w:rPr>
              <w:t>头部追踪</w:t>
            </w:r>
          </w:p>
        </w:tc>
        <w:tc>
          <w:tcPr>
            <w:tcW w:w="3330" w:type="dxa"/>
            <w:tcBorders>
              <w:top w:val="single" w:sz="6" w:space="0" w:color="auto"/>
              <w:tl2br w:val="nil"/>
              <w:tr2bl w:val="nil"/>
            </w:tcBorders>
            <w:vAlign w:val="center"/>
          </w:tcPr>
          <w:p w14:paraId="28F976F4" w14:textId="77777777" w:rsidR="00FF694E" w:rsidRDefault="00000000">
            <w:pPr>
              <w:pStyle w:val="affd"/>
              <w:jc w:val="center"/>
              <w:rPr>
                <w:rFonts w:cs="宋体" w:hint="eastAsia"/>
              </w:rPr>
            </w:pPr>
            <w:r>
              <w:rPr>
                <w:rFonts w:cs="宋体" w:hint="eastAsia"/>
              </w:rPr>
              <w:t>4台可见光摄像机</w:t>
            </w:r>
          </w:p>
        </w:tc>
      </w:tr>
      <w:tr w:rsidR="00FF694E" w14:paraId="007A8545" w14:textId="77777777">
        <w:trPr>
          <w:jc w:val="center"/>
        </w:trPr>
        <w:tc>
          <w:tcPr>
            <w:tcW w:w="1480" w:type="dxa"/>
            <w:tcBorders>
              <w:tl2br w:val="nil"/>
              <w:tr2bl w:val="nil"/>
            </w:tcBorders>
            <w:vAlign w:val="center"/>
          </w:tcPr>
          <w:p w14:paraId="326BB822" w14:textId="77777777" w:rsidR="00FF694E" w:rsidRDefault="00000000">
            <w:pPr>
              <w:pStyle w:val="affd"/>
              <w:jc w:val="center"/>
              <w:rPr>
                <w:rFonts w:cs="宋体" w:hint="eastAsia"/>
              </w:rPr>
            </w:pPr>
            <w:r>
              <w:rPr>
                <w:rFonts w:cs="宋体" w:hint="eastAsia"/>
              </w:rPr>
              <w:t>手动追踪</w:t>
            </w:r>
          </w:p>
        </w:tc>
        <w:tc>
          <w:tcPr>
            <w:tcW w:w="3330" w:type="dxa"/>
            <w:tcBorders>
              <w:tl2br w:val="nil"/>
              <w:tr2bl w:val="nil"/>
            </w:tcBorders>
            <w:vAlign w:val="center"/>
          </w:tcPr>
          <w:p w14:paraId="6983CDC9" w14:textId="77777777" w:rsidR="00FF694E" w:rsidRDefault="00000000">
            <w:pPr>
              <w:pStyle w:val="affd"/>
              <w:jc w:val="center"/>
              <w:rPr>
                <w:rFonts w:cs="宋体" w:hint="eastAsia"/>
              </w:rPr>
            </w:pPr>
            <w:r>
              <w:rPr>
                <w:rFonts w:cs="宋体" w:hint="eastAsia"/>
              </w:rPr>
              <w:t>双手完全铰接模型，直接操作</w:t>
            </w:r>
          </w:p>
        </w:tc>
      </w:tr>
      <w:tr w:rsidR="00FF694E" w14:paraId="000E84F5" w14:textId="77777777">
        <w:trPr>
          <w:jc w:val="center"/>
        </w:trPr>
        <w:tc>
          <w:tcPr>
            <w:tcW w:w="1480" w:type="dxa"/>
            <w:tcBorders>
              <w:tl2br w:val="nil"/>
              <w:tr2bl w:val="nil"/>
            </w:tcBorders>
            <w:vAlign w:val="center"/>
          </w:tcPr>
          <w:p w14:paraId="77575518" w14:textId="77777777" w:rsidR="00FF694E" w:rsidRDefault="00000000">
            <w:pPr>
              <w:pStyle w:val="affd"/>
              <w:jc w:val="center"/>
              <w:rPr>
                <w:rFonts w:cs="宋体" w:hint="eastAsia"/>
              </w:rPr>
            </w:pPr>
            <w:r>
              <w:rPr>
                <w:rFonts w:cs="宋体" w:hint="eastAsia"/>
              </w:rPr>
              <w:t>眼动追踪</w:t>
            </w:r>
          </w:p>
        </w:tc>
        <w:tc>
          <w:tcPr>
            <w:tcW w:w="3330" w:type="dxa"/>
            <w:tcBorders>
              <w:tl2br w:val="nil"/>
              <w:tr2bl w:val="nil"/>
            </w:tcBorders>
            <w:vAlign w:val="center"/>
          </w:tcPr>
          <w:p w14:paraId="6C68804A" w14:textId="77777777" w:rsidR="00FF694E" w:rsidRDefault="00000000">
            <w:pPr>
              <w:pStyle w:val="affd"/>
              <w:jc w:val="center"/>
              <w:rPr>
                <w:rFonts w:cs="宋体" w:hint="eastAsia"/>
              </w:rPr>
            </w:pPr>
            <w:r>
              <w:rPr>
                <w:rFonts w:cs="宋体" w:hint="eastAsia"/>
              </w:rPr>
              <w:t>实时追踪</w:t>
            </w:r>
          </w:p>
        </w:tc>
      </w:tr>
      <w:tr w:rsidR="00FF694E" w14:paraId="1BC4057E" w14:textId="77777777">
        <w:trPr>
          <w:jc w:val="center"/>
        </w:trPr>
        <w:tc>
          <w:tcPr>
            <w:tcW w:w="1480" w:type="dxa"/>
            <w:tcBorders>
              <w:tl2br w:val="nil"/>
              <w:tr2bl w:val="nil"/>
            </w:tcBorders>
            <w:vAlign w:val="center"/>
          </w:tcPr>
          <w:p w14:paraId="480F5809" w14:textId="77777777" w:rsidR="00FF694E" w:rsidRDefault="00000000">
            <w:pPr>
              <w:pStyle w:val="affd"/>
              <w:jc w:val="center"/>
              <w:rPr>
                <w:rFonts w:cs="宋体" w:hint="eastAsia"/>
              </w:rPr>
            </w:pPr>
            <w:r>
              <w:rPr>
                <w:rFonts w:cs="宋体" w:hint="eastAsia"/>
              </w:rPr>
              <w:t>语音命令</w:t>
            </w:r>
          </w:p>
        </w:tc>
        <w:tc>
          <w:tcPr>
            <w:tcW w:w="3330" w:type="dxa"/>
            <w:tcBorders>
              <w:tl2br w:val="nil"/>
              <w:tr2bl w:val="nil"/>
            </w:tcBorders>
            <w:vAlign w:val="center"/>
          </w:tcPr>
          <w:p w14:paraId="0FB1317B" w14:textId="77777777" w:rsidR="00FF694E" w:rsidRDefault="00000000">
            <w:pPr>
              <w:pStyle w:val="affd"/>
              <w:jc w:val="center"/>
              <w:rPr>
                <w:rFonts w:cs="宋体" w:hint="eastAsia"/>
              </w:rPr>
            </w:pPr>
            <w:r>
              <w:rPr>
                <w:rFonts w:cs="宋体" w:hint="eastAsia"/>
              </w:rPr>
              <w:t>单机命令和控制</w:t>
            </w:r>
          </w:p>
        </w:tc>
      </w:tr>
      <w:tr w:rsidR="00FF694E" w14:paraId="55794BD3" w14:textId="77777777">
        <w:trPr>
          <w:jc w:val="center"/>
        </w:trPr>
        <w:tc>
          <w:tcPr>
            <w:tcW w:w="1480" w:type="dxa"/>
            <w:tcBorders>
              <w:tl2br w:val="nil"/>
              <w:tr2bl w:val="nil"/>
            </w:tcBorders>
            <w:vAlign w:val="center"/>
          </w:tcPr>
          <w:p w14:paraId="4A136307" w14:textId="77777777" w:rsidR="00FF694E" w:rsidRDefault="00000000">
            <w:pPr>
              <w:pStyle w:val="affd"/>
              <w:jc w:val="center"/>
              <w:rPr>
                <w:rFonts w:cs="宋体" w:hint="eastAsia"/>
              </w:rPr>
            </w:pPr>
            <w:r>
              <w:rPr>
                <w:rFonts w:cs="宋体" w:hint="eastAsia"/>
              </w:rPr>
              <w:t>6DoF 追踪</w:t>
            </w:r>
          </w:p>
        </w:tc>
        <w:tc>
          <w:tcPr>
            <w:tcW w:w="3330" w:type="dxa"/>
            <w:tcBorders>
              <w:tl2br w:val="nil"/>
              <w:tr2bl w:val="nil"/>
            </w:tcBorders>
            <w:vAlign w:val="center"/>
          </w:tcPr>
          <w:p w14:paraId="64CADC7B" w14:textId="77777777" w:rsidR="00FF694E" w:rsidRDefault="00000000">
            <w:pPr>
              <w:pStyle w:val="affd"/>
              <w:jc w:val="center"/>
              <w:rPr>
                <w:rFonts w:cs="宋体" w:hint="eastAsia"/>
              </w:rPr>
            </w:pPr>
            <w:r>
              <w:rPr>
                <w:rFonts w:cs="宋体" w:hint="eastAsia"/>
              </w:rPr>
              <w:t>世界范围的位置追踪</w:t>
            </w:r>
          </w:p>
        </w:tc>
      </w:tr>
      <w:tr w:rsidR="00FF694E" w14:paraId="46BB6147" w14:textId="77777777">
        <w:trPr>
          <w:jc w:val="center"/>
        </w:trPr>
        <w:tc>
          <w:tcPr>
            <w:tcW w:w="1480" w:type="dxa"/>
            <w:tcBorders>
              <w:tl2br w:val="nil"/>
              <w:tr2bl w:val="nil"/>
            </w:tcBorders>
            <w:vAlign w:val="center"/>
          </w:tcPr>
          <w:p w14:paraId="295EC222" w14:textId="77777777" w:rsidR="00FF694E" w:rsidRDefault="00000000">
            <w:pPr>
              <w:pStyle w:val="affd"/>
              <w:jc w:val="center"/>
              <w:rPr>
                <w:rFonts w:cs="宋体" w:hint="eastAsia"/>
              </w:rPr>
            </w:pPr>
            <w:r>
              <w:rPr>
                <w:rFonts w:cs="宋体" w:hint="eastAsia"/>
              </w:rPr>
              <w:t>空间映射</w:t>
            </w:r>
          </w:p>
        </w:tc>
        <w:tc>
          <w:tcPr>
            <w:tcW w:w="3330" w:type="dxa"/>
            <w:tcBorders>
              <w:tl2br w:val="nil"/>
              <w:tr2bl w:val="nil"/>
            </w:tcBorders>
            <w:vAlign w:val="center"/>
          </w:tcPr>
          <w:p w14:paraId="334A5C15" w14:textId="77777777" w:rsidR="00FF694E" w:rsidRDefault="00000000">
            <w:pPr>
              <w:pStyle w:val="affd"/>
              <w:jc w:val="center"/>
              <w:rPr>
                <w:rFonts w:cs="宋体" w:hint="eastAsia"/>
              </w:rPr>
            </w:pPr>
            <w:r>
              <w:rPr>
                <w:rFonts w:cs="宋体" w:hint="eastAsia"/>
              </w:rPr>
              <w:t>实时环境网格</w:t>
            </w:r>
          </w:p>
        </w:tc>
      </w:tr>
      <w:tr w:rsidR="00FF694E" w14:paraId="1729795F" w14:textId="77777777">
        <w:trPr>
          <w:jc w:val="center"/>
        </w:trPr>
        <w:tc>
          <w:tcPr>
            <w:tcW w:w="1480" w:type="dxa"/>
            <w:tcBorders>
              <w:tl2br w:val="nil"/>
              <w:tr2bl w:val="nil"/>
            </w:tcBorders>
            <w:vAlign w:val="center"/>
          </w:tcPr>
          <w:p w14:paraId="1D8FBDDB" w14:textId="77777777" w:rsidR="00FF694E" w:rsidRDefault="00000000">
            <w:pPr>
              <w:pStyle w:val="affd"/>
              <w:jc w:val="center"/>
              <w:rPr>
                <w:rFonts w:cs="宋体" w:hint="eastAsia"/>
              </w:rPr>
            </w:pPr>
            <w:r>
              <w:rPr>
                <w:rFonts w:cs="宋体" w:hint="eastAsia"/>
              </w:rPr>
              <w:t>混合现实捕获</w:t>
            </w:r>
          </w:p>
        </w:tc>
        <w:tc>
          <w:tcPr>
            <w:tcW w:w="3330" w:type="dxa"/>
            <w:tcBorders>
              <w:tl2br w:val="nil"/>
              <w:tr2bl w:val="nil"/>
            </w:tcBorders>
            <w:vAlign w:val="center"/>
          </w:tcPr>
          <w:p w14:paraId="2E7344F7" w14:textId="77777777" w:rsidR="00FF694E" w:rsidRDefault="00000000">
            <w:pPr>
              <w:pStyle w:val="affd"/>
              <w:jc w:val="center"/>
              <w:rPr>
                <w:rFonts w:cs="宋体" w:hint="eastAsia"/>
              </w:rPr>
            </w:pPr>
            <w:r>
              <w:rPr>
                <w:rFonts w:cs="宋体" w:hint="eastAsia"/>
              </w:rPr>
              <w:t>混合全息图和物理环境照片视频</w:t>
            </w:r>
          </w:p>
        </w:tc>
      </w:tr>
    </w:tbl>
    <w:p w14:paraId="2D21E97C" w14:textId="77777777" w:rsidR="00FF694E" w:rsidRDefault="00000000">
      <w:pPr>
        <w:pStyle w:val="aff"/>
        <w:keepNext/>
        <w:spacing w:before="156" w:after="156"/>
      </w:pPr>
      <w:r>
        <w:lastRenderedPageBreak/>
        <w:t xml:space="preserve">3 </w:t>
      </w:r>
      <w:r>
        <w:t>案例验证</w:t>
      </w:r>
    </w:p>
    <w:p w14:paraId="090707D3" w14:textId="77777777" w:rsidR="00FF694E" w:rsidRDefault="00000000">
      <w:pPr>
        <w:pStyle w:val="aff0"/>
        <w:keepNext/>
      </w:pPr>
      <w:r>
        <w:t>3.1</w:t>
      </w:r>
      <w:r>
        <w:rPr>
          <w:rFonts w:hint="eastAsia"/>
        </w:rPr>
        <w:t xml:space="preserve"> </w:t>
      </w:r>
      <w:r>
        <w:t>工程概况</w:t>
      </w:r>
    </w:p>
    <w:p w14:paraId="6DC3F1F5" w14:textId="77777777" w:rsidR="00FF694E" w:rsidRDefault="00000000">
      <w:pPr>
        <w:snapToGrid w:val="0"/>
        <w:ind w:firstLine="420"/>
        <w:rPr>
          <w:rFonts w:eastAsia="方正书宋简体"/>
          <w:spacing w:val="2"/>
          <w:szCs w:val="21"/>
        </w:rPr>
      </w:pPr>
      <w:r>
        <w:rPr>
          <w:rFonts w:eastAsia="方正书宋简体" w:hint="eastAsia"/>
          <w:spacing w:val="2"/>
          <w:szCs w:val="21"/>
        </w:rPr>
        <w:t>北京平谷地铁站是北京市轨道交通</w:t>
      </w:r>
      <w:r>
        <w:rPr>
          <w:rFonts w:eastAsia="方正书宋简体" w:hint="eastAsia"/>
          <w:spacing w:val="2"/>
          <w:szCs w:val="21"/>
        </w:rPr>
        <w:t>22</w:t>
      </w:r>
      <w:r>
        <w:rPr>
          <w:rFonts w:eastAsia="方正书宋简体" w:hint="eastAsia"/>
          <w:spacing w:val="2"/>
          <w:szCs w:val="21"/>
        </w:rPr>
        <w:t>号线的关键节点工程，地处平谷区冲积平原与基岩过渡带，地层以砂卵石、黏土互层为主。受限于车站基坑深度及周边既有建筑密集的环境条件，盾构机需采用空推过站工艺穿越车站主体结构。</w:t>
      </w:r>
      <w:r>
        <w:rPr>
          <w:rFonts w:eastAsia="方正书宋简体" w:hint="eastAsia"/>
          <w:spacing w:val="2"/>
          <w:szCs w:val="21"/>
        </w:rPr>
        <w:t xml:space="preserve"> </w:t>
      </w:r>
    </w:p>
    <w:p w14:paraId="112628B6" w14:textId="77777777" w:rsidR="00FF694E" w:rsidRDefault="00000000">
      <w:pPr>
        <w:pStyle w:val="aff0"/>
        <w:keepNext/>
      </w:pPr>
      <w:r>
        <w:t>3.2</w:t>
      </w:r>
      <w:r>
        <w:rPr>
          <w:rFonts w:hint="eastAsia"/>
        </w:rPr>
        <w:t xml:space="preserve"> </w:t>
      </w:r>
      <w:r>
        <w:t>盾构机空推运动过程仿真验证</w:t>
      </w:r>
    </w:p>
    <w:p w14:paraId="7FF48662" w14:textId="77777777" w:rsidR="00FF694E" w:rsidRDefault="00000000">
      <w:pPr>
        <w:snapToGrid w:val="0"/>
        <w:ind w:firstLine="420"/>
        <w:rPr>
          <w:rFonts w:eastAsia="方正书宋简体"/>
          <w:spacing w:val="2"/>
          <w:szCs w:val="21"/>
        </w:rPr>
      </w:pPr>
      <w:r>
        <w:rPr>
          <w:rFonts w:eastAsia="方正书宋简体" w:hint="eastAsia"/>
          <w:spacing w:val="2"/>
          <w:szCs w:val="21"/>
        </w:rPr>
        <w:t>为验证本文提出的原位虚实交互仿真方法的有效性，在北京平谷地铁站典型施工段开展系统性测试。验证内容涵盖碰撞预警精度、运动轨迹控制、动态响应性能三个核心维度，并与传统人工测量方法进行对比分析。</w:t>
      </w:r>
    </w:p>
    <w:p w14:paraId="62D46D9D" w14:textId="77777777" w:rsidR="00FF694E" w:rsidRDefault="00000000">
      <w:pPr>
        <w:snapToGrid w:val="0"/>
        <w:jc w:val="center"/>
        <w:rPr>
          <w:rFonts w:eastAsia="方正书宋简体"/>
          <w:spacing w:val="2"/>
          <w:szCs w:val="21"/>
        </w:rPr>
      </w:pPr>
      <w:r>
        <w:rPr>
          <w:rFonts w:eastAsia="方正书宋简体"/>
          <w:noProof/>
          <w:spacing w:val="2"/>
          <w:szCs w:val="21"/>
        </w:rPr>
        <w:drawing>
          <wp:inline distT="0" distB="0" distL="114300" distR="114300" wp14:anchorId="422DE7B3" wp14:editId="761EA533">
            <wp:extent cx="1403350" cy="1067435"/>
            <wp:effectExtent l="0" t="0" r="6350" b="12065"/>
            <wp:docPr id="37"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6"/>
                    <pic:cNvPicPr>
                      <a:picLocks noChangeAspect="1"/>
                    </pic:cNvPicPr>
                  </pic:nvPicPr>
                  <pic:blipFill>
                    <a:blip r:embed="rId51"/>
                    <a:srcRect l="34154" t="202" b="7490"/>
                    <a:stretch>
                      <a:fillRect/>
                    </a:stretch>
                  </pic:blipFill>
                  <pic:spPr>
                    <a:xfrm>
                      <a:off x="0" y="0"/>
                      <a:ext cx="1403350" cy="1067435"/>
                    </a:xfrm>
                    <a:prstGeom prst="rect">
                      <a:avLst/>
                    </a:prstGeom>
                  </pic:spPr>
                </pic:pic>
              </a:graphicData>
            </a:graphic>
          </wp:inline>
        </w:drawing>
      </w:r>
      <w:r>
        <w:rPr>
          <w:rFonts w:eastAsia="方正书宋简体"/>
          <w:noProof/>
          <w:spacing w:val="2"/>
          <w:szCs w:val="21"/>
        </w:rPr>
        <w:drawing>
          <wp:inline distT="0" distB="0" distL="114300" distR="114300" wp14:anchorId="10B49A4E" wp14:editId="7B9050B7">
            <wp:extent cx="1461135" cy="1078230"/>
            <wp:effectExtent l="0" t="0" r="12065" b="1270"/>
            <wp:docPr id="7" name="图片 7" descr="fd5b9571b7694c58f5565e60ce31da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fd5b9571b7694c58f5565e60ce31dab"/>
                    <pic:cNvPicPr>
                      <a:picLocks noChangeAspect="1"/>
                    </pic:cNvPicPr>
                  </pic:nvPicPr>
                  <pic:blipFill>
                    <a:blip r:embed="rId52"/>
                    <a:srcRect l="3864"/>
                    <a:stretch>
                      <a:fillRect/>
                    </a:stretch>
                  </pic:blipFill>
                  <pic:spPr>
                    <a:xfrm>
                      <a:off x="0" y="0"/>
                      <a:ext cx="1461135" cy="1078230"/>
                    </a:xfrm>
                    <a:prstGeom prst="rect">
                      <a:avLst/>
                    </a:prstGeom>
                  </pic:spPr>
                </pic:pic>
              </a:graphicData>
            </a:graphic>
          </wp:inline>
        </w:drawing>
      </w:r>
    </w:p>
    <w:p w14:paraId="0A7DFE60" w14:textId="77777777" w:rsidR="00FF694E" w:rsidRDefault="00000000">
      <w:pPr>
        <w:pStyle w:val="afffd"/>
      </w:pPr>
      <w:r>
        <w:rPr>
          <w:rFonts w:hint="eastAsia"/>
        </w:rPr>
        <w:t>图</w:t>
      </w:r>
      <w:r>
        <w:rPr>
          <w:rFonts w:hint="eastAsia"/>
        </w:rPr>
        <w:t xml:space="preserve">11 </w:t>
      </w:r>
      <w:r>
        <w:rPr>
          <w:rFonts w:hint="eastAsia"/>
        </w:rPr>
        <w:t>盾构机虚实映射示意图</w:t>
      </w:r>
    </w:p>
    <w:p w14:paraId="1E94504A" w14:textId="77777777" w:rsidR="00FF694E" w:rsidRDefault="00000000">
      <w:pPr>
        <w:pStyle w:val="afe"/>
        <w:ind w:firstLine="420"/>
      </w:pPr>
      <w:r>
        <w:rPr>
          <w:rFonts w:hint="eastAsia"/>
        </w:rPr>
        <w:t>（</w:t>
      </w:r>
      <w:r>
        <w:rPr>
          <w:rFonts w:hint="eastAsia"/>
        </w:rPr>
        <w:t>1</w:t>
      </w:r>
      <w:r>
        <w:rPr>
          <w:rFonts w:hint="eastAsia"/>
        </w:rPr>
        <w:t>）仿真环境与参数配置</w:t>
      </w:r>
    </w:p>
    <w:p w14:paraId="3AD8EF30" w14:textId="77777777" w:rsidR="00FF694E" w:rsidRDefault="00000000">
      <w:pPr>
        <w:pStyle w:val="afe"/>
        <w:ind w:firstLine="420"/>
      </w:pPr>
      <w:r>
        <w:rPr>
          <w:rFonts w:hint="eastAsia"/>
        </w:rPr>
        <w:t>只测试一段隧道区长，区段全长</w:t>
      </w:r>
      <w:r>
        <w:rPr>
          <w:rFonts w:hint="eastAsia"/>
        </w:rPr>
        <w:t>30m</w:t>
      </w:r>
      <w:r>
        <w:rPr>
          <w:rFonts w:hint="eastAsia"/>
        </w:rPr>
        <w:t>，包括周围临时设施。选用</w:t>
      </w:r>
      <w:r>
        <w:rPr>
          <w:rFonts w:hint="eastAsia"/>
        </w:rPr>
        <w:t>E4140</w:t>
      </w:r>
      <w:r>
        <w:rPr>
          <w:rFonts w:hint="eastAsia"/>
        </w:rPr>
        <w:t>土压平衡盾构机，虚拟模型经轻量化处理后面片数降至原模型的</w:t>
      </w:r>
      <w:r>
        <w:rPr>
          <w:rFonts w:hint="eastAsia"/>
        </w:rPr>
        <w:t>18%</w:t>
      </w:r>
      <w:r>
        <w:rPr>
          <w:rFonts w:hint="eastAsia"/>
        </w:rPr>
        <w:t>，在</w:t>
      </w:r>
      <w:proofErr w:type="spellStart"/>
      <w:r>
        <w:rPr>
          <w:rFonts w:hint="eastAsia"/>
        </w:rPr>
        <w:t>Hololens</w:t>
      </w:r>
      <w:proofErr w:type="spellEnd"/>
      <w:r>
        <w:rPr>
          <w:rFonts w:hint="eastAsia"/>
        </w:rPr>
        <w:t xml:space="preserve"> 2</w:t>
      </w:r>
      <w:r>
        <w:rPr>
          <w:rFonts w:hint="eastAsia"/>
        </w:rPr>
        <w:t>上渲染帧率稳定在</w:t>
      </w:r>
      <w:r>
        <w:rPr>
          <w:rFonts w:hint="eastAsia"/>
        </w:rPr>
        <w:t>45fps</w:t>
      </w:r>
      <w:r>
        <w:rPr>
          <w:rFonts w:hint="eastAsia"/>
        </w:rPr>
        <w:t>。</w:t>
      </w:r>
    </w:p>
    <w:p w14:paraId="2F5CE924" w14:textId="77777777" w:rsidR="00FF694E" w:rsidRDefault="00000000">
      <w:pPr>
        <w:pStyle w:val="afffb"/>
        <w:keepNext/>
        <w:keepLines/>
      </w:pPr>
      <w:r>
        <w:rPr>
          <w:rFonts w:hint="eastAsia"/>
        </w:rPr>
        <w:t>表</w:t>
      </w:r>
      <w:r>
        <w:rPr>
          <w:rFonts w:hint="eastAsia"/>
        </w:rPr>
        <w:t xml:space="preserve">2 </w:t>
      </w:r>
      <w:r>
        <w:rPr>
          <w:rFonts w:hint="eastAsia"/>
        </w:rPr>
        <w:t>盾构机选型以及参数配置</w:t>
      </w:r>
    </w:p>
    <w:tbl>
      <w:tblPr>
        <w:tblW w:w="4810" w:type="dxa"/>
        <w:jc w:val="center"/>
        <w:tblBorders>
          <w:top w:val="single" w:sz="12" w:space="0" w:color="auto"/>
          <w:bottom w:val="single" w:sz="12" w:space="0" w:color="auto"/>
        </w:tblBorders>
        <w:tblLayout w:type="fixed"/>
        <w:tblLook w:val="04A0" w:firstRow="1" w:lastRow="0" w:firstColumn="1" w:lastColumn="0" w:noHBand="0" w:noVBand="1"/>
      </w:tblPr>
      <w:tblGrid>
        <w:gridCol w:w="2378"/>
        <w:gridCol w:w="2432"/>
      </w:tblGrid>
      <w:tr w:rsidR="00FF694E" w14:paraId="37637864" w14:textId="77777777">
        <w:trPr>
          <w:jc w:val="center"/>
        </w:trPr>
        <w:tc>
          <w:tcPr>
            <w:tcW w:w="2378" w:type="dxa"/>
            <w:tcBorders>
              <w:bottom w:val="single" w:sz="6" w:space="0" w:color="auto"/>
            </w:tcBorders>
            <w:vAlign w:val="center"/>
          </w:tcPr>
          <w:p w14:paraId="1A68E8B7" w14:textId="77777777" w:rsidR="00FF694E" w:rsidRDefault="00000000">
            <w:pPr>
              <w:pStyle w:val="affd"/>
              <w:jc w:val="center"/>
              <w:rPr>
                <w:rFonts w:cs="宋体" w:hint="eastAsia"/>
              </w:rPr>
            </w:pPr>
            <w:r>
              <w:rPr>
                <w:rFonts w:cs="宋体" w:hint="eastAsia"/>
              </w:rPr>
              <w:t>土压平衡盾构机</w:t>
            </w:r>
          </w:p>
        </w:tc>
        <w:tc>
          <w:tcPr>
            <w:tcW w:w="2432" w:type="dxa"/>
            <w:tcBorders>
              <w:bottom w:val="single" w:sz="6" w:space="0" w:color="auto"/>
            </w:tcBorders>
            <w:vAlign w:val="center"/>
          </w:tcPr>
          <w:p w14:paraId="45B477C4" w14:textId="77777777" w:rsidR="00FF694E" w:rsidRDefault="00000000">
            <w:pPr>
              <w:pStyle w:val="affd"/>
              <w:jc w:val="center"/>
              <w:rPr>
                <w:rFonts w:cs="宋体" w:hint="eastAsia"/>
              </w:rPr>
            </w:pPr>
            <w:r>
              <w:rPr>
                <w:rFonts w:cs="宋体" w:hint="eastAsia"/>
              </w:rPr>
              <w:t>参数配置</w:t>
            </w:r>
          </w:p>
        </w:tc>
      </w:tr>
      <w:tr w:rsidR="00FF694E" w14:paraId="062243A7" w14:textId="77777777">
        <w:trPr>
          <w:jc w:val="center"/>
        </w:trPr>
        <w:tc>
          <w:tcPr>
            <w:tcW w:w="2378" w:type="dxa"/>
            <w:tcBorders>
              <w:top w:val="single" w:sz="6" w:space="0" w:color="auto"/>
              <w:tl2br w:val="nil"/>
              <w:tr2bl w:val="nil"/>
            </w:tcBorders>
            <w:vAlign w:val="center"/>
          </w:tcPr>
          <w:p w14:paraId="7E0E542A" w14:textId="77777777" w:rsidR="00FF694E" w:rsidRDefault="00000000">
            <w:pPr>
              <w:pStyle w:val="affd"/>
              <w:jc w:val="center"/>
              <w:rPr>
                <w:rFonts w:cs="宋体" w:hint="eastAsia"/>
              </w:rPr>
            </w:pPr>
            <w:r>
              <w:rPr>
                <w:rFonts w:cs="宋体" w:hint="eastAsia"/>
              </w:rPr>
              <w:t>前盾外径</w:t>
            </w:r>
          </w:p>
        </w:tc>
        <w:tc>
          <w:tcPr>
            <w:tcW w:w="2432" w:type="dxa"/>
            <w:tcBorders>
              <w:top w:val="single" w:sz="6" w:space="0" w:color="auto"/>
              <w:tl2br w:val="nil"/>
              <w:tr2bl w:val="nil"/>
            </w:tcBorders>
            <w:vAlign w:val="center"/>
          </w:tcPr>
          <w:p w14:paraId="06BFC62C" w14:textId="77777777" w:rsidR="00FF694E" w:rsidRDefault="00000000">
            <w:pPr>
              <w:pStyle w:val="affd"/>
              <w:jc w:val="center"/>
              <w:rPr>
                <w:rFonts w:cs="宋体" w:hint="eastAsia"/>
              </w:rPr>
            </w:pPr>
            <w:r>
              <w:rPr>
                <w:rFonts w:cs="宋体" w:hint="eastAsia"/>
              </w:rPr>
              <w:t>415 0mm</w:t>
            </w:r>
          </w:p>
        </w:tc>
      </w:tr>
      <w:tr w:rsidR="00FF694E" w14:paraId="5689268E" w14:textId="77777777">
        <w:trPr>
          <w:jc w:val="center"/>
        </w:trPr>
        <w:tc>
          <w:tcPr>
            <w:tcW w:w="2378" w:type="dxa"/>
            <w:tcBorders>
              <w:tl2br w:val="nil"/>
              <w:tr2bl w:val="nil"/>
            </w:tcBorders>
            <w:vAlign w:val="center"/>
          </w:tcPr>
          <w:p w14:paraId="6B8A23F3" w14:textId="77777777" w:rsidR="00FF694E" w:rsidRDefault="00000000">
            <w:pPr>
              <w:pStyle w:val="affd"/>
              <w:jc w:val="center"/>
              <w:rPr>
                <w:rFonts w:cs="宋体" w:hint="eastAsia"/>
              </w:rPr>
            </w:pPr>
            <w:r>
              <w:rPr>
                <w:rFonts w:cs="宋体" w:hint="eastAsia"/>
              </w:rPr>
              <w:t>中盾外径</w:t>
            </w:r>
          </w:p>
        </w:tc>
        <w:tc>
          <w:tcPr>
            <w:tcW w:w="2432" w:type="dxa"/>
            <w:tcBorders>
              <w:tl2br w:val="nil"/>
              <w:tr2bl w:val="nil"/>
            </w:tcBorders>
            <w:vAlign w:val="center"/>
          </w:tcPr>
          <w:p w14:paraId="2D9209A7" w14:textId="77777777" w:rsidR="00FF694E" w:rsidRDefault="00000000">
            <w:pPr>
              <w:pStyle w:val="affd"/>
              <w:jc w:val="center"/>
              <w:rPr>
                <w:rFonts w:cs="宋体" w:hint="eastAsia"/>
              </w:rPr>
            </w:pPr>
            <w:r>
              <w:rPr>
                <w:rFonts w:cs="宋体" w:hint="eastAsia"/>
              </w:rPr>
              <w:t>414 5mm</w:t>
            </w:r>
          </w:p>
        </w:tc>
      </w:tr>
      <w:tr w:rsidR="00FF694E" w14:paraId="5C7AE9FA" w14:textId="77777777">
        <w:trPr>
          <w:jc w:val="center"/>
        </w:trPr>
        <w:tc>
          <w:tcPr>
            <w:tcW w:w="2378" w:type="dxa"/>
            <w:tcBorders>
              <w:tl2br w:val="nil"/>
              <w:tr2bl w:val="nil"/>
            </w:tcBorders>
            <w:vAlign w:val="center"/>
          </w:tcPr>
          <w:p w14:paraId="6698FC16" w14:textId="77777777" w:rsidR="00FF694E" w:rsidRDefault="00000000">
            <w:pPr>
              <w:pStyle w:val="affd"/>
              <w:jc w:val="center"/>
              <w:rPr>
                <w:rFonts w:cs="宋体" w:hint="eastAsia"/>
              </w:rPr>
            </w:pPr>
            <w:r>
              <w:rPr>
                <w:rFonts w:cs="宋体" w:hint="eastAsia"/>
              </w:rPr>
              <w:t>尾盾外径</w:t>
            </w:r>
          </w:p>
        </w:tc>
        <w:tc>
          <w:tcPr>
            <w:tcW w:w="2432" w:type="dxa"/>
            <w:tcBorders>
              <w:tl2br w:val="nil"/>
              <w:tr2bl w:val="nil"/>
            </w:tcBorders>
            <w:vAlign w:val="center"/>
          </w:tcPr>
          <w:p w14:paraId="160BC46B" w14:textId="77777777" w:rsidR="00FF694E" w:rsidRDefault="00000000">
            <w:pPr>
              <w:pStyle w:val="affd"/>
              <w:jc w:val="center"/>
              <w:rPr>
                <w:rFonts w:cs="宋体" w:hint="eastAsia"/>
              </w:rPr>
            </w:pPr>
            <w:r>
              <w:rPr>
                <w:rFonts w:cs="宋体" w:hint="eastAsia"/>
              </w:rPr>
              <w:t>414 0mm</w:t>
            </w:r>
          </w:p>
        </w:tc>
      </w:tr>
      <w:tr w:rsidR="00FF694E" w14:paraId="5D5DD41A" w14:textId="77777777">
        <w:trPr>
          <w:jc w:val="center"/>
        </w:trPr>
        <w:tc>
          <w:tcPr>
            <w:tcW w:w="2378" w:type="dxa"/>
            <w:tcBorders>
              <w:tl2br w:val="nil"/>
              <w:tr2bl w:val="nil"/>
            </w:tcBorders>
            <w:vAlign w:val="center"/>
          </w:tcPr>
          <w:p w14:paraId="726F02FE" w14:textId="77777777" w:rsidR="00FF694E" w:rsidRDefault="00000000">
            <w:pPr>
              <w:pStyle w:val="affd"/>
              <w:jc w:val="center"/>
              <w:rPr>
                <w:rFonts w:cs="宋体" w:hint="eastAsia"/>
              </w:rPr>
            </w:pPr>
            <w:r>
              <w:rPr>
                <w:rFonts w:cs="宋体" w:hint="eastAsia"/>
              </w:rPr>
              <w:t>掘进速度</w:t>
            </w:r>
          </w:p>
        </w:tc>
        <w:tc>
          <w:tcPr>
            <w:tcW w:w="2432" w:type="dxa"/>
            <w:tcBorders>
              <w:tl2br w:val="nil"/>
              <w:tr2bl w:val="nil"/>
            </w:tcBorders>
            <w:vAlign w:val="center"/>
          </w:tcPr>
          <w:p w14:paraId="27D2CF0C" w14:textId="77777777" w:rsidR="00FF694E" w:rsidRDefault="00000000">
            <w:pPr>
              <w:pStyle w:val="affd"/>
              <w:jc w:val="center"/>
              <w:rPr>
                <w:rFonts w:cs="宋体" w:hint="eastAsia"/>
              </w:rPr>
            </w:pPr>
            <w:r>
              <w:rPr>
                <w:rFonts w:cs="宋体" w:hint="eastAsia"/>
              </w:rPr>
              <w:t>80mm/min</w:t>
            </w:r>
          </w:p>
        </w:tc>
      </w:tr>
      <w:tr w:rsidR="00FF694E" w14:paraId="037603E3" w14:textId="77777777">
        <w:trPr>
          <w:jc w:val="center"/>
        </w:trPr>
        <w:tc>
          <w:tcPr>
            <w:tcW w:w="2378" w:type="dxa"/>
            <w:tcBorders>
              <w:tl2br w:val="nil"/>
              <w:tr2bl w:val="nil"/>
            </w:tcBorders>
            <w:vAlign w:val="center"/>
          </w:tcPr>
          <w:p w14:paraId="739ED3FE" w14:textId="77777777" w:rsidR="00FF694E" w:rsidRDefault="00000000">
            <w:pPr>
              <w:pStyle w:val="affd"/>
              <w:jc w:val="center"/>
              <w:rPr>
                <w:rFonts w:cs="宋体" w:hint="eastAsia"/>
              </w:rPr>
            </w:pPr>
            <w:r>
              <w:rPr>
                <w:rFonts w:cs="宋体" w:hint="eastAsia"/>
              </w:rPr>
              <w:t>总推进力</w:t>
            </w:r>
          </w:p>
        </w:tc>
        <w:tc>
          <w:tcPr>
            <w:tcW w:w="2432" w:type="dxa"/>
            <w:tcBorders>
              <w:tl2br w:val="nil"/>
              <w:tr2bl w:val="nil"/>
            </w:tcBorders>
            <w:vAlign w:val="center"/>
          </w:tcPr>
          <w:p w14:paraId="2F379C5A" w14:textId="77777777" w:rsidR="00FF694E" w:rsidRDefault="00000000">
            <w:pPr>
              <w:pStyle w:val="affd"/>
              <w:jc w:val="center"/>
              <w:rPr>
                <w:rFonts w:cs="宋体" w:hint="eastAsia"/>
              </w:rPr>
            </w:pPr>
            <w:r>
              <w:rPr>
                <w:rFonts w:cs="宋体" w:hint="eastAsia"/>
              </w:rPr>
              <w:t>168 00kN</w:t>
            </w:r>
          </w:p>
        </w:tc>
      </w:tr>
    </w:tbl>
    <w:p w14:paraId="617FD11D" w14:textId="77777777" w:rsidR="00FF694E" w:rsidRDefault="00000000">
      <w:pPr>
        <w:pStyle w:val="afe"/>
        <w:ind w:firstLine="420"/>
      </w:pPr>
      <w:r>
        <w:rPr>
          <w:rFonts w:hint="eastAsia"/>
        </w:rPr>
        <w:t>（</w:t>
      </w:r>
      <w:r>
        <w:rPr>
          <w:rFonts w:hint="eastAsia"/>
        </w:rPr>
        <w:t>2</w:t>
      </w:r>
      <w:r>
        <w:rPr>
          <w:rFonts w:hint="eastAsia"/>
        </w:rPr>
        <w:t>）验证内容与方法</w:t>
      </w:r>
    </w:p>
    <w:p w14:paraId="7F862178" w14:textId="77777777" w:rsidR="00FF694E" w:rsidRDefault="00000000">
      <w:pPr>
        <w:pStyle w:val="afe"/>
        <w:ind w:firstLine="420"/>
      </w:pPr>
      <w:r>
        <w:rPr>
          <w:rFonts w:hint="eastAsia"/>
        </w:rPr>
        <w:t>碰撞预警精度验证，设计三种典型碰撞场景进行测试，如表</w:t>
      </w:r>
      <w:r>
        <w:rPr>
          <w:rFonts w:hint="eastAsia"/>
        </w:rPr>
        <w:t>3</w:t>
      </w:r>
      <w:r>
        <w:rPr>
          <w:rFonts w:hint="eastAsia"/>
        </w:rPr>
        <w:t>所示：</w:t>
      </w:r>
    </w:p>
    <w:p w14:paraId="57BEF3ED" w14:textId="77777777" w:rsidR="00FF694E" w:rsidRDefault="00000000">
      <w:pPr>
        <w:pStyle w:val="afffb"/>
        <w:keepNext/>
        <w:keepLines/>
      </w:pPr>
      <w:r>
        <w:rPr>
          <w:rFonts w:hint="eastAsia"/>
        </w:rPr>
        <w:t>表</w:t>
      </w:r>
      <w:r>
        <w:rPr>
          <w:rFonts w:hint="eastAsia"/>
        </w:rPr>
        <w:t xml:space="preserve">3 </w:t>
      </w:r>
      <w:r>
        <w:rPr>
          <w:rFonts w:hint="eastAsia"/>
        </w:rPr>
        <w:t>碰撞场景设置</w:t>
      </w:r>
    </w:p>
    <w:tbl>
      <w:tblPr>
        <w:tblW w:w="4987" w:type="pct"/>
        <w:jc w:val="center"/>
        <w:tblBorders>
          <w:top w:val="single" w:sz="12" w:space="0" w:color="auto"/>
          <w:bottom w:val="single" w:sz="12" w:space="0" w:color="auto"/>
        </w:tblBorders>
        <w:tblLook w:val="04A0" w:firstRow="1" w:lastRow="0" w:firstColumn="1" w:lastColumn="0" w:noHBand="0" w:noVBand="1"/>
      </w:tblPr>
      <w:tblGrid>
        <w:gridCol w:w="1040"/>
        <w:gridCol w:w="1580"/>
        <w:gridCol w:w="1977"/>
      </w:tblGrid>
      <w:tr w:rsidR="00FF694E" w14:paraId="109972AB" w14:textId="77777777">
        <w:trPr>
          <w:jc w:val="center"/>
        </w:trPr>
        <w:tc>
          <w:tcPr>
            <w:tcW w:w="1130" w:type="pct"/>
            <w:tcBorders>
              <w:bottom w:val="single" w:sz="6" w:space="0" w:color="auto"/>
            </w:tcBorders>
            <w:vAlign w:val="center"/>
          </w:tcPr>
          <w:p w14:paraId="53A0A456" w14:textId="77777777" w:rsidR="00FF694E" w:rsidRDefault="00000000">
            <w:pPr>
              <w:pStyle w:val="affd"/>
              <w:jc w:val="center"/>
              <w:rPr>
                <w:rFonts w:cs="宋体" w:hint="eastAsia"/>
              </w:rPr>
            </w:pPr>
            <w:r>
              <w:rPr>
                <w:rFonts w:cs="宋体"/>
              </w:rPr>
              <w:t>测试场景</w:t>
            </w:r>
          </w:p>
        </w:tc>
        <w:tc>
          <w:tcPr>
            <w:tcW w:w="1719" w:type="pct"/>
            <w:tcBorders>
              <w:bottom w:val="single" w:sz="6" w:space="0" w:color="auto"/>
            </w:tcBorders>
            <w:vAlign w:val="center"/>
          </w:tcPr>
          <w:p w14:paraId="54CD5DE5" w14:textId="77777777" w:rsidR="00FF694E" w:rsidRDefault="00000000">
            <w:pPr>
              <w:pStyle w:val="affd"/>
              <w:jc w:val="center"/>
              <w:rPr>
                <w:rFonts w:cs="宋体" w:hint="eastAsia"/>
              </w:rPr>
            </w:pPr>
            <w:r>
              <w:rPr>
                <w:rFonts w:cs="宋体" w:hint="eastAsia"/>
              </w:rPr>
              <w:t>验证目的</w:t>
            </w:r>
          </w:p>
        </w:tc>
        <w:tc>
          <w:tcPr>
            <w:tcW w:w="2150" w:type="pct"/>
            <w:tcBorders>
              <w:bottom w:val="single" w:sz="6" w:space="0" w:color="auto"/>
            </w:tcBorders>
            <w:vAlign w:val="center"/>
          </w:tcPr>
          <w:p w14:paraId="6597EE2F" w14:textId="77777777" w:rsidR="00FF694E" w:rsidRDefault="00000000">
            <w:pPr>
              <w:pStyle w:val="affd"/>
              <w:jc w:val="center"/>
              <w:rPr>
                <w:rFonts w:cs="宋体" w:hint="eastAsia"/>
              </w:rPr>
            </w:pPr>
            <w:r>
              <w:rPr>
                <w:rFonts w:cs="宋体" w:hint="eastAsia"/>
              </w:rPr>
              <w:t>验证方法</w:t>
            </w:r>
          </w:p>
        </w:tc>
      </w:tr>
      <w:tr w:rsidR="00FF694E" w14:paraId="58865DB5" w14:textId="77777777">
        <w:trPr>
          <w:jc w:val="center"/>
        </w:trPr>
        <w:tc>
          <w:tcPr>
            <w:tcW w:w="1130" w:type="pct"/>
            <w:tcBorders>
              <w:top w:val="single" w:sz="6" w:space="0" w:color="auto"/>
              <w:tl2br w:val="nil"/>
              <w:tr2bl w:val="nil"/>
            </w:tcBorders>
            <w:vAlign w:val="center"/>
          </w:tcPr>
          <w:p w14:paraId="69D0CBAE" w14:textId="77777777" w:rsidR="00FF694E" w:rsidRDefault="00000000">
            <w:pPr>
              <w:pStyle w:val="affd"/>
              <w:jc w:val="center"/>
              <w:rPr>
                <w:rFonts w:cs="宋体" w:hint="eastAsia"/>
              </w:rPr>
            </w:pPr>
            <w:r>
              <w:rPr>
                <w:rFonts w:cs="宋体"/>
              </w:rPr>
              <w:t>静态障碍物</w:t>
            </w:r>
          </w:p>
        </w:tc>
        <w:tc>
          <w:tcPr>
            <w:tcW w:w="1719" w:type="pct"/>
            <w:tcBorders>
              <w:top w:val="single" w:sz="6" w:space="0" w:color="auto"/>
              <w:tl2br w:val="nil"/>
              <w:tr2bl w:val="nil"/>
            </w:tcBorders>
            <w:vAlign w:val="center"/>
          </w:tcPr>
          <w:p w14:paraId="0A22CFF2" w14:textId="77777777" w:rsidR="00FF694E" w:rsidRDefault="00000000">
            <w:pPr>
              <w:pStyle w:val="affd"/>
              <w:rPr>
                <w:rFonts w:cs="宋体" w:hint="eastAsia"/>
              </w:rPr>
            </w:pPr>
            <w:r>
              <w:rPr>
                <w:rFonts w:cs="宋体"/>
              </w:rPr>
              <w:t>验证系统对固定障碍物临界碰撞的实时识别与预警精度。</w:t>
            </w:r>
          </w:p>
        </w:tc>
        <w:tc>
          <w:tcPr>
            <w:tcW w:w="2150" w:type="pct"/>
            <w:tcBorders>
              <w:top w:val="single" w:sz="6" w:space="0" w:color="auto"/>
              <w:tl2br w:val="nil"/>
              <w:tr2bl w:val="nil"/>
            </w:tcBorders>
            <w:vAlign w:val="center"/>
          </w:tcPr>
          <w:p w14:paraId="74902272" w14:textId="77777777" w:rsidR="00FF694E" w:rsidRDefault="00000000">
            <w:pPr>
              <w:pStyle w:val="affd"/>
              <w:rPr>
                <w:rFonts w:cs="宋体" w:hint="eastAsia"/>
              </w:rPr>
            </w:pPr>
            <w:r>
              <w:rPr>
                <w:rFonts w:cs="宋体"/>
              </w:rPr>
              <w:t>人为设置盾构机推进轴线轻微偏移，使其逼近周围静态障碍物。</w:t>
            </w:r>
          </w:p>
        </w:tc>
      </w:tr>
      <w:tr w:rsidR="00FF694E" w14:paraId="5F94EF80" w14:textId="77777777">
        <w:trPr>
          <w:jc w:val="center"/>
        </w:trPr>
        <w:tc>
          <w:tcPr>
            <w:tcW w:w="1130" w:type="pct"/>
            <w:tcBorders>
              <w:tl2br w:val="nil"/>
              <w:tr2bl w:val="nil"/>
            </w:tcBorders>
            <w:vAlign w:val="center"/>
          </w:tcPr>
          <w:p w14:paraId="35C5D0FB" w14:textId="77777777" w:rsidR="00FF694E" w:rsidRDefault="00000000">
            <w:pPr>
              <w:pStyle w:val="affd"/>
              <w:jc w:val="center"/>
              <w:rPr>
                <w:rFonts w:cs="宋体" w:hint="eastAsia"/>
              </w:rPr>
            </w:pPr>
            <w:r>
              <w:rPr>
                <w:rFonts w:cs="宋体"/>
              </w:rPr>
              <w:t>动态障碍物</w:t>
            </w:r>
          </w:p>
        </w:tc>
        <w:tc>
          <w:tcPr>
            <w:tcW w:w="1719" w:type="pct"/>
            <w:tcBorders>
              <w:tl2br w:val="nil"/>
              <w:tr2bl w:val="nil"/>
            </w:tcBorders>
            <w:vAlign w:val="center"/>
          </w:tcPr>
          <w:p w14:paraId="00EEFA10" w14:textId="77777777" w:rsidR="00FF694E" w:rsidRDefault="00000000">
            <w:pPr>
              <w:pStyle w:val="affd"/>
              <w:rPr>
                <w:rFonts w:cs="宋体" w:hint="eastAsia"/>
              </w:rPr>
            </w:pPr>
            <w:r>
              <w:rPr>
                <w:rFonts w:cs="宋体"/>
              </w:rPr>
              <w:t>验证系统对因环境因素导致位置变化的障碍物侵</w:t>
            </w:r>
            <w:r>
              <w:rPr>
                <w:rFonts w:cs="宋体"/>
              </w:rPr>
              <w:t>入运动包络空间的实时捕获能力</w:t>
            </w:r>
          </w:p>
        </w:tc>
        <w:tc>
          <w:tcPr>
            <w:tcW w:w="2150" w:type="pct"/>
            <w:tcBorders>
              <w:tl2br w:val="nil"/>
              <w:tr2bl w:val="nil"/>
            </w:tcBorders>
            <w:vAlign w:val="center"/>
          </w:tcPr>
          <w:p w14:paraId="6AFBF939" w14:textId="77777777" w:rsidR="00FF694E" w:rsidRDefault="00000000">
            <w:pPr>
              <w:pStyle w:val="affd"/>
              <w:rPr>
                <w:rFonts w:cs="宋体" w:hint="eastAsia"/>
              </w:rPr>
            </w:pPr>
            <w:r>
              <w:rPr>
                <w:rFonts w:cs="宋体"/>
              </w:rPr>
              <w:t>模拟施工振动导致冷却水管日均偏移15mm的工况。在盾构机沿预设路径推进过程中，因水管偏移进入其运动包络空间。</w:t>
            </w:r>
          </w:p>
        </w:tc>
      </w:tr>
      <w:tr w:rsidR="00FF694E" w14:paraId="35DFFC56" w14:textId="77777777">
        <w:trPr>
          <w:jc w:val="center"/>
        </w:trPr>
        <w:tc>
          <w:tcPr>
            <w:tcW w:w="1130" w:type="pct"/>
            <w:tcBorders>
              <w:tl2br w:val="nil"/>
              <w:tr2bl w:val="nil"/>
            </w:tcBorders>
            <w:vAlign w:val="center"/>
          </w:tcPr>
          <w:p w14:paraId="6FB4E72D" w14:textId="77777777" w:rsidR="00FF694E" w:rsidRDefault="00000000">
            <w:pPr>
              <w:pStyle w:val="affd"/>
              <w:jc w:val="center"/>
              <w:rPr>
                <w:rFonts w:cs="宋体" w:hint="eastAsia"/>
              </w:rPr>
            </w:pPr>
            <w:r>
              <w:rPr>
                <w:rFonts w:cs="宋体"/>
              </w:rPr>
              <w:t>隐蔽结构融合</w:t>
            </w:r>
          </w:p>
        </w:tc>
        <w:tc>
          <w:tcPr>
            <w:tcW w:w="1719" w:type="pct"/>
            <w:tcBorders>
              <w:tl2br w:val="nil"/>
              <w:tr2bl w:val="nil"/>
            </w:tcBorders>
            <w:vAlign w:val="center"/>
          </w:tcPr>
          <w:p w14:paraId="0A1595D9" w14:textId="77777777" w:rsidR="00FF694E" w:rsidRDefault="00000000">
            <w:pPr>
              <w:pStyle w:val="affd"/>
              <w:rPr>
                <w:rFonts w:cs="宋体" w:hint="eastAsia"/>
              </w:rPr>
            </w:pPr>
            <w:r>
              <w:rPr>
                <w:rFonts w:cs="宋体"/>
              </w:rPr>
              <w:t>验证系统对初始模型未包含但通过现场扫描补充的隐蔽障碍物的碰撞识别能力。</w:t>
            </w:r>
          </w:p>
        </w:tc>
        <w:tc>
          <w:tcPr>
            <w:tcW w:w="2150" w:type="pct"/>
            <w:tcBorders>
              <w:tl2br w:val="nil"/>
              <w:tr2bl w:val="nil"/>
            </w:tcBorders>
            <w:vAlign w:val="center"/>
          </w:tcPr>
          <w:p w14:paraId="792259E7" w14:textId="77777777" w:rsidR="00FF694E" w:rsidRDefault="00000000">
            <w:pPr>
              <w:pStyle w:val="affd"/>
              <w:rPr>
                <w:rFonts w:cs="宋体" w:hint="eastAsia"/>
              </w:rPr>
            </w:pPr>
            <w:r>
              <w:rPr>
                <w:rFonts w:cs="宋体"/>
              </w:rPr>
              <w:t>在BIM初始模型未标注某处预埋接地扁钢的情况下，通过现场扫描将其补充录入虚拟环境。</w:t>
            </w:r>
          </w:p>
        </w:tc>
      </w:tr>
      <w:tr w:rsidR="00FF694E" w14:paraId="48411E9D" w14:textId="77777777">
        <w:trPr>
          <w:jc w:val="center"/>
        </w:trPr>
        <w:tc>
          <w:tcPr>
            <w:tcW w:w="1130" w:type="pct"/>
            <w:tcBorders>
              <w:tl2br w:val="nil"/>
              <w:tr2bl w:val="nil"/>
            </w:tcBorders>
            <w:vAlign w:val="center"/>
          </w:tcPr>
          <w:p w14:paraId="6CE04E2D" w14:textId="77777777" w:rsidR="00FF694E" w:rsidRDefault="00000000">
            <w:pPr>
              <w:pStyle w:val="affd"/>
              <w:jc w:val="center"/>
              <w:rPr>
                <w:rFonts w:cs="宋体" w:hint="eastAsia"/>
              </w:rPr>
            </w:pPr>
            <w:r>
              <w:rPr>
                <w:rFonts w:cs="宋体"/>
              </w:rPr>
              <w:t>动态响应性能</w:t>
            </w:r>
          </w:p>
        </w:tc>
        <w:tc>
          <w:tcPr>
            <w:tcW w:w="1719" w:type="pct"/>
            <w:tcBorders>
              <w:tl2br w:val="nil"/>
              <w:tr2bl w:val="nil"/>
            </w:tcBorders>
            <w:vAlign w:val="center"/>
          </w:tcPr>
          <w:p w14:paraId="7423F381" w14:textId="77777777" w:rsidR="00FF694E" w:rsidRDefault="00000000">
            <w:pPr>
              <w:pStyle w:val="affd"/>
              <w:rPr>
                <w:rFonts w:cs="宋体" w:hint="eastAsia"/>
              </w:rPr>
            </w:pPr>
            <w:r>
              <w:rPr>
                <w:rFonts w:cs="宋体"/>
              </w:rPr>
              <w:t>验证系统对碰撞事件的响应速度及整体运行性能。</w:t>
            </w:r>
          </w:p>
        </w:tc>
        <w:tc>
          <w:tcPr>
            <w:tcW w:w="2150" w:type="pct"/>
            <w:tcBorders>
              <w:tl2br w:val="nil"/>
              <w:tr2bl w:val="nil"/>
            </w:tcBorders>
            <w:vAlign w:val="center"/>
          </w:tcPr>
          <w:p w14:paraId="22419014" w14:textId="77777777" w:rsidR="00FF694E" w:rsidRDefault="00000000">
            <w:pPr>
              <w:pStyle w:val="affd"/>
              <w:rPr>
                <w:rFonts w:cs="宋体" w:hint="eastAsia"/>
              </w:rPr>
            </w:pPr>
            <w:r>
              <w:rPr>
                <w:rFonts w:cs="宋体"/>
              </w:rPr>
              <w:t>监测并记录空推过程中发生碰撞的虚实同步精度、MR核心计算延迟、MR可视化延迟及虚实帧同步率。</w:t>
            </w:r>
          </w:p>
        </w:tc>
      </w:tr>
    </w:tbl>
    <w:p w14:paraId="05405497" w14:textId="77777777" w:rsidR="00FF694E" w:rsidRDefault="00000000">
      <w:pPr>
        <w:numPr>
          <w:ilvl w:val="255"/>
          <w:numId w:val="0"/>
        </w:numPr>
        <w:ind w:firstLineChars="200" w:firstLine="428"/>
        <w:rPr>
          <w:rFonts w:eastAsia="方正书宋简体"/>
          <w:spacing w:val="2"/>
          <w:szCs w:val="21"/>
        </w:rPr>
      </w:pPr>
      <w:r>
        <w:rPr>
          <w:rFonts w:eastAsia="方正书宋简体" w:hint="eastAsia"/>
          <w:spacing w:val="2"/>
          <w:szCs w:val="21"/>
        </w:rPr>
        <w:t>（</w:t>
      </w:r>
      <w:r>
        <w:rPr>
          <w:rFonts w:eastAsia="方正书宋简体" w:hint="eastAsia"/>
          <w:spacing w:val="2"/>
          <w:szCs w:val="21"/>
        </w:rPr>
        <w:t>3</w:t>
      </w:r>
      <w:r>
        <w:rPr>
          <w:rFonts w:eastAsia="方正书宋简体" w:hint="eastAsia"/>
          <w:spacing w:val="2"/>
          <w:szCs w:val="21"/>
        </w:rPr>
        <w:t>）结果与分析</w:t>
      </w:r>
    </w:p>
    <w:p w14:paraId="0FF9D962" w14:textId="77777777" w:rsidR="00FF694E" w:rsidRDefault="00000000">
      <w:pPr>
        <w:widowControl/>
        <w:shd w:val="clear" w:color="auto" w:fill="FCFCFC"/>
        <w:snapToGrid w:val="0"/>
        <w:rPr>
          <w:rFonts w:eastAsia="方正书宋简体"/>
          <w:spacing w:val="2"/>
          <w:szCs w:val="21"/>
        </w:rPr>
      </w:pPr>
      <w:r>
        <w:rPr>
          <w:rFonts w:eastAsia="方正书宋简体"/>
          <w:noProof/>
          <w:spacing w:val="2"/>
          <w:szCs w:val="21"/>
        </w:rPr>
        <w:drawing>
          <wp:inline distT="0" distB="0" distL="114300" distR="114300" wp14:anchorId="6A756707" wp14:editId="34FE5CC6">
            <wp:extent cx="1515745" cy="1227455"/>
            <wp:effectExtent l="0" t="0" r="8255" b="4445"/>
            <wp:docPr id="13"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2"/>
                    <pic:cNvPicPr>
                      <a:picLocks noChangeAspect="1"/>
                    </pic:cNvPicPr>
                  </pic:nvPicPr>
                  <pic:blipFill>
                    <a:blip r:embed="rId53"/>
                    <a:srcRect l="4827" r="2344"/>
                    <a:stretch>
                      <a:fillRect/>
                    </a:stretch>
                  </pic:blipFill>
                  <pic:spPr>
                    <a:xfrm>
                      <a:off x="0" y="0"/>
                      <a:ext cx="1515745" cy="1227455"/>
                    </a:xfrm>
                    <a:prstGeom prst="rect">
                      <a:avLst/>
                    </a:prstGeom>
                    <a:noFill/>
                    <a:ln>
                      <a:noFill/>
                    </a:ln>
                  </pic:spPr>
                </pic:pic>
              </a:graphicData>
            </a:graphic>
          </wp:inline>
        </w:drawing>
      </w:r>
      <w:r>
        <w:rPr>
          <w:rFonts w:eastAsia="方正书宋简体"/>
          <w:noProof/>
          <w:spacing w:val="2"/>
          <w:szCs w:val="21"/>
        </w:rPr>
        <w:drawing>
          <wp:inline distT="0" distB="0" distL="114300" distR="114300" wp14:anchorId="1D39DA9E" wp14:editId="4F84AC33">
            <wp:extent cx="1389380" cy="1233805"/>
            <wp:effectExtent l="0" t="0" r="7620" b="10795"/>
            <wp:docPr id="14"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21"/>
                    <pic:cNvPicPr>
                      <a:picLocks noChangeAspect="1"/>
                    </pic:cNvPicPr>
                  </pic:nvPicPr>
                  <pic:blipFill>
                    <a:blip r:embed="rId54"/>
                    <a:stretch>
                      <a:fillRect/>
                    </a:stretch>
                  </pic:blipFill>
                  <pic:spPr>
                    <a:xfrm>
                      <a:off x="0" y="0"/>
                      <a:ext cx="1389380" cy="1233805"/>
                    </a:xfrm>
                    <a:prstGeom prst="rect">
                      <a:avLst/>
                    </a:prstGeom>
                    <a:noFill/>
                    <a:ln>
                      <a:noFill/>
                    </a:ln>
                  </pic:spPr>
                </pic:pic>
              </a:graphicData>
            </a:graphic>
          </wp:inline>
        </w:drawing>
      </w:r>
    </w:p>
    <w:p w14:paraId="7F1544BD" w14:textId="77777777" w:rsidR="00FF694E" w:rsidRDefault="00000000">
      <w:pPr>
        <w:pStyle w:val="afff1"/>
        <w:keepLines/>
        <w:rPr>
          <w:rFonts w:hint="eastAsia"/>
        </w:rPr>
      </w:pPr>
      <w:r>
        <w:rPr>
          <w:rFonts w:hAnsi="Times New Roman"/>
        </w:rPr>
        <w:t>(a)UI</w:t>
      </w:r>
      <w:r>
        <w:rPr>
          <w:rFonts w:hAnsi="Times New Roman"/>
        </w:rPr>
        <w:t>功能验证</w:t>
      </w:r>
      <w:r>
        <w:rPr>
          <w:rFonts w:hAnsi="Times New Roman"/>
        </w:rPr>
        <w:t xml:space="preserve">      (b)</w:t>
      </w:r>
      <w:r>
        <w:rPr>
          <w:rFonts w:hAnsi="Times New Roman"/>
        </w:rPr>
        <w:t>基于施工现场的碰撞反馈图</w:t>
      </w:r>
    </w:p>
    <w:p w14:paraId="6DFAF314" w14:textId="77777777" w:rsidR="00FF694E" w:rsidRDefault="00000000">
      <w:pPr>
        <w:pStyle w:val="afffd"/>
      </w:pPr>
      <w:r>
        <w:rPr>
          <w:rFonts w:hint="eastAsia"/>
        </w:rPr>
        <w:t>图</w:t>
      </w:r>
      <w:r>
        <w:rPr>
          <w:rFonts w:hint="eastAsia"/>
        </w:rPr>
        <w:t xml:space="preserve">12 </w:t>
      </w:r>
      <w:r>
        <w:rPr>
          <w:rFonts w:hint="eastAsia"/>
        </w:rPr>
        <w:t>基于施工现场的盾构机空推过站原位验证</w:t>
      </w:r>
    </w:p>
    <w:p w14:paraId="4F4C402C" w14:textId="77777777" w:rsidR="00FF694E" w:rsidRDefault="00000000">
      <w:pPr>
        <w:pStyle w:val="afffb"/>
        <w:keepNext/>
        <w:keepLines/>
      </w:pPr>
      <w:r>
        <w:rPr>
          <w:rFonts w:hint="eastAsia"/>
        </w:rPr>
        <w:t>表</w:t>
      </w:r>
      <w:r>
        <w:rPr>
          <w:rFonts w:hint="eastAsia"/>
        </w:rPr>
        <w:t xml:space="preserve">4 </w:t>
      </w:r>
      <w:r>
        <w:rPr>
          <w:rFonts w:hint="eastAsia"/>
        </w:rPr>
        <w:t>碰撞结果统计</w:t>
      </w:r>
    </w:p>
    <w:tbl>
      <w:tblPr>
        <w:tblW w:w="4995" w:type="pct"/>
        <w:jc w:val="center"/>
        <w:tblBorders>
          <w:top w:val="single" w:sz="12" w:space="0" w:color="auto"/>
          <w:bottom w:val="single" w:sz="12" w:space="0" w:color="auto"/>
        </w:tblBorders>
        <w:tblLayout w:type="fixed"/>
        <w:tblLook w:val="04A0" w:firstRow="1" w:lastRow="0" w:firstColumn="1" w:lastColumn="0" w:noHBand="0" w:noVBand="1"/>
      </w:tblPr>
      <w:tblGrid>
        <w:gridCol w:w="358"/>
        <w:gridCol w:w="942"/>
        <w:gridCol w:w="936"/>
        <w:gridCol w:w="725"/>
        <w:gridCol w:w="822"/>
        <w:gridCol w:w="821"/>
      </w:tblGrid>
      <w:tr w:rsidR="00FF694E" w14:paraId="32E10004" w14:textId="77777777">
        <w:trPr>
          <w:jc w:val="center"/>
        </w:trPr>
        <w:tc>
          <w:tcPr>
            <w:tcW w:w="390" w:type="pct"/>
            <w:tcBorders>
              <w:bottom w:val="single" w:sz="6" w:space="0" w:color="auto"/>
            </w:tcBorders>
            <w:vAlign w:val="center"/>
          </w:tcPr>
          <w:p w14:paraId="3B46C634" w14:textId="77777777" w:rsidR="00FF694E" w:rsidRDefault="00000000">
            <w:pPr>
              <w:pStyle w:val="affd"/>
              <w:jc w:val="center"/>
              <w:rPr>
                <w:rFonts w:cs="宋体" w:hint="eastAsia"/>
              </w:rPr>
            </w:pPr>
            <w:r>
              <w:rPr>
                <w:rFonts w:cs="宋体"/>
              </w:rPr>
              <w:t>组别</w:t>
            </w:r>
          </w:p>
        </w:tc>
        <w:tc>
          <w:tcPr>
            <w:tcW w:w="1022" w:type="pct"/>
            <w:tcBorders>
              <w:bottom w:val="single" w:sz="6" w:space="0" w:color="auto"/>
            </w:tcBorders>
            <w:vAlign w:val="center"/>
          </w:tcPr>
          <w:p w14:paraId="252E9A26" w14:textId="77777777" w:rsidR="00FF694E" w:rsidRDefault="00000000">
            <w:pPr>
              <w:pStyle w:val="affd"/>
              <w:jc w:val="center"/>
              <w:rPr>
                <w:rFonts w:cs="宋体" w:hint="eastAsia"/>
              </w:rPr>
            </w:pPr>
            <w:r>
              <w:rPr>
                <w:rFonts w:cs="宋体"/>
              </w:rPr>
              <w:t>测试场景</w:t>
            </w:r>
          </w:p>
        </w:tc>
        <w:tc>
          <w:tcPr>
            <w:tcW w:w="1015" w:type="pct"/>
            <w:tcBorders>
              <w:bottom w:val="single" w:sz="6" w:space="0" w:color="auto"/>
            </w:tcBorders>
            <w:vAlign w:val="center"/>
          </w:tcPr>
          <w:p w14:paraId="07DC74CE" w14:textId="77777777" w:rsidR="00FF694E" w:rsidRDefault="00000000">
            <w:pPr>
              <w:pStyle w:val="affd"/>
              <w:jc w:val="center"/>
              <w:rPr>
                <w:rFonts w:cs="宋体" w:hint="eastAsia"/>
              </w:rPr>
            </w:pPr>
            <w:r>
              <w:rPr>
                <w:rFonts w:cs="宋体"/>
              </w:rPr>
              <w:t xml:space="preserve">虚实同步精度（mm) </w:t>
            </w:r>
          </w:p>
        </w:tc>
        <w:tc>
          <w:tcPr>
            <w:tcW w:w="787" w:type="pct"/>
            <w:tcBorders>
              <w:bottom w:val="single" w:sz="6" w:space="0" w:color="auto"/>
            </w:tcBorders>
            <w:vAlign w:val="center"/>
          </w:tcPr>
          <w:p w14:paraId="2F79C3E0" w14:textId="77777777" w:rsidR="00FF694E" w:rsidRDefault="00000000">
            <w:pPr>
              <w:pStyle w:val="affd"/>
              <w:jc w:val="center"/>
              <w:rPr>
                <w:rFonts w:cs="宋体" w:hint="eastAsia"/>
              </w:rPr>
            </w:pPr>
            <w:r>
              <w:rPr>
                <w:rFonts w:cs="宋体"/>
              </w:rPr>
              <w:t>MR计算延迟(</w:t>
            </w:r>
            <w:proofErr w:type="spellStart"/>
            <w:r>
              <w:rPr>
                <w:rFonts w:cs="宋体"/>
              </w:rPr>
              <w:t>ms</w:t>
            </w:r>
            <w:proofErr w:type="spellEnd"/>
            <w:r>
              <w:rPr>
                <w:rFonts w:cs="宋体"/>
              </w:rPr>
              <w:t>)</w:t>
            </w:r>
          </w:p>
        </w:tc>
        <w:tc>
          <w:tcPr>
            <w:tcW w:w="892" w:type="pct"/>
            <w:tcBorders>
              <w:bottom w:val="single" w:sz="6" w:space="0" w:color="auto"/>
            </w:tcBorders>
            <w:vAlign w:val="center"/>
          </w:tcPr>
          <w:p w14:paraId="6D5C3553" w14:textId="77777777" w:rsidR="00FF694E" w:rsidRDefault="00000000">
            <w:pPr>
              <w:pStyle w:val="affd"/>
              <w:jc w:val="center"/>
              <w:rPr>
                <w:rFonts w:cs="宋体" w:hint="eastAsia"/>
              </w:rPr>
            </w:pPr>
            <w:r>
              <w:rPr>
                <w:rFonts w:cs="宋体"/>
              </w:rPr>
              <w:t>MR可视化延迟（</w:t>
            </w:r>
            <w:proofErr w:type="spellStart"/>
            <w:r>
              <w:rPr>
                <w:rFonts w:cs="宋体"/>
              </w:rPr>
              <w:t>ms</w:t>
            </w:r>
            <w:proofErr w:type="spellEnd"/>
            <w:r>
              <w:rPr>
                <w:rFonts w:cs="宋体"/>
              </w:rPr>
              <w:t>)</w:t>
            </w:r>
          </w:p>
        </w:tc>
        <w:tc>
          <w:tcPr>
            <w:tcW w:w="891" w:type="pct"/>
            <w:tcBorders>
              <w:bottom w:val="single" w:sz="6" w:space="0" w:color="auto"/>
            </w:tcBorders>
            <w:vAlign w:val="center"/>
          </w:tcPr>
          <w:p w14:paraId="05769FE6" w14:textId="77777777" w:rsidR="00FF694E" w:rsidRDefault="00000000">
            <w:pPr>
              <w:pStyle w:val="affd"/>
              <w:jc w:val="center"/>
              <w:rPr>
                <w:rFonts w:cs="宋体" w:hint="eastAsia"/>
              </w:rPr>
            </w:pPr>
            <w:r>
              <w:rPr>
                <w:rFonts w:cs="宋体"/>
              </w:rPr>
              <w:t>虚实帧同步率（%）</w:t>
            </w:r>
          </w:p>
        </w:tc>
      </w:tr>
      <w:tr w:rsidR="00FF694E" w14:paraId="2477712E" w14:textId="77777777">
        <w:trPr>
          <w:jc w:val="center"/>
        </w:trPr>
        <w:tc>
          <w:tcPr>
            <w:tcW w:w="390" w:type="pct"/>
            <w:tcBorders>
              <w:top w:val="single" w:sz="6" w:space="0" w:color="auto"/>
              <w:tl2br w:val="nil"/>
              <w:tr2bl w:val="nil"/>
            </w:tcBorders>
            <w:vAlign w:val="center"/>
          </w:tcPr>
          <w:p w14:paraId="7CCA5B89" w14:textId="77777777" w:rsidR="00FF694E" w:rsidRDefault="00000000">
            <w:pPr>
              <w:pStyle w:val="affd"/>
              <w:jc w:val="center"/>
              <w:rPr>
                <w:rFonts w:cs="宋体" w:hint="eastAsia"/>
              </w:rPr>
            </w:pPr>
            <w:r>
              <w:rPr>
                <w:rFonts w:cs="宋体"/>
              </w:rPr>
              <w:t>1</w:t>
            </w:r>
          </w:p>
        </w:tc>
        <w:tc>
          <w:tcPr>
            <w:tcW w:w="1022" w:type="pct"/>
            <w:tcBorders>
              <w:top w:val="single" w:sz="6" w:space="0" w:color="auto"/>
              <w:tl2br w:val="nil"/>
              <w:tr2bl w:val="nil"/>
            </w:tcBorders>
            <w:vAlign w:val="center"/>
          </w:tcPr>
          <w:p w14:paraId="7A269EE9" w14:textId="77777777" w:rsidR="00FF694E" w:rsidRDefault="00000000">
            <w:pPr>
              <w:pStyle w:val="affd"/>
              <w:jc w:val="center"/>
              <w:rPr>
                <w:rFonts w:cs="宋体" w:hint="eastAsia"/>
              </w:rPr>
            </w:pPr>
            <w:r>
              <w:rPr>
                <w:rFonts w:cs="宋体"/>
              </w:rPr>
              <w:t>静态障碍物</w:t>
            </w:r>
          </w:p>
        </w:tc>
        <w:tc>
          <w:tcPr>
            <w:tcW w:w="1015" w:type="pct"/>
            <w:tcBorders>
              <w:top w:val="single" w:sz="6" w:space="0" w:color="auto"/>
              <w:tl2br w:val="nil"/>
              <w:tr2bl w:val="nil"/>
            </w:tcBorders>
            <w:vAlign w:val="center"/>
          </w:tcPr>
          <w:p w14:paraId="36AB527F" w14:textId="77777777" w:rsidR="00FF694E" w:rsidRDefault="00000000">
            <w:pPr>
              <w:pStyle w:val="affd"/>
              <w:jc w:val="center"/>
              <w:rPr>
                <w:rFonts w:cs="宋体" w:hint="eastAsia"/>
              </w:rPr>
            </w:pPr>
            <w:r>
              <w:rPr>
                <w:rFonts w:cs="宋体"/>
              </w:rPr>
              <w:t>±3.2</w:t>
            </w:r>
          </w:p>
        </w:tc>
        <w:tc>
          <w:tcPr>
            <w:tcW w:w="787" w:type="pct"/>
            <w:tcBorders>
              <w:top w:val="single" w:sz="6" w:space="0" w:color="auto"/>
              <w:tl2br w:val="nil"/>
              <w:tr2bl w:val="nil"/>
            </w:tcBorders>
            <w:vAlign w:val="center"/>
          </w:tcPr>
          <w:p w14:paraId="6588A3BB" w14:textId="77777777" w:rsidR="00FF694E" w:rsidRDefault="00000000">
            <w:pPr>
              <w:pStyle w:val="affd"/>
              <w:jc w:val="center"/>
              <w:rPr>
                <w:rFonts w:cs="宋体" w:hint="eastAsia"/>
              </w:rPr>
            </w:pPr>
            <w:r>
              <w:rPr>
                <w:rFonts w:cs="宋体"/>
              </w:rPr>
              <w:t>5.2</w:t>
            </w:r>
          </w:p>
        </w:tc>
        <w:tc>
          <w:tcPr>
            <w:tcW w:w="892" w:type="pct"/>
            <w:tcBorders>
              <w:top w:val="single" w:sz="6" w:space="0" w:color="auto"/>
              <w:tl2br w:val="nil"/>
              <w:tr2bl w:val="nil"/>
            </w:tcBorders>
            <w:vAlign w:val="center"/>
          </w:tcPr>
          <w:p w14:paraId="45FE35B8" w14:textId="77777777" w:rsidR="00FF694E" w:rsidRDefault="00000000">
            <w:pPr>
              <w:pStyle w:val="affd"/>
              <w:jc w:val="center"/>
              <w:rPr>
                <w:rFonts w:cs="宋体" w:hint="eastAsia"/>
              </w:rPr>
            </w:pPr>
            <w:r>
              <w:rPr>
                <w:rFonts w:cs="宋体"/>
              </w:rPr>
              <w:t>42.1</w:t>
            </w:r>
          </w:p>
        </w:tc>
        <w:tc>
          <w:tcPr>
            <w:tcW w:w="891" w:type="pct"/>
            <w:tcBorders>
              <w:top w:val="single" w:sz="6" w:space="0" w:color="auto"/>
              <w:tl2br w:val="nil"/>
              <w:tr2bl w:val="nil"/>
            </w:tcBorders>
            <w:vAlign w:val="center"/>
          </w:tcPr>
          <w:p w14:paraId="445FA631" w14:textId="77777777" w:rsidR="00FF694E" w:rsidRDefault="00000000">
            <w:pPr>
              <w:pStyle w:val="affd"/>
              <w:jc w:val="center"/>
              <w:rPr>
                <w:rFonts w:cs="宋体" w:hint="eastAsia"/>
              </w:rPr>
            </w:pPr>
            <w:r>
              <w:rPr>
                <w:rFonts w:cs="宋体"/>
              </w:rPr>
              <w:t>98.7</w:t>
            </w:r>
          </w:p>
        </w:tc>
      </w:tr>
      <w:tr w:rsidR="00FF694E" w14:paraId="3A9C33E7" w14:textId="77777777">
        <w:trPr>
          <w:jc w:val="center"/>
        </w:trPr>
        <w:tc>
          <w:tcPr>
            <w:tcW w:w="390" w:type="pct"/>
            <w:tcBorders>
              <w:tl2br w:val="nil"/>
              <w:tr2bl w:val="nil"/>
            </w:tcBorders>
            <w:vAlign w:val="center"/>
          </w:tcPr>
          <w:p w14:paraId="153DC136" w14:textId="77777777" w:rsidR="00FF694E" w:rsidRDefault="00000000">
            <w:pPr>
              <w:pStyle w:val="affd"/>
              <w:jc w:val="center"/>
              <w:rPr>
                <w:rFonts w:cs="宋体" w:hint="eastAsia"/>
              </w:rPr>
            </w:pPr>
            <w:r>
              <w:rPr>
                <w:rFonts w:cs="宋体"/>
              </w:rPr>
              <w:t>2</w:t>
            </w:r>
          </w:p>
        </w:tc>
        <w:tc>
          <w:tcPr>
            <w:tcW w:w="1022" w:type="pct"/>
            <w:tcBorders>
              <w:tl2br w:val="nil"/>
              <w:tr2bl w:val="nil"/>
            </w:tcBorders>
            <w:vAlign w:val="center"/>
          </w:tcPr>
          <w:p w14:paraId="7D2A03BD" w14:textId="77777777" w:rsidR="00FF694E" w:rsidRDefault="00000000">
            <w:pPr>
              <w:pStyle w:val="affd"/>
              <w:jc w:val="center"/>
              <w:rPr>
                <w:rFonts w:cs="宋体" w:hint="eastAsia"/>
              </w:rPr>
            </w:pPr>
            <w:r>
              <w:rPr>
                <w:rFonts w:cs="宋体"/>
              </w:rPr>
              <w:t>动态障碍物</w:t>
            </w:r>
          </w:p>
        </w:tc>
        <w:tc>
          <w:tcPr>
            <w:tcW w:w="1015" w:type="pct"/>
            <w:tcBorders>
              <w:tl2br w:val="nil"/>
              <w:tr2bl w:val="nil"/>
            </w:tcBorders>
            <w:vAlign w:val="center"/>
          </w:tcPr>
          <w:p w14:paraId="4FDE62AB" w14:textId="77777777" w:rsidR="00FF694E" w:rsidRDefault="00000000">
            <w:pPr>
              <w:pStyle w:val="affd"/>
              <w:jc w:val="center"/>
              <w:rPr>
                <w:rFonts w:cs="宋体" w:hint="eastAsia"/>
              </w:rPr>
            </w:pPr>
            <w:r>
              <w:rPr>
                <w:rFonts w:cs="宋体"/>
              </w:rPr>
              <w:t>±4.5</w:t>
            </w:r>
          </w:p>
        </w:tc>
        <w:tc>
          <w:tcPr>
            <w:tcW w:w="787" w:type="pct"/>
            <w:tcBorders>
              <w:tl2br w:val="nil"/>
              <w:tr2bl w:val="nil"/>
            </w:tcBorders>
            <w:vAlign w:val="center"/>
          </w:tcPr>
          <w:p w14:paraId="217C2173" w14:textId="77777777" w:rsidR="00FF694E" w:rsidRDefault="00000000">
            <w:pPr>
              <w:pStyle w:val="affd"/>
              <w:jc w:val="center"/>
              <w:rPr>
                <w:rFonts w:cs="宋体" w:hint="eastAsia"/>
              </w:rPr>
            </w:pPr>
            <w:r>
              <w:rPr>
                <w:rFonts w:cs="宋体"/>
              </w:rPr>
              <w:t>4.8</w:t>
            </w:r>
          </w:p>
        </w:tc>
        <w:tc>
          <w:tcPr>
            <w:tcW w:w="892" w:type="pct"/>
            <w:tcBorders>
              <w:tl2br w:val="nil"/>
              <w:tr2bl w:val="nil"/>
            </w:tcBorders>
            <w:vAlign w:val="center"/>
          </w:tcPr>
          <w:p w14:paraId="321BFEC3" w14:textId="77777777" w:rsidR="00FF694E" w:rsidRDefault="00000000">
            <w:pPr>
              <w:pStyle w:val="affd"/>
              <w:jc w:val="center"/>
              <w:rPr>
                <w:rFonts w:cs="宋体" w:hint="eastAsia"/>
              </w:rPr>
            </w:pPr>
            <w:r>
              <w:rPr>
                <w:rFonts w:cs="宋体"/>
              </w:rPr>
              <w:t>58.3</w:t>
            </w:r>
          </w:p>
        </w:tc>
        <w:tc>
          <w:tcPr>
            <w:tcW w:w="891" w:type="pct"/>
            <w:tcBorders>
              <w:tl2br w:val="nil"/>
              <w:tr2bl w:val="nil"/>
            </w:tcBorders>
            <w:vAlign w:val="center"/>
          </w:tcPr>
          <w:p w14:paraId="77094B57" w14:textId="77777777" w:rsidR="00FF694E" w:rsidRDefault="00000000">
            <w:pPr>
              <w:pStyle w:val="affd"/>
              <w:jc w:val="center"/>
              <w:rPr>
                <w:rFonts w:cs="宋体" w:hint="eastAsia"/>
              </w:rPr>
            </w:pPr>
            <w:r>
              <w:rPr>
                <w:rFonts w:cs="宋体"/>
              </w:rPr>
              <w:t>97.2</w:t>
            </w:r>
          </w:p>
        </w:tc>
      </w:tr>
      <w:tr w:rsidR="00FF694E" w14:paraId="26F0E20C" w14:textId="77777777">
        <w:trPr>
          <w:jc w:val="center"/>
        </w:trPr>
        <w:tc>
          <w:tcPr>
            <w:tcW w:w="390" w:type="pct"/>
            <w:tcBorders>
              <w:tl2br w:val="nil"/>
              <w:tr2bl w:val="nil"/>
            </w:tcBorders>
            <w:vAlign w:val="center"/>
          </w:tcPr>
          <w:p w14:paraId="158002F5" w14:textId="77777777" w:rsidR="00FF694E" w:rsidRDefault="00000000">
            <w:pPr>
              <w:pStyle w:val="affd"/>
              <w:jc w:val="center"/>
              <w:rPr>
                <w:rFonts w:cs="宋体" w:hint="eastAsia"/>
              </w:rPr>
            </w:pPr>
            <w:r>
              <w:rPr>
                <w:rFonts w:cs="宋体"/>
              </w:rPr>
              <w:t>3</w:t>
            </w:r>
          </w:p>
        </w:tc>
        <w:tc>
          <w:tcPr>
            <w:tcW w:w="1022" w:type="pct"/>
            <w:tcBorders>
              <w:tl2br w:val="nil"/>
              <w:tr2bl w:val="nil"/>
            </w:tcBorders>
            <w:vAlign w:val="center"/>
          </w:tcPr>
          <w:p w14:paraId="6AFE22E7" w14:textId="77777777" w:rsidR="00FF694E" w:rsidRDefault="00000000">
            <w:pPr>
              <w:pStyle w:val="affd"/>
              <w:jc w:val="center"/>
              <w:rPr>
                <w:rFonts w:cs="宋体" w:hint="eastAsia"/>
              </w:rPr>
            </w:pPr>
            <w:r>
              <w:rPr>
                <w:rFonts w:cs="宋体"/>
              </w:rPr>
              <w:t>隐蔽结构融合</w:t>
            </w:r>
          </w:p>
        </w:tc>
        <w:tc>
          <w:tcPr>
            <w:tcW w:w="1015" w:type="pct"/>
            <w:tcBorders>
              <w:tl2br w:val="nil"/>
              <w:tr2bl w:val="nil"/>
            </w:tcBorders>
            <w:vAlign w:val="center"/>
          </w:tcPr>
          <w:p w14:paraId="328DF713" w14:textId="77777777" w:rsidR="00FF694E" w:rsidRDefault="00000000">
            <w:pPr>
              <w:pStyle w:val="affd"/>
              <w:jc w:val="center"/>
              <w:rPr>
                <w:rFonts w:cs="宋体" w:hint="eastAsia"/>
              </w:rPr>
            </w:pPr>
            <w:r>
              <w:rPr>
                <w:rFonts w:cs="宋体"/>
              </w:rPr>
              <w:t>±3.2</w:t>
            </w:r>
          </w:p>
        </w:tc>
        <w:tc>
          <w:tcPr>
            <w:tcW w:w="787" w:type="pct"/>
            <w:tcBorders>
              <w:tl2br w:val="nil"/>
              <w:tr2bl w:val="nil"/>
            </w:tcBorders>
            <w:vAlign w:val="center"/>
          </w:tcPr>
          <w:p w14:paraId="0B4C50D3" w14:textId="77777777" w:rsidR="00FF694E" w:rsidRDefault="00000000">
            <w:pPr>
              <w:pStyle w:val="affd"/>
              <w:jc w:val="center"/>
              <w:rPr>
                <w:rFonts w:cs="宋体" w:hint="eastAsia"/>
              </w:rPr>
            </w:pPr>
            <w:r>
              <w:rPr>
                <w:rFonts w:cs="宋体"/>
              </w:rPr>
              <w:t>3.1</w:t>
            </w:r>
          </w:p>
        </w:tc>
        <w:tc>
          <w:tcPr>
            <w:tcW w:w="892" w:type="pct"/>
            <w:tcBorders>
              <w:tl2br w:val="nil"/>
              <w:tr2bl w:val="nil"/>
            </w:tcBorders>
            <w:vAlign w:val="center"/>
          </w:tcPr>
          <w:p w14:paraId="09C5559E" w14:textId="77777777" w:rsidR="00FF694E" w:rsidRDefault="00000000">
            <w:pPr>
              <w:pStyle w:val="affd"/>
              <w:jc w:val="center"/>
              <w:rPr>
                <w:rFonts w:cs="宋体" w:hint="eastAsia"/>
              </w:rPr>
            </w:pPr>
            <w:r>
              <w:rPr>
                <w:rFonts w:cs="宋体"/>
              </w:rPr>
              <w:t>76.9</w:t>
            </w:r>
          </w:p>
        </w:tc>
        <w:tc>
          <w:tcPr>
            <w:tcW w:w="891" w:type="pct"/>
            <w:tcBorders>
              <w:tl2br w:val="nil"/>
              <w:tr2bl w:val="nil"/>
            </w:tcBorders>
            <w:vAlign w:val="center"/>
          </w:tcPr>
          <w:p w14:paraId="72725341" w14:textId="77777777" w:rsidR="00FF694E" w:rsidRDefault="00000000">
            <w:pPr>
              <w:pStyle w:val="affd"/>
              <w:jc w:val="center"/>
              <w:rPr>
                <w:rFonts w:cs="宋体" w:hint="eastAsia"/>
              </w:rPr>
            </w:pPr>
            <w:r>
              <w:rPr>
                <w:rFonts w:cs="宋体"/>
              </w:rPr>
              <w:t>95.4</w:t>
            </w:r>
          </w:p>
        </w:tc>
      </w:tr>
    </w:tbl>
    <w:p w14:paraId="021C9C89" w14:textId="77777777" w:rsidR="00FF694E" w:rsidRDefault="00000000">
      <w:pPr>
        <w:pStyle w:val="afe"/>
        <w:ind w:firstLine="420"/>
      </w:pPr>
      <w:r>
        <w:rPr>
          <w:rFonts w:hint="eastAsia"/>
        </w:rPr>
        <w:t>验证结果表明，本文提出的原位虚实交互仿真系统成功通过了所有预设场景的测试，展现出优异的性能。当盾构机模型与障碍物接触碰撞或动态障碍物侵入其运动包络空间时，系统均能即时触发可视化告警，准确高亮显示对应的碰撞部件。在响应时效性上，结果如表</w:t>
      </w:r>
      <w:r>
        <w:rPr>
          <w:rFonts w:hint="eastAsia"/>
        </w:rPr>
        <w:t>4</w:t>
      </w:r>
      <w:r>
        <w:rPr>
          <w:rFonts w:hint="eastAsia"/>
        </w:rPr>
        <w:t>所示。虚实空间同步精度高，误差范围在±</w:t>
      </w:r>
      <w:r>
        <w:rPr>
          <w:rFonts w:hint="eastAsia"/>
        </w:rPr>
        <w:t>4.5mm</w:t>
      </w:r>
      <w:r>
        <w:rPr>
          <w:rFonts w:hint="eastAsia"/>
        </w:rPr>
        <w:t>以内，满足工程精度要求；</w:t>
      </w:r>
      <w:r>
        <w:rPr>
          <w:rFonts w:hint="eastAsia"/>
        </w:rPr>
        <w:t>MR</w:t>
      </w:r>
      <w:r>
        <w:rPr>
          <w:rFonts w:hint="eastAsia"/>
        </w:rPr>
        <w:t>核心计算延迟</w:t>
      </w:r>
      <w:r>
        <w:rPr>
          <w:rFonts w:hint="eastAsia"/>
        </w:rPr>
        <w:t>&lt;6ms</w:t>
      </w:r>
      <w:r>
        <w:rPr>
          <w:rFonts w:hint="eastAsia"/>
        </w:rPr>
        <w:t>，可视化延迟控制在</w:t>
      </w:r>
      <w:r>
        <w:rPr>
          <w:rFonts w:hint="eastAsia"/>
        </w:rPr>
        <w:t>77ms</w:t>
      </w:r>
      <w:r>
        <w:rPr>
          <w:rFonts w:hint="eastAsia"/>
        </w:rPr>
        <w:t>以内；虚实帧同步率高达</w:t>
      </w:r>
      <w:r>
        <w:rPr>
          <w:rFonts w:hint="eastAsia"/>
        </w:rPr>
        <w:t>95%</w:t>
      </w:r>
      <w:r>
        <w:rPr>
          <w:rFonts w:hint="eastAsia"/>
        </w:rPr>
        <w:t>以上，有效保障了混合现实环境显示的流畅性与一致性，实现了近乎实时的风险预警，显著优于传统人工巡检或固定传感器检测，完全满足盾构机低速推进（</w:t>
      </w:r>
      <w:r>
        <w:rPr>
          <w:rFonts w:hint="eastAsia"/>
        </w:rPr>
        <w:t>80mm/min</w:t>
      </w:r>
      <w:r>
        <w:rPr>
          <w:rFonts w:hint="eastAsia"/>
        </w:rPr>
        <w:t>）工况下对即</w:t>
      </w:r>
      <w:r>
        <w:rPr>
          <w:rFonts w:hint="eastAsia"/>
        </w:rPr>
        <w:lastRenderedPageBreak/>
        <w:t>时风险感知的需求，系统整体运行性能稳定可靠。综上，该系统能够为盾构机空推过站过程提供实时、精准的碰撞风险识别与预警能力。</w:t>
      </w:r>
    </w:p>
    <w:p w14:paraId="1EADF3C3" w14:textId="77777777" w:rsidR="00FF694E" w:rsidRDefault="00000000">
      <w:pPr>
        <w:pStyle w:val="aff"/>
        <w:keepNext/>
        <w:spacing w:before="156" w:after="156"/>
      </w:pPr>
      <w:bookmarkStart w:id="94" w:name="一级标题序号_12_0"/>
      <w:bookmarkStart w:id="95" w:name="一级标题_8_0"/>
      <w:bookmarkEnd w:id="93"/>
      <w:r>
        <w:t xml:space="preserve">4 </w:t>
      </w:r>
      <w:bookmarkEnd w:id="94"/>
      <w:r>
        <w:t>结论与展望</w:t>
      </w:r>
      <w:bookmarkEnd w:id="95"/>
    </w:p>
    <w:p w14:paraId="126D37F7" w14:textId="77777777" w:rsidR="00FF694E" w:rsidRDefault="00000000">
      <w:pPr>
        <w:pStyle w:val="afe"/>
        <w:ind w:firstLine="420"/>
      </w:pPr>
      <w:bookmarkStart w:id="96" w:name="正文段落_134_0"/>
      <w:r>
        <w:t>本文通过集成</w:t>
      </w:r>
      <w:r>
        <w:t>BIM</w:t>
      </w:r>
      <w:r>
        <w:t>技术和混合现实技术，构建了盾构机空推过站原位仿真工作系统，来模拟盾构机空推过站的过程，主要结论如下：</w:t>
      </w:r>
      <w:bookmarkEnd w:id="96"/>
    </w:p>
    <w:p w14:paraId="0308CB16" w14:textId="77777777" w:rsidR="00FF694E" w:rsidRDefault="00000000">
      <w:pPr>
        <w:pStyle w:val="afe"/>
        <w:ind w:firstLine="420"/>
      </w:pPr>
      <w:bookmarkStart w:id="97" w:name="正文段落_136_0"/>
      <w:r>
        <w:t>1</w:t>
      </w:r>
      <w:r>
        <w:t>）本研究构建了</w:t>
      </w:r>
      <w:r>
        <w:t>“</w:t>
      </w:r>
      <w:r>
        <w:t>数据融合</w:t>
      </w:r>
      <w:r>
        <w:t>-</w:t>
      </w:r>
      <w:r>
        <w:t>运动仿真</w:t>
      </w:r>
      <w:r>
        <w:t>-</w:t>
      </w:r>
      <w:r>
        <w:t>原位映射</w:t>
      </w:r>
      <w:r>
        <w:t>-</w:t>
      </w:r>
      <w:r>
        <w:t>动态反馈</w:t>
      </w:r>
      <w:r>
        <w:t>”</w:t>
      </w:r>
      <w:r>
        <w:t>的闭环技术体系。通过多源数据融合与轻量化建立虚拟模型，基于</w:t>
      </w:r>
      <w:proofErr w:type="spellStart"/>
      <w:r>
        <w:t>Frenet</w:t>
      </w:r>
      <w:proofErr w:type="spellEnd"/>
      <w:r>
        <w:t>标架和</w:t>
      </w:r>
      <w:r>
        <w:t>Unity</w:t>
      </w:r>
      <w:r>
        <w:t>物理引擎实现盾构机六自由度位姿精确动态模拟，并利用</w:t>
      </w:r>
      <w:r>
        <w:t>Vuforia</w:t>
      </w:r>
      <w:r>
        <w:t>技术达成虚拟模型与真实环境</w:t>
      </w:r>
      <w:r>
        <w:t>±4.5mm</w:t>
      </w:r>
      <w:r>
        <w:t>的高精度三维注册，为复杂受限空间设备运动仿真与风险预警提供了可复用框架。</w:t>
      </w:r>
      <w:bookmarkEnd w:id="97"/>
    </w:p>
    <w:p w14:paraId="0363C1FE" w14:textId="77777777" w:rsidR="00FF694E" w:rsidRDefault="00000000">
      <w:pPr>
        <w:pStyle w:val="afe"/>
        <w:ind w:firstLine="420"/>
      </w:pPr>
      <w:bookmarkStart w:id="98" w:name="正文段落_138_0"/>
      <w:r>
        <w:t>2</w:t>
      </w:r>
      <w:r>
        <w:t>）在北京平谷地铁站的实际应用表明，该系统能实时、高精度识别静态障碍物、动态偏移设施及隐蔽结构等碰撞风险，显著优于传统方法，有效解决了实时碰撞识别精度不足与响应滞后问题，为盾构机低速推进工况提供了即时风险感知与超前预警，为现场决策提供了直观、可靠的数据支撑。</w:t>
      </w:r>
      <w:bookmarkEnd w:id="98"/>
    </w:p>
    <w:p w14:paraId="2515ED31" w14:textId="77777777" w:rsidR="00FF694E" w:rsidRDefault="00000000">
      <w:pPr>
        <w:pStyle w:val="afe"/>
        <w:ind w:firstLine="420"/>
      </w:pPr>
      <w:bookmarkStart w:id="99" w:name="正文段落_140_0"/>
      <w:r>
        <w:t>3</w:t>
      </w:r>
      <w:r>
        <w:t>）该原位虚实交互仿真方法为盾构机空推过站提供了创新性的风险管理新方法，可以为复杂地下工程提供了实时风险预判与决策支持工具，对推动盾构机施工现场可视化、数字化与智能化发展具有重要实践价值。</w:t>
      </w:r>
      <w:bookmarkEnd w:id="99"/>
    </w:p>
    <w:p w14:paraId="553938F2" w14:textId="77777777" w:rsidR="00FF694E" w:rsidRDefault="00000000">
      <w:pPr>
        <w:pStyle w:val="afff2"/>
      </w:pPr>
      <w:bookmarkStart w:id="100" w:name="参考文献_0"/>
      <w:r>
        <w:t>参考文献（</w:t>
      </w:r>
      <w:r>
        <w:t>References</w:t>
      </w:r>
      <w:r>
        <w:t>）</w:t>
      </w:r>
      <w:bookmarkEnd w:id="100"/>
    </w:p>
    <w:p w14:paraId="0F4A89CD" w14:textId="77777777" w:rsidR="00FF694E" w:rsidRDefault="00000000">
      <w:pPr>
        <w:pStyle w:val="a"/>
        <w:ind w:left="300" w:hanging="300"/>
      </w:pPr>
      <w:bookmarkStart w:id="101" w:name="参考文献内容_2_0"/>
      <w:r>
        <w:t>胡指南</w:t>
      </w:r>
      <w:r>
        <w:t>,</w:t>
      </w:r>
      <w:r>
        <w:t>张广琪</w:t>
      </w:r>
      <w:r>
        <w:t>,</w:t>
      </w:r>
      <w:r>
        <w:t>薛峰</w:t>
      </w:r>
      <w:r>
        <w:t>,</w:t>
      </w:r>
      <w:r>
        <w:t>等</w:t>
      </w:r>
      <w:r>
        <w:t>.“</w:t>
      </w:r>
      <w:r>
        <w:t>先隧后站</w:t>
      </w:r>
      <w:r>
        <w:t>”</w:t>
      </w:r>
      <w:r>
        <w:t>法地铁车站扩建技术研究进展</w:t>
      </w:r>
      <w:r>
        <w:t>[J/OL].</w:t>
      </w:r>
      <w:r>
        <w:t>交通科学与工程</w:t>
      </w:r>
      <w:r>
        <w:t>,1-19[2025-06-29].</w:t>
      </w:r>
      <w:bookmarkEnd w:id="101"/>
    </w:p>
    <w:p w14:paraId="39952C3B" w14:textId="77777777" w:rsidR="00FF694E" w:rsidRDefault="00000000">
      <w:pPr>
        <w:pStyle w:val="affff0"/>
        <w:ind w:left="300" w:hanging="300"/>
      </w:pPr>
      <w:r>
        <w:rPr>
          <w:rFonts w:eastAsia="宋体"/>
        </w:rPr>
        <w:tab/>
      </w:r>
      <w:bookmarkStart w:id="102" w:name="参考文献中英文对照_2_0"/>
      <w:r>
        <w:rPr>
          <w:rFonts w:eastAsia="宋体"/>
        </w:rPr>
        <w:t xml:space="preserve">HU Z N, ZHANG G Q, XUE F, et al. </w:t>
      </w:r>
      <w:r>
        <w:rPr>
          <w:rFonts w:eastAsia="宋体" w:hint="eastAsia"/>
        </w:rPr>
        <w:t>Research progress on subway station expansion technology of "tunnel first and then station" method</w:t>
      </w:r>
      <w:r>
        <w:rPr>
          <w:rFonts w:eastAsia="宋体"/>
        </w:rPr>
        <w:t xml:space="preserve"> [J/OL]. Journal of Transport Science and Engineering, 1-19[2025-06-29].</w:t>
      </w:r>
      <w:bookmarkEnd w:id="102"/>
    </w:p>
    <w:p w14:paraId="2ACE9419" w14:textId="77777777" w:rsidR="00FF694E" w:rsidRDefault="00000000">
      <w:pPr>
        <w:pStyle w:val="a"/>
        <w:ind w:left="300" w:hanging="300"/>
      </w:pPr>
      <w:bookmarkStart w:id="103" w:name="参考文献内容_4_0"/>
      <w:r>
        <w:t>王逢松</w:t>
      </w:r>
      <w:r>
        <w:t>.</w:t>
      </w:r>
      <w:r>
        <w:t>城市地铁盾构过已建车站施工实例</w:t>
      </w:r>
      <w:r>
        <w:t>[J].</w:t>
      </w:r>
      <w:r>
        <w:t>市政技术</w:t>
      </w:r>
      <w:r>
        <w:t>,2011,29(06):67-69+74.</w:t>
      </w:r>
      <w:bookmarkEnd w:id="103"/>
    </w:p>
    <w:p w14:paraId="5214538E" w14:textId="77777777" w:rsidR="00FF694E" w:rsidRDefault="00000000">
      <w:pPr>
        <w:pStyle w:val="affff0"/>
        <w:ind w:left="300" w:hanging="300"/>
      </w:pPr>
      <w:r>
        <w:rPr>
          <w:rFonts w:eastAsia="宋体"/>
        </w:rPr>
        <w:tab/>
      </w:r>
      <w:bookmarkStart w:id="104" w:name="参考文献中英文对照_4_0"/>
      <w:r>
        <w:rPr>
          <w:rFonts w:eastAsia="宋体"/>
        </w:rPr>
        <w:t>WANG F S. An example of the construction of the urban subway shield through the existing station [J]. Municipal Engineering Technology, 2011, 29(06): 67-69+74.</w:t>
      </w:r>
      <w:bookmarkEnd w:id="104"/>
    </w:p>
    <w:p w14:paraId="70D64B92" w14:textId="77777777" w:rsidR="00FF694E" w:rsidRDefault="00000000">
      <w:pPr>
        <w:pStyle w:val="a"/>
        <w:ind w:left="300" w:hanging="300"/>
      </w:pPr>
      <w:bookmarkStart w:id="105" w:name="参考文献内容_6_0"/>
      <w:r>
        <w:t>冯冬健</w:t>
      </w:r>
      <w:r>
        <w:t>,</w:t>
      </w:r>
      <w:r>
        <w:t>潘庆林</w:t>
      </w:r>
      <w:r>
        <w:t>,</w:t>
      </w:r>
      <w:r>
        <w:t>张凤梅</w:t>
      </w:r>
      <w:r>
        <w:t>.</w:t>
      </w:r>
      <w:r>
        <w:t>地铁盾构施工中盾构机姿态定位测量的研究</w:t>
      </w:r>
      <w:r>
        <w:t>[J].</w:t>
      </w:r>
      <w:r>
        <w:t>工程勘察</w:t>
      </w:r>
      <w:r>
        <w:t>,2003,(05):57-58+61.</w:t>
      </w:r>
      <w:bookmarkEnd w:id="105"/>
    </w:p>
    <w:p w14:paraId="681E09D6" w14:textId="77777777" w:rsidR="00FF694E" w:rsidRDefault="00000000">
      <w:pPr>
        <w:pStyle w:val="affff0"/>
        <w:ind w:left="300" w:hanging="300"/>
      </w:pPr>
      <w:r>
        <w:rPr>
          <w:rFonts w:eastAsia="宋体"/>
        </w:rPr>
        <w:tab/>
      </w:r>
      <w:bookmarkStart w:id="106" w:name="参考文献中英文对照_6_0"/>
      <w:r>
        <w:rPr>
          <w:rFonts w:eastAsia="宋体"/>
        </w:rPr>
        <w:t>FENG D J, PAN Q L, ZHANG F M. Research on the Attitude Positioning Measurement of Tunnel Boring Machines during Subway Shield Tunneling Construction [J]. Geotechnical Investigation, 2003, (05): 57-58+61.</w:t>
      </w:r>
      <w:bookmarkEnd w:id="106"/>
    </w:p>
    <w:p w14:paraId="636C42DD" w14:textId="77777777" w:rsidR="00FF694E" w:rsidRDefault="00000000">
      <w:pPr>
        <w:pStyle w:val="a"/>
        <w:ind w:left="300" w:hanging="300"/>
      </w:pPr>
      <w:bookmarkStart w:id="107" w:name="参考文献内容_8_0"/>
      <w:r>
        <w:t xml:space="preserve">Zhang Y., Gong G., Yang </w:t>
      </w:r>
      <w:proofErr w:type="spellStart"/>
      <w:r>
        <w:t>H.,et</w:t>
      </w:r>
      <w:proofErr w:type="spellEnd"/>
      <w:r>
        <w:t xml:space="preserve"> al. From tunnel boring machine to tunnel </w:t>
      </w:r>
      <w:r>
        <w:t>boring robot: perspectives on intelligent shield machine and its smart operation[J]. Journal of Zhejiang University-SCIENCE A, 2024,25(5):357-381.</w:t>
      </w:r>
      <w:bookmarkEnd w:id="107"/>
    </w:p>
    <w:p w14:paraId="4B4DF63F" w14:textId="77777777" w:rsidR="00FF694E" w:rsidRDefault="00000000">
      <w:pPr>
        <w:pStyle w:val="a"/>
        <w:ind w:left="300" w:hanging="300"/>
      </w:pPr>
      <w:bookmarkStart w:id="108" w:name="参考文献内容_10_0"/>
      <w:r>
        <w:t>王春河</w:t>
      </w:r>
      <w:r>
        <w:t>.</w:t>
      </w:r>
      <w:r>
        <w:t>盾构机空推过矿山法段地铁隧道施工技术</w:t>
      </w:r>
      <w:r>
        <w:t>[J].</w:t>
      </w:r>
      <w:r>
        <w:t>铁道标准设计</w:t>
      </w:r>
      <w:r>
        <w:t>,2010,(03):88-91.</w:t>
      </w:r>
      <w:bookmarkEnd w:id="108"/>
    </w:p>
    <w:p w14:paraId="08ECA030" w14:textId="77777777" w:rsidR="00FF694E" w:rsidRDefault="00000000">
      <w:pPr>
        <w:pStyle w:val="affff0"/>
        <w:ind w:left="300" w:hanging="300"/>
      </w:pPr>
      <w:r>
        <w:rPr>
          <w:rFonts w:eastAsia="宋体"/>
        </w:rPr>
        <w:tab/>
      </w:r>
      <w:bookmarkStart w:id="109" w:name="参考文献中英文对照_8_0"/>
      <w:r>
        <w:rPr>
          <w:rFonts w:eastAsia="宋体"/>
        </w:rPr>
        <w:t>WANG C H. The construction technology of the subway tunnel of the shield machine is pushed through the mine section [J]. Railway Technical Standard, 2010, (03): 88-91.</w:t>
      </w:r>
      <w:bookmarkEnd w:id="109"/>
    </w:p>
    <w:p w14:paraId="78CA07FB" w14:textId="77777777" w:rsidR="00FF694E" w:rsidRDefault="00000000">
      <w:pPr>
        <w:pStyle w:val="a"/>
        <w:ind w:left="300" w:hanging="300"/>
      </w:pPr>
      <w:bookmarkStart w:id="110" w:name="参考文献内容_12_0"/>
      <w:r>
        <w:t>Dai F, Olorunfemi A, Peng W, et al. Can mixed reality enhance safety communication on construction sites? An industry perspective. Safety Science,2021,133:105009.</w:t>
      </w:r>
      <w:bookmarkEnd w:id="110"/>
    </w:p>
    <w:p w14:paraId="79A13160" w14:textId="77777777" w:rsidR="00FF694E" w:rsidRDefault="00000000">
      <w:pPr>
        <w:pStyle w:val="a"/>
        <w:ind w:left="300" w:hanging="300"/>
      </w:pPr>
      <w:bookmarkStart w:id="111" w:name="参考文献内容_14_0"/>
      <w:r>
        <w:t>Wu S, Hou L, Zhang G K, et al. Real-time mixed reality-based visual warning for construction workforce safety[J]. Automation in Construction, 2022,139,104252.</w:t>
      </w:r>
      <w:bookmarkEnd w:id="111"/>
    </w:p>
    <w:p w14:paraId="37F02031" w14:textId="77777777" w:rsidR="00FF694E" w:rsidRDefault="00000000">
      <w:pPr>
        <w:pStyle w:val="a"/>
        <w:ind w:left="300" w:hanging="300"/>
      </w:pPr>
      <w:bookmarkStart w:id="112" w:name="参考文献内容_16_0"/>
      <w:r>
        <w:t>Zhou Y, Luo H., Yang Y, et al. Implementation of augmented reality for segment displacement inspection during tunneling construction[J]. Automation in Construction, 2017,82:112-121.</w:t>
      </w:r>
      <w:bookmarkEnd w:id="112"/>
    </w:p>
    <w:p w14:paraId="120FDC6F" w14:textId="77777777" w:rsidR="00FF694E" w:rsidRDefault="00000000">
      <w:pPr>
        <w:pStyle w:val="a"/>
        <w:ind w:left="300" w:hanging="300"/>
      </w:pPr>
      <w:bookmarkStart w:id="113" w:name="参考文献内容_18_0"/>
      <w:r>
        <w:t>Lee J, Han S, Yang J. Construction of a computer-simulated mixed reality environment for virtual factory layout planning[J]. Computers in Industry, 2011, 62(1): 86-98.</w:t>
      </w:r>
      <w:bookmarkEnd w:id="113"/>
    </w:p>
    <w:p w14:paraId="05883FA2" w14:textId="77777777" w:rsidR="00FF694E" w:rsidRDefault="00000000">
      <w:pPr>
        <w:pStyle w:val="a"/>
        <w:ind w:left="300" w:hanging="300"/>
      </w:pPr>
      <w:bookmarkStart w:id="114" w:name="参考文献内容_20_0"/>
      <w:r>
        <w:t>吕佳峻</w:t>
      </w:r>
      <w:r>
        <w:t>.</w:t>
      </w:r>
      <w:r>
        <w:t>基于数字孪生的</w:t>
      </w:r>
      <w:r>
        <w:t>TBM</w:t>
      </w:r>
      <w:r>
        <w:t>虚拟掘进系统研究与实现</w:t>
      </w:r>
      <w:r>
        <w:t>[D].</w:t>
      </w:r>
      <w:r>
        <w:t>浙江大学</w:t>
      </w:r>
      <w:r>
        <w:t>,2021.</w:t>
      </w:r>
      <w:bookmarkEnd w:id="114"/>
    </w:p>
    <w:p w14:paraId="56FDCAE5" w14:textId="77777777" w:rsidR="00FF694E" w:rsidRDefault="00000000">
      <w:pPr>
        <w:pStyle w:val="affff0"/>
        <w:ind w:left="300" w:hanging="300"/>
      </w:pPr>
      <w:r>
        <w:rPr>
          <w:rFonts w:eastAsia="宋体"/>
        </w:rPr>
        <w:tab/>
      </w:r>
      <w:bookmarkStart w:id="115" w:name="参考文献中英文对照_10_0"/>
      <w:r>
        <w:rPr>
          <w:rFonts w:eastAsia="宋体"/>
        </w:rPr>
        <w:t xml:space="preserve">LU J </w:t>
      </w:r>
      <w:proofErr w:type="spellStart"/>
      <w:r>
        <w:rPr>
          <w:rFonts w:eastAsia="宋体"/>
        </w:rPr>
        <w:t>J</w:t>
      </w:r>
      <w:proofErr w:type="spellEnd"/>
      <w:r>
        <w:rPr>
          <w:rFonts w:eastAsia="宋体"/>
        </w:rPr>
        <w:t>. Research and implementation of TBM virtual tunneling system based on digital twin [D]. Zhejiang University, 2021. (in Chinese).</w:t>
      </w:r>
      <w:bookmarkEnd w:id="115"/>
    </w:p>
    <w:p w14:paraId="615D9100" w14:textId="77777777" w:rsidR="00FF694E" w:rsidRDefault="00000000">
      <w:pPr>
        <w:pStyle w:val="a"/>
        <w:ind w:left="300" w:hanging="300"/>
      </w:pPr>
      <w:bookmarkStart w:id="116" w:name="参考文献内容_22_0"/>
      <w:r>
        <w:t>寇健恺</w:t>
      </w:r>
      <w:r>
        <w:t>.</w:t>
      </w:r>
      <w:r>
        <w:t>盾构机掘进过程虚拟仿真系统的研究与实现</w:t>
      </w:r>
      <w:r>
        <w:t>[D].</w:t>
      </w:r>
      <w:r>
        <w:t>济南</w:t>
      </w:r>
      <w:r>
        <w:t>:</w:t>
      </w:r>
      <w:r>
        <w:t>山东大学</w:t>
      </w:r>
      <w:r>
        <w:t>,2022.</w:t>
      </w:r>
      <w:bookmarkEnd w:id="116"/>
    </w:p>
    <w:p w14:paraId="5D9096B9" w14:textId="77777777" w:rsidR="00FF694E" w:rsidRDefault="00000000">
      <w:pPr>
        <w:pStyle w:val="affff0"/>
        <w:ind w:left="300" w:hanging="300"/>
      </w:pPr>
      <w:r>
        <w:rPr>
          <w:rFonts w:eastAsia="宋体"/>
        </w:rPr>
        <w:tab/>
      </w:r>
      <w:bookmarkStart w:id="117" w:name="参考文献中英文对照_12_0"/>
      <w:r>
        <w:rPr>
          <w:rFonts w:eastAsia="宋体"/>
        </w:rPr>
        <w:t>KOU J K. Research and implementation of virtual simulation system for shield boring process [D]. Jinan: Shandong University, 2022. (in Chinese).</w:t>
      </w:r>
      <w:bookmarkEnd w:id="117"/>
    </w:p>
    <w:p w14:paraId="0EF31C5D" w14:textId="77777777" w:rsidR="00FF694E" w:rsidRDefault="00000000">
      <w:pPr>
        <w:pStyle w:val="a"/>
        <w:ind w:left="300" w:hanging="300"/>
      </w:pPr>
      <w:bookmarkStart w:id="118" w:name="参考文献内容_24_0"/>
      <w:r>
        <w:t>翟晓强</w:t>
      </w:r>
      <w:r>
        <w:t>,</w:t>
      </w:r>
      <w:r>
        <w:t>胡亦杰</w:t>
      </w:r>
      <w:r>
        <w:t>.</w:t>
      </w:r>
      <w:r>
        <w:t>盾构施工虚拟仿真三维模型建模方法</w:t>
      </w:r>
      <w:r>
        <w:t>[J].</w:t>
      </w:r>
      <w:r>
        <w:t>电脑知识与技术</w:t>
      </w:r>
      <w:r>
        <w:t>,2013,9(11):2674-2677.</w:t>
      </w:r>
      <w:bookmarkEnd w:id="118"/>
    </w:p>
    <w:p w14:paraId="1F93D781" w14:textId="77777777" w:rsidR="00FF694E" w:rsidRDefault="00000000">
      <w:pPr>
        <w:pStyle w:val="affff0"/>
        <w:ind w:left="300" w:hanging="300"/>
      </w:pPr>
      <w:r>
        <w:rPr>
          <w:rFonts w:eastAsia="宋体"/>
        </w:rPr>
        <w:tab/>
      </w:r>
      <w:bookmarkStart w:id="119" w:name="参考文献中英文对照_14_0"/>
      <w:r>
        <w:rPr>
          <w:rFonts w:eastAsia="宋体"/>
        </w:rPr>
        <w:t>ZHAI X Q, HU Y J. Modeling method of 3D model of shield construction virtual simulation [J]. Computer Knowledge and Technology, 2013, 9(11): 2674-2677. (in Chinese).</w:t>
      </w:r>
      <w:bookmarkEnd w:id="119"/>
    </w:p>
    <w:p w14:paraId="05BF40CA" w14:textId="77777777" w:rsidR="00FF694E" w:rsidRDefault="00000000">
      <w:pPr>
        <w:pStyle w:val="a"/>
        <w:ind w:left="300" w:hanging="300"/>
      </w:pPr>
      <w:bookmarkStart w:id="120" w:name="参考文献内容_26_0"/>
      <w:r>
        <w:t>Wang X, Love P E D, Kim M J, et al. A conceptual framework for integrating building information modeling with augmented reality[J]. Automation in construction, 2013,34:37-44.</w:t>
      </w:r>
      <w:bookmarkEnd w:id="120"/>
    </w:p>
    <w:p w14:paraId="15253F75" w14:textId="77777777" w:rsidR="00FF694E" w:rsidRDefault="00000000">
      <w:pPr>
        <w:pStyle w:val="a"/>
        <w:ind w:left="300" w:hanging="300"/>
      </w:pPr>
      <w:bookmarkStart w:id="121" w:name="参考文献内容_28_0"/>
      <w:r>
        <w:t>赵文涛</w:t>
      </w:r>
      <w:r>
        <w:t>,</w:t>
      </w:r>
      <w:r>
        <w:t>郭位</w:t>
      </w:r>
      <w:r>
        <w:t>.TBM</w:t>
      </w:r>
      <w:r>
        <w:t>及其工作过程虚拟仿真系统的设计与实现</w:t>
      </w:r>
      <w:r>
        <w:t>[J].</w:t>
      </w:r>
      <w:r>
        <w:t>计算机技术与发展</w:t>
      </w:r>
      <w:r>
        <w:t>,2018,28(04):169-173.</w:t>
      </w:r>
      <w:bookmarkEnd w:id="121"/>
    </w:p>
    <w:p w14:paraId="51001636" w14:textId="77777777" w:rsidR="00FF694E" w:rsidRDefault="00000000">
      <w:pPr>
        <w:pStyle w:val="affff0"/>
        <w:ind w:left="300" w:hanging="300"/>
      </w:pPr>
      <w:r>
        <w:rPr>
          <w:rFonts w:eastAsia="宋体"/>
        </w:rPr>
        <w:tab/>
      </w:r>
      <w:bookmarkStart w:id="122" w:name="参考文献中英文对照_16_0"/>
      <w:r>
        <w:rPr>
          <w:rFonts w:eastAsia="宋体"/>
        </w:rPr>
        <w:t>ZHAO W T, GUO W. Design and implementation of TBM and its working process virtual simulation system [J]. Computer Technology and Development, 2018, 28(04): 169-173. (in Chinese).</w:t>
      </w:r>
      <w:bookmarkEnd w:id="122"/>
    </w:p>
    <w:p w14:paraId="0B6103FD" w14:textId="77777777" w:rsidR="00FF694E" w:rsidRDefault="00000000">
      <w:pPr>
        <w:pStyle w:val="a"/>
        <w:ind w:left="300" w:hanging="300"/>
      </w:pPr>
      <w:bookmarkStart w:id="123" w:name="参考文献内容_30_0"/>
      <w:r>
        <w:t>Jin DL, Wang XY, Yuan DJ, et al. Pose prediction based on dynamic modeling and virtual prototype simulation of shield tunnelling machine[J]. Journal of Central South University, 2024,31(11):3854-</w:t>
      </w:r>
      <w:r>
        <w:lastRenderedPageBreak/>
        <w:t>3867.</w:t>
      </w:r>
      <w:bookmarkEnd w:id="123"/>
    </w:p>
    <w:p w14:paraId="23E2C9BE" w14:textId="77777777" w:rsidR="00FF694E" w:rsidRDefault="00000000">
      <w:pPr>
        <w:pStyle w:val="a"/>
        <w:ind w:left="300" w:hanging="300"/>
        <w:sectPr w:rsidR="00FF694E">
          <w:endnotePr>
            <w:numFmt w:val="decimal"/>
          </w:endnotePr>
          <w:type w:val="continuous"/>
          <w:pgSz w:w="11906" w:h="16838"/>
          <w:pgMar w:top="1701" w:right="1134" w:bottom="1134" w:left="1134" w:header="992" w:footer="992" w:gutter="0"/>
          <w:cols w:num="2" w:space="420"/>
          <w:docGrid w:type="lines" w:linePitch="312"/>
        </w:sectPr>
      </w:pPr>
      <w:bookmarkStart w:id="124" w:name="参考文献内容_32_0"/>
      <w:r>
        <w:t xml:space="preserve">Wang X, Yuan D, Wang X, et al. Kinematic analysis and virtual </w:t>
      </w:r>
      <w:r>
        <w:t>prototype simulation of the thrust mechanism for shield machine[J]. Applied Sciences, 2022, 12(3): 1431.</w:t>
      </w:r>
      <w:bookmarkEnd w:id="124"/>
    </w:p>
    <w:p w14:paraId="4E6246C7" w14:textId="77777777" w:rsidR="00FF694E" w:rsidRDefault="00000000">
      <w:pPr>
        <w:pStyle w:val="af8"/>
      </w:pPr>
      <w:bookmarkStart w:id="125" w:name="空行_1"/>
      <w:r>
        <w:rPr>
          <w:rFonts w:hint="eastAsia"/>
        </w:rPr>
        <w:t xml:space="preserve"> </w:t>
      </w:r>
      <w:r>
        <w:t xml:space="preserve"> </w:t>
      </w:r>
      <w:bookmarkEnd w:id="125"/>
    </w:p>
    <w:p w14:paraId="2B422872" w14:textId="77777777" w:rsidR="00FF694E" w:rsidRDefault="00000000">
      <w:pPr>
        <w:pStyle w:val="af8"/>
      </w:pPr>
      <w:bookmarkStart w:id="126" w:name="空行_2"/>
      <w:r>
        <w:rPr>
          <w:rFonts w:hint="eastAsia"/>
        </w:rPr>
        <w:t xml:space="preserve"> </w:t>
      </w:r>
      <w:r>
        <w:t xml:space="preserve"> </w:t>
      </w:r>
      <w:bookmarkEnd w:id="126"/>
    </w:p>
    <w:p w14:paraId="24166353" w14:textId="77777777" w:rsidR="00FF694E" w:rsidRDefault="00FF694E">
      <w:pPr>
        <w:pStyle w:val="af8"/>
        <w:sectPr w:rsidR="00FF694E">
          <w:endnotePr>
            <w:numFmt w:val="decimal"/>
          </w:endnotePr>
          <w:type w:val="continuous"/>
          <w:pgSz w:w="11906" w:h="16838"/>
          <w:pgMar w:top="1701" w:right="1134" w:bottom="1134" w:left="1134" w:header="992" w:footer="992" w:gutter="0"/>
          <w:cols w:space="420"/>
          <w:docGrid w:type="lines" w:linePitch="312"/>
        </w:sectPr>
      </w:pPr>
    </w:p>
    <w:p w14:paraId="09ED2CB0" w14:textId="77777777" w:rsidR="00FF694E" w:rsidRDefault="00000000">
      <w:pPr>
        <w:widowControl/>
        <w:jc w:val="center"/>
        <w:rPr>
          <w:rFonts w:eastAsia="黑体"/>
          <w:kern w:val="0"/>
          <w:sz w:val="36"/>
          <w:szCs w:val="36"/>
        </w:rPr>
      </w:pPr>
      <w:bookmarkStart w:id="127" w:name="英文标题_2_0"/>
      <w:r>
        <w:rPr>
          <w:rFonts w:eastAsia="黑体"/>
          <w:kern w:val="0"/>
          <w:sz w:val="36"/>
          <w:szCs w:val="36"/>
        </w:rPr>
        <w:t>Research on the simulation method of shield machine empty push through station based on in-situ real-virtual interaction</w:t>
      </w:r>
      <w:bookmarkEnd w:id="127"/>
    </w:p>
    <w:p w14:paraId="1AAE52D0" w14:textId="77777777" w:rsidR="00FF694E" w:rsidRDefault="00000000">
      <w:pPr>
        <w:pStyle w:val="affff4"/>
      </w:pPr>
      <w:r>
        <w:rPr>
          <w:rStyle w:val="afb"/>
          <w:szCs w:val="15"/>
        </w:rPr>
        <w:t>Abstract:</w:t>
      </w:r>
      <w:r>
        <w:rPr>
          <w:b/>
        </w:rPr>
        <w:t xml:space="preserve"> </w:t>
      </w:r>
      <w:bookmarkStart w:id="128" w:name="英文摘要_2_0"/>
      <w:r>
        <w:t xml:space="preserve">In the construction of subway tunnels, due to the large volume and mass of the shield machine, it is easy to collide with the main structure of the tunnel or the surrounding temporary facilities when the station is pushed through the station in a narrow underground space, posing a major safety risk. The traditional way of inspecting the shield machine passing through the station relies on limited sensors and manual measurement methods, and the real-time perception ability is weak and the accuracy is insufficient, and the on-site physical drill is risky, costly and difficult to repeat. However, pure virtual simulation is difficult to accurately reflect the details of the complex and changeable real construction environment. In order to solve the pain point of strong constraints in underground space and hidden and dynamic evolution of collision risk points, this study proposes a simulation method based on in-situ virtual-real interaction of shield machine air thrust through station. Firstly, the multi-source data of the shield machine and the construction scene were fused to construct a high-fidelity virtual model. Secondly, through mixed reality technology and data processing algorithms, the high-precision registration and synchronization of the virtual model of the shield machine to the real construction site are used to realize the real-time coupling simulation and collision detection feedback between the virtual model and the real environment. Ultimately, after the in-situ simulation verification of the shield machine's empty run through the Beijing </w:t>
      </w:r>
      <w:proofErr w:type="spellStart"/>
      <w:r>
        <w:t>Pinggu</w:t>
      </w:r>
      <w:proofErr w:type="spellEnd"/>
      <w:r>
        <w:t xml:space="preserve"> Metro Station, the method achieved a high-performance display with a virtual-real synchronization accuracy of ±4.5mm, a core computation delay of &lt;6ms, a visualization delay of &lt;77ms, and a virtual-real frame synchronization rate of &gt;95%. This allows for real-time highlighting of collision components as a warning, effectively addressing the issues of real-time performance and accuracy in traditional methods, significantly enhancing the proactive identification and warning capability for collision risks during the shield machine's empty run process in complex underground spaces, and providing immediate and reliable support for on-site personnel decision-making.</w:t>
      </w:r>
      <w:bookmarkEnd w:id="128"/>
    </w:p>
    <w:p w14:paraId="2CABB3C1" w14:textId="77777777" w:rsidR="00FF694E" w:rsidRDefault="00000000">
      <w:pPr>
        <w:ind w:rightChars="150" w:right="315"/>
        <w:rPr>
          <w:rStyle w:val="afd"/>
          <w:szCs w:val="15"/>
        </w:rPr>
        <w:sectPr w:rsidR="00FF694E">
          <w:endnotePr>
            <w:numFmt w:val="decimal"/>
          </w:endnotePr>
          <w:type w:val="continuous"/>
          <w:pgSz w:w="11906" w:h="16838"/>
          <w:pgMar w:top="1701" w:right="1134" w:bottom="1134" w:left="1134" w:header="992" w:footer="992" w:gutter="0"/>
          <w:cols w:space="420"/>
          <w:docGrid w:type="lines" w:linePitch="312"/>
        </w:sectPr>
      </w:pPr>
      <w:r>
        <w:rPr>
          <w:rStyle w:val="afc"/>
          <w:sz w:val="15"/>
          <w:szCs w:val="15"/>
        </w:rPr>
        <w:t>Key words:</w:t>
      </w:r>
      <w:r>
        <w:rPr>
          <w:b/>
          <w:sz w:val="15"/>
          <w:szCs w:val="15"/>
        </w:rPr>
        <w:t xml:space="preserve"> </w:t>
      </w:r>
      <w:bookmarkStart w:id="129" w:name="英文关键词_2_0"/>
      <w:r>
        <w:rPr>
          <w:rStyle w:val="afd"/>
          <w:rFonts w:eastAsia="宋体"/>
          <w:szCs w:val="20"/>
        </w:rPr>
        <w:t>Mixed reality; Crossing station; In-situ; Simulation method</w:t>
      </w:r>
      <w:r>
        <w:rPr>
          <w:rStyle w:val="afd"/>
          <w:rFonts w:eastAsia="宋体"/>
          <w:szCs w:val="20"/>
        </w:rPr>
        <w:t>；</w:t>
      </w:r>
      <w:r>
        <w:rPr>
          <w:rStyle w:val="afd"/>
          <w:rFonts w:eastAsia="宋体"/>
          <w:szCs w:val="20"/>
        </w:rPr>
        <w:t>Shield construction</w:t>
      </w:r>
      <w:bookmarkEnd w:id="129"/>
    </w:p>
    <w:p w14:paraId="521BC3CF" w14:textId="77777777" w:rsidR="00FF694E" w:rsidRDefault="00FF694E"/>
    <w:sectPr w:rsidR="00FF694E">
      <w:endnotePr>
        <w:numFmt w:val="decimal"/>
      </w:endnotePr>
      <w:type w:val="continuous"/>
      <w:pgSz w:w="11906" w:h="16838"/>
      <w:pgMar w:top="1701" w:right="1134" w:bottom="1134" w:left="1134" w:header="992" w:footer="992" w:gutter="0"/>
      <w:cols w:space="720"/>
      <w:docGrid w:type="lines" w:linePitch="312"/>
    </w:sectPr>
  </w:body>
</w:document>
</file>

<file path=word/customizations.xml><?xml version="1.0" encoding="utf-8"?>
<wne:tcg xmlns:r="http://schemas.openxmlformats.org/officeDocument/2006/relationships" xmlns:wne="http://schemas.microsoft.com/office/word/2006/wordml">
  <wne:keymaps>
    <wne:keymap wne:kcmPrimary="0431">
      <wne:acd wne:acdName="acd0"/>
    </wne:keymap>
    <wne:keymap wne:kcmPrimary="0432">
      <wne:acd wne:acdName="acd1"/>
    </wne:keymap>
    <wne:keymap wne:kcmPrimary="0433">
      <wne:acd wne:acdName="acd2"/>
    </wne:keymap>
    <wne:keymap wne:kcmPrimary="0434">
      <wne:acd wne:acdName="acd3"/>
    </wne:keymap>
    <wne:keymap wne:kcmPrimary="0435">
      <wne:acd wne:acdName="acd4"/>
    </wne:keymap>
    <wne:keymap wne:kcmPrimary="0436">
      <wne:acd wne:acdName="acd5"/>
    </wne:keymap>
    <wne:keymap wne:kcmPrimary="0437">
      <wne:acd wne:acdName="acd6"/>
    </wne:keymap>
    <wne:keymap wne:kcmPrimary="0438">
      <wne:acd wne:acdName="acd7"/>
    </wne:keymap>
    <wne:keymap wne:kcmPrimary="0442">
      <wne:acd wne:acdName="acd8"/>
    </wne:keymap>
    <wne:keymap wne:kcmPrimary="0447">
      <wne:acd wne:acdName="acd9"/>
    </wne:keymap>
    <wne:keymap wne:kcmPrimary="044A">
      <wne:acd wne:acdName="acd10"/>
    </wne:keymap>
    <wne:keymap wne:kcmPrimary="0450">
      <wne:acd wne:acdName="acd11"/>
    </wne:keymap>
    <wne:keymap wne:kcmPrimary="0452">
      <wne:acd wne:acdName="acd12"/>
    </wne:keymap>
    <wne:keymap wne:kcmPrimary="045A">
      <wne:acd wne:acdName="acd13"/>
    </wne:keymap>
    <wne:keymap wne:kcmPrimary="0542">
      <wne:acd wne:acdName="acd14"/>
    </wne:keymap>
    <wne:keymap wne:kcmPrimary="0547">
      <wne:acd wne:acdName="acd15"/>
    </wne:keymap>
    <wne:keymap wne:kcmPrimary="0550">
      <wne:acd wne:acdName="acd16"/>
    </wne:keymap>
    <wne:keymap wne:kcmPrimary="0634">
      <wne:acd wne:acdName="acd17"/>
    </wne:keymap>
    <wne:keymap wne:kcmPrimary="0635">
      <wne:acd wne:acdName="acd18"/>
    </wne:keymap>
    <wne:keymap wne:kcmPrimary="0636">
      <wne:acd wne:acdName="acd19"/>
    </wne:keymap>
    <wne:keymap wne:kcmPrimary="0637">
      <wne:acd wne:acdName="acd20"/>
    </wne:keymap>
    <wne:keymap wne:kcmPrimary="0638">
      <wne:acd wne:acdName="acd21"/>
    </wne:keymap>
    <wne:keymap wne:kcmPrimary="0642">
      <wne:acd wne:acdName="acd22"/>
    </wne:keymap>
    <wne:keymap wne:kcmPrimary="0647">
      <wne:acd wne:acdName="acd23"/>
    </wne:keymap>
    <wne:keymap wne:kcmPrimary="064A">
      <wne:acd wne:acdName="acd24"/>
    </wne:keymap>
    <wne:keymap wne:kcmPrimary="0650">
      <wne:acd wne:acdName="acd25"/>
    </wne:keymap>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Manifest>
  </wne:toolbars>
  <wne:acds>
    <wne:acd wne:argValue="AgAATqd+B2iYmDdoD18=" wne:acdName="acd0" wne:fciIndexBasedOn="0065"/>
    <wne:acd wne:argValue="AgCMTqd+B2iYmDdoD18=" wne:acdName="acd1" wne:fciIndexBasedOn="0065"/>
    <wne:acd wne:argValue="AgAJTqd+B2iYmDdoD18=" wne:acdName="acd2" wne:fciIndexBasedOn="0065"/>
    <wne:acd wne:argValue="AgAI/y1OCf8HaJiYN2gPXw==" wne:acdName="acd3" wne:fciIndexBasedOn="0065"/>
    <wne:acd wne:argValue="AgAI/y1OCf9cTwWA01kNVDdoD18=" wne:acdName="acd4" wne:fciIndexBasedOn="0065"/>
    <wne:acd wne:argValue="AgAI/y1OCf9cTwWAVVNNTzdoD18=" wne:acdName="acd5" wne:fciIndexBasedOn="0065"/>
    <wne:acd wne:argValue="AgAI/y1OCf9YZIGJN2gPXw==" wne:acdName="acd6" wne:fciIndexBasedOn="0065"/>
    <wne:acd wne:argValue="AgAI/y1OCf9zUS6VzYs3aA9f" wne:acdName="acd7" wne:fciIndexBasedOn="0065"/>
    <wne:acd wne:argValue="AgBoiDxoN2gPXw==" wne:acdName="acd8" wne:fciIndexBasedOn="0065"/>
    <wne:acd wne:argValue="AgBsUQ9fN2gPXw==" wne:acdName="acd9" wne:fciIndexBasedOn="0065"/>
    <wne:acd wne:argValue="AgAI/y1OCf/+VuhsN2gPXw==" wne:acdName="acd10" wne:fciIndexBasedOn="0065"/>
    <wne:acd wne:argValue="AgD+VjdoD18=" wne:acdName="acd11" wne:fciIndexBasedOn="0065"/>
    <wne:acd wne:argValue="AgDCUwOAh2Uuc4VRuVs3aA9f" wne:acdName="acd12" wne:fciIndexBasedOn="0065"/>
    <wne:acd wne:argValue="AgBja4dlN2gPXw==" wne:acdName="acd13" wne:fciIndexBasedOn="0065"/>
    <wne:acd wne:argValue="AgAI/y1OCf9oiJiYN2gPXw==" wne:acdName="acd14" wne:fciIndexBasedOn="0065"/>
    <wne:acd wne:argValue="AgAI/y1OCf9oiOhsN2gPXw==" wne:acdName="acd15" wne:fciIndexBasedOn="0065"/>
    <wne:acd wne:argValue="AgAI/y1OCf/+VpiYN2gPXw==" wne:acdName="acd16" wne:fciIndexBasedOn="0065"/>
    <wne:acd wne:argValue="AgAI//GCCf8HaJiYN2gPXw==" wne:acdName="acd17" wne:fciIndexBasedOn="0065"/>
    <wne:acd wne:argValue="AgAI//GCCf9cTwWA01kNVDdoD18=" wne:acdName="acd18" wne:fciIndexBasedOn="0065"/>
    <wne:acd wne:argValue="AgAI//GCCf9cTwWAVVNNTzdoD18=" wne:acdName="acd19" wne:fciIndexBasedOn="0065"/>
    <wne:acd wne:argValue="AgAI//GCCf9YZIGJN2gPXw==" wne:acdName="acd20" wne:fciIndexBasedOn="0065"/>
    <wne:acd wne:argValue="AgAI//GCCf9zUS6VzYs3aA9f" wne:acdName="acd21" wne:fciIndexBasedOn="0065"/>
    <wne:acd wne:argValue="AgAI//GCCf9oiJiYN2gPXw==" wne:acdName="acd22" wne:fciIndexBasedOn="0065"/>
    <wne:acd wne:argValue="AgAI//GCCf9oiOhsN2gPXw==" wne:acdName="acd23" wne:fciIndexBasedOn="0065"/>
    <wne:acd wne:argValue="AgAI//GCCf/+VuhsN2gPXw==" wne:acdName="acd24" wne:fciIndexBasedOn="0065"/>
    <wne:acd wne:argValue="AgAI//GCCf/+VpiYN2gPXw==" wne:acdName="acd25"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E19D52" w14:textId="77777777" w:rsidR="008E0909" w:rsidRDefault="008E0909">
      <w:r>
        <w:separator/>
      </w:r>
    </w:p>
  </w:endnote>
  <w:endnote w:type="continuationSeparator" w:id="0">
    <w:p w14:paraId="78FA4510" w14:textId="77777777" w:rsidR="008E0909" w:rsidRDefault="008E090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仿宋_GB2312">
    <w:altName w:val="仿宋"/>
    <w:charset w:val="86"/>
    <w:family w:val="moder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STKaiti">
    <w:charset w:val="86"/>
    <w:family w:val="auto"/>
    <w:pitch w:val="variable"/>
    <w:sig w:usb0="00000287" w:usb1="080F0000" w:usb2="00000010" w:usb3="00000000" w:csb0="0004009F" w:csb1="00000000"/>
  </w:font>
  <w:font w:name="仿宋">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ascadia Mono SemiBold">
    <w:panose1 w:val="020B0609020000020004"/>
    <w:charset w:val="00"/>
    <w:family w:val="modern"/>
    <w:pitch w:val="fixed"/>
    <w:sig w:usb0="A1002AFF" w:usb1="C200F9FB" w:usb2="00040020" w:usb3="00000000" w:csb0="000001FF" w:csb1="00000000"/>
  </w:font>
  <w:font w:name="方正书宋简体">
    <w:altName w:val="宋体"/>
    <w:charset w:val="86"/>
    <w:family w:val="script"/>
    <w:pitch w:val="default"/>
    <w:sig w:usb0="00000000" w:usb1="00000000" w:usb2="00000000" w:usb3="00000000" w:csb0="00040000"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A644A1" w14:textId="77777777" w:rsidR="00FF694E" w:rsidRDefault="00000000">
    <w:pPr>
      <w:pStyle w:val="a6"/>
      <w:tabs>
        <w:tab w:val="clear" w:pos="4153"/>
        <w:tab w:val="clear" w:pos="8306"/>
      </w:tabs>
      <w:ind w:leftChars="150" w:left="315"/>
      <w:rPr>
        <w:rFonts w:eastAsia="楷体_GB2312"/>
        <w:sz w:val="16"/>
        <w:szCs w:val="16"/>
      </w:rPr>
    </w:pPr>
    <w:r>
      <w:rPr>
        <w:rFonts w:eastAsia="楷体_GB2312" w:hint="eastAsia"/>
        <w:noProof/>
        <w:sz w:val="16"/>
        <w:szCs w:val="16"/>
      </w:rPr>
      <mc:AlternateContent>
        <mc:Choice Requires="wps">
          <w:drawing>
            <wp:anchor distT="0" distB="0" distL="114300" distR="114300" simplePos="0" relativeHeight="251659264" behindDoc="0" locked="0" layoutInCell="1" allowOverlap="1" wp14:anchorId="14EEFFFE" wp14:editId="2FDF63C1">
              <wp:simplePos x="0" y="0"/>
              <wp:positionH relativeFrom="column">
                <wp:posOffset>0</wp:posOffset>
              </wp:positionH>
              <wp:positionV relativeFrom="paragraph">
                <wp:posOffset>64135</wp:posOffset>
              </wp:positionV>
              <wp:extent cx="1619885" cy="0"/>
              <wp:effectExtent l="9525" t="6985" r="8890" b="12065"/>
              <wp:wrapNone/>
              <wp:docPr id="1" name="直线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619885" cy="0"/>
                      </a:xfrm>
                      <a:prstGeom prst="line">
                        <a:avLst/>
                      </a:prstGeom>
                      <a:noFill/>
                      <a:ln w="6350">
                        <a:solidFill>
                          <a:srgbClr val="000000"/>
                        </a:solidFill>
                        <a:round/>
                      </a:ln>
                    </wps:spPr>
                    <wps:bodyPr/>
                  </wps:wsp>
                </a:graphicData>
              </a:graphic>
            </wp:anchor>
          </w:drawing>
        </mc:Choice>
        <mc:Fallback xmlns:wpsCustomData="http://www.wps.cn/officeDocument/2013/wpsCustomData">
          <w:pict>
            <v:line id="直线 6" o:spid="_x0000_s1026" o:spt="20" style="position:absolute;left:0pt;margin-left:0pt;margin-top:5.05pt;height:0pt;width:127.55pt;z-index:251659264;mso-width-relative:page;mso-height-relative:page;" filled="f" stroked="t" coordsize="21600,21600" o:gfxdata="UEsDBAoAAAAAAIdO4kAAAAAAAAAAAAAAAAAEAAAAZHJzL1BLAwQUAAAACACHTuJAlQvReNEAAAAG&#10;AQAADwAAAGRycy9kb3ducmV2LnhtbE2PQUvEMBCF74L/IYzgzU2yEJFu0z0IFS8eXMVztoltMZmU&#10;JNus/npHPOht5r3hzffa/Tl4trqU54ga5EYAczhEO+Oo4fWlv7kDlotBa3xEp+HTZdh3lxetaWys&#10;+OzWQxkZhWBujIaplKXhPA+TCyZv4uKQvPeYgim0ppHbZCqFB8+3QtzyYGakD5NZ3P3kho/DKWhA&#10;Wd58raWu6Us9KKn6R/HUa319JcUOWHHn8ncMP/iEDh0xHeMJbWZeAxUppAoJjNytUjQcfwXetfw/&#10;fvcNUEsDBBQAAAAIAIdO4kBrIyH01wEAAKEDAAAOAAAAZHJzL2Uyb0RvYy54bWytU0tuGzEM3Rfo&#10;HQTt67FTxHAHHmdhI92kbYCkB6A1Go9QSRRE2WOfpdfoqpseJ9coJX+appssOgtBFMlHvkfO/Gbv&#10;rNjpSAZ9IyejsRTaK2yN3zTy6+Ptu5kUlMC3YNHrRh40yZvF2zfzIdT6Cnu0rY6CQTzVQ2hkn1Ko&#10;q4pUrx3QCIP27OwwOkhsxk3VRhgY3dnqajyeVgPGNkRUmohfV0enPCHG1wBi1xmlV6i2Tvt0RI3a&#10;QmJK1JtAclG67Tqt0peuI52EbSQzTeXkInxf57NazKHeRAi9UacW4DUtvODkwHgueoFaQQKxjeYf&#10;KGdURMIujRS66kikKMIsJuMX2jz0EHThwlJTuIhO/w9Wfd7dR2Fa3gQpPDge+NP3H08/f4lp1mYI&#10;VHPI0t/HzE7t/UO4Q/WNhMdlD36jS4+Ph8CJk5xR/ZWSDQpcYT18wpZjYJuwCLXvosuQLIHYl3kc&#10;LvPQ+yQUP06mkw+z2bUU6uyroD4nhkjpo0Yn8qWR1vgsFdSwu6OUG4H6HJKfPd4aa8u4rRdDI6fv&#10;r8clgdCaNjtzGMXNemmj2EFemPIVVux5HhZx69tjEetPpDPPo2JrbA/38SwGT650c9qyvBrP7ZL9&#10;589a/AZ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BBBAAAW0NvbnRlbnRfVHlwZXNdLnhtbFBLAQIUAAoAAAAAAIdO4kAAAAAAAAAAAAAAAAAGAAAA&#10;AAAAAAAAEAAAACMDAABfcmVscy9QSwECFAAUAAAACACHTuJAihRmPNEAAACUAQAACwAAAAAAAAAB&#10;ACAAAABHAwAAX3JlbHMvLnJlbHNQSwECFAAKAAAAAACHTuJAAAAAAAAAAAAAAAAABAAAAAAAAAAA&#10;ABAAAAAAAAAAZHJzL1BLAQIUABQAAAAIAIdO4kCVC9F40QAAAAYBAAAPAAAAAAAAAAEAIAAAACIA&#10;AABkcnMvZG93bnJldi54bWxQSwECFAAUAAAACACHTuJAayMh9NcBAAChAwAADgAAAAAAAAABACAA&#10;AAAgAQAAZHJzL2Uyb0RvYy54bWxQSwUGAAAAAAYABgBZAQAAaQUAAAAA&#10;">
              <v:fill on="f" focussize="0,0"/>
              <v:stroke weight="0.5pt" color="#000000" joinstyle="round"/>
              <v:imagedata o:title=""/>
              <o:lock v:ext="edit" aspectratio="f"/>
            </v:line>
          </w:pict>
        </mc:Fallback>
      </mc:AlternateContent>
    </w:r>
  </w:p>
  <w:p w14:paraId="5A54122A" w14:textId="6180D328" w:rsidR="00FF694E" w:rsidRDefault="00FF694E">
    <w:pPr>
      <w:pStyle w:val="a6"/>
      <w:tabs>
        <w:tab w:val="clear" w:pos="4153"/>
        <w:tab w:val="clear" w:pos="8306"/>
      </w:tabs>
      <w:ind w:leftChars="150" w:left="1115" w:hangingChars="500" w:hanging="800"/>
      <w:rPr>
        <w:rFonts w:hAnsi="宋体" w:hint="eastAsia"/>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52B3B5" w14:textId="77777777" w:rsidR="008E0909" w:rsidRDefault="008E0909">
      <w:r>
        <w:separator/>
      </w:r>
    </w:p>
  </w:footnote>
  <w:footnote w:type="continuationSeparator" w:id="0">
    <w:p w14:paraId="49DD2E1A" w14:textId="77777777" w:rsidR="008E0909" w:rsidRDefault="008E090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C68092" w14:textId="77777777" w:rsidR="00FF694E" w:rsidRDefault="00FF694E">
    <w:pPr>
      <w:pStyle w:val="a8"/>
      <w:pBdr>
        <w:bottom w:val="none" w:sz="0" w:space="0" w:color="auto"/>
      </w:pBdr>
      <w:tabs>
        <w:tab w:val="clear" w:pos="4153"/>
        <w:tab w:val="clear" w:pos="8306"/>
      </w:tabs>
      <w:rPr>
        <w:sz w:val="11"/>
        <w:szCs w:val="11"/>
      </w:rPr>
    </w:pPr>
  </w:p>
  <w:p w14:paraId="0E3F2B5F" w14:textId="77777777" w:rsidR="00FF694E" w:rsidRDefault="00FF694E">
    <w:pPr>
      <w:pStyle w:val="a8"/>
      <w:pBdr>
        <w:bottom w:val="none" w:sz="0" w:space="0" w:color="auto"/>
      </w:pBdr>
      <w:tabs>
        <w:tab w:val="clear" w:pos="4153"/>
        <w:tab w:val="clear" w:pos="8306"/>
      </w:tabs>
      <w:rPr>
        <w:sz w:val="11"/>
        <w:szCs w:val="11"/>
      </w:rPr>
    </w:pPr>
  </w:p>
  <w:tbl>
    <w:tblPr>
      <w:tblW w:w="5000" w:type="pct"/>
      <w:tblLook w:val="04A0" w:firstRow="1" w:lastRow="0" w:firstColumn="1" w:lastColumn="0" w:noHBand="0" w:noVBand="1"/>
    </w:tblPr>
    <w:tblGrid>
      <w:gridCol w:w="1927"/>
      <w:gridCol w:w="5783"/>
      <w:gridCol w:w="1928"/>
    </w:tblGrid>
    <w:tr w:rsidR="00FF694E" w14:paraId="3B35C202" w14:textId="77777777">
      <w:tc>
        <w:tcPr>
          <w:tcW w:w="1000" w:type="pct"/>
          <w:tcBorders>
            <w:bottom w:val="single" w:sz="6" w:space="0" w:color="auto"/>
          </w:tcBorders>
          <w:vAlign w:val="center"/>
        </w:tcPr>
        <w:p w14:paraId="286F962F" w14:textId="77777777" w:rsidR="00FF694E" w:rsidRDefault="00000000">
          <w:pPr>
            <w:rPr>
              <w:sz w:val="18"/>
              <w:szCs w:val="18"/>
            </w:rPr>
          </w:pPr>
          <w:r>
            <w:rPr>
              <w:sz w:val="18"/>
              <w:szCs w:val="18"/>
            </w:rPr>
            <w:fldChar w:fldCharType="begin"/>
          </w:r>
          <w:r>
            <w:rPr>
              <w:sz w:val="18"/>
              <w:szCs w:val="18"/>
            </w:rPr>
            <w:instrText xml:space="preserve"> PAGE </w:instrText>
          </w:r>
          <w:r>
            <w:rPr>
              <w:sz w:val="18"/>
              <w:szCs w:val="18"/>
            </w:rPr>
            <w:fldChar w:fldCharType="separate"/>
          </w:r>
          <w:r>
            <w:rPr>
              <w:sz w:val="18"/>
              <w:szCs w:val="18"/>
            </w:rPr>
            <w:t>2</w:t>
          </w:r>
          <w:r>
            <w:rPr>
              <w:sz w:val="18"/>
              <w:szCs w:val="18"/>
            </w:rPr>
            <w:fldChar w:fldCharType="end"/>
          </w:r>
        </w:p>
      </w:tc>
      <w:tc>
        <w:tcPr>
          <w:tcW w:w="3000" w:type="pct"/>
          <w:tcBorders>
            <w:bottom w:val="single" w:sz="6" w:space="0" w:color="auto"/>
          </w:tcBorders>
          <w:vAlign w:val="center"/>
        </w:tcPr>
        <w:p w14:paraId="5BE1452A" w14:textId="723376F2" w:rsidR="00FF694E" w:rsidRDefault="00FF694E">
          <w:pPr>
            <w:jc w:val="center"/>
            <w:rPr>
              <w:rFonts w:hAnsi="宋体" w:hint="eastAsia"/>
              <w:sz w:val="18"/>
              <w:szCs w:val="18"/>
              <w:highlight w:val="yellow"/>
            </w:rPr>
          </w:pPr>
        </w:p>
      </w:tc>
      <w:tc>
        <w:tcPr>
          <w:tcW w:w="1000" w:type="pct"/>
          <w:tcBorders>
            <w:bottom w:val="single" w:sz="6" w:space="0" w:color="auto"/>
          </w:tcBorders>
          <w:vAlign w:val="center"/>
        </w:tcPr>
        <w:p w14:paraId="6C275005" w14:textId="77777777" w:rsidR="00FF694E" w:rsidRDefault="00000000">
          <w:pPr>
            <w:jc w:val="right"/>
            <w:rPr>
              <w:sz w:val="18"/>
              <w:szCs w:val="18"/>
            </w:rPr>
          </w:pPr>
          <w:r>
            <w:rPr>
              <w:rFonts w:hAnsi="宋体"/>
              <w:sz w:val="18"/>
              <w:szCs w:val="18"/>
            </w:rPr>
            <w:t>第</w:t>
          </w:r>
          <w:r>
            <w:rPr>
              <w:sz w:val="18"/>
            </w:rPr>
            <w:t>**</w:t>
          </w:r>
          <w:r>
            <w:rPr>
              <w:rFonts w:hAnsi="宋体"/>
              <w:sz w:val="18"/>
              <w:szCs w:val="18"/>
            </w:rPr>
            <w:t>卷</w:t>
          </w:r>
        </w:p>
      </w:tc>
    </w:tr>
  </w:tbl>
  <w:p w14:paraId="186099AD" w14:textId="77777777" w:rsidR="00FF694E" w:rsidRDefault="00FF694E">
    <w:pPr>
      <w:pStyle w:val="a8"/>
      <w:pBdr>
        <w:bottom w:val="none" w:sz="0" w:space="0" w:color="auto"/>
      </w:pBdr>
      <w:tabs>
        <w:tab w:val="clear" w:pos="4153"/>
        <w:tab w:val="clear" w:pos="8306"/>
      </w:tabs>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01E9DC8" w14:textId="77777777" w:rsidR="00FF694E" w:rsidRDefault="00FF694E">
    <w:pPr>
      <w:pStyle w:val="a8"/>
      <w:pBdr>
        <w:bottom w:val="none" w:sz="0" w:space="0" w:color="auto"/>
      </w:pBdr>
      <w:tabs>
        <w:tab w:val="clear" w:pos="4153"/>
        <w:tab w:val="clear" w:pos="8306"/>
      </w:tabs>
      <w:rPr>
        <w:sz w:val="11"/>
        <w:szCs w:val="11"/>
      </w:rPr>
    </w:pPr>
  </w:p>
  <w:p w14:paraId="4197D3C7" w14:textId="77777777" w:rsidR="00FF694E" w:rsidRDefault="00FF694E">
    <w:pPr>
      <w:pStyle w:val="a8"/>
      <w:pBdr>
        <w:bottom w:val="none" w:sz="0" w:space="0" w:color="auto"/>
      </w:pBdr>
      <w:tabs>
        <w:tab w:val="clear" w:pos="4153"/>
        <w:tab w:val="clear" w:pos="8306"/>
      </w:tabs>
      <w:rPr>
        <w:sz w:val="11"/>
        <w:szCs w:val="11"/>
      </w:rPr>
    </w:pPr>
  </w:p>
  <w:tbl>
    <w:tblPr>
      <w:tblW w:w="5000" w:type="pct"/>
      <w:tblLook w:val="04A0" w:firstRow="1" w:lastRow="0" w:firstColumn="1" w:lastColumn="0" w:noHBand="0" w:noVBand="1"/>
    </w:tblPr>
    <w:tblGrid>
      <w:gridCol w:w="8192"/>
      <w:gridCol w:w="1446"/>
    </w:tblGrid>
    <w:tr w:rsidR="00FF694E" w14:paraId="4B987858" w14:textId="77777777">
      <w:tc>
        <w:tcPr>
          <w:tcW w:w="4250" w:type="pct"/>
          <w:tcBorders>
            <w:bottom w:val="single" w:sz="6" w:space="0" w:color="auto"/>
          </w:tcBorders>
          <w:vAlign w:val="center"/>
        </w:tcPr>
        <w:p w14:paraId="78A45620" w14:textId="3308C327" w:rsidR="00FF694E" w:rsidRDefault="00FF694E">
          <w:pPr>
            <w:jc w:val="left"/>
            <w:rPr>
              <w:rFonts w:hAnsi="宋体" w:hint="eastAsia"/>
              <w:sz w:val="18"/>
              <w:szCs w:val="18"/>
            </w:rPr>
          </w:pPr>
        </w:p>
      </w:tc>
      <w:tc>
        <w:tcPr>
          <w:tcW w:w="750" w:type="pct"/>
          <w:tcBorders>
            <w:bottom w:val="single" w:sz="6" w:space="0" w:color="auto"/>
          </w:tcBorders>
          <w:vAlign w:val="center"/>
        </w:tcPr>
        <w:p w14:paraId="53890BD9" w14:textId="77777777" w:rsidR="00FF694E" w:rsidRDefault="00000000">
          <w:pPr>
            <w:jc w:val="right"/>
            <w:rPr>
              <w:sz w:val="18"/>
              <w:szCs w:val="18"/>
            </w:rPr>
          </w:pPr>
          <w:r>
            <w:rPr>
              <w:sz w:val="18"/>
              <w:szCs w:val="18"/>
            </w:rPr>
            <w:fldChar w:fldCharType="begin"/>
          </w:r>
          <w:r>
            <w:rPr>
              <w:sz w:val="18"/>
              <w:szCs w:val="18"/>
            </w:rPr>
            <w:instrText xml:space="preserve"> PAGE </w:instrText>
          </w:r>
          <w:r>
            <w:rPr>
              <w:sz w:val="18"/>
              <w:szCs w:val="18"/>
            </w:rPr>
            <w:fldChar w:fldCharType="separate"/>
          </w:r>
          <w:r>
            <w:rPr>
              <w:sz w:val="18"/>
              <w:szCs w:val="18"/>
            </w:rPr>
            <w:t>3</w:t>
          </w:r>
          <w:r>
            <w:rPr>
              <w:sz w:val="18"/>
              <w:szCs w:val="18"/>
            </w:rPr>
            <w:fldChar w:fldCharType="end"/>
          </w:r>
        </w:p>
      </w:tc>
    </w:tr>
  </w:tbl>
  <w:p w14:paraId="334DB31E" w14:textId="77777777" w:rsidR="00FF694E" w:rsidRDefault="00FF694E">
    <w:pPr>
      <w:pStyle w:val="a8"/>
      <w:pBdr>
        <w:bottom w:val="none" w:sz="0" w:space="0" w:color="auto"/>
      </w:pBdr>
      <w:tabs>
        <w:tab w:val="clear" w:pos="4153"/>
        <w:tab w:val="clear" w:pos="8306"/>
      </w:tabs>
      <w:rPr>
        <w:sz w:val="10"/>
        <w:szCs w:val="1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tblLook w:val="04A0" w:firstRow="1" w:lastRow="0" w:firstColumn="1" w:lastColumn="0" w:noHBand="0" w:noVBand="1"/>
    </w:tblPr>
    <w:tblGrid>
      <w:gridCol w:w="9638"/>
    </w:tblGrid>
    <w:tr w:rsidR="00FF694E" w14:paraId="1493C093" w14:textId="77777777">
      <w:trPr>
        <w:trHeight w:hRule="exact" w:val="28"/>
      </w:trPr>
      <w:tc>
        <w:tcPr>
          <w:tcW w:w="5000" w:type="pct"/>
          <w:tcBorders>
            <w:bottom w:val="double" w:sz="6" w:space="0" w:color="auto"/>
          </w:tcBorders>
          <w:vAlign w:val="center"/>
        </w:tcPr>
        <w:p w14:paraId="002E8AE9" w14:textId="77777777" w:rsidR="00FF694E" w:rsidRDefault="00FF694E">
          <w:pPr>
            <w:spacing w:afterLines="25" w:after="60"/>
            <w:jc w:val="center"/>
            <w:rPr>
              <w:sz w:val="18"/>
              <w:szCs w:val="18"/>
            </w:rPr>
          </w:pPr>
        </w:p>
      </w:tc>
    </w:tr>
  </w:tbl>
  <w:p w14:paraId="034F762A" w14:textId="77777777" w:rsidR="00FF694E" w:rsidRDefault="00FF694E">
    <w:pPr>
      <w:pStyle w:val="a8"/>
      <w:pBdr>
        <w:bottom w:val="none" w:sz="0" w:space="0" w:color="auto"/>
      </w:pBdr>
      <w:tabs>
        <w:tab w:val="clear" w:pos="4153"/>
        <w:tab w:val="clear" w:pos="8306"/>
      </w:tabs>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B700D6"/>
    <w:multiLevelType w:val="multilevel"/>
    <w:tmpl w:val="29B700D6"/>
    <w:lvl w:ilvl="0">
      <w:start w:val="1"/>
      <w:numFmt w:val="decimal"/>
      <w:pStyle w:val="a"/>
      <w:lvlText w:val="[%1]"/>
      <w:lvlJc w:val="left"/>
      <w:pPr>
        <w:tabs>
          <w:tab w:val="left" w:pos="473"/>
        </w:tabs>
        <w:ind w:left="473" w:hanging="420"/>
      </w:pPr>
      <w:rPr>
        <w:b w:val="0"/>
        <w:i w:val="0"/>
        <w:sz w:val="15"/>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num w:numId="1" w16cid:durableId="14751801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hideSpelling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evenAndOddHeaders/>
  <w:drawingGridHorizontalSpacing w:val="105"/>
  <w:drawingGridVerticalSpacing w:val="156"/>
  <w:displayHorizontalDrawingGridEvery w:val="2"/>
  <w:displayVerticalDrawingGridEvery w:val="2"/>
  <w:noPunctuationKerning/>
  <w:characterSpacingControl w:val="compressPunctuation"/>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60C29"/>
    <w:rsid w:val="0000332D"/>
    <w:rsid w:val="00004124"/>
    <w:rsid w:val="0001112B"/>
    <w:rsid w:val="0001197E"/>
    <w:rsid w:val="00013ABE"/>
    <w:rsid w:val="00014462"/>
    <w:rsid w:val="00015743"/>
    <w:rsid w:val="00017E00"/>
    <w:rsid w:val="000210B7"/>
    <w:rsid w:val="000211A6"/>
    <w:rsid w:val="00023B18"/>
    <w:rsid w:val="000309E2"/>
    <w:rsid w:val="00030B34"/>
    <w:rsid w:val="000419CC"/>
    <w:rsid w:val="00042793"/>
    <w:rsid w:val="00043C7D"/>
    <w:rsid w:val="00045E14"/>
    <w:rsid w:val="00047F6F"/>
    <w:rsid w:val="00052100"/>
    <w:rsid w:val="0005297D"/>
    <w:rsid w:val="000529D3"/>
    <w:rsid w:val="000539FB"/>
    <w:rsid w:val="0005534D"/>
    <w:rsid w:val="00055399"/>
    <w:rsid w:val="00055951"/>
    <w:rsid w:val="00062FFF"/>
    <w:rsid w:val="00067E2B"/>
    <w:rsid w:val="00070F5B"/>
    <w:rsid w:val="00071015"/>
    <w:rsid w:val="00071D2F"/>
    <w:rsid w:val="00072458"/>
    <w:rsid w:val="00077718"/>
    <w:rsid w:val="000777F7"/>
    <w:rsid w:val="00077F9F"/>
    <w:rsid w:val="0008296D"/>
    <w:rsid w:val="00083893"/>
    <w:rsid w:val="000872BC"/>
    <w:rsid w:val="00090ADF"/>
    <w:rsid w:val="000942E4"/>
    <w:rsid w:val="00095BE8"/>
    <w:rsid w:val="000A2302"/>
    <w:rsid w:val="000A2307"/>
    <w:rsid w:val="000A2B0E"/>
    <w:rsid w:val="000A3FD0"/>
    <w:rsid w:val="000A44CE"/>
    <w:rsid w:val="000A4F21"/>
    <w:rsid w:val="000A5063"/>
    <w:rsid w:val="000B28E7"/>
    <w:rsid w:val="000B7F45"/>
    <w:rsid w:val="000C0410"/>
    <w:rsid w:val="000D4CD6"/>
    <w:rsid w:val="000D64AE"/>
    <w:rsid w:val="000E2AC4"/>
    <w:rsid w:val="000E2B46"/>
    <w:rsid w:val="000E71E5"/>
    <w:rsid w:val="000F119D"/>
    <w:rsid w:val="000F1223"/>
    <w:rsid w:val="000F737E"/>
    <w:rsid w:val="000F7CA9"/>
    <w:rsid w:val="001010E5"/>
    <w:rsid w:val="00101FC2"/>
    <w:rsid w:val="00102468"/>
    <w:rsid w:val="0010260B"/>
    <w:rsid w:val="00102B00"/>
    <w:rsid w:val="00102F1A"/>
    <w:rsid w:val="00104831"/>
    <w:rsid w:val="0010561A"/>
    <w:rsid w:val="00106CA2"/>
    <w:rsid w:val="00111C98"/>
    <w:rsid w:val="001125C2"/>
    <w:rsid w:val="00114715"/>
    <w:rsid w:val="00115696"/>
    <w:rsid w:val="00116E07"/>
    <w:rsid w:val="00117321"/>
    <w:rsid w:val="001219BB"/>
    <w:rsid w:val="00130EF5"/>
    <w:rsid w:val="0013490A"/>
    <w:rsid w:val="001367B9"/>
    <w:rsid w:val="00136C1A"/>
    <w:rsid w:val="00137724"/>
    <w:rsid w:val="001378AD"/>
    <w:rsid w:val="001410CC"/>
    <w:rsid w:val="00141C30"/>
    <w:rsid w:val="00143495"/>
    <w:rsid w:val="00143F82"/>
    <w:rsid w:val="001444F9"/>
    <w:rsid w:val="00146F89"/>
    <w:rsid w:val="0015005B"/>
    <w:rsid w:val="001510EA"/>
    <w:rsid w:val="00151515"/>
    <w:rsid w:val="00152BDF"/>
    <w:rsid w:val="00152F2C"/>
    <w:rsid w:val="0015305F"/>
    <w:rsid w:val="00154284"/>
    <w:rsid w:val="001545C1"/>
    <w:rsid w:val="00154C33"/>
    <w:rsid w:val="00162D92"/>
    <w:rsid w:val="001661D7"/>
    <w:rsid w:val="00171C1F"/>
    <w:rsid w:val="0017335C"/>
    <w:rsid w:val="001746DD"/>
    <w:rsid w:val="001831AA"/>
    <w:rsid w:val="0018615D"/>
    <w:rsid w:val="00186C65"/>
    <w:rsid w:val="00186D62"/>
    <w:rsid w:val="001951C2"/>
    <w:rsid w:val="001973AF"/>
    <w:rsid w:val="001A0D12"/>
    <w:rsid w:val="001A1C05"/>
    <w:rsid w:val="001A3DA4"/>
    <w:rsid w:val="001A4454"/>
    <w:rsid w:val="001A4CDE"/>
    <w:rsid w:val="001A4EE8"/>
    <w:rsid w:val="001B3392"/>
    <w:rsid w:val="001B4CA9"/>
    <w:rsid w:val="001B5BD9"/>
    <w:rsid w:val="001B6E20"/>
    <w:rsid w:val="001C145B"/>
    <w:rsid w:val="001C19E5"/>
    <w:rsid w:val="001C4D64"/>
    <w:rsid w:val="001C4ECE"/>
    <w:rsid w:val="001C6D6C"/>
    <w:rsid w:val="001D059C"/>
    <w:rsid w:val="001D0FC5"/>
    <w:rsid w:val="001E10D1"/>
    <w:rsid w:val="001E33FF"/>
    <w:rsid w:val="001E5D2B"/>
    <w:rsid w:val="001E6217"/>
    <w:rsid w:val="001E6FD4"/>
    <w:rsid w:val="001E719A"/>
    <w:rsid w:val="001F2AA3"/>
    <w:rsid w:val="001F71B7"/>
    <w:rsid w:val="00201089"/>
    <w:rsid w:val="00202560"/>
    <w:rsid w:val="00202B73"/>
    <w:rsid w:val="00202E68"/>
    <w:rsid w:val="00202ECF"/>
    <w:rsid w:val="00203CDD"/>
    <w:rsid w:val="00204DCF"/>
    <w:rsid w:val="0020532C"/>
    <w:rsid w:val="00205FE8"/>
    <w:rsid w:val="00207073"/>
    <w:rsid w:val="00207E0C"/>
    <w:rsid w:val="00213384"/>
    <w:rsid w:val="00216455"/>
    <w:rsid w:val="0021711C"/>
    <w:rsid w:val="002205F5"/>
    <w:rsid w:val="00224363"/>
    <w:rsid w:val="002307EA"/>
    <w:rsid w:val="00235B62"/>
    <w:rsid w:val="002408DD"/>
    <w:rsid w:val="0024176D"/>
    <w:rsid w:val="00242CE7"/>
    <w:rsid w:val="00245899"/>
    <w:rsid w:val="00247D2C"/>
    <w:rsid w:val="002501B5"/>
    <w:rsid w:val="002548EF"/>
    <w:rsid w:val="00255138"/>
    <w:rsid w:val="00255E98"/>
    <w:rsid w:val="002571B3"/>
    <w:rsid w:val="002602D7"/>
    <w:rsid w:val="00260619"/>
    <w:rsid w:val="0026166D"/>
    <w:rsid w:val="00265B9A"/>
    <w:rsid w:val="00270FE8"/>
    <w:rsid w:val="00272EBB"/>
    <w:rsid w:val="00280ECE"/>
    <w:rsid w:val="0028660B"/>
    <w:rsid w:val="002929FD"/>
    <w:rsid w:val="0029417D"/>
    <w:rsid w:val="00295A27"/>
    <w:rsid w:val="00297166"/>
    <w:rsid w:val="002A2366"/>
    <w:rsid w:val="002A2990"/>
    <w:rsid w:val="002B02D8"/>
    <w:rsid w:val="002B1DF0"/>
    <w:rsid w:val="002B4D7B"/>
    <w:rsid w:val="002B5482"/>
    <w:rsid w:val="002B6997"/>
    <w:rsid w:val="002B6D33"/>
    <w:rsid w:val="002B7A88"/>
    <w:rsid w:val="002C35B8"/>
    <w:rsid w:val="002C3624"/>
    <w:rsid w:val="002C77AE"/>
    <w:rsid w:val="002D0B7E"/>
    <w:rsid w:val="002D1159"/>
    <w:rsid w:val="002D1F11"/>
    <w:rsid w:val="002D2135"/>
    <w:rsid w:val="002D7892"/>
    <w:rsid w:val="002E15AE"/>
    <w:rsid w:val="002E2021"/>
    <w:rsid w:val="002E22EA"/>
    <w:rsid w:val="002E2F2E"/>
    <w:rsid w:val="002E6630"/>
    <w:rsid w:val="002E7C16"/>
    <w:rsid w:val="002F210E"/>
    <w:rsid w:val="002F4248"/>
    <w:rsid w:val="002F45F1"/>
    <w:rsid w:val="002F461F"/>
    <w:rsid w:val="002F4A5B"/>
    <w:rsid w:val="002F561E"/>
    <w:rsid w:val="00303218"/>
    <w:rsid w:val="00304B6F"/>
    <w:rsid w:val="003050BA"/>
    <w:rsid w:val="00307D7C"/>
    <w:rsid w:val="00310A97"/>
    <w:rsid w:val="00311143"/>
    <w:rsid w:val="00311715"/>
    <w:rsid w:val="00317EC9"/>
    <w:rsid w:val="00321559"/>
    <w:rsid w:val="00322197"/>
    <w:rsid w:val="003226DC"/>
    <w:rsid w:val="003233EF"/>
    <w:rsid w:val="003275B9"/>
    <w:rsid w:val="00330D02"/>
    <w:rsid w:val="00332E8D"/>
    <w:rsid w:val="0033327C"/>
    <w:rsid w:val="003334EB"/>
    <w:rsid w:val="00335E1D"/>
    <w:rsid w:val="00335F4F"/>
    <w:rsid w:val="00337FEC"/>
    <w:rsid w:val="003416C7"/>
    <w:rsid w:val="003419B4"/>
    <w:rsid w:val="0034265E"/>
    <w:rsid w:val="0034348C"/>
    <w:rsid w:val="00344202"/>
    <w:rsid w:val="00346FA3"/>
    <w:rsid w:val="00346FEA"/>
    <w:rsid w:val="00347004"/>
    <w:rsid w:val="003533B4"/>
    <w:rsid w:val="00354CAA"/>
    <w:rsid w:val="00354E3C"/>
    <w:rsid w:val="00355885"/>
    <w:rsid w:val="00356C1B"/>
    <w:rsid w:val="00361F82"/>
    <w:rsid w:val="003640AB"/>
    <w:rsid w:val="00364659"/>
    <w:rsid w:val="00365139"/>
    <w:rsid w:val="003710DD"/>
    <w:rsid w:val="00371103"/>
    <w:rsid w:val="00372B1B"/>
    <w:rsid w:val="00372F05"/>
    <w:rsid w:val="00373497"/>
    <w:rsid w:val="0037444A"/>
    <w:rsid w:val="003762D7"/>
    <w:rsid w:val="00376688"/>
    <w:rsid w:val="00377054"/>
    <w:rsid w:val="003803DA"/>
    <w:rsid w:val="0038081E"/>
    <w:rsid w:val="00382B63"/>
    <w:rsid w:val="00383979"/>
    <w:rsid w:val="00383D17"/>
    <w:rsid w:val="00383F2B"/>
    <w:rsid w:val="0038459F"/>
    <w:rsid w:val="00385DB4"/>
    <w:rsid w:val="00386EC4"/>
    <w:rsid w:val="003909B3"/>
    <w:rsid w:val="0039167C"/>
    <w:rsid w:val="00394D48"/>
    <w:rsid w:val="00396422"/>
    <w:rsid w:val="003A1B14"/>
    <w:rsid w:val="003A24E1"/>
    <w:rsid w:val="003A4336"/>
    <w:rsid w:val="003B022B"/>
    <w:rsid w:val="003B177D"/>
    <w:rsid w:val="003B1EC2"/>
    <w:rsid w:val="003B22BC"/>
    <w:rsid w:val="003B4A19"/>
    <w:rsid w:val="003B5C16"/>
    <w:rsid w:val="003B68B6"/>
    <w:rsid w:val="003C1775"/>
    <w:rsid w:val="003C3D65"/>
    <w:rsid w:val="003C4084"/>
    <w:rsid w:val="003C6816"/>
    <w:rsid w:val="003C7DB3"/>
    <w:rsid w:val="003D2A94"/>
    <w:rsid w:val="003D2CC0"/>
    <w:rsid w:val="003D4EBA"/>
    <w:rsid w:val="003E0DA2"/>
    <w:rsid w:val="003E0DAE"/>
    <w:rsid w:val="003E1950"/>
    <w:rsid w:val="003E1B2F"/>
    <w:rsid w:val="003E630D"/>
    <w:rsid w:val="003E64B1"/>
    <w:rsid w:val="003E663D"/>
    <w:rsid w:val="003E6FC3"/>
    <w:rsid w:val="003E791C"/>
    <w:rsid w:val="003F0CE2"/>
    <w:rsid w:val="003F1C80"/>
    <w:rsid w:val="003F7227"/>
    <w:rsid w:val="004006AC"/>
    <w:rsid w:val="004116CF"/>
    <w:rsid w:val="004118F7"/>
    <w:rsid w:val="00412E58"/>
    <w:rsid w:val="00412FFD"/>
    <w:rsid w:val="0041436F"/>
    <w:rsid w:val="00414404"/>
    <w:rsid w:val="00414D69"/>
    <w:rsid w:val="00421398"/>
    <w:rsid w:val="0042208B"/>
    <w:rsid w:val="00425A1A"/>
    <w:rsid w:val="004305D5"/>
    <w:rsid w:val="00435D18"/>
    <w:rsid w:val="004368A9"/>
    <w:rsid w:val="004400AE"/>
    <w:rsid w:val="004436DA"/>
    <w:rsid w:val="004437AB"/>
    <w:rsid w:val="00443963"/>
    <w:rsid w:val="00446777"/>
    <w:rsid w:val="00446AE4"/>
    <w:rsid w:val="00450722"/>
    <w:rsid w:val="00451832"/>
    <w:rsid w:val="004518A4"/>
    <w:rsid w:val="00455AEC"/>
    <w:rsid w:val="00456620"/>
    <w:rsid w:val="00457E23"/>
    <w:rsid w:val="004611F4"/>
    <w:rsid w:val="00462F24"/>
    <w:rsid w:val="00467176"/>
    <w:rsid w:val="004675F0"/>
    <w:rsid w:val="004679A2"/>
    <w:rsid w:val="00471B3C"/>
    <w:rsid w:val="004740C1"/>
    <w:rsid w:val="00474452"/>
    <w:rsid w:val="00474894"/>
    <w:rsid w:val="004772CC"/>
    <w:rsid w:val="0047768D"/>
    <w:rsid w:val="004779C8"/>
    <w:rsid w:val="00490915"/>
    <w:rsid w:val="00493593"/>
    <w:rsid w:val="0049594A"/>
    <w:rsid w:val="00495B85"/>
    <w:rsid w:val="0049628D"/>
    <w:rsid w:val="00496750"/>
    <w:rsid w:val="00497E09"/>
    <w:rsid w:val="004A1008"/>
    <w:rsid w:val="004A25B3"/>
    <w:rsid w:val="004A3F56"/>
    <w:rsid w:val="004B2E13"/>
    <w:rsid w:val="004C00C5"/>
    <w:rsid w:val="004C3BD4"/>
    <w:rsid w:val="004C3CA6"/>
    <w:rsid w:val="004C4BD8"/>
    <w:rsid w:val="004C5E87"/>
    <w:rsid w:val="004C7264"/>
    <w:rsid w:val="004D1BED"/>
    <w:rsid w:val="004D2669"/>
    <w:rsid w:val="004D5946"/>
    <w:rsid w:val="004D7855"/>
    <w:rsid w:val="004E03CD"/>
    <w:rsid w:val="004E1EFE"/>
    <w:rsid w:val="004E34C3"/>
    <w:rsid w:val="004E3877"/>
    <w:rsid w:val="004E50B5"/>
    <w:rsid w:val="004E6AA6"/>
    <w:rsid w:val="004F2123"/>
    <w:rsid w:val="004F24B3"/>
    <w:rsid w:val="004F2906"/>
    <w:rsid w:val="004F6F43"/>
    <w:rsid w:val="00500D46"/>
    <w:rsid w:val="0050107F"/>
    <w:rsid w:val="00503BA6"/>
    <w:rsid w:val="0050585E"/>
    <w:rsid w:val="00506409"/>
    <w:rsid w:val="00511B1C"/>
    <w:rsid w:val="00514A53"/>
    <w:rsid w:val="00517F12"/>
    <w:rsid w:val="005206DF"/>
    <w:rsid w:val="005248A3"/>
    <w:rsid w:val="00524F61"/>
    <w:rsid w:val="005259AE"/>
    <w:rsid w:val="00526D4A"/>
    <w:rsid w:val="005315C5"/>
    <w:rsid w:val="00531784"/>
    <w:rsid w:val="0053349F"/>
    <w:rsid w:val="00535DA3"/>
    <w:rsid w:val="00543218"/>
    <w:rsid w:val="00543285"/>
    <w:rsid w:val="00544458"/>
    <w:rsid w:val="00544A37"/>
    <w:rsid w:val="005470B1"/>
    <w:rsid w:val="00550189"/>
    <w:rsid w:val="0055187B"/>
    <w:rsid w:val="005550AD"/>
    <w:rsid w:val="00557BD0"/>
    <w:rsid w:val="00560807"/>
    <w:rsid w:val="00560EF6"/>
    <w:rsid w:val="005610FE"/>
    <w:rsid w:val="00562468"/>
    <w:rsid w:val="00562DF6"/>
    <w:rsid w:val="0056367A"/>
    <w:rsid w:val="00570E06"/>
    <w:rsid w:val="005719DD"/>
    <w:rsid w:val="00572DE4"/>
    <w:rsid w:val="00573AED"/>
    <w:rsid w:val="00574386"/>
    <w:rsid w:val="00575274"/>
    <w:rsid w:val="00585729"/>
    <w:rsid w:val="005901B4"/>
    <w:rsid w:val="00590541"/>
    <w:rsid w:val="0059207B"/>
    <w:rsid w:val="00592690"/>
    <w:rsid w:val="0059576A"/>
    <w:rsid w:val="005969E3"/>
    <w:rsid w:val="005A1CE5"/>
    <w:rsid w:val="005A2EE6"/>
    <w:rsid w:val="005A3EFB"/>
    <w:rsid w:val="005A4624"/>
    <w:rsid w:val="005A7BBB"/>
    <w:rsid w:val="005B46B1"/>
    <w:rsid w:val="005B4B5C"/>
    <w:rsid w:val="005B504C"/>
    <w:rsid w:val="005C5290"/>
    <w:rsid w:val="005D119A"/>
    <w:rsid w:val="005D22F9"/>
    <w:rsid w:val="005D2358"/>
    <w:rsid w:val="005D320C"/>
    <w:rsid w:val="005D4C7D"/>
    <w:rsid w:val="005D6832"/>
    <w:rsid w:val="005E017B"/>
    <w:rsid w:val="005E0DE1"/>
    <w:rsid w:val="005E209E"/>
    <w:rsid w:val="005E3FC8"/>
    <w:rsid w:val="005E4654"/>
    <w:rsid w:val="005E6508"/>
    <w:rsid w:val="005F0601"/>
    <w:rsid w:val="005F6CB2"/>
    <w:rsid w:val="006024A0"/>
    <w:rsid w:val="00604731"/>
    <w:rsid w:val="006048DF"/>
    <w:rsid w:val="00607C31"/>
    <w:rsid w:val="00610E20"/>
    <w:rsid w:val="006111DD"/>
    <w:rsid w:val="00614894"/>
    <w:rsid w:val="00616D6A"/>
    <w:rsid w:val="006204E1"/>
    <w:rsid w:val="00621926"/>
    <w:rsid w:val="0062389A"/>
    <w:rsid w:val="006268B7"/>
    <w:rsid w:val="00627C8A"/>
    <w:rsid w:val="006314A6"/>
    <w:rsid w:val="00632316"/>
    <w:rsid w:val="006361A6"/>
    <w:rsid w:val="006367C4"/>
    <w:rsid w:val="00644EE7"/>
    <w:rsid w:val="00645DB4"/>
    <w:rsid w:val="006460CF"/>
    <w:rsid w:val="00646C87"/>
    <w:rsid w:val="00650158"/>
    <w:rsid w:val="00652A91"/>
    <w:rsid w:val="006554CF"/>
    <w:rsid w:val="0066557F"/>
    <w:rsid w:val="00667E95"/>
    <w:rsid w:val="00667FFB"/>
    <w:rsid w:val="006724B3"/>
    <w:rsid w:val="00682B3B"/>
    <w:rsid w:val="00687BAB"/>
    <w:rsid w:val="00693D10"/>
    <w:rsid w:val="00695492"/>
    <w:rsid w:val="0069549F"/>
    <w:rsid w:val="006A3CB1"/>
    <w:rsid w:val="006A3FD3"/>
    <w:rsid w:val="006B0203"/>
    <w:rsid w:val="006B10D9"/>
    <w:rsid w:val="006C0375"/>
    <w:rsid w:val="006C1233"/>
    <w:rsid w:val="006C176A"/>
    <w:rsid w:val="006C1B8C"/>
    <w:rsid w:val="006C32BC"/>
    <w:rsid w:val="006C3E1C"/>
    <w:rsid w:val="006C4212"/>
    <w:rsid w:val="006C4F81"/>
    <w:rsid w:val="006D07B0"/>
    <w:rsid w:val="006D13CB"/>
    <w:rsid w:val="006D5200"/>
    <w:rsid w:val="006D5758"/>
    <w:rsid w:val="006D6E58"/>
    <w:rsid w:val="006E0A44"/>
    <w:rsid w:val="006E0D34"/>
    <w:rsid w:val="006E7985"/>
    <w:rsid w:val="006F025F"/>
    <w:rsid w:val="006F387E"/>
    <w:rsid w:val="006F3FD7"/>
    <w:rsid w:val="006F44EA"/>
    <w:rsid w:val="006F5DCA"/>
    <w:rsid w:val="007016D4"/>
    <w:rsid w:val="00703A43"/>
    <w:rsid w:val="0070461A"/>
    <w:rsid w:val="00704765"/>
    <w:rsid w:val="00704BFA"/>
    <w:rsid w:val="007117A1"/>
    <w:rsid w:val="007124AB"/>
    <w:rsid w:val="00712871"/>
    <w:rsid w:val="007143D3"/>
    <w:rsid w:val="00716541"/>
    <w:rsid w:val="00717AF6"/>
    <w:rsid w:val="00723B9A"/>
    <w:rsid w:val="007252A7"/>
    <w:rsid w:val="0072560F"/>
    <w:rsid w:val="0072615D"/>
    <w:rsid w:val="00730A69"/>
    <w:rsid w:val="00732226"/>
    <w:rsid w:val="0073332B"/>
    <w:rsid w:val="0073720C"/>
    <w:rsid w:val="00737A8C"/>
    <w:rsid w:val="007407A3"/>
    <w:rsid w:val="007437CB"/>
    <w:rsid w:val="007454E1"/>
    <w:rsid w:val="00746091"/>
    <w:rsid w:val="00747194"/>
    <w:rsid w:val="00747435"/>
    <w:rsid w:val="00750728"/>
    <w:rsid w:val="00756542"/>
    <w:rsid w:val="00756EBD"/>
    <w:rsid w:val="007603FE"/>
    <w:rsid w:val="00760C29"/>
    <w:rsid w:val="0076138C"/>
    <w:rsid w:val="00761A9D"/>
    <w:rsid w:val="00767FFB"/>
    <w:rsid w:val="007737CD"/>
    <w:rsid w:val="00774CB3"/>
    <w:rsid w:val="007775BE"/>
    <w:rsid w:val="0078145F"/>
    <w:rsid w:val="007817BD"/>
    <w:rsid w:val="00782029"/>
    <w:rsid w:val="00783374"/>
    <w:rsid w:val="00783480"/>
    <w:rsid w:val="0078472A"/>
    <w:rsid w:val="00785568"/>
    <w:rsid w:val="00787ADF"/>
    <w:rsid w:val="0079223F"/>
    <w:rsid w:val="00792704"/>
    <w:rsid w:val="00793057"/>
    <w:rsid w:val="00794E5A"/>
    <w:rsid w:val="007A47A7"/>
    <w:rsid w:val="007A4A89"/>
    <w:rsid w:val="007A520C"/>
    <w:rsid w:val="007A5B32"/>
    <w:rsid w:val="007B2818"/>
    <w:rsid w:val="007B4844"/>
    <w:rsid w:val="007C1595"/>
    <w:rsid w:val="007C22CB"/>
    <w:rsid w:val="007C5BEF"/>
    <w:rsid w:val="007C5E5E"/>
    <w:rsid w:val="007C7EC6"/>
    <w:rsid w:val="007D3094"/>
    <w:rsid w:val="007D69DF"/>
    <w:rsid w:val="007D7B50"/>
    <w:rsid w:val="007E0BE7"/>
    <w:rsid w:val="007E305F"/>
    <w:rsid w:val="007E4AE7"/>
    <w:rsid w:val="007E5589"/>
    <w:rsid w:val="007F0908"/>
    <w:rsid w:val="007F10CC"/>
    <w:rsid w:val="007F10F2"/>
    <w:rsid w:val="007F3391"/>
    <w:rsid w:val="007F58C2"/>
    <w:rsid w:val="007F6252"/>
    <w:rsid w:val="0080092A"/>
    <w:rsid w:val="00802A08"/>
    <w:rsid w:val="00803A6D"/>
    <w:rsid w:val="00805690"/>
    <w:rsid w:val="00805E90"/>
    <w:rsid w:val="0080711B"/>
    <w:rsid w:val="0082011D"/>
    <w:rsid w:val="008225A6"/>
    <w:rsid w:val="00823A3C"/>
    <w:rsid w:val="008251A9"/>
    <w:rsid w:val="00831531"/>
    <w:rsid w:val="00831F2F"/>
    <w:rsid w:val="00833FA4"/>
    <w:rsid w:val="008350A8"/>
    <w:rsid w:val="00835D8D"/>
    <w:rsid w:val="008449AA"/>
    <w:rsid w:val="00844BAA"/>
    <w:rsid w:val="00844BE9"/>
    <w:rsid w:val="00845C04"/>
    <w:rsid w:val="00855F04"/>
    <w:rsid w:val="00861D02"/>
    <w:rsid w:val="00863E92"/>
    <w:rsid w:val="008675C9"/>
    <w:rsid w:val="008679F2"/>
    <w:rsid w:val="00870037"/>
    <w:rsid w:val="008774AF"/>
    <w:rsid w:val="00881AF5"/>
    <w:rsid w:val="00883B1C"/>
    <w:rsid w:val="0088446E"/>
    <w:rsid w:val="0088514B"/>
    <w:rsid w:val="008855E1"/>
    <w:rsid w:val="00887462"/>
    <w:rsid w:val="00890637"/>
    <w:rsid w:val="008915C5"/>
    <w:rsid w:val="008916F4"/>
    <w:rsid w:val="008920F6"/>
    <w:rsid w:val="0089728B"/>
    <w:rsid w:val="00897C5D"/>
    <w:rsid w:val="008B5A64"/>
    <w:rsid w:val="008B66CB"/>
    <w:rsid w:val="008C286B"/>
    <w:rsid w:val="008C565D"/>
    <w:rsid w:val="008C56A4"/>
    <w:rsid w:val="008C63A2"/>
    <w:rsid w:val="008D1874"/>
    <w:rsid w:val="008D2484"/>
    <w:rsid w:val="008D3DC6"/>
    <w:rsid w:val="008D4981"/>
    <w:rsid w:val="008D56BD"/>
    <w:rsid w:val="008D7381"/>
    <w:rsid w:val="008E0909"/>
    <w:rsid w:val="008E4686"/>
    <w:rsid w:val="008F0F53"/>
    <w:rsid w:val="008F3618"/>
    <w:rsid w:val="008F74DD"/>
    <w:rsid w:val="00906F29"/>
    <w:rsid w:val="00907228"/>
    <w:rsid w:val="00907939"/>
    <w:rsid w:val="00910F67"/>
    <w:rsid w:val="009131ED"/>
    <w:rsid w:val="00915CF3"/>
    <w:rsid w:val="0091740E"/>
    <w:rsid w:val="00917860"/>
    <w:rsid w:val="00920E1E"/>
    <w:rsid w:val="00924DC0"/>
    <w:rsid w:val="00925046"/>
    <w:rsid w:val="009277C8"/>
    <w:rsid w:val="00930C70"/>
    <w:rsid w:val="009357FF"/>
    <w:rsid w:val="009365B8"/>
    <w:rsid w:val="00936BCD"/>
    <w:rsid w:val="00937F8F"/>
    <w:rsid w:val="00940A1C"/>
    <w:rsid w:val="00941641"/>
    <w:rsid w:val="00945629"/>
    <w:rsid w:val="009466D8"/>
    <w:rsid w:val="00947BF7"/>
    <w:rsid w:val="009529A9"/>
    <w:rsid w:val="0095380E"/>
    <w:rsid w:val="00955174"/>
    <w:rsid w:val="00955289"/>
    <w:rsid w:val="00955BBA"/>
    <w:rsid w:val="00960B0C"/>
    <w:rsid w:val="00961BF8"/>
    <w:rsid w:val="009650FC"/>
    <w:rsid w:val="00971881"/>
    <w:rsid w:val="00977175"/>
    <w:rsid w:val="00986BF0"/>
    <w:rsid w:val="0099147A"/>
    <w:rsid w:val="0099251F"/>
    <w:rsid w:val="00994A8F"/>
    <w:rsid w:val="00996553"/>
    <w:rsid w:val="009A23AE"/>
    <w:rsid w:val="009A7357"/>
    <w:rsid w:val="009B3A06"/>
    <w:rsid w:val="009B3A66"/>
    <w:rsid w:val="009B572A"/>
    <w:rsid w:val="009B6E01"/>
    <w:rsid w:val="009B729D"/>
    <w:rsid w:val="009C3944"/>
    <w:rsid w:val="009C5205"/>
    <w:rsid w:val="009D19A3"/>
    <w:rsid w:val="009D1C0A"/>
    <w:rsid w:val="009D1FC3"/>
    <w:rsid w:val="009D7B6F"/>
    <w:rsid w:val="009D7FF0"/>
    <w:rsid w:val="009E0B17"/>
    <w:rsid w:val="009E0D49"/>
    <w:rsid w:val="009E36F4"/>
    <w:rsid w:val="009E4978"/>
    <w:rsid w:val="009E6FFA"/>
    <w:rsid w:val="009F015B"/>
    <w:rsid w:val="009F26A4"/>
    <w:rsid w:val="009F7276"/>
    <w:rsid w:val="009F7F31"/>
    <w:rsid w:val="00A00CBA"/>
    <w:rsid w:val="00A02373"/>
    <w:rsid w:val="00A03674"/>
    <w:rsid w:val="00A03728"/>
    <w:rsid w:val="00A03915"/>
    <w:rsid w:val="00A04636"/>
    <w:rsid w:val="00A07954"/>
    <w:rsid w:val="00A117D7"/>
    <w:rsid w:val="00A14750"/>
    <w:rsid w:val="00A155BB"/>
    <w:rsid w:val="00A15A4E"/>
    <w:rsid w:val="00A26965"/>
    <w:rsid w:val="00A36CEA"/>
    <w:rsid w:val="00A40CF4"/>
    <w:rsid w:val="00A42F85"/>
    <w:rsid w:val="00A552C6"/>
    <w:rsid w:val="00A55DAE"/>
    <w:rsid w:val="00A577B3"/>
    <w:rsid w:val="00A6274D"/>
    <w:rsid w:val="00A62E55"/>
    <w:rsid w:val="00A7052A"/>
    <w:rsid w:val="00A7092D"/>
    <w:rsid w:val="00A72416"/>
    <w:rsid w:val="00A76C13"/>
    <w:rsid w:val="00A80FF9"/>
    <w:rsid w:val="00A8199F"/>
    <w:rsid w:val="00A82937"/>
    <w:rsid w:val="00A82C10"/>
    <w:rsid w:val="00A84994"/>
    <w:rsid w:val="00A8541C"/>
    <w:rsid w:val="00A8579B"/>
    <w:rsid w:val="00A860C5"/>
    <w:rsid w:val="00A86B75"/>
    <w:rsid w:val="00A90D2C"/>
    <w:rsid w:val="00A92739"/>
    <w:rsid w:val="00A9423F"/>
    <w:rsid w:val="00A94DC3"/>
    <w:rsid w:val="00A96E45"/>
    <w:rsid w:val="00A96E9E"/>
    <w:rsid w:val="00AA2AED"/>
    <w:rsid w:val="00AA3989"/>
    <w:rsid w:val="00AA3D27"/>
    <w:rsid w:val="00AA5087"/>
    <w:rsid w:val="00AA55F7"/>
    <w:rsid w:val="00AA6517"/>
    <w:rsid w:val="00AB3102"/>
    <w:rsid w:val="00AB3A07"/>
    <w:rsid w:val="00AB632D"/>
    <w:rsid w:val="00AB7760"/>
    <w:rsid w:val="00AC076B"/>
    <w:rsid w:val="00AC1FE1"/>
    <w:rsid w:val="00AC71A1"/>
    <w:rsid w:val="00AD3EDD"/>
    <w:rsid w:val="00AD4B0D"/>
    <w:rsid w:val="00AD5A84"/>
    <w:rsid w:val="00AE2B2C"/>
    <w:rsid w:val="00AE3F7A"/>
    <w:rsid w:val="00AE46C8"/>
    <w:rsid w:val="00AF0C86"/>
    <w:rsid w:val="00AF0F7E"/>
    <w:rsid w:val="00AF6261"/>
    <w:rsid w:val="00AF7024"/>
    <w:rsid w:val="00B00890"/>
    <w:rsid w:val="00B01528"/>
    <w:rsid w:val="00B01A3C"/>
    <w:rsid w:val="00B03D21"/>
    <w:rsid w:val="00B0667F"/>
    <w:rsid w:val="00B07B88"/>
    <w:rsid w:val="00B11E20"/>
    <w:rsid w:val="00B127EF"/>
    <w:rsid w:val="00B14C23"/>
    <w:rsid w:val="00B21CF2"/>
    <w:rsid w:val="00B27A9F"/>
    <w:rsid w:val="00B27E2E"/>
    <w:rsid w:val="00B30710"/>
    <w:rsid w:val="00B34CAC"/>
    <w:rsid w:val="00B351B9"/>
    <w:rsid w:val="00B40791"/>
    <w:rsid w:val="00B4258B"/>
    <w:rsid w:val="00B45A2D"/>
    <w:rsid w:val="00B47711"/>
    <w:rsid w:val="00B47D68"/>
    <w:rsid w:val="00B51F6F"/>
    <w:rsid w:val="00B603EF"/>
    <w:rsid w:val="00B61A59"/>
    <w:rsid w:val="00B621BA"/>
    <w:rsid w:val="00B623EE"/>
    <w:rsid w:val="00B6445B"/>
    <w:rsid w:val="00B66D95"/>
    <w:rsid w:val="00B66FA7"/>
    <w:rsid w:val="00B70201"/>
    <w:rsid w:val="00B70CB5"/>
    <w:rsid w:val="00B715D2"/>
    <w:rsid w:val="00B77620"/>
    <w:rsid w:val="00B80110"/>
    <w:rsid w:val="00B80F6A"/>
    <w:rsid w:val="00B83787"/>
    <w:rsid w:val="00B8431F"/>
    <w:rsid w:val="00B86A62"/>
    <w:rsid w:val="00B878AF"/>
    <w:rsid w:val="00B944AA"/>
    <w:rsid w:val="00B9770D"/>
    <w:rsid w:val="00BA073C"/>
    <w:rsid w:val="00BA235E"/>
    <w:rsid w:val="00BA6B7F"/>
    <w:rsid w:val="00BA7721"/>
    <w:rsid w:val="00BB1A93"/>
    <w:rsid w:val="00BB21F7"/>
    <w:rsid w:val="00BB3982"/>
    <w:rsid w:val="00BB6343"/>
    <w:rsid w:val="00BB6909"/>
    <w:rsid w:val="00BC20B5"/>
    <w:rsid w:val="00BC33D1"/>
    <w:rsid w:val="00BC53BF"/>
    <w:rsid w:val="00BC62FB"/>
    <w:rsid w:val="00BC6442"/>
    <w:rsid w:val="00BC746F"/>
    <w:rsid w:val="00BD0CCB"/>
    <w:rsid w:val="00BD448D"/>
    <w:rsid w:val="00BD7236"/>
    <w:rsid w:val="00BD72E0"/>
    <w:rsid w:val="00BE0BA7"/>
    <w:rsid w:val="00BE161D"/>
    <w:rsid w:val="00BE2C06"/>
    <w:rsid w:val="00BE31B8"/>
    <w:rsid w:val="00BE37B5"/>
    <w:rsid w:val="00BE68CB"/>
    <w:rsid w:val="00BE6C43"/>
    <w:rsid w:val="00BE72C1"/>
    <w:rsid w:val="00BF0487"/>
    <w:rsid w:val="00BF068B"/>
    <w:rsid w:val="00BF0758"/>
    <w:rsid w:val="00BF1910"/>
    <w:rsid w:val="00BF3187"/>
    <w:rsid w:val="00BF3534"/>
    <w:rsid w:val="00BF3A38"/>
    <w:rsid w:val="00BF53BC"/>
    <w:rsid w:val="00BF66A4"/>
    <w:rsid w:val="00C058EF"/>
    <w:rsid w:val="00C05FDC"/>
    <w:rsid w:val="00C0651B"/>
    <w:rsid w:val="00C06DD8"/>
    <w:rsid w:val="00C07568"/>
    <w:rsid w:val="00C07F2F"/>
    <w:rsid w:val="00C153C9"/>
    <w:rsid w:val="00C22C85"/>
    <w:rsid w:val="00C242C9"/>
    <w:rsid w:val="00C248B1"/>
    <w:rsid w:val="00C27D73"/>
    <w:rsid w:val="00C31450"/>
    <w:rsid w:val="00C321CB"/>
    <w:rsid w:val="00C35FA7"/>
    <w:rsid w:val="00C3725E"/>
    <w:rsid w:val="00C412E3"/>
    <w:rsid w:val="00C43319"/>
    <w:rsid w:val="00C439FB"/>
    <w:rsid w:val="00C51EFC"/>
    <w:rsid w:val="00C54226"/>
    <w:rsid w:val="00C548B8"/>
    <w:rsid w:val="00C54E31"/>
    <w:rsid w:val="00C56B57"/>
    <w:rsid w:val="00C6020B"/>
    <w:rsid w:val="00C66917"/>
    <w:rsid w:val="00C70491"/>
    <w:rsid w:val="00C70F3B"/>
    <w:rsid w:val="00C75E4A"/>
    <w:rsid w:val="00C80A70"/>
    <w:rsid w:val="00C813A3"/>
    <w:rsid w:val="00C85799"/>
    <w:rsid w:val="00C92A4F"/>
    <w:rsid w:val="00C93FA1"/>
    <w:rsid w:val="00C95B64"/>
    <w:rsid w:val="00CA1D2F"/>
    <w:rsid w:val="00CA2D2C"/>
    <w:rsid w:val="00CA2F03"/>
    <w:rsid w:val="00CA4329"/>
    <w:rsid w:val="00CA7F68"/>
    <w:rsid w:val="00CB16EC"/>
    <w:rsid w:val="00CB7955"/>
    <w:rsid w:val="00CC7041"/>
    <w:rsid w:val="00CC76CE"/>
    <w:rsid w:val="00CC7AED"/>
    <w:rsid w:val="00CD02FA"/>
    <w:rsid w:val="00CD0C7E"/>
    <w:rsid w:val="00CD143C"/>
    <w:rsid w:val="00CD24F6"/>
    <w:rsid w:val="00CD6449"/>
    <w:rsid w:val="00CE11CC"/>
    <w:rsid w:val="00CE251A"/>
    <w:rsid w:val="00CE362F"/>
    <w:rsid w:val="00CE5D77"/>
    <w:rsid w:val="00CE618B"/>
    <w:rsid w:val="00CF1431"/>
    <w:rsid w:val="00CF5C4F"/>
    <w:rsid w:val="00CF6B0C"/>
    <w:rsid w:val="00CF73B3"/>
    <w:rsid w:val="00CF7DFC"/>
    <w:rsid w:val="00D04CD4"/>
    <w:rsid w:val="00D07E4F"/>
    <w:rsid w:val="00D13EB0"/>
    <w:rsid w:val="00D15465"/>
    <w:rsid w:val="00D16199"/>
    <w:rsid w:val="00D16427"/>
    <w:rsid w:val="00D16818"/>
    <w:rsid w:val="00D16AC0"/>
    <w:rsid w:val="00D22C4D"/>
    <w:rsid w:val="00D24CE2"/>
    <w:rsid w:val="00D2672F"/>
    <w:rsid w:val="00D27FE8"/>
    <w:rsid w:val="00D31FFE"/>
    <w:rsid w:val="00D403B2"/>
    <w:rsid w:val="00D5086B"/>
    <w:rsid w:val="00D50941"/>
    <w:rsid w:val="00D52D8C"/>
    <w:rsid w:val="00D57564"/>
    <w:rsid w:val="00D57CAF"/>
    <w:rsid w:val="00D629F1"/>
    <w:rsid w:val="00D64808"/>
    <w:rsid w:val="00D64CF3"/>
    <w:rsid w:val="00D654BB"/>
    <w:rsid w:val="00D70225"/>
    <w:rsid w:val="00D708F2"/>
    <w:rsid w:val="00D723FD"/>
    <w:rsid w:val="00D731B0"/>
    <w:rsid w:val="00D74831"/>
    <w:rsid w:val="00D767B5"/>
    <w:rsid w:val="00D76D4C"/>
    <w:rsid w:val="00D776AC"/>
    <w:rsid w:val="00D80D03"/>
    <w:rsid w:val="00D82D25"/>
    <w:rsid w:val="00D8364E"/>
    <w:rsid w:val="00D86EF0"/>
    <w:rsid w:val="00D877E4"/>
    <w:rsid w:val="00D910E3"/>
    <w:rsid w:val="00D95B09"/>
    <w:rsid w:val="00D9624E"/>
    <w:rsid w:val="00D97573"/>
    <w:rsid w:val="00DA25B6"/>
    <w:rsid w:val="00DA27C5"/>
    <w:rsid w:val="00DB0439"/>
    <w:rsid w:val="00DB0FE6"/>
    <w:rsid w:val="00DB3EC4"/>
    <w:rsid w:val="00DB3F6E"/>
    <w:rsid w:val="00DB4516"/>
    <w:rsid w:val="00DB5F57"/>
    <w:rsid w:val="00DB6CF0"/>
    <w:rsid w:val="00DC2690"/>
    <w:rsid w:val="00DC2F82"/>
    <w:rsid w:val="00DC315B"/>
    <w:rsid w:val="00DC6474"/>
    <w:rsid w:val="00DC7CEE"/>
    <w:rsid w:val="00DE0B65"/>
    <w:rsid w:val="00DE0F20"/>
    <w:rsid w:val="00DE62AF"/>
    <w:rsid w:val="00E01F3F"/>
    <w:rsid w:val="00E04EB9"/>
    <w:rsid w:val="00E05041"/>
    <w:rsid w:val="00E11896"/>
    <w:rsid w:val="00E13501"/>
    <w:rsid w:val="00E160A0"/>
    <w:rsid w:val="00E16921"/>
    <w:rsid w:val="00E212A7"/>
    <w:rsid w:val="00E21659"/>
    <w:rsid w:val="00E347E7"/>
    <w:rsid w:val="00E362C9"/>
    <w:rsid w:val="00E408BF"/>
    <w:rsid w:val="00E40D62"/>
    <w:rsid w:val="00E4225A"/>
    <w:rsid w:val="00E423A8"/>
    <w:rsid w:val="00E437A6"/>
    <w:rsid w:val="00E46425"/>
    <w:rsid w:val="00E469BC"/>
    <w:rsid w:val="00E520F5"/>
    <w:rsid w:val="00E54612"/>
    <w:rsid w:val="00E578AC"/>
    <w:rsid w:val="00E60057"/>
    <w:rsid w:val="00E6522A"/>
    <w:rsid w:val="00E672D3"/>
    <w:rsid w:val="00E73C36"/>
    <w:rsid w:val="00E7498F"/>
    <w:rsid w:val="00E76A2E"/>
    <w:rsid w:val="00E773A3"/>
    <w:rsid w:val="00E7797B"/>
    <w:rsid w:val="00E82099"/>
    <w:rsid w:val="00E84522"/>
    <w:rsid w:val="00E8489E"/>
    <w:rsid w:val="00E90E1D"/>
    <w:rsid w:val="00E92A25"/>
    <w:rsid w:val="00E97DB4"/>
    <w:rsid w:val="00EA0E21"/>
    <w:rsid w:val="00EA7AA0"/>
    <w:rsid w:val="00EB608A"/>
    <w:rsid w:val="00EB6BA5"/>
    <w:rsid w:val="00EC019B"/>
    <w:rsid w:val="00EC2DEB"/>
    <w:rsid w:val="00EC53DA"/>
    <w:rsid w:val="00EC67D9"/>
    <w:rsid w:val="00EC7758"/>
    <w:rsid w:val="00EC7C69"/>
    <w:rsid w:val="00ED0F9E"/>
    <w:rsid w:val="00ED3124"/>
    <w:rsid w:val="00ED32F0"/>
    <w:rsid w:val="00ED4E8C"/>
    <w:rsid w:val="00EE127E"/>
    <w:rsid w:val="00EE3927"/>
    <w:rsid w:val="00EE5F4E"/>
    <w:rsid w:val="00EF2B82"/>
    <w:rsid w:val="00EF302E"/>
    <w:rsid w:val="00EF3BDE"/>
    <w:rsid w:val="00EF3EA2"/>
    <w:rsid w:val="00EF634D"/>
    <w:rsid w:val="00EF692C"/>
    <w:rsid w:val="00F010E2"/>
    <w:rsid w:val="00F01C1A"/>
    <w:rsid w:val="00F02DEB"/>
    <w:rsid w:val="00F02E6E"/>
    <w:rsid w:val="00F03F21"/>
    <w:rsid w:val="00F0587A"/>
    <w:rsid w:val="00F06EEF"/>
    <w:rsid w:val="00F07FD1"/>
    <w:rsid w:val="00F13014"/>
    <w:rsid w:val="00F14121"/>
    <w:rsid w:val="00F15409"/>
    <w:rsid w:val="00F22C15"/>
    <w:rsid w:val="00F258EC"/>
    <w:rsid w:val="00F26EC3"/>
    <w:rsid w:val="00F309AF"/>
    <w:rsid w:val="00F33A00"/>
    <w:rsid w:val="00F342CB"/>
    <w:rsid w:val="00F34395"/>
    <w:rsid w:val="00F3696C"/>
    <w:rsid w:val="00F378E6"/>
    <w:rsid w:val="00F4019C"/>
    <w:rsid w:val="00F40C3E"/>
    <w:rsid w:val="00F4202F"/>
    <w:rsid w:val="00F43C57"/>
    <w:rsid w:val="00F43FFF"/>
    <w:rsid w:val="00F46AEE"/>
    <w:rsid w:val="00F47846"/>
    <w:rsid w:val="00F530DF"/>
    <w:rsid w:val="00F53866"/>
    <w:rsid w:val="00F54D4E"/>
    <w:rsid w:val="00F56F21"/>
    <w:rsid w:val="00F60470"/>
    <w:rsid w:val="00F62704"/>
    <w:rsid w:val="00F63765"/>
    <w:rsid w:val="00F6411D"/>
    <w:rsid w:val="00F66BAB"/>
    <w:rsid w:val="00F673BC"/>
    <w:rsid w:val="00F67FCC"/>
    <w:rsid w:val="00F71D00"/>
    <w:rsid w:val="00F8381C"/>
    <w:rsid w:val="00F83EE2"/>
    <w:rsid w:val="00F84E93"/>
    <w:rsid w:val="00F856C4"/>
    <w:rsid w:val="00F928AC"/>
    <w:rsid w:val="00F9290D"/>
    <w:rsid w:val="00F92FC8"/>
    <w:rsid w:val="00F954E3"/>
    <w:rsid w:val="00F95B9D"/>
    <w:rsid w:val="00F97A49"/>
    <w:rsid w:val="00FA01DB"/>
    <w:rsid w:val="00FA23A9"/>
    <w:rsid w:val="00FA3CFF"/>
    <w:rsid w:val="00FA3D90"/>
    <w:rsid w:val="00FA3DDB"/>
    <w:rsid w:val="00FA62B3"/>
    <w:rsid w:val="00FB1D47"/>
    <w:rsid w:val="00FB2085"/>
    <w:rsid w:val="00FB6BB2"/>
    <w:rsid w:val="00FB71E2"/>
    <w:rsid w:val="00FC27F8"/>
    <w:rsid w:val="00FC3F80"/>
    <w:rsid w:val="00FC542B"/>
    <w:rsid w:val="00FC5A4E"/>
    <w:rsid w:val="00FD110D"/>
    <w:rsid w:val="00FD1D64"/>
    <w:rsid w:val="00FD2B49"/>
    <w:rsid w:val="00FE1681"/>
    <w:rsid w:val="00FE62AF"/>
    <w:rsid w:val="00FF07DA"/>
    <w:rsid w:val="00FF3787"/>
    <w:rsid w:val="00FF429D"/>
    <w:rsid w:val="00FF476D"/>
    <w:rsid w:val="00FF4CE4"/>
    <w:rsid w:val="00FF510F"/>
    <w:rsid w:val="00FF694E"/>
    <w:rsid w:val="041532AF"/>
    <w:rsid w:val="04B22FF0"/>
    <w:rsid w:val="103537C6"/>
    <w:rsid w:val="107F6913"/>
    <w:rsid w:val="10E820C7"/>
    <w:rsid w:val="157E709D"/>
    <w:rsid w:val="1A205CFC"/>
    <w:rsid w:val="1D3407A3"/>
    <w:rsid w:val="1FBC623C"/>
    <w:rsid w:val="221D1711"/>
    <w:rsid w:val="23D71AF9"/>
    <w:rsid w:val="24F47900"/>
    <w:rsid w:val="256C48DC"/>
    <w:rsid w:val="25C13A4C"/>
    <w:rsid w:val="25CD40A6"/>
    <w:rsid w:val="265F7320"/>
    <w:rsid w:val="26A427CC"/>
    <w:rsid w:val="27434DB4"/>
    <w:rsid w:val="28040C15"/>
    <w:rsid w:val="29F762BC"/>
    <w:rsid w:val="2B0C55CA"/>
    <w:rsid w:val="2CD87DED"/>
    <w:rsid w:val="2E653F51"/>
    <w:rsid w:val="30D84D01"/>
    <w:rsid w:val="34D72AFA"/>
    <w:rsid w:val="35D01B33"/>
    <w:rsid w:val="369530AE"/>
    <w:rsid w:val="3991180D"/>
    <w:rsid w:val="3CD73D9A"/>
    <w:rsid w:val="44D777C8"/>
    <w:rsid w:val="46812423"/>
    <w:rsid w:val="47AE31B1"/>
    <w:rsid w:val="48D92773"/>
    <w:rsid w:val="4BD93EAB"/>
    <w:rsid w:val="53A9718A"/>
    <w:rsid w:val="589D2B8C"/>
    <w:rsid w:val="5C8929E3"/>
    <w:rsid w:val="5F061996"/>
    <w:rsid w:val="6375705B"/>
    <w:rsid w:val="63BF45E5"/>
    <w:rsid w:val="63E72823"/>
    <w:rsid w:val="65BB0967"/>
    <w:rsid w:val="66C07F14"/>
    <w:rsid w:val="66D7010C"/>
    <w:rsid w:val="69D17AB0"/>
    <w:rsid w:val="6A660AEF"/>
    <w:rsid w:val="6CED7022"/>
    <w:rsid w:val="79221B54"/>
    <w:rsid w:val="79F82AE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9576E00"/>
  <w15:docId w15:val="{09BBEC82-7B0D-457F-986D-17E074603F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qFormat="1"/>
    <w:lsdException w:name="annotation text" w:semiHidden="1" w:qFormat="1"/>
    <w:lsdException w:name="header" w:qFormat="1"/>
    <w:lsdException w:name="footer"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semiHidden="1" w:qFormat="1"/>
    <w:lsdException w:name="line number" w:semiHidden="1" w:unhideWhenUsed="1"/>
    <w:lsdException w:name="page number" w:qFormat="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qFormat="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qFormat="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pPr>
      <w:widowControl w:val="0"/>
      <w:jc w:val="both"/>
    </w:pPr>
    <w:rPr>
      <w:kern w:val="2"/>
      <w:sz w:val="21"/>
      <w:szCs w:val="24"/>
    </w:rPr>
  </w:style>
  <w:style w:type="paragraph" w:styleId="1">
    <w:name w:val="heading 1"/>
    <w:basedOn w:val="a0"/>
    <w:next w:val="a0"/>
    <w:link w:val="10"/>
    <w:qFormat/>
    <w:pPr>
      <w:keepNext/>
      <w:keepLines/>
      <w:spacing w:before="340" w:after="330" w:line="578" w:lineRule="auto"/>
      <w:outlineLvl w:val="0"/>
    </w:pPr>
    <w:rPr>
      <w:b/>
      <w:bCs/>
      <w:kern w:val="44"/>
      <w:sz w:val="44"/>
      <w:szCs w:val="44"/>
    </w:rPr>
  </w:style>
  <w:style w:type="paragraph" w:styleId="2">
    <w:name w:val="heading 2"/>
    <w:basedOn w:val="a0"/>
    <w:next w:val="a0"/>
    <w:link w:val="20"/>
    <w:qFormat/>
    <w:pPr>
      <w:keepNext/>
      <w:keepLines/>
      <w:spacing w:before="260" w:after="260" w:line="416" w:lineRule="auto"/>
      <w:outlineLvl w:val="1"/>
    </w:pPr>
    <w:rPr>
      <w:rFonts w:ascii="Cambria" w:hAnsi="Cambria"/>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annotation text"/>
    <w:basedOn w:val="a0"/>
    <w:semiHidden/>
    <w:qFormat/>
    <w:pPr>
      <w:jc w:val="left"/>
    </w:pPr>
  </w:style>
  <w:style w:type="paragraph" w:styleId="a5">
    <w:name w:val="Balloon Text"/>
    <w:basedOn w:val="a0"/>
    <w:semiHidden/>
    <w:qFormat/>
    <w:rPr>
      <w:sz w:val="18"/>
      <w:szCs w:val="18"/>
    </w:rPr>
  </w:style>
  <w:style w:type="paragraph" w:styleId="a6">
    <w:name w:val="footer"/>
    <w:basedOn w:val="a0"/>
    <w:link w:val="a7"/>
    <w:qFormat/>
    <w:pPr>
      <w:tabs>
        <w:tab w:val="center" w:pos="4153"/>
        <w:tab w:val="right" w:pos="8306"/>
      </w:tabs>
      <w:snapToGrid w:val="0"/>
      <w:jc w:val="left"/>
    </w:pPr>
    <w:rPr>
      <w:sz w:val="18"/>
      <w:szCs w:val="18"/>
    </w:rPr>
  </w:style>
  <w:style w:type="paragraph" w:styleId="a8">
    <w:name w:val="header"/>
    <w:basedOn w:val="a0"/>
    <w:link w:val="a9"/>
    <w:qFormat/>
    <w:pPr>
      <w:pBdr>
        <w:bottom w:val="single" w:sz="6" w:space="1" w:color="auto"/>
      </w:pBdr>
      <w:tabs>
        <w:tab w:val="center" w:pos="4153"/>
        <w:tab w:val="right" w:pos="8306"/>
      </w:tabs>
      <w:snapToGrid w:val="0"/>
      <w:jc w:val="center"/>
    </w:pPr>
    <w:rPr>
      <w:sz w:val="18"/>
      <w:szCs w:val="18"/>
    </w:rPr>
  </w:style>
  <w:style w:type="paragraph" w:styleId="aa">
    <w:name w:val="footnote text"/>
    <w:basedOn w:val="a0"/>
    <w:semiHidden/>
    <w:qFormat/>
    <w:pPr>
      <w:snapToGrid w:val="0"/>
      <w:jc w:val="left"/>
    </w:pPr>
    <w:rPr>
      <w:sz w:val="18"/>
      <w:szCs w:val="18"/>
    </w:rPr>
  </w:style>
  <w:style w:type="paragraph" w:styleId="ab">
    <w:name w:val="Normal (Web)"/>
    <w:basedOn w:val="a0"/>
    <w:uiPriority w:val="99"/>
    <w:unhideWhenUsed/>
    <w:qFormat/>
    <w:pPr>
      <w:spacing w:before="100" w:beforeAutospacing="1" w:after="100" w:afterAutospacing="1"/>
      <w:jc w:val="left"/>
    </w:pPr>
    <w:rPr>
      <w:kern w:val="0"/>
      <w:sz w:val="24"/>
    </w:rPr>
  </w:style>
  <w:style w:type="paragraph" w:styleId="ac">
    <w:name w:val="annotation subject"/>
    <w:basedOn w:val="a4"/>
    <w:next w:val="a4"/>
    <w:semiHidden/>
    <w:qFormat/>
    <w:rPr>
      <w:b/>
      <w:bCs/>
    </w:rPr>
  </w:style>
  <w:style w:type="table" w:styleId="ad">
    <w:name w:val="Table Grid"/>
    <w:basedOn w:val="a2"/>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1">
    <w:name w:val="Table Classic 1"/>
    <w:basedOn w:val="a2"/>
    <w:qFormat/>
    <w:pPr>
      <w:widowControl w:val="0"/>
      <w:jc w:val="both"/>
    </w:pPr>
    <w:tblPr>
      <w:tblBorders>
        <w:top w:val="single" w:sz="12" w:space="0" w:color="000000"/>
        <w:bottom w:val="single" w:sz="12" w:space="0" w:color="000000"/>
      </w:tblBorders>
    </w:tblPr>
    <w:tcPr>
      <w:shd w:val="clear" w:color="auto" w:fill="auto"/>
    </w:tcPr>
    <w:tblStylePr w:type="firstRow">
      <w:rPr>
        <w:i/>
        <w:iCs/>
      </w:rPr>
      <w:tblPr/>
      <w:tcPr>
        <w:tcBorders>
          <w:top w:val="nil"/>
          <w:left w:val="nil"/>
          <w:bottom w:val="single" w:sz="6" w:space="0" w:color="000000"/>
          <w:right w:val="nil"/>
          <w:insideH w:val="nil"/>
          <w:insideV w:val="nil"/>
          <w:tl2br w:val="nil"/>
          <w:tr2bl w:val="nil"/>
        </w:tcBorders>
      </w:tcPr>
    </w:tblStylePr>
    <w:tblStylePr w:type="lastRow">
      <w:rPr>
        <w:color w:val="auto"/>
      </w:rPr>
      <w:tblPr/>
      <w:tcPr>
        <w:tcBorders>
          <w:top w:val="single" w:sz="6" w:space="0" w:color="000000"/>
          <w:left w:val="nil"/>
          <w:bottom w:val="nil"/>
          <w:right w:val="nil"/>
          <w:insideH w:val="nil"/>
          <w:insideV w:val="nil"/>
          <w:tl2br w:val="nil"/>
          <w:tr2bl w:val="nil"/>
        </w:tcBorders>
      </w:tcPr>
    </w:tblStylePr>
    <w:tblStylePr w:type="firstCol">
      <w:tblPr/>
      <w:tcPr>
        <w:tcBorders>
          <w:top w:val="nil"/>
          <w:left w:val="nil"/>
          <w:bottom w:val="nil"/>
          <w:right w:val="single" w:sz="6" w:space="0" w:color="000000"/>
          <w:insideH w:val="nil"/>
          <w:insideV w:val="nil"/>
          <w:tl2br w:val="nil"/>
          <w:tr2bl w:val="nil"/>
        </w:tcBorders>
      </w:tcPr>
    </w:tblStylePr>
    <w:tblStylePr w:type="neCell">
      <w:rPr>
        <w:b/>
        <w:bCs/>
        <w:i w:val="0"/>
        <w:iCs w:val="0"/>
      </w:rPr>
      <w:tblPr/>
      <w:tcPr>
        <w:tcBorders>
          <w:top w:val="nil"/>
          <w:left w:val="nil"/>
          <w:bottom w:val="nil"/>
          <w:right w:val="nil"/>
          <w:insideH w:val="nil"/>
          <w:insideV w:val="nil"/>
          <w:tl2br w:val="nil"/>
          <w:tr2bl w:val="nil"/>
        </w:tcBorders>
      </w:tcPr>
    </w:tblStylePr>
    <w:tblStylePr w:type="swCell">
      <w:rPr>
        <w:b/>
        <w:bCs/>
      </w:rPr>
      <w:tblPr/>
      <w:tcPr>
        <w:tcBorders>
          <w:top w:val="nil"/>
          <w:left w:val="nil"/>
          <w:bottom w:val="nil"/>
          <w:right w:val="nil"/>
          <w:insideH w:val="nil"/>
          <w:insideV w:val="nil"/>
          <w:tl2br w:val="nil"/>
          <w:tr2bl w:val="nil"/>
        </w:tcBorders>
      </w:tcPr>
    </w:tblStylePr>
  </w:style>
  <w:style w:type="character" w:styleId="ae">
    <w:name w:val="page number"/>
    <w:basedOn w:val="a1"/>
    <w:qFormat/>
  </w:style>
  <w:style w:type="character" w:styleId="af">
    <w:name w:val="Hyperlink"/>
    <w:qFormat/>
    <w:rPr>
      <w:color w:val="0000FF"/>
      <w:u w:val="single"/>
    </w:rPr>
  </w:style>
  <w:style w:type="character" w:styleId="af0">
    <w:name w:val="annotation reference"/>
    <w:semiHidden/>
    <w:qFormat/>
    <w:rPr>
      <w:sz w:val="21"/>
      <w:szCs w:val="21"/>
    </w:rPr>
  </w:style>
  <w:style w:type="character" w:styleId="af1">
    <w:name w:val="footnote reference"/>
    <w:semiHidden/>
    <w:qFormat/>
    <w:rPr>
      <w:vertAlign w:val="superscript"/>
    </w:rPr>
  </w:style>
  <w:style w:type="character" w:customStyle="1" w:styleId="a7">
    <w:name w:val="页脚 字符"/>
    <w:link w:val="a6"/>
    <w:qFormat/>
    <w:locked/>
    <w:rPr>
      <w:kern w:val="2"/>
      <w:sz w:val="18"/>
      <w:szCs w:val="18"/>
    </w:rPr>
  </w:style>
  <w:style w:type="character" w:customStyle="1" w:styleId="a9">
    <w:name w:val="页眉 字符"/>
    <w:link w:val="a8"/>
    <w:semiHidden/>
    <w:qFormat/>
    <w:locked/>
    <w:rPr>
      <w:rFonts w:eastAsia="宋体"/>
      <w:kern w:val="2"/>
      <w:sz w:val="18"/>
      <w:szCs w:val="18"/>
      <w:lang w:val="en-US" w:eastAsia="zh-CN" w:bidi="ar-SA"/>
    </w:rPr>
  </w:style>
  <w:style w:type="character" w:customStyle="1" w:styleId="10">
    <w:name w:val="标题 1 字符"/>
    <w:link w:val="1"/>
    <w:qFormat/>
    <w:rPr>
      <w:b/>
      <w:bCs/>
      <w:kern w:val="44"/>
      <w:sz w:val="44"/>
      <w:szCs w:val="44"/>
    </w:rPr>
  </w:style>
  <w:style w:type="character" w:customStyle="1" w:styleId="CharChar2">
    <w:name w:val="Char Char2"/>
    <w:qFormat/>
    <w:locked/>
    <w:rPr>
      <w:rFonts w:eastAsia="宋体"/>
      <w:kern w:val="2"/>
      <w:sz w:val="18"/>
      <w:szCs w:val="18"/>
      <w:lang w:val="en-US" w:eastAsia="zh-CN" w:bidi="ar-SA"/>
    </w:rPr>
  </w:style>
  <w:style w:type="character" w:customStyle="1" w:styleId="12">
    <w:name w:val="未处理的提及1"/>
    <w:uiPriority w:val="99"/>
    <w:unhideWhenUsed/>
    <w:qFormat/>
    <w:rPr>
      <w:color w:val="605E5C"/>
      <w:shd w:val="clear" w:color="auto" w:fill="E1DFDD"/>
    </w:rPr>
  </w:style>
  <w:style w:type="character" w:customStyle="1" w:styleId="20">
    <w:name w:val="标题 2 字符"/>
    <w:link w:val="2"/>
    <w:qFormat/>
    <w:rPr>
      <w:rFonts w:ascii="Cambria" w:hAnsi="Cambria"/>
      <w:b/>
      <w:bCs/>
      <w:kern w:val="2"/>
      <w:sz w:val="32"/>
      <w:szCs w:val="32"/>
    </w:rPr>
  </w:style>
  <w:style w:type="paragraph" w:customStyle="1" w:styleId="Char">
    <w:name w:val="Char"/>
    <w:basedOn w:val="a0"/>
    <w:qFormat/>
    <w:pPr>
      <w:widowControl/>
      <w:spacing w:after="160" w:line="240" w:lineRule="exact"/>
      <w:jc w:val="left"/>
    </w:pPr>
    <w:rPr>
      <w:rFonts w:ascii="Verdana" w:eastAsia="仿宋_GB2312" w:hAnsi="Verdana"/>
      <w:kern w:val="0"/>
      <w:sz w:val="24"/>
      <w:szCs w:val="20"/>
      <w:lang w:eastAsia="en-US"/>
    </w:rPr>
  </w:style>
  <w:style w:type="paragraph" w:customStyle="1" w:styleId="p0">
    <w:name w:val="p0"/>
    <w:basedOn w:val="a0"/>
    <w:qFormat/>
    <w:pPr>
      <w:widowControl/>
    </w:pPr>
    <w:rPr>
      <w:kern w:val="0"/>
      <w:szCs w:val="21"/>
    </w:rPr>
  </w:style>
  <w:style w:type="paragraph" w:customStyle="1" w:styleId="af2">
    <w:name w:val="（中）标题样式"/>
    <w:qFormat/>
    <w:pPr>
      <w:jc w:val="center"/>
    </w:pPr>
    <w:rPr>
      <w:rFonts w:hAnsi="黑体"/>
      <w:b/>
      <w:kern w:val="2"/>
      <w:sz w:val="36"/>
      <w:szCs w:val="36"/>
    </w:rPr>
  </w:style>
  <w:style w:type="paragraph" w:customStyle="1" w:styleId="af3">
    <w:name w:val="（中）作者姓名样式"/>
    <w:qFormat/>
    <w:pPr>
      <w:jc w:val="center"/>
    </w:pPr>
    <w:rPr>
      <w:rFonts w:eastAsia="楷体_GB2312" w:hAnsi="STKaiti"/>
      <w:kern w:val="2"/>
      <w:sz w:val="21"/>
      <w:szCs w:val="21"/>
    </w:rPr>
  </w:style>
  <w:style w:type="paragraph" w:customStyle="1" w:styleId="af4">
    <w:name w:val="（中）作者单位样式"/>
    <w:qFormat/>
    <w:pPr>
      <w:jc w:val="center"/>
    </w:pPr>
    <w:rPr>
      <w:rFonts w:hAnsi="宋体"/>
      <w:kern w:val="2"/>
      <w:sz w:val="18"/>
      <w:szCs w:val="18"/>
    </w:rPr>
  </w:style>
  <w:style w:type="character" w:customStyle="1" w:styleId="af5">
    <w:name w:val="中文摘要特征词样式"/>
    <w:basedOn w:val="a1"/>
    <w:qFormat/>
    <w:rPr>
      <w:rFonts w:ascii="黑体" w:eastAsia="黑体" w:hAnsi="黑体"/>
    </w:rPr>
  </w:style>
  <w:style w:type="character" w:customStyle="1" w:styleId="af6">
    <w:name w:val="中文关键词特征词样式"/>
    <w:basedOn w:val="a1"/>
    <w:qFormat/>
    <w:rPr>
      <w:rFonts w:ascii="黑体" w:eastAsia="黑体" w:hAnsi="黑体"/>
    </w:rPr>
  </w:style>
  <w:style w:type="character" w:customStyle="1" w:styleId="af7">
    <w:name w:val="（中）关键词样式"/>
    <w:qFormat/>
    <w:rPr>
      <w:rFonts w:eastAsia="仿宋" w:hAnsi="楷体"/>
      <w:sz w:val="18"/>
    </w:rPr>
  </w:style>
  <w:style w:type="paragraph" w:customStyle="1" w:styleId="af8">
    <w:name w:val="（英）标题样式"/>
    <w:qFormat/>
    <w:pPr>
      <w:spacing w:line="360" w:lineRule="exact"/>
      <w:jc w:val="center"/>
      <w:outlineLvl w:val="0"/>
    </w:pPr>
    <w:rPr>
      <w:b/>
      <w:kern w:val="2"/>
      <w:sz w:val="24"/>
      <w:szCs w:val="24"/>
    </w:rPr>
  </w:style>
  <w:style w:type="paragraph" w:customStyle="1" w:styleId="af9">
    <w:name w:val="（英）作者姓名样式"/>
    <w:qFormat/>
    <w:pPr>
      <w:jc w:val="center"/>
    </w:pPr>
    <w:rPr>
      <w:rFonts w:ascii="Arial" w:eastAsia="黑体" w:hAnsi="Arial"/>
      <w:spacing w:val="-4"/>
      <w:kern w:val="2"/>
      <w:sz w:val="15"/>
      <w:szCs w:val="21"/>
    </w:rPr>
  </w:style>
  <w:style w:type="paragraph" w:customStyle="1" w:styleId="afa">
    <w:name w:val="（英）作者单位样式"/>
    <w:basedOn w:val="af9"/>
    <w:qFormat/>
    <w:rPr>
      <w:szCs w:val="24"/>
    </w:rPr>
  </w:style>
  <w:style w:type="character" w:customStyle="1" w:styleId="afb">
    <w:name w:val="英文摘要特征词样式"/>
    <w:basedOn w:val="a1"/>
    <w:qFormat/>
    <w:rPr>
      <w:b/>
    </w:rPr>
  </w:style>
  <w:style w:type="character" w:customStyle="1" w:styleId="afc">
    <w:name w:val="英文关键词特征词样式"/>
    <w:basedOn w:val="a1"/>
    <w:qFormat/>
    <w:rPr>
      <w:b/>
    </w:rPr>
  </w:style>
  <w:style w:type="character" w:customStyle="1" w:styleId="afd">
    <w:name w:val="（英）关键词样式"/>
    <w:basedOn w:val="a1"/>
    <w:qFormat/>
    <w:rPr>
      <w:rFonts w:eastAsiaTheme="minorEastAsia"/>
      <w:kern w:val="0"/>
      <w:sz w:val="15"/>
    </w:rPr>
  </w:style>
  <w:style w:type="paragraph" w:customStyle="1" w:styleId="afe">
    <w:name w:val="正文样式"/>
    <w:basedOn w:val="a0"/>
    <w:qFormat/>
    <w:pPr>
      <w:autoSpaceDE w:val="0"/>
      <w:autoSpaceDN w:val="0"/>
      <w:ind w:firstLineChars="200" w:firstLine="200"/>
    </w:pPr>
  </w:style>
  <w:style w:type="paragraph" w:customStyle="1" w:styleId="aff">
    <w:name w:val="一级标题样式"/>
    <w:qFormat/>
    <w:pPr>
      <w:spacing w:beforeLines="50" w:before="50" w:afterLines="50" w:after="50"/>
      <w:jc w:val="both"/>
    </w:pPr>
    <w:rPr>
      <w:b/>
      <w:kern w:val="2"/>
      <w:sz w:val="24"/>
      <w:szCs w:val="24"/>
    </w:rPr>
  </w:style>
  <w:style w:type="paragraph" w:customStyle="1" w:styleId="aff0">
    <w:name w:val="二级标题样式"/>
    <w:qFormat/>
    <w:pPr>
      <w:jc w:val="both"/>
    </w:pPr>
    <w:rPr>
      <w:rFonts w:eastAsia="黑体"/>
      <w:b/>
      <w:kern w:val="2"/>
      <w:sz w:val="21"/>
      <w:szCs w:val="24"/>
    </w:rPr>
  </w:style>
  <w:style w:type="paragraph" w:customStyle="1" w:styleId="aff1">
    <w:name w:val="三级标题样式"/>
    <w:qFormat/>
    <w:pPr>
      <w:jc w:val="both"/>
    </w:pPr>
    <w:rPr>
      <w:kern w:val="2"/>
      <w:sz w:val="21"/>
      <w:szCs w:val="24"/>
    </w:rPr>
  </w:style>
  <w:style w:type="character" w:customStyle="1" w:styleId="aff2">
    <w:name w:val="（中）收稿日期样式"/>
    <w:basedOn w:val="a1"/>
    <w:qFormat/>
    <w:rPr>
      <w:rFonts w:ascii="Times New Roman" w:eastAsia="宋体" w:hAnsi="Times New Roman"/>
      <w:sz w:val="18"/>
      <w:szCs w:val="16"/>
    </w:rPr>
  </w:style>
  <w:style w:type="character" w:customStyle="1" w:styleId="aff3">
    <w:name w:val="（中）基金项目样式"/>
    <w:basedOn w:val="a1"/>
    <w:qFormat/>
    <w:rPr>
      <w:rFonts w:ascii="Times New Roman" w:eastAsia="宋体" w:hAnsi="Times New Roman"/>
      <w:sz w:val="18"/>
      <w:szCs w:val="16"/>
    </w:rPr>
  </w:style>
  <w:style w:type="character" w:customStyle="1" w:styleId="aff4">
    <w:name w:val="并列作者样式"/>
    <w:basedOn w:val="a1"/>
    <w:qFormat/>
    <w:rPr>
      <w:rFonts w:ascii="Times New Roman" w:eastAsia="宋体" w:hAnsi="Times New Roman"/>
      <w:sz w:val="18"/>
      <w:szCs w:val="18"/>
    </w:rPr>
  </w:style>
  <w:style w:type="character" w:customStyle="1" w:styleId="aff5">
    <w:name w:val="（中）栏目样式"/>
    <w:basedOn w:val="a1"/>
    <w:qFormat/>
  </w:style>
  <w:style w:type="character" w:customStyle="1" w:styleId="aff6">
    <w:name w:val="中图分类号样式"/>
    <w:basedOn w:val="a1"/>
    <w:uiPriority w:val="1"/>
    <w:qFormat/>
  </w:style>
  <w:style w:type="character" w:customStyle="1" w:styleId="aff7">
    <w:name w:val="文献标志码样式"/>
    <w:basedOn w:val="a1"/>
    <w:uiPriority w:val="1"/>
    <w:qFormat/>
  </w:style>
  <w:style w:type="character" w:customStyle="1" w:styleId="aff8">
    <w:name w:val="文章编号样式"/>
    <w:basedOn w:val="a1"/>
    <w:uiPriority w:val="1"/>
    <w:qFormat/>
  </w:style>
  <w:style w:type="paragraph" w:customStyle="1" w:styleId="aff9">
    <w:name w:val="（中）图题样式"/>
    <w:qFormat/>
    <w:pPr>
      <w:jc w:val="center"/>
    </w:pPr>
    <w:rPr>
      <w:b/>
      <w:kern w:val="2"/>
      <w:sz w:val="18"/>
      <w:szCs w:val="18"/>
    </w:rPr>
  </w:style>
  <w:style w:type="paragraph" w:customStyle="1" w:styleId="affa">
    <w:name w:val="（英）图题样式"/>
    <w:qFormat/>
    <w:pPr>
      <w:jc w:val="center"/>
    </w:pPr>
    <w:rPr>
      <w:b/>
      <w:kern w:val="2"/>
      <w:sz w:val="18"/>
      <w:szCs w:val="18"/>
    </w:rPr>
  </w:style>
  <w:style w:type="paragraph" w:customStyle="1" w:styleId="affb">
    <w:name w:val="（中）表题样式"/>
    <w:link w:val="Char0"/>
    <w:qFormat/>
    <w:pPr>
      <w:jc w:val="center"/>
    </w:pPr>
    <w:rPr>
      <w:b/>
      <w:kern w:val="2"/>
      <w:sz w:val="18"/>
      <w:szCs w:val="18"/>
    </w:rPr>
  </w:style>
  <w:style w:type="paragraph" w:customStyle="1" w:styleId="affc">
    <w:name w:val="（英）表题样式"/>
    <w:qFormat/>
    <w:pPr>
      <w:jc w:val="center"/>
    </w:pPr>
    <w:rPr>
      <w:b/>
      <w:kern w:val="2"/>
      <w:sz w:val="18"/>
      <w:szCs w:val="18"/>
    </w:rPr>
  </w:style>
  <w:style w:type="paragraph" w:customStyle="1" w:styleId="affd">
    <w:name w:val="表格样式"/>
    <w:qFormat/>
    <w:pPr>
      <w:jc w:val="both"/>
    </w:pPr>
    <w:rPr>
      <w:rFonts w:ascii="宋体" w:hAnsi="宋体"/>
      <w:kern w:val="2"/>
      <w:sz w:val="18"/>
      <w:szCs w:val="21"/>
    </w:rPr>
  </w:style>
  <w:style w:type="paragraph" w:customStyle="1" w:styleId="affe">
    <w:name w:val="（中）表注样式"/>
    <w:basedOn w:val="a0"/>
    <w:qFormat/>
    <w:rPr>
      <w:rFonts w:hAnsi="宋体"/>
      <w:sz w:val="15"/>
      <w:szCs w:val="15"/>
    </w:rPr>
  </w:style>
  <w:style w:type="paragraph" w:customStyle="1" w:styleId="afff">
    <w:name w:val="（英）表注样式"/>
    <w:basedOn w:val="affe"/>
    <w:qFormat/>
  </w:style>
  <w:style w:type="paragraph" w:customStyle="1" w:styleId="afff0">
    <w:name w:val="（英）图注样式"/>
    <w:basedOn w:val="afff"/>
    <w:qFormat/>
    <w:pPr>
      <w:jc w:val="center"/>
    </w:pPr>
  </w:style>
  <w:style w:type="paragraph" w:customStyle="1" w:styleId="afff1">
    <w:name w:val="（中）图注样式"/>
    <w:qFormat/>
    <w:pPr>
      <w:jc w:val="center"/>
    </w:pPr>
    <w:rPr>
      <w:rFonts w:hAnsi="宋体"/>
      <w:kern w:val="2"/>
      <w:sz w:val="15"/>
      <w:szCs w:val="15"/>
    </w:rPr>
  </w:style>
  <w:style w:type="paragraph" w:customStyle="1" w:styleId="afff2">
    <w:name w:val="参考文献样式"/>
    <w:basedOn w:val="a0"/>
    <w:qFormat/>
    <w:pPr>
      <w:spacing w:beforeLines="100" w:before="312"/>
      <w:jc w:val="center"/>
    </w:pPr>
    <w:rPr>
      <w:rFonts w:eastAsia="黑体"/>
    </w:rPr>
  </w:style>
  <w:style w:type="paragraph" w:customStyle="1" w:styleId="a">
    <w:name w:val="参考文献内容样式"/>
    <w:basedOn w:val="a0"/>
    <w:qFormat/>
    <w:pPr>
      <w:numPr>
        <w:numId w:val="1"/>
      </w:numPr>
      <w:tabs>
        <w:tab w:val="clear" w:pos="473"/>
        <w:tab w:val="left" w:pos="420"/>
      </w:tabs>
      <w:ind w:left="0" w:hangingChars="200" w:hanging="200"/>
    </w:pPr>
    <w:rPr>
      <w:sz w:val="15"/>
      <w:szCs w:val="18"/>
    </w:rPr>
  </w:style>
  <w:style w:type="character" w:customStyle="1" w:styleId="afff3">
    <w:name w:val="（中）通信作者样式"/>
    <w:basedOn w:val="aff4"/>
    <w:uiPriority w:val="1"/>
    <w:qFormat/>
    <w:rPr>
      <w:rFonts w:ascii="Times New Roman" w:eastAsia="宋体" w:hAnsi="Times New Roman"/>
      <w:sz w:val="18"/>
      <w:szCs w:val="18"/>
    </w:rPr>
  </w:style>
  <w:style w:type="paragraph" w:customStyle="1" w:styleId="afff4">
    <w:name w:val="公式样式"/>
    <w:basedOn w:val="a0"/>
    <w:qFormat/>
    <w:pPr>
      <w:ind w:left="420" w:firstLineChars="200" w:firstLine="420"/>
    </w:pPr>
  </w:style>
  <w:style w:type="paragraph" w:customStyle="1" w:styleId="DOI">
    <w:name w:val="DOI样式"/>
    <w:qFormat/>
    <w:pPr>
      <w:jc w:val="both"/>
    </w:pPr>
    <w:rPr>
      <w:kern w:val="2"/>
      <w:sz w:val="18"/>
      <w:szCs w:val="18"/>
    </w:rPr>
  </w:style>
  <w:style w:type="paragraph" w:customStyle="1" w:styleId="afff5">
    <w:name w:val="引用样式"/>
    <w:qFormat/>
    <w:pPr>
      <w:jc w:val="both"/>
    </w:pPr>
    <w:rPr>
      <w:kern w:val="2"/>
      <w:sz w:val="18"/>
      <w:szCs w:val="18"/>
    </w:rPr>
  </w:style>
  <w:style w:type="paragraph" w:customStyle="1" w:styleId="CITE">
    <w:name w:val="CITE样式"/>
    <w:qFormat/>
    <w:pPr>
      <w:jc w:val="both"/>
    </w:pPr>
    <w:rPr>
      <w:kern w:val="2"/>
      <w:sz w:val="18"/>
      <w:szCs w:val="18"/>
    </w:rPr>
  </w:style>
  <w:style w:type="paragraph" w:customStyle="1" w:styleId="afff6">
    <w:name w:val="（中）副标题样式"/>
    <w:basedOn w:val="a0"/>
    <w:qFormat/>
    <w:pPr>
      <w:jc w:val="center"/>
    </w:pPr>
    <w:rPr>
      <w:rFonts w:eastAsia="黑体"/>
      <w:sz w:val="24"/>
      <w:szCs w:val="21"/>
    </w:rPr>
  </w:style>
  <w:style w:type="paragraph" w:customStyle="1" w:styleId="afff7">
    <w:name w:val="（英）副标题样式"/>
    <w:basedOn w:val="afff6"/>
    <w:qFormat/>
  </w:style>
  <w:style w:type="paragraph" w:customStyle="1" w:styleId="afff8">
    <w:name w:val="致谢样式"/>
    <w:qFormat/>
    <w:pPr>
      <w:jc w:val="both"/>
    </w:pPr>
    <w:rPr>
      <w:b/>
      <w:kern w:val="2"/>
      <w:sz w:val="18"/>
      <w:szCs w:val="18"/>
    </w:rPr>
  </w:style>
  <w:style w:type="paragraph" w:customStyle="1" w:styleId="afff9">
    <w:name w:val="编辑样式"/>
    <w:qFormat/>
    <w:pPr>
      <w:jc w:val="right"/>
    </w:pPr>
    <w:rPr>
      <w:b/>
      <w:kern w:val="2"/>
      <w:sz w:val="18"/>
      <w:szCs w:val="18"/>
    </w:rPr>
  </w:style>
  <w:style w:type="character" w:customStyle="1" w:styleId="afffa">
    <w:name w:val="一级标题序号样式"/>
    <w:basedOn w:val="a1"/>
    <w:uiPriority w:val="1"/>
    <w:qFormat/>
    <w:rPr>
      <w:rFonts w:ascii="Times New Roman" w:hAnsi="Times New Roman"/>
      <w:b/>
      <w:sz w:val="24"/>
    </w:rPr>
  </w:style>
  <w:style w:type="paragraph" w:customStyle="1" w:styleId="afffb">
    <w:name w:val="中文表序样式"/>
    <w:basedOn w:val="affb"/>
    <w:link w:val="Char1"/>
    <w:qFormat/>
  </w:style>
  <w:style w:type="character" w:customStyle="1" w:styleId="afffc">
    <w:name w:val="英文表序样式"/>
    <w:basedOn w:val="a1"/>
    <w:uiPriority w:val="1"/>
    <w:qFormat/>
  </w:style>
  <w:style w:type="character" w:customStyle="1" w:styleId="Char0">
    <w:name w:val="（中）表题样式 Char"/>
    <w:basedOn w:val="a1"/>
    <w:link w:val="affb"/>
    <w:qFormat/>
    <w:rPr>
      <w:b/>
      <w:kern w:val="2"/>
      <w:sz w:val="18"/>
      <w:szCs w:val="18"/>
    </w:rPr>
  </w:style>
  <w:style w:type="character" w:customStyle="1" w:styleId="Char1">
    <w:name w:val="中文表序样式 Char"/>
    <w:basedOn w:val="Char0"/>
    <w:link w:val="afffb"/>
    <w:qFormat/>
    <w:rPr>
      <w:b/>
      <w:kern w:val="2"/>
      <w:sz w:val="18"/>
      <w:szCs w:val="18"/>
    </w:rPr>
  </w:style>
  <w:style w:type="paragraph" w:customStyle="1" w:styleId="afffd">
    <w:name w:val="中文图序样式"/>
    <w:basedOn w:val="aff9"/>
    <w:qFormat/>
  </w:style>
  <w:style w:type="paragraph" w:customStyle="1" w:styleId="afffe">
    <w:name w:val="英文图序样式"/>
    <w:basedOn w:val="affa"/>
    <w:qFormat/>
  </w:style>
  <w:style w:type="paragraph" w:customStyle="1" w:styleId="affff">
    <w:name w:val="图样式"/>
    <w:qFormat/>
    <w:pPr>
      <w:jc w:val="center"/>
    </w:pPr>
    <w:rPr>
      <w:b/>
      <w:kern w:val="2"/>
      <w:sz w:val="18"/>
      <w:szCs w:val="18"/>
    </w:rPr>
  </w:style>
  <w:style w:type="paragraph" w:customStyle="1" w:styleId="affff0">
    <w:name w:val="参考文献中英文对照样式"/>
    <w:qFormat/>
    <w:pPr>
      <w:widowControl w:val="0"/>
      <w:ind w:left="200" w:hangingChars="200" w:hanging="200"/>
      <w:jc w:val="both"/>
    </w:pPr>
    <w:rPr>
      <w:rFonts w:eastAsiaTheme="minorEastAsia"/>
      <w:kern w:val="2"/>
      <w:sz w:val="15"/>
    </w:rPr>
  </w:style>
  <w:style w:type="character" w:customStyle="1" w:styleId="affff1">
    <w:name w:val="三级标题序号样式"/>
    <w:qFormat/>
    <w:rPr>
      <w:rFonts w:ascii="Times New Roman" w:eastAsia="宋体" w:hAnsi="Times New Roman" w:cs="Times New Roman"/>
      <w:color w:val="auto"/>
      <w:w w:val="100"/>
      <w:kern w:val="2"/>
      <w:sz w:val="21"/>
      <w:u w:val="none"/>
      <w:vertAlign w:val="baseline"/>
      <w14:shadow w14:blurRad="0" w14:dist="0" w14:dir="0" w14:sx="0" w14:sy="0" w14:kx="0" w14:ky="0" w14:algn="none">
        <w14:srgbClr w14:val="000000"/>
      </w14:shadow>
    </w:rPr>
  </w:style>
  <w:style w:type="character" w:customStyle="1" w:styleId="affff2">
    <w:name w:val="二级标题序号样式"/>
    <w:qFormat/>
    <w:rPr>
      <w:rFonts w:ascii="Times New Roman" w:eastAsia="黑体" w:hAnsi="Times New Roman" w:cs="Times New Roman"/>
      <w:b/>
      <w:color w:val="auto"/>
      <w:w w:val="100"/>
      <w:kern w:val="2"/>
      <w:sz w:val="21"/>
      <w:u w:val="none"/>
      <w:vertAlign w:val="baseline"/>
      <w14:shadow w14:blurRad="0" w14:dist="0" w14:dir="0" w14:sx="0" w14:sy="0" w14:kx="0" w14:ky="0" w14:algn="none">
        <w14:srgbClr w14:val="000000"/>
      </w14:shadow>
    </w:rPr>
  </w:style>
  <w:style w:type="paragraph" w:customStyle="1" w:styleId="affff3">
    <w:name w:val="（中）摘要样式"/>
    <w:qFormat/>
    <w:pPr>
      <w:widowControl w:val="0"/>
      <w:jc w:val="both"/>
    </w:pPr>
    <w:rPr>
      <w:rFonts w:eastAsia="仿宋" w:hAnsi="楷体"/>
      <w:sz w:val="18"/>
    </w:rPr>
  </w:style>
  <w:style w:type="paragraph" w:customStyle="1" w:styleId="affff4">
    <w:name w:val="（英）摘要样式"/>
    <w:qFormat/>
    <w:pPr>
      <w:widowControl w:val="0"/>
      <w:ind w:right="315"/>
      <w:jc w:val="both"/>
    </w:pPr>
    <w:rPr>
      <w:sz w:val="15"/>
    </w:rPr>
  </w:style>
  <w:style w:type="paragraph" w:customStyle="1" w:styleId="new1">
    <w:name w:val="公式样式_new_1"/>
    <w:qFormat/>
  </w:style>
  <w:style w:type="paragraph" w:customStyle="1" w:styleId="affff5">
    <w:name w:val="表格"/>
    <w:autoRedefine/>
    <w:qFormat/>
    <w:pPr>
      <w:widowControl w:val="0"/>
      <w:snapToGrid w:val="0"/>
      <w:jc w:val="center"/>
    </w:pPr>
    <w:rPr>
      <w:rFonts w:hint="eastAsia"/>
      <w:spacing w:val="2"/>
      <w:kern w:val="2"/>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image" Target="media/image4.wmf"/><Relationship Id="rId26" Type="http://schemas.openxmlformats.org/officeDocument/2006/relationships/image" Target="media/image8.wmf"/><Relationship Id="rId39" Type="http://schemas.openxmlformats.org/officeDocument/2006/relationships/oleObject" Target="embeddings/oleObject12.bin"/><Relationship Id="rId21" Type="http://schemas.openxmlformats.org/officeDocument/2006/relationships/oleObject" Target="embeddings/oleObject3.bin"/><Relationship Id="rId34" Type="http://schemas.openxmlformats.org/officeDocument/2006/relationships/image" Target="media/image12.wmf"/><Relationship Id="rId42" Type="http://schemas.openxmlformats.org/officeDocument/2006/relationships/image" Target="media/image17.png"/><Relationship Id="rId47" Type="http://schemas.openxmlformats.org/officeDocument/2006/relationships/image" Target="media/image22.png"/><Relationship Id="rId50" Type="http://schemas.openxmlformats.org/officeDocument/2006/relationships/image" Target="media/image25.png"/><Relationship Id="rId55"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1.xml"/><Relationship Id="rId16" Type="http://schemas.openxmlformats.org/officeDocument/2006/relationships/image" Target="media/image3.wmf"/><Relationship Id="rId29" Type="http://schemas.openxmlformats.org/officeDocument/2006/relationships/oleObject" Target="embeddings/oleObject7.bin"/><Relationship Id="rId11" Type="http://schemas.openxmlformats.org/officeDocument/2006/relationships/header" Target="header2.xml"/><Relationship Id="rId24" Type="http://schemas.openxmlformats.org/officeDocument/2006/relationships/image" Target="media/image7.wmf"/><Relationship Id="rId32" Type="http://schemas.openxmlformats.org/officeDocument/2006/relationships/image" Target="media/image11.wmf"/><Relationship Id="rId37" Type="http://schemas.openxmlformats.org/officeDocument/2006/relationships/oleObject" Target="embeddings/oleObject11.bin"/><Relationship Id="rId40" Type="http://schemas.openxmlformats.org/officeDocument/2006/relationships/image" Target="media/image15.png"/><Relationship Id="rId45" Type="http://schemas.openxmlformats.org/officeDocument/2006/relationships/image" Target="media/image20.png"/><Relationship Id="rId53" Type="http://schemas.openxmlformats.org/officeDocument/2006/relationships/image" Target="media/image28.png"/><Relationship Id="rId5" Type="http://schemas.openxmlformats.org/officeDocument/2006/relationships/styles" Target="styles.xml"/><Relationship Id="rId10" Type="http://schemas.openxmlformats.org/officeDocument/2006/relationships/header" Target="header1.xml"/><Relationship Id="rId19" Type="http://schemas.openxmlformats.org/officeDocument/2006/relationships/oleObject" Target="embeddings/oleObject2.bin"/><Relationship Id="rId31" Type="http://schemas.openxmlformats.org/officeDocument/2006/relationships/oleObject" Target="embeddings/oleObject8.bin"/><Relationship Id="rId44" Type="http://schemas.openxmlformats.org/officeDocument/2006/relationships/image" Target="media/image19.png"/><Relationship Id="rId52" Type="http://schemas.openxmlformats.org/officeDocument/2006/relationships/image" Target="media/image27.jpe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1.png"/><Relationship Id="rId22" Type="http://schemas.openxmlformats.org/officeDocument/2006/relationships/image" Target="media/image6.wmf"/><Relationship Id="rId27" Type="http://schemas.openxmlformats.org/officeDocument/2006/relationships/oleObject" Target="embeddings/oleObject6.bin"/><Relationship Id="rId30" Type="http://schemas.openxmlformats.org/officeDocument/2006/relationships/image" Target="media/image10.wmf"/><Relationship Id="rId35" Type="http://schemas.openxmlformats.org/officeDocument/2006/relationships/oleObject" Target="embeddings/oleObject10.bin"/><Relationship Id="rId43" Type="http://schemas.openxmlformats.org/officeDocument/2006/relationships/image" Target="media/image18.png"/><Relationship Id="rId48" Type="http://schemas.openxmlformats.org/officeDocument/2006/relationships/image" Target="media/image23.png"/><Relationship Id="rId56"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26.png"/><Relationship Id="rId3" Type="http://schemas.openxmlformats.org/officeDocument/2006/relationships/customXml" Target="../customXml/item2.xml"/><Relationship Id="rId12" Type="http://schemas.openxmlformats.org/officeDocument/2006/relationships/header" Target="header3.xml"/><Relationship Id="rId17" Type="http://schemas.openxmlformats.org/officeDocument/2006/relationships/oleObject" Target="embeddings/oleObject1.bin"/><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14.wmf"/><Relationship Id="rId46" Type="http://schemas.openxmlformats.org/officeDocument/2006/relationships/image" Target="media/image21.png"/><Relationship Id="rId20" Type="http://schemas.openxmlformats.org/officeDocument/2006/relationships/image" Target="media/image5.wmf"/><Relationship Id="rId41" Type="http://schemas.openxmlformats.org/officeDocument/2006/relationships/image" Target="media/image16.png"/><Relationship Id="rId54" Type="http://schemas.openxmlformats.org/officeDocument/2006/relationships/image" Target="media/image29.png"/><Relationship Id="rId1" Type="http://schemas.microsoft.com/office/2006/relationships/keyMapCustomizations" Target="customizations.xml"/><Relationship Id="rId6" Type="http://schemas.openxmlformats.org/officeDocument/2006/relationships/settings" Target="settings.xml"/><Relationship Id="rId15" Type="http://schemas.openxmlformats.org/officeDocument/2006/relationships/image" Target="media/image2.png"/><Relationship Id="rId23" Type="http://schemas.openxmlformats.org/officeDocument/2006/relationships/oleObject" Target="embeddings/oleObject4.bin"/><Relationship Id="rId28" Type="http://schemas.openxmlformats.org/officeDocument/2006/relationships/image" Target="media/image9.wmf"/><Relationship Id="rId36" Type="http://schemas.openxmlformats.org/officeDocument/2006/relationships/image" Target="media/image13.wmf"/><Relationship Id="rId49" Type="http://schemas.openxmlformats.org/officeDocument/2006/relationships/image" Target="media/image2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56B4EDB-3C8C-4BE2-9A42-8513D7F1BFA0}">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Pages>
  <Words>2356</Words>
  <Characters>13433</Characters>
  <Application>Microsoft Office Word</Application>
  <DocSecurity>0</DocSecurity>
  <Lines>111</Lines>
  <Paragraphs>31</Paragraphs>
  <ScaleCrop>false</ScaleCrop>
  <Company/>
  <LinksUpToDate>false</LinksUpToDate>
  <CharactersWithSpaces>15758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排版要求：</dc:title>
  <dc:creator>lenovo</dc:creator>
  <cp:lastModifiedBy>yh X</cp:lastModifiedBy>
  <cp:revision>163</cp:revision>
  <cp:lastPrinted>2021-01-26T02:16:00Z</cp:lastPrinted>
  <dcterms:created xsi:type="dcterms:W3CDTF">2021-03-15T06:31:00Z</dcterms:created>
  <dcterms:modified xsi:type="dcterms:W3CDTF">2026-05-20T05:57:00Z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OID">
    <vt:i4>1051714</vt:i4>
  </property>
  <property fmtid="{D5CDD505-2E9C-101B-9397-08002B2CF9AE}" pid="3" name="KSOProductBuildVer">
    <vt:lpwstr>2052-12.1.0.21541</vt:lpwstr>
  </property>
  <property fmtid="{D5CDD505-2E9C-101B-9397-08002B2CF9AE}" pid="4" name="MTWinEqns">
    <vt:bool>true</vt:bool>
  </property>
  <property fmtid="{D5CDD505-2E9C-101B-9397-08002B2CF9AE}" pid="5" name="KSOTemplateDocerSaveRecord">
    <vt:lpwstr>eyJoZGlkIjoiZDFjMDIyYWY0ZmM1OGRmYzJkZjg2YWEwNjQ5ODE4MWEiLCJ1c2VySWQiOiIxMTMxODIxMDc1In0=</vt:lpwstr>
  </property>
  <property fmtid="{D5CDD505-2E9C-101B-9397-08002B2CF9AE}" pid="6" name="ICV">
    <vt:lpwstr>1C0C70751CA74EE0A9E39A390F4AAA36_13</vt:lpwstr>
  </property>
</Properties>
</file>