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73" w:type="dxa"/>
        <w:tblInd w:w="108" w:type="dxa"/>
        <w:tblLook w:val="0000" w:firstRow="0" w:lastRow="0" w:firstColumn="0" w:lastColumn="0" w:noHBand="0" w:noVBand="0"/>
      </w:tblPr>
      <w:tblGrid>
        <w:gridCol w:w="1548"/>
        <w:gridCol w:w="5142"/>
        <w:gridCol w:w="2983"/>
      </w:tblGrid>
      <w:tr w:rsidR="001222A3" w:rsidRPr="00F60A41" w14:paraId="4D758FF1" w14:textId="77777777" w:rsidTr="002D1967">
        <w:trPr>
          <w:trHeight w:val="154"/>
        </w:trPr>
        <w:tc>
          <w:tcPr>
            <w:tcW w:w="1548" w:type="dxa"/>
            <w:tcBorders>
              <w:bottom w:val="single" w:sz="4" w:space="0" w:color="auto"/>
            </w:tcBorders>
          </w:tcPr>
          <w:p w14:paraId="4C39683B" w14:textId="77777777" w:rsidR="001222A3" w:rsidRPr="00F60A41" w:rsidRDefault="001222A3" w:rsidP="001222A3">
            <w:pPr>
              <w:tabs>
                <w:tab w:val="left" w:pos="0"/>
                <w:tab w:val="left" w:pos="735"/>
                <w:tab w:val="left" w:pos="3990"/>
              </w:tabs>
              <w:ind w:leftChars="-1" w:left="-1" w:firstLineChars="0" w:hanging="1"/>
              <w:jc w:val="center"/>
              <w:rPr>
                <w:rFonts w:cs="Times New Roman"/>
                <w:sz w:val="18"/>
                <w:szCs w:val="18"/>
              </w:rPr>
            </w:pPr>
            <w:r w:rsidRPr="00F60A41">
              <w:rPr>
                <w:rFonts w:cs="Times New Roman"/>
                <w:sz w:val="18"/>
                <w:szCs w:val="18"/>
              </w:rPr>
              <w:t>ISSN 1000-0054</w:t>
            </w:r>
          </w:p>
        </w:tc>
        <w:tc>
          <w:tcPr>
            <w:tcW w:w="5142" w:type="dxa"/>
          </w:tcPr>
          <w:p w14:paraId="51607467" w14:textId="2A3D44C1" w:rsidR="001222A3" w:rsidRPr="00F60A41" w:rsidRDefault="001222A3" w:rsidP="001222A3">
            <w:pPr>
              <w:tabs>
                <w:tab w:val="left" w:pos="0"/>
                <w:tab w:val="left" w:pos="735"/>
                <w:tab w:val="left" w:pos="3990"/>
              </w:tabs>
              <w:ind w:leftChars="-1" w:left="-1" w:firstLineChars="0" w:hanging="1"/>
              <w:rPr>
                <w:rFonts w:cs="Times New Roman"/>
                <w:sz w:val="15"/>
                <w:szCs w:val="15"/>
              </w:rPr>
            </w:pPr>
            <w:r w:rsidRPr="00F60A41">
              <w:rPr>
                <w:rFonts w:cs="Times New Roman"/>
                <w:sz w:val="15"/>
                <w:szCs w:val="15"/>
              </w:rPr>
              <w:t>清华大学学报（自然科学版）</w:t>
            </w:r>
            <w:r w:rsidRPr="00F60A41">
              <w:rPr>
                <w:rFonts w:cs="Times New Roman"/>
                <w:sz w:val="15"/>
                <w:szCs w:val="15"/>
              </w:rPr>
              <w:t xml:space="preserve">  202</w:t>
            </w:r>
            <w:r w:rsidR="006D4642">
              <w:rPr>
                <w:rFonts w:cs="Times New Roman" w:hint="eastAsia"/>
                <w:sz w:val="15"/>
                <w:szCs w:val="15"/>
              </w:rPr>
              <w:t>5</w:t>
            </w:r>
            <w:r w:rsidRPr="00F60A41">
              <w:rPr>
                <w:rFonts w:cs="Times New Roman"/>
                <w:sz w:val="15"/>
                <w:szCs w:val="15"/>
              </w:rPr>
              <w:t>年第</w:t>
            </w:r>
            <w:r w:rsidRPr="00F60A41">
              <w:rPr>
                <w:rFonts w:cs="Times New Roman"/>
                <w:sz w:val="15"/>
                <w:szCs w:val="15"/>
              </w:rPr>
              <w:t xml:space="preserve">  </w:t>
            </w:r>
            <w:r w:rsidRPr="00F60A41">
              <w:rPr>
                <w:rFonts w:cs="Times New Roman"/>
                <w:sz w:val="15"/>
                <w:szCs w:val="15"/>
              </w:rPr>
              <w:t>卷第</w:t>
            </w:r>
            <w:r w:rsidRPr="00F60A41">
              <w:rPr>
                <w:rFonts w:cs="Times New Roman"/>
                <w:sz w:val="15"/>
                <w:szCs w:val="15"/>
              </w:rPr>
              <w:t xml:space="preserve">  </w:t>
            </w:r>
            <w:r w:rsidRPr="00F60A41">
              <w:rPr>
                <w:rFonts w:cs="Times New Roman"/>
                <w:sz w:val="15"/>
                <w:szCs w:val="15"/>
              </w:rPr>
              <w:t>期</w:t>
            </w:r>
          </w:p>
        </w:tc>
        <w:tc>
          <w:tcPr>
            <w:tcW w:w="2983" w:type="dxa"/>
          </w:tcPr>
          <w:p w14:paraId="7C5E6C81" w14:textId="77777777" w:rsidR="001222A3" w:rsidRPr="00F60A41" w:rsidRDefault="001222A3" w:rsidP="001222A3">
            <w:pPr>
              <w:tabs>
                <w:tab w:val="left" w:pos="0"/>
                <w:tab w:val="left" w:pos="735"/>
                <w:tab w:val="left" w:pos="3990"/>
              </w:tabs>
              <w:ind w:leftChars="-1" w:left="-1" w:firstLineChars="0" w:hanging="1"/>
              <w:jc w:val="center"/>
              <w:rPr>
                <w:rFonts w:eastAsia="黑体" w:cs="Times New Roman"/>
                <w:sz w:val="18"/>
                <w:szCs w:val="18"/>
              </w:rPr>
            </w:pPr>
          </w:p>
        </w:tc>
      </w:tr>
      <w:tr w:rsidR="001222A3" w:rsidRPr="00F60A41" w14:paraId="09E0F60C" w14:textId="77777777" w:rsidTr="002D1967">
        <w:trPr>
          <w:trHeight w:val="70"/>
        </w:trPr>
        <w:tc>
          <w:tcPr>
            <w:tcW w:w="1548" w:type="dxa"/>
            <w:tcBorders>
              <w:top w:val="single" w:sz="4" w:space="0" w:color="auto"/>
            </w:tcBorders>
          </w:tcPr>
          <w:p w14:paraId="321FECCA" w14:textId="77777777" w:rsidR="001222A3" w:rsidRPr="00F60A41" w:rsidRDefault="001222A3" w:rsidP="001222A3">
            <w:pPr>
              <w:tabs>
                <w:tab w:val="left" w:pos="0"/>
                <w:tab w:val="left" w:pos="735"/>
                <w:tab w:val="left" w:pos="3990"/>
              </w:tabs>
              <w:ind w:leftChars="-1" w:left="-1" w:firstLineChars="0" w:hanging="1"/>
              <w:jc w:val="center"/>
              <w:rPr>
                <w:rFonts w:eastAsia="黑体" w:cs="Times New Roman"/>
                <w:sz w:val="18"/>
                <w:szCs w:val="18"/>
              </w:rPr>
            </w:pPr>
            <w:r w:rsidRPr="00F60A41">
              <w:rPr>
                <w:rFonts w:eastAsia="黑体" w:cs="Times New Roman"/>
                <w:sz w:val="18"/>
                <w:szCs w:val="18"/>
              </w:rPr>
              <w:t>CN 11-2223/N</w:t>
            </w:r>
          </w:p>
        </w:tc>
        <w:tc>
          <w:tcPr>
            <w:tcW w:w="5142" w:type="dxa"/>
          </w:tcPr>
          <w:p w14:paraId="0DCBCBDD" w14:textId="4D0461A8" w:rsidR="001222A3" w:rsidRPr="00F60A41" w:rsidRDefault="001222A3" w:rsidP="001222A3">
            <w:pPr>
              <w:tabs>
                <w:tab w:val="left" w:pos="0"/>
                <w:tab w:val="left" w:pos="735"/>
                <w:tab w:val="left" w:pos="3990"/>
              </w:tabs>
              <w:ind w:leftChars="-1" w:left="-1" w:firstLineChars="0" w:hanging="1"/>
              <w:rPr>
                <w:rFonts w:eastAsia="黑体" w:cs="Times New Roman"/>
                <w:sz w:val="18"/>
                <w:szCs w:val="18"/>
              </w:rPr>
            </w:pPr>
            <w:r w:rsidRPr="00F60A41">
              <w:rPr>
                <w:rFonts w:eastAsia="黑体" w:cs="Times New Roman"/>
                <w:sz w:val="18"/>
                <w:szCs w:val="18"/>
              </w:rPr>
              <w:t xml:space="preserve">J </w:t>
            </w:r>
            <w:proofErr w:type="spellStart"/>
            <w:r w:rsidRPr="00F60A41">
              <w:rPr>
                <w:rFonts w:eastAsia="黑体" w:cs="Times New Roman"/>
                <w:sz w:val="18"/>
                <w:szCs w:val="18"/>
              </w:rPr>
              <w:t>Tsinghuauniv</w:t>
            </w:r>
            <w:proofErr w:type="spellEnd"/>
            <w:r w:rsidRPr="00F60A41">
              <w:rPr>
                <w:rFonts w:eastAsia="黑体" w:cs="Times New Roman"/>
                <w:sz w:val="18"/>
                <w:szCs w:val="18"/>
              </w:rPr>
              <w:t xml:space="preserve"> (Sci &amp; Tech), 202</w:t>
            </w:r>
            <w:r w:rsidR="006D4642">
              <w:rPr>
                <w:rFonts w:eastAsia="黑体" w:cs="Times New Roman" w:hint="eastAsia"/>
                <w:sz w:val="18"/>
                <w:szCs w:val="18"/>
              </w:rPr>
              <w:t>5</w:t>
            </w:r>
            <w:r w:rsidRPr="00F60A41">
              <w:rPr>
                <w:rFonts w:eastAsia="黑体" w:cs="Times New Roman"/>
                <w:sz w:val="18"/>
                <w:szCs w:val="18"/>
              </w:rPr>
              <w:t xml:space="preserve">, </w:t>
            </w:r>
            <w:r w:rsidRPr="00952867">
              <w:rPr>
                <w:rFonts w:eastAsia="黑体" w:cs="Times New Roman"/>
                <w:sz w:val="18"/>
                <w:szCs w:val="18"/>
              </w:rPr>
              <w:t>Vol.  ,</w:t>
            </w:r>
            <w:r>
              <w:rPr>
                <w:rFonts w:eastAsia="黑体" w:cs="Times New Roman"/>
                <w:sz w:val="18"/>
                <w:szCs w:val="18"/>
              </w:rPr>
              <w:t xml:space="preserve"> </w:t>
            </w:r>
            <w:r w:rsidRPr="00952867">
              <w:rPr>
                <w:rFonts w:eastAsia="黑体" w:cs="Times New Roman"/>
                <w:sz w:val="18"/>
                <w:szCs w:val="18"/>
              </w:rPr>
              <w:t>No.</w:t>
            </w:r>
          </w:p>
        </w:tc>
        <w:tc>
          <w:tcPr>
            <w:tcW w:w="2983" w:type="dxa"/>
          </w:tcPr>
          <w:p w14:paraId="5E58A5E4" w14:textId="77777777" w:rsidR="001222A3" w:rsidRPr="00F60A41" w:rsidRDefault="001222A3" w:rsidP="001222A3">
            <w:pPr>
              <w:tabs>
                <w:tab w:val="left" w:pos="0"/>
                <w:tab w:val="left" w:pos="735"/>
                <w:tab w:val="left" w:pos="3990"/>
              </w:tabs>
              <w:ind w:leftChars="-1" w:left="-1" w:firstLineChars="0" w:hanging="1"/>
              <w:jc w:val="right"/>
              <w:rPr>
                <w:rFonts w:eastAsia="黑体" w:cs="Times New Roman"/>
                <w:sz w:val="18"/>
                <w:szCs w:val="18"/>
              </w:rPr>
            </w:pPr>
          </w:p>
        </w:tc>
      </w:tr>
    </w:tbl>
    <w:p w14:paraId="78D576B4" w14:textId="77777777" w:rsidR="001222A3" w:rsidRPr="001222A3" w:rsidRDefault="001222A3" w:rsidP="00402B71">
      <w:pPr>
        <w:spacing w:line="240" w:lineRule="atLeast"/>
        <w:ind w:firstLineChars="0" w:firstLine="0"/>
        <w:jc w:val="center"/>
        <w:rPr>
          <w:rFonts w:eastAsiaTheme="majorEastAsia" w:cs="Times New Roman"/>
          <w:b/>
          <w:bCs/>
          <w:kern w:val="0"/>
          <w:sz w:val="44"/>
          <w:szCs w:val="44"/>
        </w:rPr>
      </w:pPr>
    </w:p>
    <w:p w14:paraId="31743B1B" w14:textId="65C11007" w:rsidR="00D75E94" w:rsidRPr="007E1944" w:rsidRDefault="006D4642" w:rsidP="00E1528A">
      <w:pPr>
        <w:spacing w:line="240" w:lineRule="atLeast"/>
        <w:ind w:firstLineChars="0" w:firstLine="0"/>
        <w:jc w:val="center"/>
        <w:rPr>
          <w:rFonts w:eastAsiaTheme="majorEastAsia" w:cs="Times New Roman"/>
          <w:b/>
          <w:bCs/>
          <w:kern w:val="0"/>
          <w:sz w:val="44"/>
          <w:szCs w:val="44"/>
        </w:rPr>
      </w:pPr>
      <w:r>
        <w:rPr>
          <w:rFonts w:eastAsiaTheme="majorEastAsia" w:cs="Times New Roman" w:hint="eastAsia"/>
          <w:b/>
          <w:bCs/>
          <w:kern w:val="0"/>
          <w:sz w:val="44"/>
          <w:szCs w:val="44"/>
        </w:rPr>
        <w:t>清洁能源基地一体化管理</w:t>
      </w:r>
      <w:r w:rsidR="0020709B">
        <w:rPr>
          <w:rFonts w:eastAsiaTheme="majorEastAsia" w:cs="Times New Roman" w:hint="eastAsia"/>
          <w:b/>
          <w:bCs/>
          <w:kern w:val="0"/>
          <w:sz w:val="44"/>
          <w:szCs w:val="44"/>
        </w:rPr>
        <w:t>研究</w:t>
      </w:r>
    </w:p>
    <w:p w14:paraId="2EB5017F" w14:textId="77777777" w:rsidR="00EB70E0" w:rsidRDefault="00EB70E0" w:rsidP="00F574F6">
      <w:pPr>
        <w:spacing w:line="240" w:lineRule="atLeast"/>
        <w:ind w:firstLineChars="0" w:firstLine="0"/>
        <w:jc w:val="center"/>
        <w:rPr>
          <w:rFonts w:cs="Times New Roman"/>
          <w:szCs w:val="21"/>
        </w:rPr>
      </w:pPr>
    </w:p>
    <w:p w14:paraId="5259E208" w14:textId="77777777" w:rsidR="00314763" w:rsidRPr="00F0403C" w:rsidRDefault="00314763" w:rsidP="008B7F9D">
      <w:pPr>
        <w:spacing w:line="240" w:lineRule="atLeast"/>
        <w:ind w:firstLine="420"/>
        <w:jc w:val="center"/>
        <w:rPr>
          <w:rFonts w:cs="Times New Roman"/>
          <w:color w:val="FF0000"/>
          <w:kern w:val="0"/>
          <w:szCs w:val="21"/>
        </w:rPr>
      </w:pPr>
    </w:p>
    <w:p w14:paraId="7B75D4DE" w14:textId="013F8E7A" w:rsidR="00345266" w:rsidRDefault="00CA0541" w:rsidP="00402B71">
      <w:pPr>
        <w:spacing w:line="240" w:lineRule="atLeast"/>
        <w:ind w:firstLineChars="0" w:firstLine="0"/>
        <w:rPr>
          <w:rFonts w:cs="Times New Roman"/>
        </w:rPr>
      </w:pPr>
      <w:r w:rsidRPr="007E1944">
        <w:rPr>
          <w:rFonts w:eastAsia="黑体" w:cs="Times New Roman"/>
          <w:kern w:val="0"/>
          <w:szCs w:val="21"/>
        </w:rPr>
        <w:t>摘</w:t>
      </w:r>
      <w:r w:rsidR="00D5686E" w:rsidRPr="007E1944">
        <w:rPr>
          <w:rFonts w:eastAsia="黑体" w:cs="Times New Roman"/>
          <w:kern w:val="0"/>
          <w:szCs w:val="21"/>
        </w:rPr>
        <w:t xml:space="preserve"> </w:t>
      </w:r>
      <w:r w:rsidRPr="007E1944">
        <w:rPr>
          <w:rFonts w:eastAsia="黑体" w:cs="Times New Roman"/>
          <w:kern w:val="0"/>
          <w:szCs w:val="21"/>
        </w:rPr>
        <w:t>要</w:t>
      </w:r>
      <w:r w:rsidR="00501499" w:rsidRPr="007E1944">
        <w:rPr>
          <w:rFonts w:cs="Times New Roman"/>
          <w:kern w:val="0"/>
          <w:szCs w:val="21"/>
        </w:rPr>
        <w:t>：</w:t>
      </w:r>
      <w:r w:rsidR="006D4642" w:rsidRPr="006D4642">
        <w:rPr>
          <w:rFonts w:hint="eastAsia"/>
        </w:rPr>
        <w:t>清洁能源基地涉及项目群联合开发，建设周期长，利益相关方众多，管理难度大。现有研究多关注单一清洁能源项目管理的关键因素，缺乏对其管理机理的系统研究，也尚未结合清洁能源基地开发特征开展针对性的实证研究。</w:t>
      </w:r>
      <w:r w:rsidR="00345266">
        <w:rPr>
          <w:rFonts w:cs="Times New Roman" w:hint="eastAsia"/>
          <w:kern w:val="0"/>
          <w:szCs w:val="21"/>
        </w:rPr>
        <w:t>对此，本研究</w:t>
      </w:r>
      <w:r w:rsidR="00345266">
        <w:rPr>
          <w:rFonts w:cs="Times New Roman" w:hint="eastAsia"/>
        </w:rPr>
        <w:t>通过调研与文本分析</w:t>
      </w:r>
      <w:r w:rsidR="00E1528A">
        <w:rPr>
          <w:rFonts w:cs="Times New Roman" w:hint="eastAsia"/>
          <w:kern w:val="0"/>
          <w:szCs w:val="21"/>
        </w:rPr>
        <w:t>识别</w:t>
      </w:r>
      <w:r w:rsidR="00345266">
        <w:rPr>
          <w:rFonts w:cs="Times New Roman" w:hint="eastAsia"/>
          <w:kern w:val="0"/>
          <w:szCs w:val="21"/>
        </w:rPr>
        <w:t>了</w:t>
      </w:r>
      <w:r w:rsidR="006D4642" w:rsidRPr="006D4642">
        <w:rPr>
          <w:rFonts w:hint="eastAsia"/>
        </w:rPr>
        <w:t>清洁能源基地</w:t>
      </w:r>
      <w:r w:rsidR="00345266">
        <w:rPr>
          <w:rFonts w:hint="eastAsia"/>
        </w:rPr>
        <w:t>管理需求，</w:t>
      </w:r>
      <w:r w:rsidR="006D4642">
        <w:rPr>
          <w:rFonts w:cs="Times New Roman" w:hint="eastAsia"/>
          <w:kern w:val="0"/>
          <w:szCs w:val="20"/>
        </w:rPr>
        <w:t>构建并验证</w:t>
      </w:r>
      <w:r w:rsidR="006D4642">
        <w:rPr>
          <w:rFonts w:ascii="Times" w:hAnsi="Times" w:cs="Times New Roman" w:hint="eastAsia"/>
        </w:rPr>
        <w:t>了</w:t>
      </w:r>
      <w:r w:rsidR="006D4642">
        <w:rPr>
          <w:rFonts w:hint="eastAsia"/>
        </w:rPr>
        <w:t>清洁能源基地一体化管理理论模型，</w:t>
      </w:r>
      <w:r w:rsidR="00345266">
        <w:rPr>
          <w:rFonts w:hint="eastAsia"/>
        </w:rPr>
        <w:t>揭示了</w:t>
      </w:r>
      <w:r w:rsidR="006D4642">
        <w:t>清洁能源基地的外部条件</w:t>
      </w:r>
      <w:r w:rsidR="006D4642">
        <w:rPr>
          <w:rFonts w:hint="eastAsia"/>
        </w:rPr>
        <w:t>、业主项目群管理能力与管理制度能够通过优化资源配置、促进伙伴关系构建，提升项目群实施与运营水平，最终作用于项目群绩效，</w:t>
      </w:r>
      <w:r w:rsidR="00100320">
        <w:rPr>
          <w:rFonts w:cs="Times New Roman" w:hint="eastAsia"/>
        </w:rPr>
        <w:t>并</w:t>
      </w:r>
      <w:r w:rsidR="003E686F">
        <w:rPr>
          <w:rFonts w:cs="Times New Roman" w:hint="eastAsia"/>
        </w:rPr>
        <w:t>提出了相应管理建议</w:t>
      </w:r>
      <w:r w:rsidR="00345266">
        <w:rPr>
          <w:rFonts w:cs="Times New Roman" w:hint="eastAsia"/>
        </w:rPr>
        <w:t>。研究成果可为</w:t>
      </w:r>
      <w:r w:rsidR="006D4642">
        <w:t>清洁能源基地</w:t>
      </w:r>
      <w:r w:rsidR="00345266">
        <w:rPr>
          <w:rFonts w:hint="eastAsia"/>
        </w:rPr>
        <w:t>管理</w:t>
      </w:r>
      <w:r w:rsidR="00345266">
        <w:rPr>
          <w:rFonts w:cs="Times New Roman" w:hint="eastAsia"/>
        </w:rPr>
        <w:t>提供理论与实践指导。</w:t>
      </w:r>
    </w:p>
    <w:p w14:paraId="5B8A5061" w14:textId="41DA9673" w:rsidR="00101090" w:rsidRPr="004F5163" w:rsidRDefault="00101090" w:rsidP="00402B71">
      <w:pPr>
        <w:spacing w:line="240" w:lineRule="atLeast"/>
        <w:ind w:firstLineChars="0" w:firstLine="0"/>
        <w:rPr>
          <w:rFonts w:cs="Times New Roman"/>
          <w:bCs/>
          <w:color w:val="FF0000"/>
          <w:kern w:val="0"/>
          <w:szCs w:val="21"/>
        </w:rPr>
      </w:pPr>
      <w:r w:rsidRPr="007E1944">
        <w:rPr>
          <w:rFonts w:eastAsia="黑体" w:cs="Times New Roman"/>
          <w:kern w:val="0"/>
          <w:szCs w:val="21"/>
        </w:rPr>
        <w:t>关键词：</w:t>
      </w:r>
      <w:r w:rsidR="006D4642">
        <w:rPr>
          <w:rFonts w:cs="Times New Roman" w:hint="eastAsia"/>
          <w:spacing w:val="10"/>
          <w:kern w:val="0"/>
          <w:szCs w:val="20"/>
        </w:rPr>
        <w:t>项目群管理</w:t>
      </w:r>
      <w:r w:rsidR="006D4642" w:rsidRPr="00155D80">
        <w:rPr>
          <w:rFonts w:cs="Times New Roman"/>
          <w:spacing w:val="10"/>
          <w:kern w:val="0"/>
          <w:szCs w:val="20"/>
        </w:rPr>
        <w:t>；</w:t>
      </w:r>
      <w:r w:rsidR="006D4642">
        <w:rPr>
          <w:rFonts w:cs="Times New Roman" w:hint="eastAsia"/>
          <w:spacing w:val="10"/>
          <w:kern w:val="0"/>
          <w:szCs w:val="20"/>
        </w:rPr>
        <w:t>清洁能源基地</w:t>
      </w:r>
      <w:r w:rsidR="006D4642" w:rsidRPr="00155D80">
        <w:rPr>
          <w:rFonts w:cs="Times New Roman"/>
          <w:spacing w:val="10"/>
          <w:kern w:val="0"/>
          <w:szCs w:val="20"/>
        </w:rPr>
        <w:t>；</w:t>
      </w:r>
      <w:r w:rsidR="006D4642">
        <w:rPr>
          <w:rFonts w:cs="Times New Roman" w:hint="eastAsia"/>
          <w:spacing w:val="10"/>
          <w:kern w:val="0"/>
          <w:szCs w:val="20"/>
        </w:rPr>
        <w:t>利益相关方；伙伴关系；资源配置</w:t>
      </w:r>
    </w:p>
    <w:p w14:paraId="47C32B2C" w14:textId="6D7B74F2" w:rsidR="00314763" w:rsidRDefault="00101090" w:rsidP="00402B71">
      <w:pPr>
        <w:spacing w:line="240" w:lineRule="atLeast"/>
        <w:ind w:firstLineChars="0" w:firstLine="0"/>
        <w:rPr>
          <w:rFonts w:cs="Times New Roman"/>
          <w:color w:val="FF0000"/>
          <w:kern w:val="0"/>
          <w:szCs w:val="21"/>
        </w:rPr>
      </w:pPr>
      <w:r w:rsidRPr="007E1944">
        <w:rPr>
          <w:rFonts w:eastAsia="黑体" w:cs="Times New Roman"/>
          <w:kern w:val="0"/>
          <w:szCs w:val="21"/>
        </w:rPr>
        <w:t>中图分类号：</w:t>
      </w:r>
      <w:r w:rsidR="00DA5C07" w:rsidRPr="00DA5C07">
        <w:rPr>
          <w:rFonts w:cs="Times New Roman"/>
          <w:kern w:val="0"/>
          <w:szCs w:val="21"/>
        </w:rPr>
        <w:t xml:space="preserve">F407.9    </w:t>
      </w:r>
      <w:r w:rsidRPr="007E1944">
        <w:rPr>
          <w:rFonts w:cs="Times New Roman"/>
          <w:kern w:val="0"/>
          <w:szCs w:val="21"/>
        </w:rPr>
        <w:t xml:space="preserve">   </w:t>
      </w:r>
      <w:r w:rsidRPr="007E1944">
        <w:rPr>
          <w:rFonts w:eastAsia="黑体" w:cs="Times New Roman"/>
          <w:kern w:val="0"/>
          <w:szCs w:val="21"/>
        </w:rPr>
        <w:t>文献标志码：</w:t>
      </w:r>
      <w:r w:rsidRPr="007E1944">
        <w:rPr>
          <w:rFonts w:cs="Times New Roman"/>
          <w:kern w:val="0"/>
          <w:szCs w:val="21"/>
        </w:rPr>
        <w:t>A</w:t>
      </w:r>
    </w:p>
    <w:p w14:paraId="1E30E2C5" w14:textId="77777777" w:rsidR="008B7F9D" w:rsidRPr="007E1944" w:rsidRDefault="008B7F9D" w:rsidP="005F4CDD">
      <w:pPr>
        <w:spacing w:line="240" w:lineRule="atLeast"/>
        <w:ind w:firstLine="420"/>
        <w:rPr>
          <w:rFonts w:cs="Times New Roman"/>
          <w:color w:val="FF0000"/>
          <w:kern w:val="0"/>
          <w:szCs w:val="21"/>
        </w:rPr>
      </w:pPr>
    </w:p>
    <w:p w14:paraId="3280F036" w14:textId="77777777" w:rsidR="00A62905" w:rsidRDefault="00A62905" w:rsidP="005F4CDD">
      <w:pPr>
        <w:spacing w:line="240" w:lineRule="atLeast"/>
        <w:ind w:firstLine="420"/>
        <w:rPr>
          <w:rFonts w:eastAsiaTheme="majorEastAsia" w:cs="Times New Roman"/>
          <w:color w:val="FF0000"/>
          <w:kern w:val="0"/>
          <w:szCs w:val="21"/>
        </w:rPr>
        <w:sectPr w:rsidR="00A62905" w:rsidSect="00A62905">
          <w:headerReference w:type="even" r:id="rId16"/>
          <w:headerReference w:type="default" r:id="rId17"/>
          <w:footerReference w:type="even" r:id="rId18"/>
          <w:footerReference w:type="default" r:id="rId19"/>
          <w:headerReference w:type="first" r:id="rId20"/>
          <w:footerReference w:type="first" r:id="rId21"/>
          <w:type w:val="continuous"/>
          <w:pgSz w:w="11906" w:h="16838"/>
          <w:pgMar w:top="1440" w:right="1106" w:bottom="1440" w:left="1106" w:header="851" w:footer="992" w:gutter="0"/>
          <w:cols w:space="425"/>
          <w:titlePg/>
          <w:docGrid w:type="linesAndChars" w:linePitch="312"/>
        </w:sectPr>
      </w:pPr>
    </w:p>
    <w:p w14:paraId="50091E94" w14:textId="218ED7AB" w:rsidR="003245AA" w:rsidRPr="00EB7246" w:rsidRDefault="00EB7246" w:rsidP="00EB7246">
      <w:pPr>
        <w:ind w:firstLine="420"/>
      </w:pPr>
      <w:r w:rsidRPr="00675262">
        <w:rPr>
          <w:rFonts w:hint="eastAsia"/>
        </w:rPr>
        <w:t>我国</w:t>
      </w:r>
      <w:r w:rsidRPr="00675262">
        <w:t>自然资源</w:t>
      </w:r>
      <w:r>
        <w:rPr>
          <w:rFonts w:hint="eastAsia"/>
        </w:rPr>
        <w:t>丰富</w:t>
      </w:r>
      <w:r w:rsidRPr="00675262">
        <w:t>，</w:t>
      </w:r>
      <w:r w:rsidRPr="00BF577D">
        <w:rPr>
          <w:rFonts w:hint="eastAsia"/>
        </w:rPr>
        <w:t>近年来在光伏发电、风力发电等领域取得了关键技术突破，</w:t>
      </w:r>
      <w:r>
        <w:rPr>
          <w:rFonts w:hint="eastAsia"/>
        </w:rPr>
        <w:t>有效</w:t>
      </w:r>
      <w:r w:rsidRPr="00BF577D">
        <w:rPr>
          <w:rFonts w:hint="eastAsia"/>
        </w:rPr>
        <w:t>推动</w:t>
      </w:r>
      <w:r>
        <w:rPr>
          <w:rFonts w:hint="eastAsia"/>
        </w:rPr>
        <w:t>了清洁</w:t>
      </w:r>
      <w:r w:rsidRPr="00BF577D">
        <w:rPr>
          <w:rFonts w:hint="eastAsia"/>
        </w:rPr>
        <w:t>能源产业持续发展。</w:t>
      </w:r>
      <w:r>
        <w:rPr>
          <w:rFonts w:hint="eastAsia"/>
        </w:rPr>
        <w:t>据</w:t>
      </w:r>
      <w:r w:rsidRPr="00675262">
        <w:t>国际能源署（</w:t>
      </w:r>
      <w:r w:rsidRPr="00675262">
        <w:t>International</w:t>
      </w:r>
      <w:r w:rsidRPr="00675262">
        <w:rPr>
          <w:rFonts w:hint="eastAsia"/>
        </w:rPr>
        <w:t xml:space="preserve"> </w:t>
      </w:r>
      <w:r w:rsidRPr="00675262">
        <w:t>Energy</w:t>
      </w:r>
      <w:r w:rsidRPr="00675262">
        <w:rPr>
          <w:rFonts w:hint="eastAsia"/>
        </w:rPr>
        <w:t xml:space="preserve"> </w:t>
      </w:r>
      <w:r w:rsidRPr="00675262">
        <w:t>Agency</w:t>
      </w:r>
      <w:r w:rsidRPr="00675262">
        <w:t>，</w:t>
      </w:r>
      <w:r w:rsidRPr="00675262">
        <w:t>IEA</w:t>
      </w:r>
      <w:r w:rsidRPr="00675262">
        <w:t>）估计</w:t>
      </w:r>
      <w:r w:rsidRPr="00675262">
        <w:rPr>
          <w:rFonts w:hint="eastAsia"/>
        </w:rPr>
        <w:t>，</w:t>
      </w:r>
      <w:r w:rsidRPr="00675262">
        <w:t>在</w:t>
      </w:r>
      <w:r w:rsidRPr="00675262">
        <w:t>2019</w:t>
      </w:r>
      <w:r>
        <w:rPr>
          <w:rFonts w:hint="eastAsia"/>
        </w:rPr>
        <w:t>到</w:t>
      </w:r>
      <w:r w:rsidRPr="00675262">
        <w:t>2024</w:t>
      </w:r>
      <w:r w:rsidRPr="00675262">
        <w:t>年间</w:t>
      </w:r>
      <w:r>
        <w:rPr>
          <w:rFonts w:hint="eastAsia"/>
        </w:rPr>
        <w:t>，我国在</w:t>
      </w:r>
      <w:r w:rsidRPr="00675262">
        <w:t>全球可再生能源容量</w:t>
      </w:r>
      <w:r>
        <w:rPr>
          <w:rFonts w:hint="eastAsia"/>
        </w:rPr>
        <w:t>增长中占比达到</w:t>
      </w:r>
      <w:r w:rsidRPr="00675262">
        <w:t>40%</w:t>
      </w:r>
      <w:r w:rsidRPr="00675262">
        <w:fldChar w:fldCharType="begin"/>
      </w:r>
      <w:r>
        <w:instrText xml:space="preserve"> ADDIN ZOTERO_ITEM CSL_CITATION {"citationID":"LtmKrZ2K","properties":{"formattedCitation":"\\super [1]\\nosupersub{}","plainCitation":"[1]","noteIndex":0},"citationItems":[{"id":2198,"uris":["http://zotero.org/users/13172592/items/BIWZCD8C"],"itemData":{"id":2198,"type":"report","event-place":"Paris","language":"en","publisher":"International Energy Agency","publisher-place":"Paris","title":"Renewables 2022","author":[{"family":"IEA","given":""}],"issued":{"date-parts":[["2022"]]}}}],"schema":"https://github.com/citation-style-language/schema/raw/master/csl-citation.json"} </w:instrText>
      </w:r>
      <w:r w:rsidRPr="00675262">
        <w:fldChar w:fldCharType="separate"/>
      </w:r>
      <w:r w:rsidRPr="00EB7246">
        <w:rPr>
          <w:rFonts w:cs="Times New Roman"/>
          <w:kern w:val="0"/>
          <w:vertAlign w:val="superscript"/>
        </w:rPr>
        <w:t>[1]</w:t>
      </w:r>
      <w:r w:rsidRPr="00675262">
        <w:fldChar w:fldCharType="end"/>
      </w:r>
      <w:r w:rsidRPr="00675262">
        <w:t>。</w:t>
      </w:r>
      <w:r>
        <w:rPr>
          <w:rFonts w:hint="eastAsia"/>
        </w:rPr>
        <w:t>当前</w:t>
      </w:r>
      <w:r w:rsidRPr="00675262">
        <w:rPr>
          <w:rFonts w:hint="eastAsia"/>
        </w:rPr>
        <w:t>，水力发</w:t>
      </w:r>
      <w:r>
        <w:rPr>
          <w:rFonts w:hint="eastAsia"/>
        </w:rPr>
        <w:t>电仍是我国清洁能源发电的主要来源，太阳能、风力发电近五年增长明显。</w:t>
      </w:r>
      <w:r>
        <w:rPr>
          <w:rFonts w:hint="eastAsia"/>
          <w:color w:val="000000" w:themeColor="text1"/>
        </w:rPr>
        <w:t>然而，</w:t>
      </w:r>
      <w:r w:rsidRPr="009E1FB2">
        <w:rPr>
          <w:rFonts w:hint="eastAsia"/>
          <w:color w:val="000000" w:themeColor="text1"/>
        </w:rPr>
        <w:t>我国能源资源与负荷中心呈逆向分布，</w:t>
      </w:r>
      <w:r>
        <w:rPr>
          <w:rFonts w:hint="eastAsia"/>
          <w:color w:val="000000" w:themeColor="text1"/>
        </w:rPr>
        <w:t>面临较为严重的弃能问题</w:t>
      </w:r>
      <w:r>
        <w:rPr>
          <w:color w:val="000000" w:themeColor="text1"/>
        </w:rPr>
        <w:fldChar w:fldCharType="begin"/>
      </w:r>
      <w:r>
        <w:rPr>
          <w:color w:val="000000" w:themeColor="text1"/>
        </w:rPr>
        <w:instrText xml:space="preserve"> ADDIN ZOTERO_ITEM CSL_CITATION {"citationID":"KxzqL2s6","properties":{"formattedCitation":"\\super [2]\\nosupersub{}","plainCitation":"[2]","noteIndex":0},"citationItems":[{"id":2213,"uris":["http://zotero.org/users/13172592/items/RV357NB6"],"itemData":{</w:instrText>
      </w:r>
      <w:r>
        <w:rPr>
          <w:rFonts w:hint="eastAsia"/>
          <w:color w:val="000000" w:themeColor="text1"/>
        </w:rPr>
        <w:instrText>"id":2213,"type":"thesis","abstract":"</w:instrText>
      </w:r>
      <w:r>
        <w:rPr>
          <w:rFonts w:hint="eastAsia"/>
          <w:color w:val="000000" w:themeColor="text1"/>
        </w:rPr>
        <w:instrText>随着能源危机和环境污染问题的日益加重</w:instrText>
      </w:r>
      <w:r>
        <w:rPr>
          <w:rFonts w:hint="eastAsia"/>
          <w:color w:val="000000" w:themeColor="text1"/>
        </w:rPr>
        <w:instrText>,</w:instrText>
      </w:r>
      <w:r>
        <w:rPr>
          <w:rFonts w:hint="eastAsia"/>
          <w:color w:val="000000" w:themeColor="text1"/>
        </w:rPr>
        <w:instrText>传统能源结构及利用方式难以为继</w:instrText>
      </w:r>
      <w:r>
        <w:rPr>
          <w:rFonts w:hint="eastAsia"/>
          <w:color w:val="000000" w:themeColor="text1"/>
        </w:rPr>
        <w:instrText>,</w:instrText>
      </w:r>
      <w:r>
        <w:rPr>
          <w:rFonts w:hint="eastAsia"/>
          <w:color w:val="000000" w:themeColor="text1"/>
        </w:rPr>
        <w:instrText>能源结构转型和发展可再生清洁能源占比势在必行。党的十九大报告提出“树立社会主义生态文明观</w:instrText>
      </w:r>
      <w:r>
        <w:rPr>
          <w:rFonts w:hint="eastAsia"/>
          <w:color w:val="000000" w:themeColor="text1"/>
        </w:rPr>
        <w:instrText>,</w:instrText>
      </w:r>
      <w:r>
        <w:rPr>
          <w:rFonts w:hint="eastAsia"/>
          <w:color w:val="000000" w:themeColor="text1"/>
        </w:rPr>
        <w:instrText>坚持绿色发展理念</w:instrText>
      </w:r>
      <w:r>
        <w:rPr>
          <w:rFonts w:hint="eastAsia"/>
          <w:color w:val="000000" w:themeColor="text1"/>
        </w:rPr>
        <w:instrText>,</w:instrText>
      </w:r>
      <w:r>
        <w:rPr>
          <w:rFonts w:hint="eastAsia"/>
          <w:color w:val="000000" w:themeColor="text1"/>
        </w:rPr>
        <w:instrText>推动能源生产与消费革命</w:instrText>
      </w:r>
      <w:r>
        <w:rPr>
          <w:rFonts w:hint="eastAsia"/>
          <w:color w:val="000000" w:themeColor="text1"/>
        </w:rPr>
        <w:instrText>,</w:instrText>
      </w:r>
      <w:r>
        <w:rPr>
          <w:rFonts w:hint="eastAsia"/>
          <w:color w:val="000000" w:themeColor="text1"/>
        </w:rPr>
        <w:instrText>构建清洁低碳、安全高效能源体系”战略布局</w:instrText>
      </w:r>
      <w:r>
        <w:rPr>
          <w:rFonts w:hint="eastAsia"/>
          <w:color w:val="000000" w:themeColor="text1"/>
        </w:rPr>
        <w:instrText>,</w:instrText>
      </w:r>
      <w:r>
        <w:rPr>
          <w:rFonts w:hint="eastAsia"/>
          <w:color w:val="000000" w:themeColor="text1"/>
        </w:rPr>
        <w:instrText>为我国能源行业发展指明了方向。</w:instrText>
      </w:r>
      <w:r>
        <w:rPr>
          <w:rFonts w:hint="eastAsia"/>
          <w:color w:val="000000" w:themeColor="text1"/>
        </w:rPr>
        <w:instrText>2016</w:instrText>
      </w:r>
      <w:r>
        <w:rPr>
          <w:rFonts w:hint="eastAsia"/>
          <w:color w:val="000000" w:themeColor="text1"/>
        </w:rPr>
        <w:instrText>年国家发改委、能源局、工信部印发《关于推进“互联网</w:instrText>
      </w:r>
      <w:r>
        <w:rPr>
          <w:rFonts w:hint="eastAsia"/>
          <w:color w:val="000000" w:themeColor="text1"/>
        </w:rPr>
        <w:instrText>+</w:instrText>
      </w:r>
      <w:r>
        <w:rPr>
          <w:rFonts w:hint="eastAsia"/>
          <w:color w:val="000000" w:themeColor="text1"/>
        </w:rPr>
        <w:instrText>”智慧能源发展的指导意见》</w:instrText>
      </w:r>
      <w:r>
        <w:rPr>
          <w:rFonts w:hint="eastAsia"/>
          <w:color w:val="000000" w:themeColor="text1"/>
        </w:rPr>
        <w:instrText>,</w:instrText>
      </w:r>
      <w:r>
        <w:rPr>
          <w:rFonts w:hint="eastAsia"/>
          <w:color w:val="000000" w:themeColor="text1"/>
        </w:rPr>
        <w:instrText>指出要加强多能协同分布式能源网络建设</w:instrText>
      </w:r>
      <w:r>
        <w:rPr>
          <w:rFonts w:hint="eastAsia"/>
          <w:color w:val="000000" w:themeColor="text1"/>
        </w:rPr>
        <w:instrText>,</w:instrText>
      </w:r>
      <w:r>
        <w:rPr>
          <w:rFonts w:hint="eastAsia"/>
          <w:color w:val="000000" w:themeColor="text1"/>
        </w:rPr>
        <w:instrText>电、气、热、冷等不同类型能源间的稱合互动和综合利用。传统能源系统中</w:instrText>
      </w:r>
      <w:r>
        <w:rPr>
          <w:rFonts w:hint="eastAsia"/>
          <w:color w:val="000000" w:themeColor="text1"/>
        </w:rPr>
        <w:instrText>,</w:instrText>
      </w:r>
      <w:r>
        <w:rPr>
          <w:rFonts w:hint="eastAsia"/>
          <w:color w:val="000000" w:themeColor="text1"/>
        </w:rPr>
        <w:instrText>由于不同类型的能源系统相对独立</w:instrText>
      </w:r>
      <w:r>
        <w:rPr>
          <w:rFonts w:hint="eastAsia"/>
          <w:color w:val="000000" w:themeColor="text1"/>
        </w:rPr>
        <w:instrText>,</w:instrText>
      </w:r>
      <w:r>
        <w:rPr>
          <w:rFonts w:hint="eastAsia"/>
          <w:color w:val="000000" w:themeColor="text1"/>
        </w:rPr>
        <w:instrText>整体能源利用效率较低。如何打破各能源系统之间的壁垒</w:instrText>
      </w:r>
      <w:r>
        <w:rPr>
          <w:rFonts w:hint="eastAsia"/>
          <w:color w:val="000000" w:themeColor="text1"/>
        </w:rPr>
        <w:instrText>,</w:instrText>
      </w:r>
      <w:r>
        <w:rPr>
          <w:rFonts w:hint="eastAsia"/>
          <w:color w:val="000000" w:themeColor="text1"/>
        </w:rPr>
        <w:instrText>构建集成互补的综合能源体系</w:instrText>
      </w:r>
      <w:r>
        <w:rPr>
          <w:rFonts w:hint="eastAsia"/>
          <w:color w:val="000000" w:themeColor="text1"/>
        </w:rPr>
        <w:instrText>,</w:instrText>
      </w:r>
      <w:r>
        <w:rPr>
          <w:rFonts w:hint="eastAsia"/>
          <w:color w:val="000000" w:themeColor="text1"/>
        </w:rPr>
        <w:instrText>协调优化多种资源出力</w:instrText>
      </w:r>
      <w:r>
        <w:rPr>
          <w:rFonts w:hint="eastAsia"/>
          <w:color w:val="000000" w:themeColor="text1"/>
        </w:rPr>
        <w:instrText>,</w:instrText>
      </w:r>
      <w:r>
        <w:rPr>
          <w:rFonts w:hint="eastAsia"/>
          <w:color w:val="000000" w:themeColor="text1"/>
        </w:rPr>
        <w:instrText>成为能源领域的主要发展趋势。同时</w:instrText>
      </w:r>
      <w:r>
        <w:rPr>
          <w:rFonts w:hint="eastAsia"/>
          <w:color w:val="000000" w:themeColor="text1"/>
        </w:rPr>
        <w:instrText>,</w:instrText>
      </w:r>
      <w:r>
        <w:rPr>
          <w:rFonts w:hint="eastAsia"/>
          <w:color w:val="000000" w:themeColor="text1"/>
        </w:rPr>
        <w:instrText>我国资源环境约束不断加强</w:instrText>
      </w:r>
      <w:r>
        <w:rPr>
          <w:rFonts w:hint="eastAsia"/>
          <w:color w:val="000000" w:themeColor="text1"/>
        </w:rPr>
        <w:instrText>,</w:instrText>
      </w:r>
      <w:r>
        <w:rPr>
          <w:rFonts w:hint="eastAsia"/>
          <w:color w:val="000000" w:themeColor="text1"/>
        </w:rPr>
        <w:instrText>集中式能源开发已难以满足传输损耗、利用效率、环境污染等方面要求</w:instrText>
      </w:r>
      <w:r>
        <w:rPr>
          <w:rFonts w:hint="eastAsia"/>
          <w:color w:val="000000" w:themeColor="text1"/>
        </w:rPr>
        <w:instrText>,</w:instrText>
      </w:r>
      <w:r>
        <w:rPr>
          <w:rFonts w:hint="eastAsia"/>
          <w:color w:val="000000" w:themeColor="text1"/>
        </w:rPr>
        <w:instrText>具备近用户、高能效等优势的分布式能源将成为能源结构转型的新主体。《能源发展“十三五”规划》提出到</w:instrText>
      </w:r>
      <w:r>
        <w:rPr>
          <w:rFonts w:hint="eastAsia"/>
          <w:color w:val="000000" w:themeColor="text1"/>
        </w:rPr>
        <w:instrText>2020</w:instrText>
      </w:r>
      <w:r>
        <w:rPr>
          <w:rFonts w:hint="eastAsia"/>
          <w:color w:val="000000" w:themeColor="text1"/>
        </w:rPr>
        <w:instrText>年分布式天然气发电、光伏装机要达到</w:instrText>
      </w:r>
      <w:r>
        <w:rPr>
          <w:rFonts w:hint="eastAsia"/>
          <w:color w:val="000000" w:themeColor="text1"/>
        </w:rPr>
        <w:instrText>1500</w:instrText>
      </w:r>
      <w:r>
        <w:rPr>
          <w:rFonts w:hint="eastAsia"/>
          <w:color w:val="000000" w:themeColor="text1"/>
        </w:rPr>
        <w:instrText>万千瓦和</w:instrText>
      </w:r>
      <w:r>
        <w:rPr>
          <w:rFonts w:hint="eastAsia"/>
          <w:color w:val="000000" w:themeColor="text1"/>
        </w:rPr>
        <w:instrText>6000</w:instrText>
      </w:r>
      <w:r>
        <w:rPr>
          <w:rFonts w:hint="eastAsia"/>
          <w:color w:val="000000" w:themeColor="text1"/>
        </w:rPr>
        <w:instrText>万千瓦</w:instrText>
      </w:r>
      <w:r>
        <w:rPr>
          <w:rFonts w:hint="eastAsia"/>
          <w:color w:val="000000" w:themeColor="text1"/>
        </w:rPr>
        <w:instrText>,</w:instrText>
      </w:r>
      <w:r>
        <w:rPr>
          <w:rFonts w:hint="eastAsia"/>
          <w:color w:val="000000" w:themeColor="text1"/>
        </w:rPr>
        <w:instrText>并积极发展分散式风电。未来</w:instrText>
      </w:r>
      <w:r>
        <w:rPr>
          <w:rFonts w:hint="eastAsia"/>
          <w:color w:val="000000" w:themeColor="text1"/>
        </w:rPr>
        <w:instrText>,</w:instrText>
      </w:r>
      <w:r>
        <w:rPr>
          <w:rFonts w:hint="eastAsia"/>
          <w:color w:val="000000" w:themeColor="text1"/>
        </w:rPr>
        <w:instrText>我国能源开发模式将呈现集中式与分布式并举局面。因此</w:instrText>
      </w:r>
      <w:r>
        <w:rPr>
          <w:rFonts w:hint="eastAsia"/>
          <w:color w:val="000000" w:themeColor="text1"/>
        </w:rPr>
        <w:instrText>,</w:instrText>
      </w:r>
      <w:r>
        <w:rPr>
          <w:rFonts w:hint="eastAsia"/>
          <w:color w:val="000000" w:themeColor="text1"/>
        </w:rPr>
        <w:instrText>本文围绕着能源集中式开发与分布式开发两种模式</w:instrText>
      </w:r>
      <w:r>
        <w:rPr>
          <w:rFonts w:hint="eastAsia"/>
          <w:color w:val="000000" w:themeColor="text1"/>
        </w:rPr>
        <w:instrText>,</w:instrText>
      </w:r>
      <w:r>
        <w:rPr>
          <w:rFonts w:hint="eastAsia"/>
          <w:color w:val="000000" w:themeColor="text1"/>
        </w:rPr>
        <w:instrText>构造考虑多能互补清洁能源协同调度优化模型</w:instrText>
      </w:r>
      <w:r>
        <w:rPr>
          <w:rFonts w:hint="eastAsia"/>
          <w:color w:val="000000" w:themeColor="text1"/>
        </w:rPr>
        <w:instrText>,</w:instrText>
      </w:r>
      <w:r>
        <w:rPr>
          <w:rFonts w:hint="eastAsia"/>
          <w:color w:val="000000" w:themeColor="text1"/>
        </w:rPr>
        <w:instrText>并提出了多类型主体效益动态均衡机制</w:instrText>
      </w:r>
      <w:r>
        <w:rPr>
          <w:rFonts w:hint="eastAsia"/>
          <w:color w:val="000000" w:themeColor="text1"/>
        </w:rPr>
        <w:instrText>,</w:instrText>
      </w:r>
      <w:r>
        <w:rPr>
          <w:rFonts w:hint="eastAsia"/>
          <w:color w:val="000000" w:themeColor="text1"/>
        </w:rPr>
        <w:instrText>主要研究内容如下</w:instrText>
      </w:r>
      <w:r>
        <w:rPr>
          <w:rFonts w:hint="eastAsia"/>
          <w:color w:val="000000" w:themeColor="text1"/>
        </w:rPr>
        <w:instrText>:(1)</w:instrText>
      </w:r>
      <w:r>
        <w:rPr>
          <w:rFonts w:hint="eastAsia"/>
          <w:color w:val="000000" w:themeColor="text1"/>
        </w:rPr>
        <w:instrText>梳理了多能互补和清洁能源协同利用的成果与理论</w:instrText>
      </w:r>
      <w:r>
        <w:rPr>
          <w:rFonts w:hint="eastAsia"/>
          <w:color w:val="000000" w:themeColor="text1"/>
        </w:rPr>
        <w:instrText>,</w:instrText>
      </w:r>
      <w:r>
        <w:rPr>
          <w:rFonts w:hint="eastAsia"/>
          <w:color w:val="000000" w:themeColor="text1"/>
        </w:rPr>
        <w:instrText>论证了论文研究的可行性和必要性</w:instrText>
      </w:r>
      <w:r>
        <w:rPr>
          <w:rFonts w:hint="eastAsia"/>
          <w:color w:val="000000" w:themeColor="text1"/>
        </w:rPr>
        <w:instrText>,</w:instrText>
      </w:r>
      <w:r>
        <w:rPr>
          <w:rFonts w:hint="eastAsia"/>
          <w:color w:val="000000" w:themeColor="text1"/>
        </w:rPr>
        <w:instrText>突出了论文研究的背景及意义。首先</w:instrText>
      </w:r>
      <w:r>
        <w:rPr>
          <w:rFonts w:hint="eastAsia"/>
          <w:color w:val="000000" w:themeColor="text1"/>
        </w:rPr>
        <w:instrText>,</w:instrText>
      </w:r>
      <w:r>
        <w:rPr>
          <w:rFonts w:hint="eastAsia"/>
          <w:color w:val="000000" w:themeColor="text1"/>
        </w:rPr>
        <w:instrText>从多能互补系统实践现状、作用机理</w:instrText>
      </w:r>
      <w:r>
        <w:rPr>
          <w:rFonts w:hint="eastAsia"/>
          <w:color w:val="000000" w:themeColor="text1"/>
        </w:rPr>
        <w:instrText>,</w:instrText>
      </w:r>
      <w:r>
        <w:rPr>
          <w:rFonts w:hint="eastAsia"/>
          <w:color w:val="000000" w:themeColor="text1"/>
        </w:rPr>
        <w:instrText>协调调度</w:instrText>
      </w:r>
      <w:r>
        <w:rPr>
          <w:rFonts w:hint="eastAsia"/>
          <w:color w:val="000000" w:themeColor="text1"/>
        </w:rPr>
        <w:instrText>,</w:instrText>
      </w:r>
      <w:r>
        <w:rPr>
          <w:rFonts w:hint="eastAsia"/>
          <w:color w:val="000000" w:themeColor="text1"/>
        </w:rPr>
        <w:instrText>利益均衡四方面总结了论文研究内容相关的国内外研究现状</w:instrText>
      </w:r>
      <w:r>
        <w:rPr>
          <w:rFonts w:hint="eastAsia"/>
          <w:color w:val="000000" w:themeColor="text1"/>
        </w:rPr>
        <w:instrText>,</w:instrText>
      </w:r>
      <w:r>
        <w:rPr>
          <w:rFonts w:hint="eastAsia"/>
          <w:color w:val="000000" w:themeColor="text1"/>
        </w:rPr>
        <w:instrText>介绍了多能互补的基本含义和相关政策。然后</w:instrText>
      </w:r>
      <w:r>
        <w:rPr>
          <w:rFonts w:hint="eastAsia"/>
          <w:color w:val="000000" w:themeColor="text1"/>
        </w:rPr>
        <w:instrText>,</w:instrText>
      </w:r>
      <w:r>
        <w:rPr>
          <w:rFonts w:hint="eastAsia"/>
          <w:color w:val="000000" w:themeColor="text1"/>
        </w:rPr>
        <w:instrText>明晰了多能互补的运行模式</w:instrText>
      </w:r>
      <w:r>
        <w:rPr>
          <w:rFonts w:hint="eastAsia"/>
          <w:color w:val="000000" w:themeColor="text1"/>
        </w:rPr>
        <w:instrText>,</w:instrText>
      </w:r>
      <w:r>
        <w:rPr>
          <w:rFonts w:hint="eastAsia"/>
          <w:color w:val="000000" w:themeColor="text1"/>
        </w:rPr>
        <w:instrText>包括集中式和分布式两类</w:instrText>
      </w:r>
      <w:r>
        <w:rPr>
          <w:rFonts w:hint="eastAsia"/>
          <w:color w:val="000000" w:themeColor="text1"/>
        </w:rPr>
        <w:instrText>,</w:instrText>
      </w:r>
      <w:r>
        <w:rPr>
          <w:rFonts w:hint="eastAsia"/>
          <w:color w:val="000000" w:themeColor="text1"/>
        </w:rPr>
        <w:instrText>其中</w:instrText>
      </w:r>
      <w:r>
        <w:rPr>
          <w:rFonts w:hint="eastAsia"/>
          <w:color w:val="000000" w:themeColor="text1"/>
        </w:rPr>
        <w:instrText>,</w:instrText>
      </w:r>
      <w:r>
        <w:rPr>
          <w:rFonts w:hint="eastAsia"/>
          <w:color w:val="000000" w:themeColor="text1"/>
        </w:rPr>
        <w:instrText>集中式包括风光水火储大型能源基地协同运行和电热冷气综合能源系统</w:instrText>
      </w:r>
      <w:r>
        <w:rPr>
          <w:rFonts w:hint="eastAsia"/>
          <w:color w:val="000000" w:themeColor="text1"/>
        </w:rPr>
        <w:instrText>,</w:instrText>
      </w:r>
      <w:r>
        <w:rPr>
          <w:rFonts w:hint="eastAsia"/>
          <w:color w:val="000000" w:themeColor="text1"/>
        </w:rPr>
        <w:instrText>而分布式包括虚拟电厂调度优化模型和微能源站运营优化模型。最后</w:instrText>
      </w:r>
      <w:r>
        <w:rPr>
          <w:rFonts w:hint="eastAsia"/>
          <w:color w:val="000000" w:themeColor="text1"/>
        </w:rPr>
        <w:instrText>,</w:instrText>
      </w:r>
      <w:r>
        <w:rPr>
          <w:rFonts w:hint="eastAsia"/>
          <w:color w:val="000000" w:themeColor="text1"/>
        </w:rPr>
        <w:instrText>文章对比分析了国内外多能互补实践现状</w:instrText>
      </w:r>
      <w:r>
        <w:rPr>
          <w:rFonts w:hint="eastAsia"/>
          <w:color w:val="000000" w:themeColor="text1"/>
        </w:rPr>
        <w:instrText>,</w:instrText>
      </w:r>
      <w:r>
        <w:rPr>
          <w:rFonts w:hint="eastAsia"/>
          <w:color w:val="000000" w:themeColor="text1"/>
        </w:rPr>
        <w:instrText>并给出了相应的经验启示。</w:instrText>
      </w:r>
      <w:r>
        <w:rPr>
          <w:rFonts w:hint="eastAsia"/>
          <w:color w:val="000000" w:themeColor="text1"/>
        </w:rPr>
        <w:instrText>(2)</w:instrText>
      </w:r>
      <w:r>
        <w:rPr>
          <w:rFonts w:hint="eastAsia"/>
          <w:color w:val="000000" w:themeColor="text1"/>
        </w:rPr>
        <w:instrText>提出了考虑多能互补的风光水火储能源基地协同调度优化模型。首先</w:instrText>
      </w:r>
      <w:r>
        <w:rPr>
          <w:rFonts w:hint="eastAsia"/>
          <w:color w:val="000000" w:themeColor="text1"/>
        </w:rPr>
        <w:instrText>,</w:instrText>
      </w:r>
      <w:r>
        <w:rPr>
          <w:rFonts w:hint="eastAsia"/>
          <w:color w:val="000000" w:themeColor="text1"/>
        </w:rPr>
        <w:instrText>围绕风</w:instrText>
      </w:r>
      <w:r>
        <w:rPr>
          <w:rFonts w:hint="eastAsia"/>
          <w:color w:val="000000" w:themeColor="text1"/>
        </w:rPr>
        <w:instrText>-</w:instrText>
      </w:r>
      <w:r>
        <w:rPr>
          <w:rFonts w:hint="eastAsia"/>
          <w:color w:val="000000" w:themeColor="text1"/>
        </w:rPr>
        <w:instrText>光</w:instrText>
      </w:r>
      <w:r>
        <w:rPr>
          <w:rFonts w:hint="eastAsia"/>
          <w:color w:val="000000" w:themeColor="text1"/>
        </w:rPr>
        <w:instrText>-</w:instrText>
      </w:r>
      <w:r>
        <w:rPr>
          <w:rFonts w:hint="eastAsia"/>
          <w:color w:val="000000" w:themeColor="text1"/>
        </w:rPr>
        <w:instrText>抽水蓄能协同运行问题</w:instrText>
      </w:r>
      <w:r>
        <w:rPr>
          <w:rFonts w:hint="eastAsia"/>
          <w:color w:val="000000" w:themeColor="text1"/>
        </w:rPr>
        <w:instrText>,</w:instrText>
      </w:r>
      <w:r>
        <w:rPr>
          <w:rFonts w:hint="eastAsia"/>
          <w:color w:val="000000" w:themeColor="text1"/>
        </w:rPr>
        <w:instrText>建立了系统输出功率模型及常规调度优化模型</w:instrText>
      </w:r>
      <w:r>
        <w:rPr>
          <w:rFonts w:hint="eastAsia"/>
          <w:color w:val="000000" w:themeColor="text1"/>
        </w:rPr>
        <w:instrText>;</w:instrText>
      </w:r>
      <w:r>
        <w:rPr>
          <w:rFonts w:hint="eastAsia"/>
          <w:color w:val="000000" w:themeColor="text1"/>
        </w:rPr>
        <w:instrText>为了解决风光不确定性给系统稳定运行带来的冲击</w:instrText>
      </w:r>
      <w:r>
        <w:rPr>
          <w:rFonts w:hint="eastAsia"/>
          <w:color w:val="000000" w:themeColor="text1"/>
        </w:rPr>
        <w:instrText>,</w:instrText>
      </w:r>
      <w:r>
        <w:rPr>
          <w:rFonts w:hint="eastAsia"/>
          <w:color w:val="000000" w:themeColor="text1"/>
        </w:rPr>
        <w:instrText>借助鲁棒随机优化理论构造了随机调度优化模型</w:instrText>
      </w:r>
      <w:r>
        <w:rPr>
          <w:rFonts w:hint="eastAsia"/>
          <w:color w:val="000000" w:themeColor="text1"/>
        </w:rPr>
        <w:instrText>;</w:instrText>
      </w:r>
      <w:r>
        <w:rPr>
          <w:rFonts w:hint="eastAsia"/>
          <w:color w:val="000000" w:themeColor="text1"/>
        </w:rPr>
        <w:instrText>进而</w:instrText>
      </w:r>
      <w:r>
        <w:rPr>
          <w:rFonts w:hint="eastAsia"/>
          <w:color w:val="000000" w:themeColor="text1"/>
        </w:rPr>
        <w:instrText>,</w:instrText>
      </w:r>
      <w:r>
        <w:rPr>
          <w:rFonts w:hint="eastAsia"/>
          <w:color w:val="000000" w:themeColor="text1"/>
        </w:rPr>
        <w:instrText>针对风</w:instrText>
      </w:r>
      <w:r>
        <w:rPr>
          <w:rFonts w:hint="eastAsia"/>
          <w:color w:val="000000" w:themeColor="text1"/>
        </w:rPr>
        <w:instrText>-</w:instrText>
      </w:r>
      <w:r>
        <w:rPr>
          <w:rFonts w:hint="eastAsia"/>
          <w:color w:val="000000" w:themeColor="text1"/>
        </w:rPr>
        <w:instrText>光</w:instrText>
      </w:r>
      <w:r>
        <w:rPr>
          <w:rFonts w:hint="eastAsia"/>
          <w:color w:val="000000" w:themeColor="text1"/>
        </w:rPr>
        <w:instrText>-</w:instrText>
      </w:r>
      <w:r>
        <w:rPr>
          <w:rFonts w:hint="eastAsia"/>
          <w:color w:val="000000" w:themeColor="text1"/>
        </w:rPr>
        <w:instrText>水</w:instrText>
      </w:r>
      <w:r>
        <w:rPr>
          <w:rFonts w:hint="eastAsia"/>
          <w:color w:val="000000" w:themeColor="text1"/>
        </w:rPr>
        <w:instrText>-</w:instrText>
      </w:r>
      <w:r>
        <w:rPr>
          <w:rFonts w:hint="eastAsia"/>
          <w:color w:val="000000" w:themeColor="text1"/>
        </w:rPr>
        <w:instrText>火</w:instrText>
      </w:r>
      <w:r>
        <w:rPr>
          <w:rFonts w:hint="eastAsia"/>
          <w:color w:val="000000" w:themeColor="text1"/>
        </w:rPr>
        <w:instrText>-</w:instrText>
      </w:r>
      <w:r>
        <w:rPr>
          <w:rFonts w:hint="eastAsia"/>
          <w:color w:val="000000" w:themeColor="text1"/>
        </w:rPr>
        <w:instrText>储耦合系统运行优化问题</w:instrText>
      </w:r>
      <w:r>
        <w:rPr>
          <w:rFonts w:hint="eastAsia"/>
          <w:color w:val="000000" w:themeColor="text1"/>
        </w:rPr>
        <w:instrText>,</w:instrText>
      </w:r>
      <w:r>
        <w:rPr>
          <w:rFonts w:hint="eastAsia"/>
          <w:color w:val="000000" w:themeColor="text1"/>
        </w:rPr>
        <w:instrText>介绍了耦合系统的基本构成</w:instrText>
      </w:r>
      <w:r>
        <w:rPr>
          <w:rFonts w:hint="eastAsia"/>
          <w:color w:val="000000" w:themeColor="text1"/>
        </w:rPr>
        <w:instrText>,</w:instrText>
      </w:r>
      <w:r>
        <w:rPr>
          <w:rFonts w:hint="eastAsia"/>
          <w:color w:val="000000" w:themeColor="text1"/>
        </w:rPr>
        <w:instrText>以最大化运营收益、最小化弃能成本和最小化出力波动为目标函数</w:instrText>
      </w:r>
      <w:r>
        <w:rPr>
          <w:rFonts w:hint="eastAsia"/>
          <w:color w:val="000000" w:themeColor="text1"/>
        </w:rPr>
        <w:instrText>,</w:instrText>
      </w:r>
      <w:r>
        <w:rPr>
          <w:rFonts w:hint="eastAsia"/>
          <w:color w:val="000000" w:themeColor="text1"/>
        </w:rPr>
        <w:instrText>构造了多目标调度模型及求解算法。</w:instrText>
      </w:r>
      <w:r>
        <w:rPr>
          <w:rFonts w:hint="eastAsia"/>
          <w:color w:val="000000" w:themeColor="text1"/>
        </w:rPr>
        <w:instrText>(3)</w:instrText>
      </w:r>
      <w:r>
        <w:rPr>
          <w:rFonts w:hint="eastAsia"/>
          <w:color w:val="000000" w:themeColor="text1"/>
        </w:rPr>
        <w:instrText>构造了考虑多能互补的综合能源系统冷热电气协同调度优化模型。首先</w:instrText>
      </w:r>
      <w:r>
        <w:rPr>
          <w:rFonts w:hint="eastAsia"/>
          <w:color w:val="000000" w:themeColor="text1"/>
        </w:rPr>
        <w:instrText>,</w:instrText>
      </w:r>
      <w:r>
        <w:rPr>
          <w:rFonts w:hint="eastAsia"/>
          <w:color w:val="000000" w:themeColor="text1"/>
        </w:rPr>
        <w:instrText>逐层设计了电热互联系统、电气互联系统、冷热电气互联系统的基本构成思路</w:instrText>
      </w:r>
      <w:r>
        <w:rPr>
          <w:rFonts w:hint="eastAsia"/>
          <w:color w:val="000000" w:themeColor="text1"/>
        </w:rPr>
        <w:instrText>,</w:instrText>
      </w:r>
      <w:r>
        <w:rPr>
          <w:rFonts w:hint="eastAsia"/>
          <w:color w:val="000000" w:themeColor="text1"/>
        </w:rPr>
        <w:instrText>并明确了能源设备的功能特性。然后</w:instrText>
      </w:r>
      <w:r>
        <w:rPr>
          <w:rFonts w:hint="eastAsia"/>
          <w:color w:val="000000" w:themeColor="text1"/>
        </w:rPr>
        <w:instrText>,</w:instrText>
      </w:r>
      <w:r>
        <w:rPr>
          <w:rFonts w:hint="eastAsia"/>
          <w:color w:val="000000" w:themeColor="text1"/>
        </w:rPr>
        <w:instrText>针对风光不确定性给系统运行带来的影响</w:instrText>
      </w:r>
      <w:r>
        <w:rPr>
          <w:rFonts w:hint="eastAsia"/>
          <w:color w:val="000000" w:themeColor="text1"/>
        </w:rPr>
        <w:instrText>,</w:instrText>
      </w:r>
      <w:r>
        <w:rPr>
          <w:rFonts w:hint="eastAsia"/>
          <w:color w:val="000000" w:themeColor="text1"/>
        </w:rPr>
        <w:instrText>利用</w:instrText>
      </w:r>
      <w:r>
        <w:rPr>
          <w:rFonts w:hint="eastAsia"/>
          <w:color w:val="000000" w:themeColor="text1"/>
        </w:rPr>
        <w:instrText>CVaR</w:instrText>
      </w:r>
      <w:r>
        <w:rPr>
          <w:rFonts w:hint="eastAsia"/>
          <w:color w:val="000000" w:themeColor="text1"/>
        </w:rPr>
        <w:instrText>方法和鲁棒随机优化方法</w:instrText>
      </w:r>
      <w:r>
        <w:rPr>
          <w:rFonts w:hint="eastAsia"/>
          <w:color w:val="000000" w:themeColor="text1"/>
        </w:rPr>
        <w:instrText>,</w:instrText>
      </w:r>
      <w:r>
        <w:rPr>
          <w:rFonts w:hint="eastAsia"/>
          <w:color w:val="000000" w:themeColor="text1"/>
        </w:rPr>
        <w:instrText>逐步构造电热耦合调度模型、电气互联多目标调度模型以及冷热电气互联协调调度优化模型。最后</w:instrText>
      </w:r>
      <w:r>
        <w:rPr>
          <w:rFonts w:hint="eastAsia"/>
          <w:color w:val="000000" w:themeColor="text1"/>
        </w:rPr>
        <w:instrText>,</w:instrText>
      </w:r>
      <w:r>
        <w:rPr>
          <w:rFonts w:hint="eastAsia"/>
          <w:color w:val="000000" w:themeColor="text1"/>
        </w:rPr>
        <w:instrText>通过对上述相关模型进行算例分析</w:instrText>
      </w:r>
      <w:r>
        <w:rPr>
          <w:rFonts w:hint="eastAsia"/>
          <w:color w:val="000000" w:themeColor="text1"/>
        </w:rPr>
        <w:instrText>,</w:instrText>
      </w:r>
      <w:r>
        <w:rPr>
          <w:rFonts w:hint="eastAsia"/>
          <w:color w:val="000000" w:themeColor="text1"/>
        </w:rPr>
        <w:instrText>验证了所提模型的有效性和适用性。</w:instrText>
      </w:r>
      <w:r>
        <w:rPr>
          <w:rFonts w:hint="eastAsia"/>
          <w:color w:val="000000" w:themeColor="text1"/>
        </w:rPr>
        <w:instrText>(4)</w:instrText>
      </w:r>
      <w:r>
        <w:rPr>
          <w:rFonts w:hint="eastAsia"/>
          <w:color w:val="000000" w:themeColor="text1"/>
        </w:rPr>
        <w:instrText>创建了考虑多能互补的分布式能源聚合微能源站调度优化模型。针对能源分布式开发方式</w:instrText>
      </w:r>
      <w:r>
        <w:rPr>
          <w:rFonts w:hint="eastAsia"/>
          <w:color w:val="000000" w:themeColor="text1"/>
        </w:rPr>
        <w:instrText>,</w:instrText>
      </w:r>
      <w:r>
        <w:rPr>
          <w:rFonts w:hint="eastAsia"/>
          <w:color w:val="000000" w:themeColor="text1"/>
        </w:rPr>
        <w:instrText>讨论多类型分布式能源聚合利用问题。一方面</w:instrText>
      </w:r>
      <w:r>
        <w:rPr>
          <w:rFonts w:hint="eastAsia"/>
          <w:color w:val="000000" w:themeColor="text1"/>
        </w:rPr>
        <w:instrText>,</w:instrText>
      </w:r>
      <w:r>
        <w:rPr>
          <w:rFonts w:hint="eastAsia"/>
          <w:color w:val="000000" w:themeColor="text1"/>
        </w:rPr>
        <w:instrText>讨论风、光、燃气轮机等分布式电源聚合虚拟电厂</w:instrText>
      </w:r>
      <w:r>
        <w:rPr>
          <w:rFonts w:hint="eastAsia"/>
          <w:color w:val="000000" w:themeColor="text1"/>
        </w:rPr>
        <w:instrText>,</w:instrText>
      </w:r>
      <w:r>
        <w:rPr>
          <w:rFonts w:hint="eastAsia"/>
          <w:color w:val="000000" w:themeColor="text1"/>
        </w:rPr>
        <w:instrText>构造了虚拟电厂风险规避调度优化模型及低碳调度优化模型。另一方面</w:instrText>
      </w:r>
      <w:r>
        <w:rPr>
          <w:rFonts w:hint="eastAsia"/>
          <w:color w:val="000000" w:themeColor="text1"/>
        </w:rPr>
        <w:instrText>,</w:instrText>
      </w:r>
      <w:r>
        <w:rPr>
          <w:rFonts w:hint="eastAsia"/>
          <w:color w:val="000000" w:themeColor="text1"/>
        </w:rPr>
        <w:instrText>介绍了电热耦合微能源站、电热气耦合微能源站的系统结构</w:instrText>
      </w:r>
      <w:r>
        <w:rPr>
          <w:rFonts w:hint="eastAsia"/>
          <w:color w:val="000000" w:themeColor="text1"/>
        </w:rPr>
        <w:instrText>;</w:instrText>
      </w:r>
      <w:r>
        <w:rPr>
          <w:rFonts w:hint="eastAsia"/>
          <w:color w:val="000000" w:themeColor="text1"/>
        </w:rPr>
        <w:instrText>然后</w:instrText>
      </w:r>
      <w:r>
        <w:rPr>
          <w:rFonts w:hint="eastAsia"/>
          <w:color w:val="000000" w:themeColor="text1"/>
        </w:rPr>
        <w:instrText>,</w:instrText>
      </w:r>
      <w:r>
        <w:rPr>
          <w:rFonts w:hint="eastAsia"/>
          <w:color w:val="000000" w:themeColor="text1"/>
        </w:rPr>
        <w:instrText>建立了不同类型分布式能源的输出功率模型</w:instrText>
      </w:r>
      <w:r>
        <w:rPr>
          <w:rFonts w:hint="eastAsia"/>
          <w:color w:val="000000" w:themeColor="text1"/>
        </w:rPr>
        <w:instrText>,</w:instrText>
      </w:r>
      <w:r>
        <w:rPr>
          <w:rFonts w:hint="eastAsia"/>
          <w:color w:val="000000" w:themeColor="text1"/>
        </w:rPr>
        <w:instrText>进而构造电热微能源站风险规避优化模型和电热气微能源站多目标调度模型</w:instrText>
      </w:r>
      <w:r>
        <w:rPr>
          <w:rFonts w:hint="eastAsia"/>
          <w:color w:val="000000" w:themeColor="text1"/>
        </w:rPr>
        <w:instrText>,</w:instrText>
      </w:r>
      <w:r>
        <w:rPr>
          <w:rFonts w:hint="eastAsia"/>
          <w:color w:val="000000" w:themeColor="text1"/>
        </w:rPr>
        <w:instrText>并线性化处理模型中的非线性目标函数及约束条件。</w:instrText>
      </w:r>
      <w:r>
        <w:rPr>
          <w:rFonts w:hint="eastAsia"/>
          <w:color w:val="000000" w:themeColor="text1"/>
        </w:rPr>
        <w:instrText>(5)</w:instrText>
      </w:r>
      <w:r>
        <w:rPr>
          <w:rFonts w:hint="eastAsia"/>
          <w:color w:val="000000" w:themeColor="text1"/>
        </w:rPr>
        <w:instrText>设计了考虑多能互补的清洁能源系统效益评价及效益均衡模型。首先</w:instrText>
      </w:r>
      <w:r>
        <w:rPr>
          <w:rFonts w:hint="eastAsia"/>
          <w:color w:val="000000" w:themeColor="text1"/>
        </w:rPr>
        <w:instrText>,</w:instrText>
      </w:r>
      <w:r>
        <w:rPr>
          <w:rFonts w:hint="eastAsia"/>
          <w:color w:val="000000" w:themeColor="text1"/>
        </w:rPr>
        <w:instrText>从经济效益、技术效益、环境效益和社会效益四个维度建立了考虑多能互补的清洁能源系统效益评价指标体系</w:instrText>
      </w:r>
      <w:r>
        <w:rPr>
          <w:rFonts w:hint="eastAsia"/>
          <w:color w:val="000000" w:themeColor="text1"/>
        </w:rPr>
        <w:instrText>,</w:instrText>
      </w:r>
      <w:r>
        <w:rPr>
          <w:rFonts w:hint="eastAsia"/>
          <w:color w:val="000000" w:themeColor="text1"/>
        </w:rPr>
        <w:instrText>并利用改进云模糊的综合评价方法</w:instrText>
      </w:r>
      <w:r>
        <w:rPr>
          <w:rFonts w:hint="eastAsia"/>
          <w:color w:val="000000" w:themeColor="text1"/>
        </w:rPr>
        <w:instrText>,</w:instrText>
      </w:r>
      <w:r>
        <w:rPr>
          <w:rFonts w:hint="eastAsia"/>
          <w:color w:val="000000" w:themeColor="text1"/>
        </w:rPr>
        <w:instrText>形成考虑多能互补的清洁能源系统效益综合评价模型</w:instrText>
      </w:r>
      <w:r>
        <w:rPr>
          <w:rFonts w:hint="eastAsia"/>
          <w:color w:val="000000" w:themeColor="text1"/>
        </w:rPr>
        <w:instrText>,</w:instrText>
      </w:r>
      <w:r>
        <w:rPr>
          <w:rFonts w:hint="eastAsia"/>
          <w:color w:val="000000" w:themeColor="text1"/>
        </w:rPr>
        <w:instrText>从而为清洁能源系统项目评价选择问题提供理论基础和决策支撑。在清洁能源系统效益评价体系的基础上</w:instrText>
      </w:r>
      <w:r>
        <w:rPr>
          <w:rFonts w:hint="eastAsia"/>
          <w:color w:val="000000" w:themeColor="text1"/>
        </w:rPr>
        <w:instrText>,</w:instrText>
      </w:r>
      <w:r>
        <w:rPr>
          <w:rFonts w:hint="eastAsia"/>
          <w:color w:val="000000" w:themeColor="text1"/>
        </w:rPr>
        <w:instrText>分别从能源系统内部和跨区域两个角度分别分析了多类型能源耦合系统中参与方的角色关系</w:instrText>
      </w:r>
      <w:r>
        <w:rPr>
          <w:rFonts w:hint="eastAsia"/>
          <w:color w:val="000000" w:themeColor="text1"/>
        </w:rPr>
        <w:instrText>,</w:instrText>
      </w:r>
      <w:r>
        <w:rPr>
          <w:rFonts w:hint="eastAsia"/>
          <w:color w:val="000000" w:themeColor="text1"/>
        </w:rPr>
        <w:instrText>沿能量传递链明晰了不同类型参与方的效益关系</w:instrText>
      </w:r>
      <w:r>
        <w:rPr>
          <w:rFonts w:hint="eastAsia"/>
          <w:color w:val="000000" w:themeColor="text1"/>
        </w:rPr>
        <w:instrText>,</w:instrText>
      </w:r>
      <w:r>
        <w:rPr>
          <w:rFonts w:hint="eastAsia"/>
          <w:color w:val="000000" w:themeColor="text1"/>
        </w:rPr>
        <w:instrText>对清洁能源系统效益最优进行了分析</w:instrText>
      </w:r>
      <w:r>
        <w:rPr>
          <w:rFonts w:hint="eastAsia"/>
          <w:color w:val="000000" w:themeColor="text1"/>
        </w:rPr>
        <w:instrText>,</w:instrText>
      </w:r>
      <w:r>
        <w:rPr>
          <w:rFonts w:hint="eastAsia"/>
          <w:color w:val="000000" w:themeColor="text1"/>
        </w:rPr>
        <w:instrText>构建了效益优化分析模型</w:instrText>
      </w:r>
      <w:r>
        <w:rPr>
          <w:rFonts w:hint="eastAsia"/>
          <w:color w:val="000000" w:themeColor="text1"/>
        </w:rPr>
        <w:instrText>;</w:instrText>
      </w:r>
      <w:r>
        <w:rPr>
          <w:rFonts w:hint="eastAsia"/>
          <w:color w:val="000000" w:themeColor="text1"/>
        </w:rPr>
        <w:instrText>最后</w:instrText>
      </w:r>
      <w:r>
        <w:rPr>
          <w:rFonts w:hint="eastAsia"/>
          <w:color w:val="000000" w:themeColor="text1"/>
        </w:rPr>
        <w:instrText>,</w:instrText>
      </w:r>
      <w:r>
        <w:rPr>
          <w:rFonts w:hint="eastAsia"/>
          <w:color w:val="000000" w:themeColor="text1"/>
        </w:rPr>
        <w:instrText>基于典型效益分配方法</w:instrText>
      </w:r>
      <w:r>
        <w:rPr>
          <w:rFonts w:hint="eastAsia"/>
          <w:color w:val="000000" w:themeColor="text1"/>
        </w:rPr>
        <w:instrText>,</w:instrText>
      </w:r>
      <w:r>
        <w:rPr>
          <w:rFonts w:hint="eastAsia"/>
          <w:color w:val="000000" w:themeColor="text1"/>
        </w:rPr>
        <w:instrText>构建了清洁能源系统多主体效益均衡模型</w:instrText>
      </w:r>
      <w:r>
        <w:rPr>
          <w:rFonts w:hint="eastAsia"/>
          <w:color w:val="000000" w:themeColor="text1"/>
        </w:rPr>
        <w:instrText>,</w:instrText>
      </w:r>
      <w:r>
        <w:rPr>
          <w:rFonts w:hint="eastAsia"/>
          <w:color w:val="000000" w:themeColor="text1"/>
        </w:rPr>
        <w:instrText>利用核心法和夏普利值法</w:instrText>
      </w:r>
      <w:r>
        <w:rPr>
          <w:rFonts w:hint="eastAsia"/>
          <w:color w:val="000000" w:themeColor="text1"/>
        </w:rPr>
        <w:instrText>,</w:instrText>
      </w:r>
      <w:r>
        <w:rPr>
          <w:rFonts w:hint="eastAsia"/>
          <w:color w:val="000000" w:themeColor="text1"/>
        </w:rPr>
        <w:instrText>通过算例分析验证了所提模型的有效性和适用性。</w:instrText>
      </w:r>
      <w:r>
        <w:rPr>
          <w:rFonts w:hint="eastAsia"/>
          <w:color w:val="000000" w:themeColor="text1"/>
        </w:rPr>
        <w:instrText>","archive_location":"CNKI","event-place":"</w:instrText>
      </w:r>
      <w:r>
        <w:rPr>
          <w:rFonts w:hint="eastAsia"/>
          <w:color w:val="000000" w:themeColor="text1"/>
        </w:rPr>
        <w:instrText>北京</w:instrText>
      </w:r>
      <w:r>
        <w:rPr>
          <w:rFonts w:hint="eastAsia"/>
          <w:color w:val="000000" w:themeColor="text1"/>
        </w:rPr>
        <w:instrText>","publisher":"</w:instrText>
      </w:r>
      <w:r>
        <w:rPr>
          <w:rFonts w:hint="eastAsia"/>
          <w:color w:val="000000" w:themeColor="text1"/>
        </w:rPr>
        <w:instrText>华北电力大学</w:instrText>
      </w:r>
      <w:r>
        <w:rPr>
          <w:rFonts w:hint="eastAsia"/>
          <w:color w:val="000000" w:themeColor="text1"/>
        </w:rPr>
        <w:instrText>","publisher-place":"</w:instrText>
      </w:r>
      <w:r>
        <w:rPr>
          <w:rFonts w:hint="eastAsia"/>
          <w:color w:val="000000" w:themeColor="text1"/>
        </w:rPr>
        <w:instrText>北京</w:instrText>
      </w:r>
      <w:r>
        <w:rPr>
          <w:rFonts w:hint="eastAsia"/>
          <w:color w:val="000000" w:themeColor="text1"/>
        </w:rPr>
        <w:instrText>","title":"</w:instrText>
      </w:r>
      <w:r>
        <w:rPr>
          <w:rFonts w:hint="eastAsia"/>
          <w:color w:val="000000" w:themeColor="text1"/>
        </w:rPr>
        <w:instrText>考虑多能互补的清洁能源协同优化调度及效益均衡研究</w:instrText>
      </w:r>
      <w:r>
        <w:rPr>
          <w:rFonts w:hint="eastAsia"/>
          <w:color w:val="000000" w:themeColor="text1"/>
        </w:rPr>
        <w:instrText>","URL":"https://link.cnki.net/doi/10.27140/d.cnki.ghbbu.2019.000090","author":[{"family":"</w:instrText>
      </w:r>
      <w:r>
        <w:rPr>
          <w:rFonts w:hint="eastAsia"/>
          <w:color w:val="000000" w:themeColor="text1"/>
        </w:rPr>
        <w:instrText>辛禾</w:instrText>
      </w:r>
      <w:r>
        <w:rPr>
          <w:rFonts w:hint="eastAsia"/>
          <w:color w:val="000000" w:themeColor="text1"/>
        </w:rPr>
        <w:instrText>","given":""}],"iss</w:instrText>
      </w:r>
      <w:r>
        <w:rPr>
          <w:color w:val="000000" w:themeColor="text1"/>
        </w:rPr>
        <w:instrText xml:space="preserve">ued":{"date-parts":[["2019"]]}}}],"schema":"https://github.com/citation-style-language/schema/raw/master/csl-citation.json"} </w:instrText>
      </w:r>
      <w:r>
        <w:rPr>
          <w:color w:val="000000" w:themeColor="text1"/>
        </w:rPr>
        <w:fldChar w:fldCharType="separate"/>
      </w:r>
      <w:r w:rsidRPr="00EB7246">
        <w:rPr>
          <w:rFonts w:cs="Times New Roman"/>
          <w:kern w:val="0"/>
          <w:vertAlign w:val="superscript"/>
        </w:rPr>
        <w:t>[2]</w:t>
      </w:r>
      <w:r>
        <w:rPr>
          <w:color w:val="000000" w:themeColor="text1"/>
        </w:rPr>
        <w:fldChar w:fldCharType="end"/>
      </w:r>
      <w:r>
        <w:rPr>
          <w:rFonts w:hint="eastAsia"/>
          <w:color w:val="000000" w:themeColor="text1"/>
        </w:rPr>
        <w:t>。对此，</w:t>
      </w:r>
      <w:r>
        <w:rPr>
          <w:rFonts w:hint="eastAsia"/>
        </w:rPr>
        <w:t>我国在</w:t>
      </w:r>
      <w:r w:rsidRPr="007A0618">
        <w:rPr>
          <w:rFonts w:hint="eastAsia"/>
        </w:rPr>
        <w:t>“十四五”规划</w:t>
      </w:r>
      <w:r>
        <w:rPr>
          <w:rFonts w:hint="eastAsia"/>
        </w:rPr>
        <w:t>中提出</w:t>
      </w:r>
      <w:r w:rsidRPr="007A0618">
        <w:rPr>
          <w:rFonts w:hint="eastAsia"/>
        </w:rPr>
        <w:t>将建设九</w:t>
      </w:r>
      <w:r>
        <w:rPr>
          <w:rFonts w:hint="eastAsia"/>
        </w:rPr>
        <w:t>个</w:t>
      </w:r>
      <w:r w:rsidRPr="007A0618">
        <w:rPr>
          <w:rFonts w:hint="eastAsia"/>
        </w:rPr>
        <w:t>大型清洁能源基地</w:t>
      </w:r>
      <w:r w:rsidRPr="00362C9F">
        <w:rPr>
          <w:rFonts w:hint="eastAsia"/>
        </w:rPr>
        <w:t>，</w:t>
      </w:r>
      <w:r w:rsidRPr="009E1FB2">
        <w:rPr>
          <w:rFonts w:hint="eastAsia"/>
        </w:rPr>
        <w:t>推动水</w:t>
      </w:r>
      <w:r w:rsidRPr="009E1FB2">
        <w:rPr>
          <w:rFonts w:hint="eastAsia"/>
        </w:rPr>
        <w:t>-</w:t>
      </w:r>
      <w:r w:rsidRPr="009E1FB2">
        <w:rPr>
          <w:rFonts w:hint="eastAsia"/>
        </w:rPr>
        <w:t>风</w:t>
      </w:r>
      <w:r w:rsidRPr="009E1FB2">
        <w:rPr>
          <w:rFonts w:hint="eastAsia"/>
        </w:rPr>
        <w:t>-</w:t>
      </w:r>
      <w:r w:rsidRPr="009E1FB2">
        <w:rPr>
          <w:rFonts w:hint="eastAsia"/>
        </w:rPr>
        <w:t>光</w:t>
      </w:r>
      <w:r w:rsidRPr="009E1FB2">
        <w:rPr>
          <w:rFonts w:hint="eastAsia"/>
        </w:rPr>
        <w:t>-</w:t>
      </w:r>
      <w:r w:rsidRPr="009E1FB2">
        <w:rPr>
          <w:rFonts w:hint="eastAsia"/>
        </w:rPr>
        <w:t>储多能互补</w:t>
      </w:r>
      <w:r>
        <w:rPr>
          <w:rFonts w:hint="eastAsia"/>
        </w:rPr>
        <w:t>系统建设</w:t>
      </w:r>
      <w:r w:rsidRPr="009E1FB2">
        <w:rPr>
          <w:rFonts w:hint="eastAsia"/>
        </w:rPr>
        <w:t>，</w:t>
      </w:r>
      <w:r>
        <w:rPr>
          <w:rFonts w:hint="eastAsia"/>
        </w:rPr>
        <w:t>提高电力输送能力，</w:t>
      </w:r>
      <w:r>
        <w:rPr>
          <w:rFonts w:hint="eastAsia"/>
          <w:color w:val="000000" w:themeColor="text1"/>
        </w:rPr>
        <w:t>以推动清洁</w:t>
      </w:r>
      <w:r w:rsidRPr="009E1FB2">
        <w:rPr>
          <w:rFonts w:hint="eastAsia"/>
          <w:color w:val="000000" w:themeColor="text1"/>
        </w:rPr>
        <w:t>能源</w:t>
      </w:r>
      <w:r>
        <w:rPr>
          <w:rFonts w:hint="eastAsia"/>
          <w:color w:val="000000" w:themeColor="text1"/>
        </w:rPr>
        <w:t>的</w:t>
      </w:r>
      <w:r w:rsidRPr="009E1FB2">
        <w:rPr>
          <w:rFonts w:hint="eastAsia"/>
          <w:color w:val="000000" w:themeColor="text1"/>
        </w:rPr>
        <w:t>开发</w:t>
      </w:r>
      <w:r>
        <w:rPr>
          <w:rFonts w:hint="eastAsia"/>
          <w:color w:val="000000" w:themeColor="text1"/>
        </w:rPr>
        <w:t>与</w:t>
      </w:r>
      <w:r w:rsidRPr="009E1FB2">
        <w:rPr>
          <w:rFonts w:hint="eastAsia"/>
          <w:color w:val="000000" w:themeColor="text1"/>
        </w:rPr>
        <w:t>消纳</w:t>
      </w:r>
      <w:r>
        <w:rPr>
          <w:rFonts w:hint="eastAsia"/>
        </w:rPr>
        <w:t>。</w:t>
      </w:r>
    </w:p>
    <w:tbl>
      <w:tblPr>
        <w:tblStyle w:val="af2"/>
        <w:tblpPr w:vertAnchor="page" w:horzAnchor="margin" w:tblpY="13123"/>
        <w:tblOverlap w:val="never"/>
        <w:tblW w:w="9684"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684"/>
      </w:tblGrid>
      <w:tr w:rsidR="00F944A6" w:rsidRPr="0084715F" w14:paraId="5672727E" w14:textId="77777777" w:rsidTr="00F944A6">
        <w:tc>
          <w:tcPr>
            <w:tcW w:w="9684" w:type="dxa"/>
          </w:tcPr>
          <w:p w14:paraId="041A9FAC" w14:textId="77777777" w:rsidR="00F944A6" w:rsidRPr="0084715F" w:rsidRDefault="00F944A6" w:rsidP="00F944A6">
            <w:pPr>
              <w:tabs>
                <w:tab w:val="left" w:pos="735"/>
              </w:tabs>
              <w:spacing w:line="360" w:lineRule="exact"/>
              <w:ind w:firstLineChars="0" w:firstLine="0"/>
              <w:rPr>
                <w:rFonts w:eastAsia="黑体"/>
                <w:sz w:val="18"/>
                <w:szCs w:val="18"/>
              </w:rPr>
            </w:pPr>
            <w:r w:rsidRPr="0084715F">
              <w:rPr>
                <w:rFonts w:eastAsia="黑体" w:hint="eastAsia"/>
                <w:sz w:val="18"/>
                <w:szCs w:val="18"/>
              </w:rPr>
              <w:t>————————</w:t>
            </w:r>
          </w:p>
          <w:p w14:paraId="5AFA7BF6" w14:textId="2AE8823A" w:rsidR="00F944A6" w:rsidRPr="0084715F" w:rsidRDefault="00F944A6" w:rsidP="00EB70E0">
            <w:pPr>
              <w:tabs>
                <w:tab w:val="left" w:pos="735"/>
              </w:tabs>
              <w:spacing w:line="360" w:lineRule="auto"/>
              <w:ind w:firstLineChars="0" w:firstLine="0"/>
              <w:rPr>
                <w:rFonts w:cs="Times New Roman"/>
                <w:sz w:val="18"/>
                <w:szCs w:val="18"/>
                <w:highlight w:val="yellow"/>
              </w:rPr>
            </w:pPr>
          </w:p>
        </w:tc>
      </w:tr>
    </w:tbl>
    <w:p w14:paraId="79858E89" w14:textId="3CE4CC4C" w:rsidR="00EB7246" w:rsidRDefault="00EB7246" w:rsidP="006D6E88">
      <w:pPr>
        <w:ind w:firstLine="420"/>
      </w:pPr>
      <w:r>
        <w:rPr>
          <w:rFonts w:hint="eastAsia"/>
        </w:rPr>
        <w:t>清洁能源基地开发周期长，利益相关方众多，面临着技术与管理层面的多重挑战。技术层面，清洁能源基地通常位于偏远地区，</w:t>
      </w:r>
      <w:r w:rsidRPr="00537DA4">
        <w:rPr>
          <w:rFonts w:hint="eastAsia"/>
        </w:rPr>
        <w:t>地质条件复杂，设计、施工难度大</w:t>
      </w:r>
      <w:r>
        <w:rPr>
          <w:rFonts w:hint="eastAsia"/>
        </w:rPr>
        <w:t>；清洁能源基地的</w:t>
      </w:r>
      <w:r w:rsidRPr="00537DA4">
        <w:rPr>
          <w:rFonts w:hint="eastAsia"/>
        </w:rPr>
        <w:t>多能互补水平</w:t>
      </w:r>
      <w:r>
        <w:rPr>
          <w:rFonts w:hint="eastAsia"/>
        </w:rPr>
        <w:t>也</w:t>
      </w:r>
      <w:r w:rsidRPr="00537DA4">
        <w:rPr>
          <w:rFonts w:hint="eastAsia"/>
        </w:rPr>
        <w:t>有待提升</w:t>
      </w:r>
      <w:r>
        <w:rPr>
          <w:rFonts w:hint="eastAsia"/>
        </w:rPr>
        <w:t>。管理层面，清洁能源基地</w:t>
      </w:r>
      <w:r w:rsidRPr="007E31A5">
        <w:rPr>
          <w:rFonts w:hint="eastAsia"/>
        </w:rPr>
        <w:t>需统筹管理多个电站的联合开发</w:t>
      </w:r>
      <w:r>
        <w:rPr>
          <w:rFonts w:hint="eastAsia"/>
        </w:rPr>
        <w:t>，协调众多利益相关方，面临管理边界模糊、各开发环节间信息流通不畅的问题。</w:t>
      </w:r>
      <w:r w:rsidRPr="007E31A5">
        <w:rPr>
          <w:rFonts w:hint="eastAsia"/>
        </w:rPr>
        <w:t>业主作为</w:t>
      </w:r>
      <w:r>
        <w:rPr>
          <w:rFonts w:hint="eastAsia"/>
        </w:rPr>
        <w:t>清洁能源基地的</w:t>
      </w:r>
      <w:r w:rsidRPr="007E31A5">
        <w:rPr>
          <w:rFonts w:hint="eastAsia"/>
        </w:rPr>
        <w:t>核心相关方，其清洁能源项目群</w:t>
      </w:r>
      <w:r>
        <w:rPr>
          <w:rFonts w:hint="eastAsia"/>
        </w:rPr>
        <w:t>开发与管理</w:t>
      </w:r>
      <w:r w:rsidRPr="007E31A5">
        <w:rPr>
          <w:rFonts w:hint="eastAsia"/>
        </w:rPr>
        <w:t>能力</w:t>
      </w:r>
      <w:r>
        <w:rPr>
          <w:rFonts w:hint="eastAsia"/>
        </w:rPr>
        <w:t>也</w:t>
      </w:r>
      <w:r w:rsidRPr="007E31A5">
        <w:rPr>
          <w:rFonts w:hint="eastAsia"/>
        </w:rPr>
        <w:t>有待提升</w:t>
      </w:r>
      <w:r>
        <w:rPr>
          <w:rFonts w:hint="eastAsia"/>
        </w:rPr>
        <w:t>。因此，亟需针对清洁能源基地特点，分析其管理现状、问题与成因，辨识清洁能源基地管理关键要素，厘清其作用机理，以</w:t>
      </w:r>
      <w:r w:rsidRPr="007E31A5">
        <w:rPr>
          <w:rFonts w:hint="eastAsia"/>
        </w:rPr>
        <w:t>指导我国清洁能源基地</w:t>
      </w:r>
      <w:r>
        <w:rPr>
          <w:rFonts w:hint="eastAsia"/>
        </w:rPr>
        <w:t>开发与管理</w:t>
      </w:r>
      <w:r w:rsidRPr="007E31A5">
        <w:rPr>
          <w:rFonts w:hint="eastAsia"/>
        </w:rPr>
        <w:t>，</w:t>
      </w:r>
      <w:r>
        <w:rPr>
          <w:rFonts w:hint="eastAsia"/>
        </w:rPr>
        <w:t>提高清洁能源基地绩效。</w:t>
      </w:r>
    </w:p>
    <w:p w14:paraId="13BA22B2" w14:textId="4BD90249" w:rsidR="00EB7246" w:rsidRPr="007E31A5" w:rsidRDefault="00EB7246" w:rsidP="00EB7246">
      <w:pPr>
        <w:ind w:firstLine="420"/>
      </w:pPr>
      <w:r w:rsidRPr="00163091">
        <w:rPr>
          <w:rFonts w:hint="eastAsia"/>
        </w:rPr>
        <w:t>已有文献</w:t>
      </w:r>
      <w:r w:rsidR="004B0C55">
        <w:rPr>
          <w:rFonts w:hint="eastAsia"/>
        </w:rPr>
        <w:t>多</w:t>
      </w:r>
      <w:r w:rsidRPr="00163091">
        <w:rPr>
          <w:rFonts w:hint="eastAsia"/>
        </w:rPr>
        <w:t>关注单一清洁能源项目</w:t>
      </w:r>
      <w:r>
        <w:rPr>
          <w:rFonts w:hint="eastAsia"/>
        </w:rPr>
        <w:t>的</w:t>
      </w:r>
      <w:r w:rsidRPr="00163091">
        <w:rPr>
          <w:rFonts w:hint="eastAsia"/>
        </w:rPr>
        <w:t>管理</w:t>
      </w:r>
      <w:r>
        <w:rPr>
          <w:rFonts w:hint="eastAsia"/>
        </w:rPr>
        <w:t>要素</w:t>
      </w:r>
      <w:r w:rsidRPr="00163091">
        <w:rPr>
          <w:rFonts w:hint="eastAsia"/>
        </w:rPr>
        <w:t>，</w:t>
      </w:r>
      <w:r w:rsidRPr="00163091">
        <w:rPr>
          <w:rFonts w:hint="eastAsia"/>
        </w:rPr>
        <w:t>尚未从项目群管理视角辨识清洁能源基地的管理关键</w:t>
      </w:r>
      <w:r>
        <w:rPr>
          <w:rFonts w:hint="eastAsia"/>
        </w:rPr>
        <w:t>因素</w:t>
      </w:r>
      <w:r w:rsidRPr="00163091">
        <w:fldChar w:fldCharType="begin"/>
      </w:r>
      <w:r>
        <w:instrText xml:space="preserve"> ADDIN ZOTERO_ITEM CSL_CITATION {"citationID":"a24119dtrs8","properties":{"formattedCitation":"\\super [3\\uc0\\u8211{}5]\\nosupersub{}","plainCitation":"[3–5]","noteIndex":0},"citationItems":[{"id":3663,"uris":["http://zotero.org/users/13172592/items/KBFEHVJI"],"itemData":{"id":3663,"type":"article-journal","abstract":"Renewable energy is one of the most popular topics in utilization of the electric energy resources. There are various types of alternative energy, which can be used as electrical energy. However, the suitableness of the green energy in a certain country is depending on some criteria such as geographical location, the availability of energy and so on. In order to establish the renewable energy, a well-planned strategy and management must be acquired. The main objective of this paper is to analyse the causal relation of some important criteria of project planning and development of a wind energy project in Malaysia. By using a system dynamic approach, it is found that government policies, investment of renewable energy, energy demand, geographical location and fund management are the most important criteria that need to be considered among others. The diagram of causal relationship with reinforcing and balancing loop shows that the application of renewable energy in Malaysia is promising. In addition, the information of the criteria relationship is further investigated by using the stock flow diagram. From the diagram, the factors that affect project’s expenditure could be analysed. This is very important to a developing country where more budgets can be allocated for other facilities, cultures, infrastructure, science, and technology development. By utilise the renewable energy in Malaysia, the carbon dioxide emission can be reduced and contribution to a sustainable and long term alternative energy resources country.","container-title":"Renewable and Sustainable Energy Reviews","DOI":"10.1016/j.rser.2014.07.078","ISSN":"1364-0321","journalAbbreviation":"Renewable and Sustainable Energy Reviews","language":"en-US","page":"917-932","source":"ScienceDirect","title":"Renewable energy project: Project management, challenges and risk","title-short":"Renewable energy project","volume":"38","author":[{"family":"Goh","given":"H. H."},{"family":"Lee","given":"S. W."},{"family":"Chua","given":"Q. S."},{"family":"Goh","given":"K. C."},{"family":"Kok","given":"B. C."},{"family":"Teo","given":"K. T. K."}],"issued":{"date-parts":[["2014",10,1]]}}},{"id":3701,"uris":["http://zotero.org/users/13172592/items/DIB9DINA"],"itemData":{"id":3701,"type":"article-journal","abstract":"The future of electriﬁcation of Africa lies within off-grid generation via renewable energy (RE). Although many RE projects have started across the Sub-Sahara, especially public projects are seldom successful. This study engages directly (ethnographically) with the local communities beneﬁtting or expected to beneﬁt from the projects, the implementing organizations and government.","call-number":"1","container-title":"Renewable Energy","DOI":"10.1016/j.renene.2016.10.037","ISSN":"09601481","journalAbbreviation":"Renewable Energy","language":"en","page":"234-240","source":"9","title":"The empirical reality &amp; sustainable management failures of renewable energy projects in Sub-Saharan Africa (part 1 of 2)","volume":"102","author":[{"family":"Ikejemba","given":"Eugene C.X."},{"family":"Mpuan","given":"Peter B."},{"family":"Schuur","given":"Peter C."},{"family":"Van Hillegersberg","given":"Jos"}],"issued":{"date-parts":[["2017",3]]}}},{"id":3015,"uris":["http://zotero.org/users/13172592/items/HR7IAUXP"],"itemData":{"id":3015,"type":"article-journal","abstract":"Successful renewable energy projects are crucial to bring the cleaner and sustainable environment of this universe. Owed to this, world's countries and policymakers are trying hard to double the current share of renewable energy consumptions (18.3%) by 2030, which has been resulting in the construction of multiple renewable energy projects. This study identiﬁes multiple critical success factors (CSFs) and their inﬂuences mechanisms, required for renewable-energy projects. Using a sample of 272 ﬁrms working on renewable energy projects in Pakistan, a quantitative and causal study was undertaken to identify the efﬁciency (short-run success) and effectiveness (long-run success) mechanisms of critical success factors in renewable energy projects. Structural equation modeling (SEM) was applied to test and verify hypothesis. The results show that though the efﬁciency and effectiveness of critical success factors in renewable energy projects are equally important, the effectiveness (long-run success) in renewable energy projects is mainly depends upon the efﬁciency (short-run success) of the critical success factors (CSFs) involved in such kind of projects. The study expected to contribute towards and widen up the existing knowledge base for the renewable energy projects by adding on the ﬁndings regarding the inﬂuences mechanisms of critical success factors.","call-number":"1","container-title":"Energy","DOI":"10.1016/j.energy.2018.06.015","ISSN":"03605442","journalAbbreviation":"Energy","language":"en","page":"944-956","source":"9","title":"Efficiency and effectiveness of factors affecting renewable energy projects: An empirical perspective","volume":"158","author":[{"family":"Maqbool","given":"Rashid"}],"issued":{"date-parts":[["2018",9]]}}}],"schema":"https://github.com/citation-style-language/schema/raw/master/csl-citation.json"} </w:instrText>
      </w:r>
      <w:r w:rsidRPr="00163091">
        <w:fldChar w:fldCharType="separate"/>
      </w:r>
      <w:r w:rsidRPr="00EB7246">
        <w:rPr>
          <w:rFonts w:cs="Times New Roman"/>
          <w:kern w:val="0"/>
          <w:vertAlign w:val="superscript"/>
        </w:rPr>
        <w:t>[3–5]</w:t>
      </w:r>
      <w:r w:rsidRPr="00163091">
        <w:fldChar w:fldCharType="end"/>
      </w:r>
      <w:r w:rsidRPr="00163091">
        <w:rPr>
          <w:rFonts w:hint="eastAsia"/>
        </w:rPr>
        <w:t>。业主作为清洁能源基地开发与管理的重要相关方，已有研究对其能力关注较少，也尚未构</w:t>
      </w:r>
      <w:r w:rsidRPr="007E31A5">
        <w:rPr>
          <w:rFonts w:hint="eastAsia"/>
        </w:rPr>
        <w:t>建完善的能力</w:t>
      </w:r>
      <w:r>
        <w:rPr>
          <w:rFonts w:hint="eastAsia"/>
        </w:rPr>
        <w:t>评价指标</w:t>
      </w:r>
      <w:r w:rsidRPr="007E31A5">
        <w:rPr>
          <w:rFonts w:hint="eastAsia"/>
        </w:rPr>
        <w:t>体系</w:t>
      </w:r>
      <w:r>
        <w:fldChar w:fldCharType="begin"/>
      </w:r>
      <w:r>
        <w:instrText xml:space="preserve"> ADDIN ZOTERO_ITEM CSL_CITATION {"citationID":"amckb2c3cp","properties":{"formattedCitation":"\\super [6\\uc0\\u8211{}8]\\nosupersub{}","plainCitation":"[6–8]","noteIndex":0},"citationItems":[{"id":3564,"uris":["http://zotero.org/users/13172592/items/5TDVMB9T"],"itemData":{"id":3564,"type":"article-journal","abstract":"While risk and uncertainty management have received much attention within construction management research, management of information interpretation remains unexplored. Situations that are generally overlooked are those where increased amounts and flow of information are not the solution to the human problem of managing multiple meanings of information and conflicting interpretations, i.e. ‘equivocality’. The aim is to identify and differentiate between construction clients’ uncertainty and equivocality about industrialized construction in Sweden, and, in the light of those findings, to evaluate clients’ current information processing practice on investment decisions in new-build in order to assess and discuss clients’ ability to manage uncertainty and equivocality. Based on information processing theory, analysis of aggregated data from three previous studies shows that there is a need to manage both uncertainty and equivocality. At the same time, clients’ ability to do this is found to be limited. Consequently, when industrialized construction moves clients beyond their current frame of reference, clients’ information processing practice does not support decision making. It is also proposed that differentiating between uncertainty and equivocality will enable a more profound understanding of the sequential order for information processing, i.e. that one must define questions (reduce equivocality) before one can find answers to the questions (reduce uncertainty).","container-title":"Construction Management and Economics","DOI":"10.1080/01446193.2011.595423","ISSN":"0144-6193","issue":"7","language":"en","note":"publisher: Routledge\n_eprint: https://doi.org/10.1080/01446193.2011.595423\nTLDR: It is proposed that differentiating between uncertainty and equivocality will enable a more profound understanding of the sequential order for information processing, i.e. that one must define questions before one can find answers to the questions.","page":"753-764","source":"3","title":"Construction clients’ ability to manage uncertainty and equivocality","volume":"29","author":[{"family":"Levander","given":"Erika"},{"family":"Engström","given":"Susanne"},{"family":"Sardén","given":"Ylva"},{"family":"Stehn","given":"Lars"}],"issued":{"date-parts":[["2011",7,1]]}}},{"id":3569,"uris":["http://zotero.org/users/13172592/items/F7J8MSXL"],"itemData":{"id":3569,"type":"article-journal","abstract":"Public clients in the construction sector face a number of challenges in designing, procuring and managing major construction projects. The client’s role in bringing about project delivery has more recently been emphasized, particularly with respect to developing capabilities that facilitate the coordinating of projects through its different phases. In line with these developments, this paper sets out to examine the management of capabilities in a client organization through the lens of the dynamic capabilities framework. In particular, what is investigated is how the client organization senses, seizes and transforms opportunities. In pursuit of this objective, an exploratory case study approach is adopted which examines one of Sweden’s largest public client organizations. The study explores the concept of dynamic capabilities and its applicability to the public construction context. Although the usefulness of dynamic capabilities as an interpretive framework is recognized, it is suggested that the concept of dynamic capabilities is inadequate for addressing the specific context in which public client organizations operate. Particularly with respect to the project-based characteristic of these organizations and the difficulty in framing what constitutes “competitive advantage” for public organizations.","container-title":"Construction Management and Economics","DOI":"10.1080/01446193.2017.1309441","ISSN":"0144-6193, 1466-433X","issue":"7","journalAbbreviation":"Construction Management and Economics","language":"en","page":"420-431","source":"3","title":"Applying the dynamic capabilities framework in the case of a large public construction client","volume":"35","author":[{"family":"Adam","given":"Abderisak"},{"family":"Lindahl","given":"Göran"}],"issued":{"date-parts":[["2017",7,3]]}}},{"id":2999,"uris":["http://zotero.org/users/13172592/items/LR3M44KX","http://zotero.org/users/13172592/items/982Z98A6"],"itemData":{"id":2999,"type":"article-journal","abstract":"Cleaner Production is an important means for systematically reducing waste. For its successful implementation, it is essential to ensure the effective…","call-number":"1","container-title":"Journal of Cleaner Production","DOI":"10.1016/j.jclepro.2016.09.166","ISSN":"0959-6526","language":"en-US","note":"publisher: Elsevier","page":"881-890","source":"9.7","title":"Cleaner production, project management and strategic drivers: An empirical study","title-short":"Cleaner production, project management and strategic drivers","volume":"141","issued":{"date-parts":[["2017",1,10]]}}}],"schema":"https://github.com/citation-style-language/schema/raw/master/csl-citation.json"} </w:instrText>
      </w:r>
      <w:r>
        <w:fldChar w:fldCharType="separate"/>
      </w:r>
      <w:r w:rsidRPr="00EB7246">
        <w:rPr>
          <w:rFonts w:cs="Times New Roman"/>
          <w:kern w:val="0"/>
          <w:vertAlign w:val="superscript"/>
        </w:rPr>
        <w:t>[6–8]</w:t>
      </w:r>
      <w:r>
        <w:fldChar w:fldCharType="end"/>
      </w:r>
      <w:r>
        <w:rPr>
          <w:rFonts w:hint="eastAsia"/>
        </w:rPr>
        <w:t>。此外，现有文献对</w:t>
      </w:r>
      <w:r w:rsidRPr="00AC1964">
        <w:rPr>
          <w:rFonts w:hint="eastAsia"/>
        </w:rPr>
        <w:t>管理机理</w:t>
      </w:r>
      <w:r>
        <w:rPr>
          <w:rFonts w:hint="eastAsia"/>
        </w:rPr>
        <w:t>的</w:t>
      </w:r>
      <w:r w:rsidRPr="00AC1964">
        <w:rPr>
          <w:rFonts w:hint="eastAsia"/>
        </w:rPr>
        <w:t>研究</w:t>
      </w:r>
      <w:r>
        <w:rPr>
          <w:rFonts w:hint="eastAsia"/>
        </w:rPr>
        <w:t>仍处于起步阶段，</w:t>
      </w:r>
      <w:r w:rsidRPr="007E31A5">
        <w:rPr>
          <w:rFonts w:hint="eastAsia"/>
        </w:rPr>
        <w:t>往往仅对单一因素的影响进行分析，缺乏对各项关键因素间相互作用机理的综合考虑，亟需构建全面系统的理论模型</w:t>
      </w:r>
      <w:r w:rsidRPr="007E31A5">
        <w:fldChar w:fldCharType="begin"/>
      </w:r>
      <w:r>
        <w:instrText xml:space="preserve"> ADDIN ZOTERO_ITEM CSL_CITATION {"citationID":"kGcA8LQQ","properties":{"formattedCitation":"\\super [9\\uc0\\u8211{}11]\\nosupersub{}","plainCitation":"[9–11]","noteIndex":0},"citationItems":[{"id":1846,"uris":["http://zotero.org/users/13172592/items/R52WLXJC"],"itemData":{"id":1846,"type":"article-journal","abstract":"Program management is the structured and strategic process of managing multiple projects at a high level to maximize benefits. The essentials of programs include high costs and long implementation periods, and thus, the negative impacts caused by the failure of program management are more significant and greater than that of a project. Therefore, to achieve high program performance, it is essential for program management to be well defined during the early stages. However, the existing research is mainly focused on the performance prediction methodologies for projects, while the research pertaining to programs has concentrated on identifying the qualitative critical success factors (CSFs). Thus, this study developed a methodology for predicting the program performance. Forty-five CSFs were identified herein from literature review and expert interviews, then grouped through factor analysis. In addition, the Program Deﬁnition Rating Index (PgDRI) was developed by calculating the weights of the proposed CSFs through structured equation modeling in order to evaluate the quantitative program performance. For validation, the PgDRI was applied to three in-progress cases, and the PgDRI scores were compared with the actual performance of each case. The PgDRI developed in this study can contribute to the body of knowledge pertaining to program management by quantifying the performance management of a program. In addition, the PgDRI can be utilized in the performance management of a program in terms of the cost and schedule by allowing practitioners to apply the PgDRI repeatedly to the major decision-making processes during the early stages of a program.","call-number":"3","container-title":"Sustainability","DOI":"10.3390/su10082747","ISSN":"2071-1050","issue":"8","journalAbbreviation":"Sustainability","language":"en","license":"https://creativecommons.org/licenses/by/4.0/","page":"2747","source":"3.9","title":"Development of a program definition rating index for the performance prediction of construction programs","volume":"10","author":[{"family":"Cha","given":"Yongwoon"},{"family":"Kim","given":"Jonghyeob"},{"family":"Hyun","given":"Changtaek"},{"family":"Han","given":"Sangwon"}],"issued":{"date-parts":[["2018",8,3]]}},"label":"page"},{"id":1912,"uris":["http://zotero.org/users/13172592/items/K5Y9LV5W"],"itemData":{"id":1912,"type":"article-journal","abstract":"Programme organisations operate in complex environments under the inﬂuence of multiple institutional logics. Previous studies have focused on how these kinds of organisations respond to external demands by implementing appropriate governance structures. This, however, produces an understanding of programme organisations as being unitary and working to integrate programme activities and practices under one dominant internal institutional logic. In this paper, we study the consequences of internal logic multiplicity for the governance of programme organisations. Drawing on data from a major Danish construction programme we show how, in order to achieve its mission, the programme organisation incorporates three distinct logics into its daily activities and practices. The ﬁndings illustrate how a compartmentalised structural approach is applied to diﬀerentiate and independently deal with the three logics in structurally distinct organisational spaces. To avoid fragmentation and ensure coordination, governance mechanisms are put in place that coordinate activities and practices across the organisational spaces whilst maintaining their compartmentalisation. The paper thus contributes to the literature on programme management with insights on how the institutional context inﬂuences programme structures and operations, and how governance mechanisms are implemented to manage activities and practices across organisational spaces guided by diﬀerent logics.","call-number":"1","container-title":"International Journal of Project Management","DOI":"10.1016/j.ijproman.2021.01.004","ISSN":"02637863","issue":"3","journalAbbreviation":"International Journal of Project Management","language":"en","page":"223-235","source":"8","title":"Organising for infrastructure development programmes: Governing internal logic multiplicity across organisational spaces","title-short":"Organising for infrastructure development programmes","volume":"39","author":[{"family":"Frederiksen","given":"Nicolaj"},{"family":"Gottlieb","given":"Stefan Christoffer"},{"family":"Leiringer","given":"Roine"}],"issued":{"date-parts":[["2021",4]]}},"label":"page"},{"id":1879,"uris":["http://zotero.org/users/13172592/items/5S4EIAMP","http://zotero.org/users/13172592/items/6FMHPKI8"],"itemData":{"id":1879,"type":"article-journal","abstract":"Program management is increasingly regarded as a key approach to improving the performance of a construction megaproject through the coordinated management of its constituent projects. However, previous studies have seldom provided a pragmatic program management framework that can fully address the requirements of clients in managing construction megaprojects. Therefore, based on a case study of the Shanghai Expo construction, this study aims to identify the principal program organization factors (POFs) that are determinants of the program organization established by a client to manage a megaproject. Mixed research methods, such as case study, literature review, interviews, Delphi survey, and archival methods, are employed in this study. Consequently, 12 principal POFs, grouped under three main categories (environmental capability, core capacity, and motivational capability of the client’s program organization to manage its construction megaproject), are identified: (1) contextual understanding, (2) program strategy, (3) program leadership, (4) scope management, (5) program governance, (6) matrix organizational structure, (7) program management office, (8) use of project breakdown structure and work breakdown structure tools, (9) partnering with key stakeholders, (10) technology management, (11) communication management, and (12) team building. These research findings will help scholars and professionals, particularly those in China, to appreciate the key issues in managing megaprojects through program organization. DOI: 10.1061/(ASCE)ME.1943-5479.0000310. © 2014 American Society of Civil Engineers.","call-number":"1","container-title":"Journal of Management in Engineering","DOI":"10.1061/(ASCE)ME.1943-5479.0000310","ISSN":"0742-597X, 1943-5479","issue":"5","journalAbbreviation":"J. Manage. Eng.","language":"en","page":"05014019","source":"7.4","title":"Understanding the determinants of program organization for construction megaproject success: Case study of the Shanghai Expo construction","title-short":"Understanding the Determinants of Program Organization for Construction Megaproject Success","volume":"31","author":[{"family":"Hu","given":"Yi"},{"family":"Chan","given":"Albert P. C."},{"family":"Le","given":"Yun"}],"issued":{"date-parts":[["2015",9]]}},"label":"page"}],"schema":"https://github.com/citation-style-language/schema/raw/master/csl-citation.json"} </w:instrText>
      </w:r>
      <w:r w:rsidRPr="007E31A5">
        <w:fldChar w:fldCharType="separate"/>
      </w:r>
      <w:r w:rsidRPr="00EB7246">
        <w:rPr>
          <w:rFonts w:cs="Times New Roman"/>
          <w:kern w:val="0"/>
          <w:vertAlign w:val="superscript"/>
        </w:rPr>
        <w:t>[9–11]</w:t>
      </w:r>
      <w:r w:rsidRPr="007E31A5">
        <w:fldChar w:fldCharType="end"/>
      </w:r>
      <w:r w:rsidRPr="007E31A5">
        <w:rPr>
          <w:rFonts w:hint="eastAsia"/>
        </w:rPr>
        <w:t>。</w:t>
      </w:r>
    </w:p>
    <w:p w14:paraId="246046E3" w14:textId="50DACE26" w:rsidR="00EB7246" w:rsidRPr="00EB7246" w:rsidRDefault="00EB7246" w:rsidP="00EB7246">
      <w:pPr>
        <w:ind w:firstLine="420"/>
        <w:rPr>
          <w:rFonts w:cs="Times New Roman"/>
        </w:rPr>
      </w:pPr>
      <w:r>
        <w:rPr>
          <w:rFonts w:cs="Times New Roman" w:hint="eastAsia"/>
        </w:rPr>
        <w:t>因此，</w:t>
      </w:r>
      <w:r>
        <w:rPr>
          <w:rFonts w:hint="eastAsia"/>
        </w:rPr>
        <w:t>本研究基于项目群管理视角，辨识</w:t>
      </w:r>
      <w:r w:rsidRPr="007E31A5">
        <w:rPr>
          <w:rFonts w:hint="eastAsia"/>
        </w:rPr>
        <w:t>清洁能源基地一体化管理关键因素，构建并验证清洁能源基地一体化管理理论模型</w:t>
      </w:r>
      <w:r>
        <w:rPr>
          <w:rFonts w:hint="eastAsia"/>
        </w:rPr>
        <w:t>，以揭示各关键因素的影响关系与作用机理</w:t>
      </w:r>
      <w:r w:rsidRPr="007E31A5">
        <w:rPr>
          <w:rFonts w:hint="eastAsia"/>
        </w:rPr>
        <w:t>。研究成果旨在</w:t>
      </w:r>
      <w:r w:rsidRPr="000336D9">
        <w:rPr>
          <w:rFonts w:hint="eastAsia"/>
        </w:rPr>
        <w:t>指导我国清洁能源基地建设</w:t>
      </w:r>
      <w:r w:rsidR="00143B30">
        <w:rPr>
          <w:rFonts w:hint="eastAsia"/>
        </w:rPr>
        <w:t>与</w:t>
      </w:r>
      <w:r w:rsidRPr="000336D9">
        <w:rPr>
          <w:rFonts w:hint="eastAsia"/>
        </w:rPr>
        <w:t>运行，</w:t>
      </w:r>
      <w:r>
        <w:rPr>
          <w:rFonts w:hint="eastAsia"/>
        </w:rPr>
        <w:t>推进</w:t>
      </w:r>
      <w:r w:rsidRPr="007E31A5">
        <w:rPr>
          <w:rFonts w:hint="eastAsia"/>
        </w:rPr>
        <w:t>多能互补系统建设，</w:t>
      </w:r>
      <w:r>
        <w:rPr>
          <w:rFonts w:hint="eastAsia"/>
        </w:rPr>
        <w:t>提升</w:t>
      </w:r>
      <w:r w:rsidRPr="007E31A5">
        <w:rPr>
          <w:rFonts w:hint="eastAsia"/>
        </w:rPr>
        <w:t>清洁能源</w:t>
      </w:r>
      <w:r>
        <w:rPr>
          <w:rFonts w:hint="eastAsia"/>
        </w:rPr>
        <w:t>基地</w:t>
      </w:r>
      <w:r w:rsidRPr="007E31A5">
        <w:rPr>
          <w:rFonts w:hint="eastAsia"/>
        </w:rPr>
        <w:t>管理效率，</w:t>
      </w:r>
      <w:r>
        <w:rPr>
          <w:rFonts w:hint="eastAsia"/>
        </w:rPr>
        <w:t>以</w:t>
      </w:r>
      <w:r w:rsidRPr="007E31A5">
        <w:rPr>
          <w:rFonts w:hint="eastAsia"/>
        </w:rPr>
        <w:t>助力</w:t>
      </w:r>
      <w:r>
        <w:rPr>
          <w:rFonts w:hint="eastAsia"/>
        </w:rPr>
        <w:t>我国</w:t>
      </w:r>
      <w:r w:rsidRPr="007E31A5">
        <w:rPr>
          <w:rFonts w:hint="eastAsia"/>
        </w:rPr>
        <w:t>能源结构转型与“双碳”目标的实现。</w:t>
      </w:r>
    </w:p>
    <w:p w14:paraId="4EBAC4B3" w14:textId="2E847985" w:rsidR="0084715F" w:rsidRDefault="0084715F" w:rsidP="0084715F">
      <w:pPr>
        <w:pStyle w:val="1"/>
      </w:pPr>
      <w:r>
        <w:rPr>
          <w:rFonts w:hint="eastAsia"/>
        </w:rPr>
        <w:t>文献综述</w:t>
      </w:r>
    </w:p>
    <w:p w14:paraId="694F0F63" w14:textId="043C38A9" w:rsidR="0084715F" w:rsidRDefault="0084715F" w:rsidP="0084715F">
      <w:pPr>
        <w:pStyle w:val="2"/>
      </w:pPr>
      <w:r>
        <w:rPr>
          <w:rFonts w:hint="eastAsia"/>
        </w:rPr>
        <w:t>项目群管理</w:t>
      </w:r>
    </w:p>
    <w:p w14:paraId="78602E80" w14:textId="017FCD9E" w:rsidR="0084715F" w:rsidRDefault="0084715F" w:rsidP="0084715F">
      <w:pPr>
        <w:ind w:firstLine="420"/>
      </w:pPr>
      <w:r w:rsidRPr="00766F0F">
        <w:rPr>
          <w:rFonts w:hint="eastAsia"/>
        </w:rPr>
        <w:t>项目</w:t>
      </w:r>
      <w:r>
        <w:rPr>
          <w:rFonts w:hint="eastAsia"/>
        </w:rPr>
        <w:t>（</w:t>
      </w:r>
      <w:r>
        <w:rPr>
          <w:rFonts w:hint="eastAsia"/>
        </w:rPr>
        <w:t>Project</w:t>
      </w:r>
      <w:r>
        <w:rPr>
          <w:rFonts w:hint="eastAsia"/>
        </w:rPr>
        <w:t>）</w:t>
      </w:r>
      <w:r w:rsidRPr="00236B5E">
        <w:rPr>
          <w:rFonts w:hint="eastAsia"/>
        </w:rPr>
        <w:t>是</w:t>
      </w:r>
      <w:r>
        <w:rPr>
          <w:rFonts w:hint="eastAsia"/>
        </w:rPr>
        <w:t>指</w:t>
      </w:r>
      <w:r w:rsidRPr="00236B5E">
        <w:rPr>
          <w:rFonts w:hint="eastAsia"/>
        </w:rPr>
        <w:t>为实现特定目标，在限定的时间内，合理配置并利用资源，以满足特定发起方需求，并产出具有独特性产品、服务或成果的一系列相互关联的活动集合</w:t>
      </w:r>
      <w:r w:rsidRPr="00766F0F">
        <w:rPr>
          <w:rFonts w:hint="eastAsia"/>
        </w:rPr>
        <w:t>。</w:t>
      </w:r>
      <w:r>
        <w:rPr>
          <w:rFonts w:hint="eastAsia"/>
        </w:rPr>
        <w:t>项目群（</w:t>
      </w:r>
      <w:r>
        <w:rPr>
          <w:rFonts w:hint="eastAsia"/>
        </w:rPr>
        <w:t>Program</w:t>
      </w:r>
      <w:r>
        <w:rPr>
          <w:rFonts w:hint="eastAsia"/>
        </w:rPr>
        <w:t>）</w:t>
      </w:r>
      <w:r w:rsidRPr="00236B5E">
        <w:rPr>
          <w:rFonts w:hint="eastAsia"/>
        </w:rPr>
        <w:t>被界定为一组彼此关联的项目，系统性</w:t>
      </w:r>
      <w:r>
        <w:rPr>
          <w:rFonts w:hint="eastAsia"/>
        </w:rPr>
        <w:t>的</w:t>
      </w:r>
      <w:r w:rsidRPr="00236B5E">
        <w:rPr>
          <w:rFonts w:hint="eastAsia"/>
        </w:rPr>
        <w:t>协调管理</w:t>
      </w:r>
      <w:r>
        <w:rPr>
          <w:rFonts w:hint="eastAsia"/>
        </w:rPr>
        <w:t>能够</w:t>
      </w:r>
      <w:r w:rsidRPr="00236B5E">
        <w:rPr>
          <w:rFonts w:hint="eastAsia"/>
        </w:rPr>
        <w:t>使整体效益优于单独管理各项目</w:t>
      </w:r>
      <w:r>
        <w:rPr>
          <w:rFonts w:hint="eastAsia"/>
        </w:rPr>
        <w:t>时的收益，从而实现</w:t>
      </w:r>
      <w:r w:rsidRPr="00236B5E">
        <w:rPr>
          <w:rFonts w:hint="eastAsia"/>
        </w:rPr>
        <w:t>价值整合与效益倍增</w:t>
      </w:r>
      <w:r>
        <w:fldChar w:fldCharType="begin"/>
      </w:r>
      <w:r w:rsidR="00E17813">
        <w:instrText xml:space="preserve"> ADDIN ZOTERO_ITEM CSL_CITATION {"citationID":"hcwZk3yH","properties":{"formattedCitation":"\\super [12]\\nosupersub{}","plainCitation":"[12]","noteIndex":0},"citationItems":[{"id":1249,"uris":["http://zotero.org/users/13172592/items/EZH78ZJE"],"itemData":{"id":1249,"type":"book","edition":"Seventh Edition","event-place":"Pennsylvania","ISBN":"978-1-62825-664-2","language":"en","number-of-pages":"274","publisher":"Project Management Institute, Inc","publisher-place":"Pennsylvania","source":"K10plus ISBN","title":"A guide to the project management body of knowledge and the standard for project management","editor":[{"family":"PMI","given":""}],"issued":{"date-parts":[["2021"]]}}}],"schema":"https://github.com/citation-style-language/schema/raw/master/csl-citation.json"} </w:instrText>
      </w:r>
      <w:r>
        <w:fldChar w:fldCharType="separate"/>
      </w:r>
      <w:r w:rsidR="00E17813" w:rsidRPr="00E17813">
        <w:rPr>
          <w:rFonts w:cs="Times New Roman"/>
          <w:kern w:val="0"/>
          <w:vertAlign w:val="superscript"/>
        </w:rPr>
        <w:t>[12]</w:t>
      </w:r>
      <w:r>
        <w:fldChar w:fldCharType="end"/>
      </w:r>
      <w:r w:rsidRPr="00766F0F">
        <w:rPr>
          <w:rFonts w:hint="eastAsia"/>
        </w:rPr>
        <w:t>。</w:t>
      </w:r>
      <w:r>
        <w:rPr>
          <w:rFonts w:hint="eastAsia"/>
        </w:rPr>
        <w:t>项目管理（</w:t>
      </w:r>
      <w:r>
        <w:rPr>
          <w:rFonts w:hint="eastAsia"/>
        </w:rPr>
        <w:t>Project management</w:t>
      </w:r>
      <w:r>
        <w:rPr>
          <w:rFonts w:hint="eastAsia"/>
        </w:rPr>
        <w:t>）是指在有限的时间和资源条件下，</w:t>
      </w:r>
      <w:r>
        <w:rPr>
          <w:rFonts w:hint="eastAsia"/>
        </w:rPr>
        <w:lastRenderedPageBreak/>
        <w:t>管理团队按照既定的目标，完成项目交付。在工程领域，单一水电项目、光伏发电项目的建设管理，均属于项目管理。项目群管理（</w:t>
      </w:r>
      <w:r>
        <w:rPr>
          <w:rFonts w:hint="eastAsia"/>
        </w:rPr>
        <w:t>Program management</w:t>
      </w:r>
      <w:r>
        <w:rPr>
          <w:rFonts w:hint="eastAsia"/>
        </w:rPr>
        <w:t>）</w:t>
      </w:r>
      <w:r>
        <w:t>旨在对一组相互关联的项目进行统筹规划与协同管控，通过优化资源配置、协调各项目参与方，并充分发挥项目间的协同效应与互补优势，高效推动项目群整体目标的达成</w:t>
      </w:r>
      <w:r>
        <w:rPr>
          <w:rFonts w:hint="eastAsia"/>
        </w:rPr>
        <w:t>。</w:t>
      </w:r>
      <w:r w:rsidR="004B0C55">
        <w:rPr>
          <w:rFonts w:hint="eastAsia"/>
        </w:rPr>
        <w:t>清洁能源基地涉及水、风、光等多个清洁能源工程的统筹管理，属于项目群管理范畴。</w:t>
      </w:r>
    </w:p>
    <w:p w14:paraId="3BC99978" w14:textId="1C42EA8B" w:rsidR="0084715F" w:rsidRDefault="0084715F" w:rsidP="0084715F">
      <w:pPr>
        <w:ind w:firstLine="420"/>
      </w:pPr>
      <w:r>
        <w:rPr>
          <w:rFonts w:hint="eastAsia"/>
        </w:rPr>
        <w:t>项目群管理要求管理主体具备</w:t>
      </w:r>
      <w:r>
        <w:t>战略意识</w:t>
      </w:r>
      <w:r>
        <w:rPr>
          <w:rFonts w:hint="eastAsia"/>
        </w:rPr>
        <w:t>，</w:t>
      </w:r>
      <w:r w:rsidRPr="00CC403A">
        <w:rPr>
          <w:rFonts w:hint="eastAsia"/>
        </w:rPr>
        <w:t>不仅要理解和掌握</w:t>
      </w:r>
      <w:r>
        <w:rPr>
          <w:rFonts w:hint="eastAsia"/>
        </w:rPr>
        <w:t>项目</w:t>
      </w:r>
      <w:r w:rsidRPr="00CC403A">
        <w:rPr>
          <w:rFonts w:hint="eastAsia"/>
        </w:rPr>
        <w:t>内部</w:t>
      </w:r>
      <w:r>
        <w:rPr>
          <w:rFonts w:hint="eastAsia"/>
        </w:rPr>
        <w:t>的</w:t>
      </w:r>
      <w:r w:rsidRPr="00CC403A">
        <w:rPr>
          <w:rFonts w:hint="eastAsia"/>
        </w:rPr>
        <w:t>运行机制</w:t>
      </w:r>
      <w:r>
        <w:rPr>
          <w:rFonts w:hint="eastAsia"/>
        </w:rPr>
        <w:t>与项目间的关联</w:t>
      </w:r>
      <w:r w:rsidRPr="00CC403A">
        <w:rPr>
          <w:rFonts w:hint="eastAsia"/>
        </w:rPr>
        <w:t>，</w:t>
      </w:r>
      <w:r>
        <w:rPr>
          <w:rFonts w:hint="eastAsia"/>
        </w:rPr>
        <w:t>也需</w:t>
      </w:r>
      <w:r w:rsidRPr="00CC403A">
        <w:rPr>
          <w:rFonts w:hint="eastAsia"/>
        </w:rPr>
        <w:t>全面了解市场、政策</w:t>
      </w:r>
      <w:r>
        <w:rPr>
          <w:rFonts w:hint="eastAsia"/>
        </w:rPr>
        <w:t>、技术发展等</w:t>
      </w:r>
      <w:r w:rsidRPr="00CC403A">
        <w:rPr>
          <w:rFonts w:hint="eastAsia"/>
        </w:rPr>
        <w:t>外部环境</w:t>
      </w:r>
      <w:r>
        <w:rPr>
          <w:rFonts w:hint="eastAsia"/>
        </w:rPr>
        <w:t>因素的动态变化</w:t>
      </w:r>
      <w:r>
        <w:fldChar w:fldCharType="begin"/>
      </w:r>
      <w:r w:rsidR="00E17813">
        <w:instrText xml:space="preserve"> ADDIN ZOTERO_ITEM CSL_CITATION {"citationID":"6nkQP41k","properties":{"formattedCitation":"\\super [13]\\nosupersub{}","plainCitation":"[13]","noteIndex":0},"citationItems":[{"id":1741,"uris":["http://zotero.org/users/13172592/items/3RD5ETMC"],"itemData":{"id":1741,"type":"article-journal","abstract":"Growth in the use of programmes as a vehicle for implementing strategy has been accompanied by a need to understand the competence of eﬀective programme managers. Corporate leaders know that promoting proven project managers into a programme manager role is unreliable, yet little rigorous research has been done into the distinctiveness of programme management competence. Using the interpretive approach known as phenomenography, we studied the management of 15 strategic programmes spread over seven industry sectors. We present our ﬁndings in the form of a framework of 17 key attributes of programme management work, each conceived at four levels in a hierarchy of competence.","call-number":"1","container-title":"International Journal of Project Management","DOI":"10.1016/j.ijproman.2004.06.004","ISSN":"02637863","issue":"2","journalAbbreviation":"International Journal of Project Management","language":"en","license":"https://www.elsevier.com/tdm/userlicense/1.0/","page":"87-95","source":"8","title":"Attributes and levels of programme management competence: An interpretive study","title-short":"Attributes and levels of programme management competence","volume":"23","author":[{"family":"Partington","given":"David"},{"family":"Pellegrinelli","given":"Sergio"},{"family":"Young","given":"Malcolm"}],"issued":{"date-parts":[["2005",2]]}}}],"schema":"https://github.com/citation-style-language/schema/raw/master/csl-citation.json"} </w:instrText>
      </w:r>
      <w:r>
        <w:fldChar w:fldCharType="separate"/>
      </w:r>
      <w:r w:rsidR="00E17813" w:rsidRPr="00E17813">
        <w:rPr>
          <w:rFonts w:cs="Times New Roman"/>
          <w:kern w:val="0"/>
          <w:vertAlign w:val="superscript"/>
        </w:rPr>
        <w:t>[13]</w:t>
      </w:r>
      <w:r>
        <w:fldChar w:fldCharType="end"/>
      </w:r>
      <w:r>
        <w:rPr>
          <w:rFonts w:hint="eastAsia"/>
        </w:rPr>
        <w:t>。此外，项目群管理对</w:t>
      </w:r>
      <w:r w:rsidRPr="00CC403A">
        <w:rPr>
          <w:rFonts w:hint="eastAsia"/>
        </w:rPr>
        <w:t>应变能力</w:t>
      </w:r>
      <w:r>
        <w:rPr>
          <w:rFonts w:hint="eastAsia"/>
        </w:rPr>
        <w:t>提出了更高的要求</w:t>
      </w:r>
      <w:r>
        <w:t>，</w:t>
      </w:r>
      <w:r>
        <w:rPr>
          <w:rFonts w:hint="eastAsia"/>
        </w:rPr>
        <w:t>以及时调整已有知识与技能，适应环境变化并实现创新</w:t>
      </w:r>
      <w:r>
        <w:fldChar w:fldCharType="begin"/>
      </w:r>
      <w:r w:rsidR="00E17813">
        <w:instrText xml:space="preserve"> ADDIN ZOTERO_ITEM CSL_CITATION {"citationID":"UfA6RTI3","properties":{"formattedCitation":"\\super [14,15]\\nosupersub{}","plainCitation":"[14,15]","noteIndex":0},"citationItems":[{"id":1742,"uris":["http://zotero.org/users/13172592/items/JE2E3QUW"],"itemData":{"id":1742,"type":"article-journal","abstract":"Creating and sustaining competitive advantage demands that ﬁrms both exploit knowledge and capabilities efﬁciently, and explore ways to innovate and respond ﬂexibly. The study of this dual capability, ambidexterity, has become increasingly prevalent as organizations struggle to address rapidly changing environments. This paper draws upon longitudinal case research into a business transformation to study how organizational ambidexterity was achieved and sustained through the complementary use of programs and projects. In particular, a strategic, emergent approach to the management of the transformation program created ﬂexibility, while the projects embedded in the program were managed to ensure the consistent, reliable and efﬁcient delivery of new products, operating changes and key capabilities. In combining, but not conﬂating, these management approaches the organization responded successfully to discontinuous changes, and out-performed competitors. This paper adds to our knowledge of how ambidexterity works in practice and the use of projects and programs for implementing strategic change.","call-number":"1","container-title":"International Journal of Project Management","DOI":"10.1016/j.ijproman.2014.04.008","ISSN":"02637863","issue":"1","journalAbbreviation":"International Journal of Project Management","language":"en","page":"153-164","source":"8","title":"Facilitating organizational ambidexterity through the complementary use of projects and programs","volume":"33","author":[{"family":"Pellegrinelli","given":"Sergio"},{"family":"Murray-Webster","given":"Ruth"},{"family":"Turner","given":"Neil"}],"issued":{"date-parts":[["2015",1]]}},"label":"page"},{"id":1643,"uris":["http://zotero.org/users/13172592/items/RBHGRIP5"],"itemData":{"id":1643,"type":"article-journal","abstract":"This paper explores how programme management (as opposed to project management) can contribute to the effective design and delivery of megaprojects. Traditionally, project management is considered to be performance focused and task oriented, whilst programme management entails a more strategic focus. The programme management literature suggests that this can result in tensions between the management of the projects and the programme as a whole. This paper uses the ﬁndings of the €2.4 billion Room for the River ﬂood protection programme in the Netherlands as a case study, because indicators about its budget, time, quality and stakeholder satisfaction suggest high programme management performance upon completion of the planning and design stage of its 39 river widening projects. Based on a literature review, document analysis and 55 face-to-face interviews, we have analysed how the programme management of the programme contributed to this result. Six attributes for effective programme management that are identiﬁed from the project and programme management literature are used to structure the research data. Consecutively, the interactions between project and programme management are analysed. The analysis of Room for the River reveals a combined strategic/performance focus at the level of both programme and project management that enables a collaborative approach between programme and project management. This particularly enables effective stakeholder collaboration, coordination and adaptation of the programme to contextual changes, newly acquired insights and the changing needs of consecutive planning stages, which positively contributes to the performance of the programme as a whole.","call-number":"1","container-title":"International Journal of Project Management","DOI":"10.1016/j.ijproman.2014.01.003","ISSN":"02637863","issue":"7","journalAbbreviation":"International Journal of Project Management","language":"en","page":"1197-1209","source":"8","title":"Adaptive programme management through a balanced performance/strategy-oriented focus","volume":"32","author":[{"family":"Rijke","given":"Jeroen"},{"family":"Van Herk","given":"Sebastiaan"},{"family":"Zevenbergen","given":"Chris"},{"family":"Ashley","given":"Richard"},{"family":"Hertogh","given":"Marcel"},{"family":"Ten Heuvelhof","given":"Ernst"}],"issued":{"date-parts":[["2014",10]]}},"label":"page"}],"schema":"https://github.com/citation-style-language/schema/raw/master/csl-citation.json"} </w:instrText>
      </w:r>
      <w:r>
        <w:fldChar w:fldCharType="separate"/>
      </w:r>
      <w:r w:rsidR="00E17813" w:rsidRPr="00E17813">
        <w:rPr>
          <w:rFonts w:cs="Times New Roman"/>
          <w:kern w:val="0"/>
          <w:vertAlign w:val="superscript"/>
        </w:rPr>
        <w:t>[14</w:t>
      </w:r>
      <w:r w:rsidR="00BA516A">
        <w:rPr>
          <w:rFonts w:cs="Times New Roman"/>
          <w:kern w:val="0"/>
          <w:vertAlign w:val="superscript"/>
        </w:rPr>
        <w:t>-</w:t>
      </w:r>
      <w:r w:rsidR="00E17813" w:rsidRPr="00E17813">
        <w:rPr>
          <w:rFonts w:cs="Times New Roman"/>
          <w:kern w:val="0"/>
          <w:vertAlign w:val="superscript"/>
        </w:rPr>
        <w:t>15]</w:t>
      </w:r>
      <w:r>
        <w:fldChar w:fldCharType="end"/>
      </w:r>
      <w:r>
        <w:rPr>
          <w:rFonts w:hint="eastAsia"/>
        </w:rPr>
        <w:t>。项目群管理还涉及更复杂的组织管理结构，更应注重构建利益相关方之间的伙伴关系</w:t>
      </w:r>
      <w:r>
        <w:fldChar w:fldCharType="begin"/>
      </w:r>
      <w:r w:rsidR="00E17813">
        <w:instrText xml:space="preserve"> ADDIN ZOTERO_ITEM CSL_CITATION {"citationID":"DjKeEjZd","properties":{"formattedCitation":"\\super [16]\\nosupersub{}","plainCitation":"[16]","noteIndex":0},"citationItems":[{"id":1740,"uris":["http://zotero.org/users/13172592/items/FCFII7GU"],"itemData":{"id":1740,"type":"article-journal","abstract":"The common conception of programme management as an extension or variant of project management, and therefore endowed with the same rationalist, instrumental underpinnings, is reviewed and questioned. In particular, the implications of labelling are highlighted, and the limitations for practice of conﬂated or poorly diﬀerentiated conceptions or models of project management and programme management are discussed. The central argument of this paper is that a distinct programme management model, grounded in a view of social reality as continually constructed through the actions and interactions of individuals – a becoming or related social constructionist ontology – provides an alternative way of shaping and undertaking change initiatives. Such a programme management model, when practised by reﬂective, context sensitive and value/ethically aware practitioners, can co-exist with and complement traditional project management approaches within an organisation.","call-number":"1","container-title":"International Journal of Project Management","DOI":"10.1016/j.ijproman.2010.02.009","ISSN":"02637863","issue":"2","journalAbbreviation":"International Journal of Project Management","language":"en","license":"https://www.elsevier.com/tdm/userlicense/1.0/","page":"232-240","source":"8","title":"What’s in a name: Project or programme?","title-short":"What’s in a name","volume":"29","author":[{"family":"Pellegrinelli","given":"Sergio"}],"issued":{"date-parts":[["2011",2]]}}}],"schema":"https://github.com/citation-style-language/schema/raw/master/csl-citation.json"} </w:instrText>
      </w:r>
      <w:r>
        <w:fldChar w:fldCharType="separate"/>
      </w:r>
      <w:r w:rsidR="00E17813" w:rsidRPr="00E17813">
        <w:rPr>
          <w:rFonts w:cs="Times New Roman"/>
          <w:kern w:val="0"/>
          <w:vertAlign w:val="superscript"/>
        </w:rPr>
        <w:t>[16]</w:t>
      </w:r>
      <w:r>
        <w:fldChar w:fldCharType="end"/>
      </w:r>
      <w:r>
        <w:rPr>
          <w:rFonts w:hint="eastAsia"/>
        </w:rPr>
        <w:t>。同时，由于项目群周期较长，涉及专业领域较多，知识与创新管理的重要性增加，项目群管理信息系统的设计与使用也因此受到了关注</w:t>
      </w:r>
      <w:r>
        <w:fldChar w:fldCharType="begin"/>
      </w:r>
      <w:r w:rsidR="00E17813">
        <w:instrText xml:space="preserve"> ADDIN ZOTERO_ITEM CSL_CITATION {"citationID":"tdbic1wL","properties":{"formattedCitation":"\\super [17,18]\\nosupersub{}","plainCitation":"[17,18]","noteIndex":0},"citationItems":[{"id":1917,"uris":["http://zotero.org/users/13172592/items/ITAY8FHW"],"itemData":{"id":1917,"type":"article-journal","abstract":"With the advancement of today's technological improvements and the rapid growth in population, the magnitude of construction projects has grown significantlywhile construction budgets continue to shrink. We can and must build faster, safer, bigger, and more economicallythan our predecessors did and while goingthrough the same basic planning, engineering, and construction phases. To meet this challenge, effective program management is crucial. Previously, management systemsconcentrated on schedule and cost, but in today's economic climate funding has become a major management issue for these multiproject programs. An effective management information system (MIS) must be capable of monitoring schedule, cost, and funding components. This paper discusses the general requirements for creation of a customized MIS and makes recommendations for assessing the program's needs, developing the schedules, and monitoring the finances. It is intended to be used as a guideline by managers to help define their project-specificrequirements and establish the foundation on which to build their MIS.","call-number":"1","container-title":"Journal of Management in Engineering","DOI":"10.1061/(ASCE)9742-597X(1994)10:1(37)","ISSN":"0742-597X, 1943-5479","issue":"1","journalAbbreviation":"J. Manage. Eng.","language":"en","page":"37-42","source":"7.4","title":"Establishing management information systems for multiproject programs","volume":"10","author":[{"family":"Zapalac","given":"Russell"},{"family":"Kuemmler","given":"Karen"},{"family":"Malagon","given":"Tim"}],"issued":{"date-parts":[["1994",1]]}}},{"id":1850,"uris":["http://zotero.org/users/13172592/items/54DC6TVI"],"itemData":{"id":1850,"type":"article-journal","abstract":"This paper is about intelligent Program Management Information System (iPMIS) to support decisionmaking and management of urban renewal mega projects over their life cycle in Korea. Program management focuses on soft issues i.e. benefits, stakeholders, and governance. A challenge is the diversity of urban renewal projects in terms of process and organization structure. The authors clarify the general requirements of systems to support program management while coping with diversity as follows: openness, clearness, convenience and consistency. As solutions, the authors present a conceptual model for iPMIS featuring the following characteristics: a web-based platform in which general modules and external integrated Geographic Information System (GIS) with decision support logical models are operated; interfaces; cooperative operating IT and IS in urban planning and construction; and a protocol for managing data cooperatively at the level of nation, district, project and facility. Two main unique features are: a user-created ontological process map that provides the operation scenario and menus of the iPMIS; and plug &amp; play techniques by which modules are selected and then operated immediately. These core concepts have been implemented as a prototype system and have been applied to a real construction project. The evaluation result shows that this technique can reduce systems implementation time by 90%.","call-number":"4","container-title":"Journal of Asian Architecture and Building Engineering","DOI":"10.3130/jaabe.8.57","ISSN":"1346-7581, 1347-2852","issue":"1","journalAbbreviation":"Journal of Asian Architecture and Building Engineering","language":"en","note":"TLDR: The authors present a conceptual model for iPMIS featuring a web-based platform in which general modules and external integrated Geographic Information System with decision support logical models are operated; interfaces; cooperative operating IT and IS in urban planning and construction; and a protocol for managing data cooperatively at the level of nation, district, project and facility.","page":"57-64","source":"1.3","title":"A conceptual model of intelligent program management information systems (iPMIS) for urban renewal mega projects in Korea","volume":"8","author":[{"family":"Kim","given":"Ju-Hyung"},{"family":"Yoon","given":"Ja-Young"},{"family":"Kim","given":"Kyung-Hwan"},{"family":"Kim","given":"Jae-Jun"}],"issued":{"date-parts":[["2009",5]]}}}],"schema":"https://github.com/citation-style-language/schema/raw/master/csl-citation.json"} </w:instrText>
      </w:r>
      <w:r>
        <w:fldChar w:fldCharType="separate"/>
      </w:r>
      <w:r w:rsidR="00E17813" w:rsidRPr="00E17813">
        <w:rPr>
          <w:rFonts w:cs="Times New Roman"/>
          <w:kern w:val="0"/>
          <w:vertAlign w:val="superscript"/>
        </w:rPr>
        <w:t>[17</w:t>
      </w:r>
      <w:r w:rsidR="00BA516A">
        <w:rPr>
          <w:rFonts w:cs="Times New Roman"/>
          <w:kern w:val="0"/>
          <w:vertAlign w:val="superscript"/>
        </w:rPr>
        <w:t>-</w:t>
      </w:r>
      <w:r w:rsidR="00E17813" w:rsidRPr="00E17813">
        <w:rPr>
          <w:rFonts w:cs="Times New Roman"/>
          <w:kern w:val="0"/>
          <w:vertAlign w:val="superscript"/>
        </w:rPr>
        <w:t>18]</w:t>
      </w:r>
      <w:r>
        <w:fldChar w:fldCharType="end"/>
      </w:r>
      <w:r>
        <w:rPr>
          <w:rFonts w:hint="eastAsia"/>
        </w:rPr>
        <w:t>。我国经济、城市化快速发展</w:t>
      </w:r>
      <w:r w:rsidRPr="009C120B">
        <w:rPr>
          <w:rFonts w:hint="eastAsia"/>
        </w:rPr>
        <w:t>，大型基础设施项目数量呈指数级增长</w:t>
      </w:r>
      <w:r>
        <w:fldChar w:fldCharType="begin"/>
      </w:r>
      <w:r w:rsidR="00E17813">
        <w:instrText xml:space="preserve"> ADDIN ZOTERO_ITEM CSL_CITATION {"citationID":"PnvLza1h","properties":{"formattedCitation":"\\super [19]\\nosupersub{}","plainCitation":"[19]","noteIndex":0},"citationItems":[{"id":1845,"uris":["http://zotero.org/users/13172592/items/5BSA373E"],"itemData":{"id":1845,"type":"article-journal","abstract":"The emergence of construction megaprojects has become a global phenomenon over the last two decades as a result of rapid urbanization. Program management has been increasingly promoted as a vital approach for ensuring megaproject success through the coordinated management of the dispensed execution of a program at the organizational level. Nevertheless, practicing this method in construction megaprojects is a continual improvement process that requires relevant guidelines and tools. This study proposes an innovative tool to evaluate a structured program organization in conjunction with the fuzzy synthetic evaluation method. Based on determinants of program organization identified from a Delphi survey previously conducted by authors regarding the Shanghai Expo construction, combined with results of further Delphi surveys for the same project, the use of this new evaluation approach in the case project is illustrated stepby-step. With this tool, clients can better utilize the program management approach in their organizational design and improvement, and the organizational effectiveness for delivering megaprojects can be improved constantly. DOI: 10.1061/(ASCE)ME.1943-5479.0000432. © 2016 American Society of Civil Engineers.","call-number":"1","container-title":"Journal of Management in Engineering","DOI":"10.1061/(ASCE)ME.1943-5479.0000432","ISSN":"0742-597X, 1943-5479","issue":"4","journalAbbreviation":"J. Manage. Eng.","language":"en","page":"05016007","source":"7.4","title":"Developing a program organization performance index for delivering construction megaprojects in China: Fuzzy synthetic evaluation analysis","title-short":"Developing a Program Organization Performance Index for Delivering Construction Megaprojects in China","volume":"32","author":[{"family":"Hu","given":"Yi"},{"family":"Chan","given":"Albert P. C."},{"family":"Le","given":"Yun"},{"family":"Xu","given":"Yelin"},{"family":"Shan","given":"Ming"}],"issued":{"date-parts":[["2016",7]]}}}],"schema":"https://github.com/citation-style-language/schema/raw/master/csl-citation.json"} </w:instrText>
      </w:r>
      <w:r>
        <w:fldChar w:fldCharType="separate"/>
      </w:r>
      <w:r w:rsidR="00E17813" w:rsidRPr="00E17813">
        <w:rPr>
          <w:rFonts w:cs="Times New Roman"/>
          <w:kern w:val="0"/>
          <w:vertAlign w:val="superscript"/>
        </w:rPr>
        <w:t>[19]</w:t>
      </w:r>
      <w:r>
        <w:fldChar w:fldCharType="end"/>
      </w:r>
      <w:r>
        <w:rPr>
          <w:rFonts w:hint="eastAsia"/>
        </w:rPr>
        <w:t>。项目群</w:t>
      </w:r>
      <w:r w:rsidRPr="009C120B">
        <w:rPr>
          <w:rFonts w:hint="eastAsia"/>
        </w:rPr>
        <w:t>管理</w:t>
      </w:r>
      <w:r>
        <w:rPr>
          <w:rFonts w:hint="eastAsia"/>
        </w:rPr>
        <w:t>已成为大型</w:t>
      </w:r>
      <w:r w:rsidRPr="00A61E9F">
        <w:rPr>
          <w:rFonts w:hint="eastAsia"/>
        </w:rPr>
        <w:t>基础设施</w:t>
      </w:r>
      <w:r>
        <w:rPr>
          <w:rFonts w:hint="eastAsia"/>
        </w:rPr>
        <w:t>开发的重要管理模式</w:t>
      </w:r>
      <w:r>
        <w:fldChar w:fldCharType="begin"/>
      </w:r>
      <w:r w:rsidR="00E17813">
        <w:instrText xml:space="preserve"> ADDIN ZOTERO_ITEM CSL_CITATION {"citationID":"iuCLWRw5","properties":{"formattedCitation":"\\super [15]\\nosupersub{}","plainCitation":"[15]","noteIndex":0},"citationItems":[{"id":1643,"uris":["http://zotero.org/users/13172592/items/RBHGRIP5"],"itemData":{"id":1643,"type":"article-journal","abstract":"This paper explores how programme management (as opposed to project management) can contribute to the effective design and delivery of megaprojects. Traditionally, project management is considered to be performance focused and task oriented, whilst programme management entails a more strategic focus. The programme management literature suggests that this can result in tensions between the management of the projects and the programme as a whole. This paper uses the ﬁndings of the €2.4 billion Room for the River ﬂood protection programme in the Netherlands as a case study, because indicators about its budget, time, quality and stakeholder satisfaction suggest high programme management performance upon completion of the planning and design stage of its 39 river widening projects. Based on a literature review, document analysis and 55 face-to-face interviews, we have analysed how the programme management of the programme contributed to this result. Six attributes for effective programme management that are identiﬁed from the project and programme management literature are used to structure the research data. Consecutively, the interactions between project and programme management are analysed. The analysis of Room for the River reveals a combined strategic/performance focus at the level of both programme and project management that enables a collaborative approach between programme and project management. This particularly enables effective stakeholder collaboration, coordination and adaptation of the programme to contextual changes, newly acquired insights and the changing needs of consecutive planning stages, which positively contributes to the performance of the programme as a whole.","call-number":"1","container-title":"International Journal of Project Management","DOI":"10.1016/j.ijproman.2014.01.003","ISSN":"02637863","issue":"7","journalAbbreviation":"International Journal of Project Management","language":"en","page":"1197-1209","source":"8","title":"Adaptive programme management through a balanced performance/strategy-oriented focus","volume":"32","author":[{"family":"Rijke","given":"Jeroen"},{"family":"Van Herk","given":"Sebastiaan"},{"family":"Zevenbergen","given":"Chris"},{"family":"Ashley","given":"Richard"},{"family":"Hertogh","given":"Marcel"},{"family":"Ten Heuvelhof","given":"Ernst"}],"issued":{"date-parts":[["2014",10]]}}}],"schema":"https://github.com/citation-style-language/schema/raw/master/csl-citation.json"} </w:instrText>
      </w:r>
      <w:r>
        <w:fldChar w:fldCharType="separate"/>
      </w:r>
      <w:r w:rsidR="00E17813" w:rsidRPr="00E17813">
        <w:rPr>
          <w:rFonts w:cs="Times New Roman"/>
          <w:kern w:val="0"/>
          <w:vertAlign w:val="superscript"/>
        </w:rPr>
        <w:t>[15]</w:t>
      </w:r>
      <w:r>
        <w:fldChar w:fldCharType="end"/>
      </w:r>
      <w:r>
        <w:rPr>
          <w:rFonts w:hint="eastAsia"/>
        </w:rPr>
        <w:t>。</w:t>
      </w:r>
    </w:p>
    <w:p w14:paraId="116B4378" w14:textId="1AE96F52" w:rsidR="0084715F" w:rsidRPr="0084715F" w:rsidRDefault="0084715F" w:rsidP="0084715F">
      <w:pPr>
        <w:pStyle w:val="2"/>
      </w:pPr>
      <w:r w:rsidRPr="0084715F">
        <w:rPr>
          <w:rFonts w:hint="eastAsia"/>
        </w:rPr>
        <w:t>项目群一体化管理研究</w:t>
      </w:r>
    </w:p>
    <w:p w14:paraId="2708F6B0" w14:textId="20137BBE" w:rsidR="0084715F" w:rsidRDefault="0084715F" w:rsidP="0084715F">
      <w:pPr>
        <w:ind w:firstLine="420"/>
      </w:pPr>
      <w:r>
        <w:rPr>
          <w:rFonts w:hint="eastAsia"/>
        </w:rPr>
        <w:t>一体化管理（</w:t>
      </w:r>
      <w:r>
        <w:rPr>
          <w:rFonts w:hint="eastAsia"/>
        </w:rPr>
        <w:t>Integration Management</w:t>
      </w:r>
      <w:r>
        <w:rPr>
          <w:rFonts w:hint="eastAsia"/>
        </w:rPr>
        <w:t>）是项目群管理的核心内容，</w:t>
      </w:r>
      <w:r w:rsidRPr="0019697D">
        <w:rPr>
          <w:rFonts w:hint="eastAsia"/>
        </w:rPr>
        <w:t>贯穿于项目群生命周期的各个阶段，旨在通过识别、定义、整合、协调和统一多个</w:t>
      </w:r>
      <w:r>
        <w:rPr>
          <w:rFonts w:hint="eastAsia"/>
        </w:rPr>
        <w:t>子</w:t>
      </w:r>
      <w:r w:rsidRPr="0019697D">
        <w:rPr>
          <w:rFonts w:hint="eastAsia"/>
        </w:rPr>
        <w:t>项目</w:t>
      </w:r>
      <w:r>
        <w:rPr>
          <w:rFonts w:hint="eastAsia"/>
        </w:rPr>
        <w:t>与利益相关方</w:t>
      </w:r>
      <w:r w:rsidRPr="0019697D">
        <w:rPr>
          <w:rFonts w:hint="eastAsia"/>
        </w:rPr>
        <w:t>，实现组织的战略目标</w:t>
      </w:r>
      <w:r>
        <w:fldChar w:fldCharType="begin"/>
      </w:r>
      <w:r w:rsidR="00E17813">
        <w:instrText xml:space="preserve"> ADDIN ZOTERO_ITEM CSL_CITATION {"citationID":"CwKnjVn0","properties":{"formattedCitation":"\\super [20]\\nosupersub{}","plainCitation":"[20]","noteIndex":0},"citationItems":[{"id":1716,"uris":["http://zotero.org/users/13172592/items/9RUS3GRM"],"itemData":{"id":1716,"type":"book","abstract":"\"The Standard for Program Management - Fourth Edition differs from prior editions by focusing on the principles of good program management. Program activities have been realigned to program lifecycle phases rather than topics, and the first section was expanded to address the key roles of program manager, program sponsor and program management office. It has also been updated to better align with PMI's Governance of Portfolios, Programs, and Projects: A Practice Guide\"--","call-number":"HD69.P75 S737 2017","event-place":"Newtown Square, PA","ISBN":"978-1-62825-196-8","language":"en","number-of-pages":"179","publisher":"Project Management Institute","publisher-place":"Newtown Square, PA","source":"Library of Congress ISBN","title":"The standard for program management","editor":[{"literal":"PMI"}],"issued":{"date-parts":[["2017"]]}}}],"schema":"https://github.com/citation-style-language/schema/raw/master/csl-citation.json"} </w:instrText>
      </w:r>
      <w:r>
        <w:fldChar w:fldCharType="separate"/>
      </w:r>
      <w:r w:rsidR="00E17813" w:rsidRPr="00E17813">
        <w:rPr>
          <w:rFonts w:cs="Times New Roman"/>
          <w:kern w:val="0"/>
          <w:vertAlign w:val="superscript"/>
        </w:rPr>
        <w:t>[20]</w:t>
      </w:r>
      <w:r>
        <w:fldChar w:fldCharType="end"/>
      </w:r>
      <w:r>
        <w:rPr>
          <w:rFonts w:hint="eastAsia"/>
        </w:rPr>
        <w:t>。在工程领域，项目群管理涉及</w:t>
      </w:r>
      <w:r>
        <w:t>不同利益相关方的参与和不同子项目的同步开发，</w:t>
      </w:r>
      <w:r>
        <w:rPr>
          <w:rFonts w:hint="eastAsia"/>
        </w:rPr>
        <w:t>组织结构分散和</w:t>
      </w:r>
      <w:r>
        <w:t>工作碎片化</w:t>
      </w:r>
      <w:r>
        <w:rPr>
          <w:rFonts w:hint="eastAsia"/>
        </w:rPr>
        <w:t>是项目群管理</w:t>
      </w:r>
      <w:r>
        <w:t>的</w:t>
      </w:r>
      <w:r>
        <w:rPr>
          <w:rFonts w:hint="eastAsia"/>
        </w:rPr>
        <w:t>重要</w:t>
      </w:r>
      <w:r>
        <w:t>挑战。</w:t>
      </w:r>
      <w:r w:rsidRPr="00527D5F">
        <w:rPr>
          <w:rFonts w:hint="eastAsia"/>
        </w:rPr>
        <w:t>已有研究表明，一体化管理通过建立系统化的集成管理框架，可以有效</w:t>
      </w:r>
      <w:r>
        <w:rPr>
          <w:rFonts w:hint="eastAsia"/>
        </w:rPr>
        <w:t>提升项目群绩效</w:t>
      </w:r>
      <w:r>
        <w:fldChar w:fldCharType="begin"/>
      </w:r>
      <w:r w:rsidR="002F3722">
        <w:instrText xml:space="preserve"> ADDIN ZOTERO_ITEM CSL_CITATION {"citationID":"a1k3cj5fg10","properties":{"formattedCitation":"\\super [21]\\nosupersub{}","plainCitation":"[21]","noteIndex":0},"citationItems":[{"id":3722,"uris":["http://zotero.org/users/13172592/items/KX4WZDRA"],"itemData":{"id":3722,"type":"article-journal","abstract":"Construction project performance relies on different dimensions of project management. Among those, integration management is of paramount importance since effective project management starts with the integration of processes and people within a construction project. This study investigates the influence of various components of integration management on construction project management performance and quantifies the relationship between those components and integration management. The proposed components of integration management are the development of a project charter, knowledge integration, process integration, staff integration, supply chain integration, and integration of changes; whereas the dimensions of project management performance are time, cost, quality, safety, and client satisfaction. A questionnaire was designed and administered to construction professionals and data from 121 projects was analyzed using structural equation modeling. The data was analyzed by using software, called SPSS AMOS. The findings of the research indicate that integration management has a strong impact on project management performance. The study contributes to the project management body of knowledge in that it develops a conceptual framework consisting of specific components for integration management, reveals the impact of integration management on performance, and proposes several tools and strategies for enabling effective integration along the project life cycle. Industry practitioners may benefit from the framework developed by considering the components proposed and following strategies recommended for construction phases.","call-number":"1","container-title":"International Journal of Project Management","DOI":"10.1016/j.ijproman.2017.09.008","ISSN":"0263-7863","issue":"8","journalAbbreviation":"International Journal of Project Management","language":"en","page":"1639-1654","source":"7.4","title":"Impact of integration management on construction project management performance","volume":"35","author":[{"family":"Demirkesen","given":"Sevilay"},{"family":"Ozorhon","given":"Beliz"}],"issued":{"date-parts":[["2017",11,1]]}}}],"schema":"https://github.com/citation-style-language/schema/raw/master/csl-citation.json"} </w:instrText>
      </w:r>
      <w:r>
        <w:fldChar w:fldCharType="separate"/>
      </w:r>
      <w:r w:rsidR="002F3722" w:rsidRPr="002F3722">
        <w:rPr>
          <w:rFonts w:cs="Times New Roman"/>
          <w:kern w:val="0"/>
          <w:vertAlign w:val="superscript"/>
        </w:rPr>
        <w:t>[21]</w:t>
      </w:r>
      <w:r>
        <w:fldChar w:fldCharType="end"/>
      </w:r>
      <w:r>
        <w:rPr>
          <w:rFonts w:hint="eastAsia"/>
        </w:rPr>
        <w:t>。</w:t>
      </w:r>
    </w:p>
    <w:p w14:paraId="2EAD553C" w14:textId="7C3D731F" w:rsidR="0084715F" w:rsidRDefault="0084715F" w:rsidP="0084715F">
      <w:pPr>
        <w:ind w:firstLine="420"/>
      </w:pPr>
      <w:r>
        <w:rPr>
          <w:rFonts w:hint="eastAsia"/>
        </w:rPr>
        <w:t>项目群一体化管理可以分为三个维度，包括利益相关方协同、各子项目联合开发和项目群开发各环节统筹。</w:t>
      </w:r>
      <w:r w:rsidRPr="00E616BF">
        <w:rPr>
          <w:rFonts w:hint="eastAsia"/>
        </w:rPr>
        <w:t>利益相关方协同被认为是项目群一体化的基础</w:t>
      </w:r>
      <w:r>
        <w:rPr>
          <w:rFonts w:hint="eastAsia"/>
        </w:rPr>
        <w:t>，旨在</w:t>
      </w:r>
      <w:r w:rsidRPr="00E616BF">
        <w:rPr>
          <w:rFonts w:hint="eastAsia"/>
        </w:rPr>
        <w:t>明确利益相关方的</w:t>
      </w:r>
      <w:r>
        <w:rPr>
          <w:rFonts w:hint="eastAsia"/>
        </w:rPr>
        <w:t>需求与责权</w:t>
      </w:r>
      <w:r w:rsidRPr="00E616BF">
        <w:rPr>
          <w:rFonts w:hint="eastAsia"/>
        </w:rPr>
        <w:t>，</w:t>
      </w:r>
      <w:r>
        <w:rPr>
          <w:rFonts w:hint="eastAsia"/>
        </w:rPr>
        <w:t>通过</w:t>
      </w:r>
      <w:r w:rsidRPr="00E616BF">
        <w:rPr>
          <w:rFonts w:hint="eastAsia"/>
        </w:rPr>
        <w:t>促进多方沟通与资源共享，</w:t>
      </w:r>
      <w:r>
        <w:rPr>
          <w:rFonts w:hint="eastAsia"/>
        </w:rPr>
        <w:t>建立信任与良好的合作关系，以减少</w:t>
      </w:r>
      <w:r w:rsidRPr="00E616BF">
        <w:rPr>
          <w:rFonts w:hint="eastAsia"/>
        </w:rPr>
        <w:t>冲突</w:t>
      </w:r>
      <w:r>
        <w:rPr>
          <w:rFonts w:hint="eastAsia"/>
        </w:rPr>
        <w:t>与</w:t>
      </w:r>
      <w:r w:rsidRPr="00E616BF">
        <w:rPr>
          <w:rFonts w:hint="eastAsia"/>
        </w:rPr>
        <w:t>资源浪费</w:t>
      </w:r>
      <w:r>
        <w:rPr>
          <w:rFonts w:hint="eastAsia"/>
        </w:rPr>
        <w:t>，获得政策与社会支持，并提高项目群管理效率</w:t>
      </w:r>
      <w:r>
        <w:fldChar w:fldCharType="begin"/>
      </w:r>
      <w:r w:rsidR="002F3722">
        <w:instrText xml:space="preserve"> ADDIN ZOTERO_ITEM CSL_CITATION {"citationID":"a2398vq05m1","properties":{"formattedCitation":"\\super [22\\uc0\\u8211{}24]\\nosupersub{}","plainCitation":"[22–24]","noteIndex":0},"citationItems":[{"id":3743,"uris":["http://zotero.org/users/13172592/items/66GRHPGK"],"itemData":{"id":3743,"type":"article-journal","call-number":"2","container-title":"Operations Management Research","DOI":"10.1007/s12063-010-0037-z","ISSN":"1936-9735, 1936-9743","issue":"3-4","journalAbbreviation":"Oper Manag Res","language":"en","page":"146-160","source":"6.9","title":"Integration of management systems: A methodology for operational excellence and strategic flexibility","title-short":"Integration of management systems","volume":"3","author":[{"family":"Asif","given":"Muhammad"},{"family":"Fisscher","given":"Olaf A. M."},{"family":"De Bruijn","given":"Erik Joost"},{"family":"Pagell","given":"Mark"}],"issued":{"date-parts":[["2010",9]]}}},{"id":3752,"uris":["http://zotero.org/users/13172592/items/C8WKEFZK"],"itemData":{"id":3752,"type":"article-journal","abstract":"This paper investigates the extent of integration achieved by construction project teams managed by award-winning construction managers within successfully completed projects. The research findings reveal that construction project teams exist as individual competent units within their organisationally defined boundaries. They exhibit varying degrees of integration, which are determined by the team practices adopted and their congruence with the procurement approach. The findings of this research do not, however, support the argument espoused by many construction industry authorities, that seamless operation is a fundamental requirement of integrated team performance. It is concluded that either fully integrated teams are not necessary for effective project delivery within the industry, or that the sector must overcome existing organisational and behavioural barriers if further improvements in project performance are to be fully realised in the future.","call-number":"1","container-title":"International Journal of Project Management","DOI":"10.1016/j.ijproman.2005.05.001","ISSN":"0263-7863","issue":"1","journalAbbreviation":"International Journal of Project Management","language":"en","page":"13-23","source":"7.4","title":"The extent of team integration within construction projects","volume":"24","author":[{"family":"Baiden","given":"B. K."},{"family":"Price","given":"A. D. F."},{"family":"Dainty","given":"A. R. J."}],"issued":{"date-parts":[["2006",1,1]]}}},{"id":3744,"uris":["http://zotero.org/users/13172592/items/C2EKU2NY"],"itemData":{"id":3744,"type":"article-journal","abstract":"AbstractTo succeed internationally, multinational, project-based organizations in the architectural,\nengineering, and construction (AEC) industry need to both adapt to local environments\nand integrate knowledge and processes across the organizations. ...","call-number":"1","container-title":"Journal of Management in Engineering","DOI":"10.1061/(ASCE)ME.1943-5479.0000366","ISSN":"1943-5479","issue":"6","language":"en","license":"© 2015 American Society of Civil Engineers","note":"publisher: American Society of Civil Engineers","page":"04015008","source":"5.3","title":"Adaptation and integration for multinational project-based organizations","volume":"31","author":[{"family":"Berteaux","given":"Florence"},{"family":"Javernick-Will","given":"Amy"}],"issued":{"date-parts":[["2015",11,1]]}}}],"schema":"https://github.com/citation-style-language/schema/raw/master/csl-citation.json"} </w:instrText>
      </w:r>
      <w:r>
        <w:fldChar w:fldCharType="separate"/>
      </w:r>
      <w:r w:rsidR="002F3722" w:rsidRPr="002F3722">
        <w:rPr>
          <w:rFonts w:cs="Times New Roman"/>
          <w:kern w:val="0"/>
          <w:vertAlign w:val="superscript"/>
        </w:rPr>
        <w:t>[22–24]</w:t>
      </w:r>
      <w:r>
        <w:fldChar w:fldCharType="end"/>
      </w:r>
      <w:r w:rsidRPr="00E616BF">
        <w:rPr>
          <w:rFonts w:hint="eastAsia"/>
        </w:rPr>
        <w:t>。各项目开发活动协调关注项目间的相互依赖性，</w:t>
      </w:r>
      <w:r>
        <w:rPr>
          <w:rFonts w:hint="eastAsia"/>
        </w:rPr>
        <w:t>主要涉及</w:t>
      </w:r>
      <w:r w:rsidRPr="00E616BF">
        <w:rPr>
          <w:rFonts w:hint="eastAsia"/>
        </w:rPr>
        <w:t>资源配置、</w:t>
      </w:r>
      <w:r>
        <w:rPr>
          <w:rFonts w:hint="eastAsia"/>
        </w:rPr>
        <w:t>项目群集成设计、</w:t>
      </w:r>
      <w:r w:rsidRPr="00E616BF">
        <w:rPr>
          <w:rFonts w:hint="eastAsia"/>
        </w:rPr>
        <w:t>进度安排</w:t>
      </w:r>
      <w:r>
        <w:rPr>
          <w:rFonts w:hint="eastAsia"/>
        </w:rPr>
        <w:t>、施工组织接口管理</w:t>
      </w:r>
      <w:r w:rsidRPr="00E616BF">
        <w:rPr>
          <w:rFonts w:hint="eastAsia"/>
        </w:rPr>
        <w:t>和技术接口</w:t>
      </w:r>
      <w:r>
        <w:rPr>
          <w:rFonts w:hint="eastAsia"/>
        </w:rPr>
        <w:t>管理</w:t>
      </w:r>
      <w:r w:rsidRPr="00E616BF">
        <w:rPr>
          <w:rFonts w:hint="eastAsia"/>
        </w:rPr>
        <w:t>，</w:t>
      </w:r>
      <w:r>
        <w:rPr>
          <w:rFonts w:hint="eastAsia"/>
        </w:rPr>
        <w:t>旨在实现各项目的顺利推进</w:t>
      </w:r>
      <w:r>
        <w:fldChar w:fldCharType="begin"/>
      </w:r>
      <w:r w:rsidR="002F3722">
        <w:instrText xml:space="preserve"> ADDIN ZOTERO_ITEM CSL_CITATION {"citationID":"a46a1ug8d5","properties":{"formattedCitation":"\\super [25,26]\\nosupersub{}","plainCitation":"[25,26]","noteIndex":0},"citationItems":[{"id":1848,"uris":["http://zotero.org/users/13172592/items/F6JM4NNF"],"itemData":{"id":1848,"type":"article-journal","abstract":"For the construction industry to survive the current turbulence in the economic atmosphere, it has the option of integrating new initiatives to march the uncertainties. Programme management is seen as an eﬃcient vehicle to successfully deliver the improvements and changes. However, the implementation of any new system or change initiatives has always been a challenging task; some of these challenges can be faced during the implementation or at practice stage. Programme management is not exempt from such challenges, in order to successfully implement and practice programme management, the knowledge of the major challenges associated to eﬀective implementation and practice should not be left to serendipity or sagacity. Due to the lack of clarity surrounding programme management in the construction industry, the understanding of these major challenges remains vague. To provide a deeper insight into the major challenges to implementation and practice of construction programme management, this paper conducts both a pragmatic and theoretical study by triangulating literature, industrial questionnaire survey and semi-structured interviews. The research was conducted in the UK construction industry and other programme management sectors to analyse and exploit the knowledge of these challenges for eﬀective implementation and practice of construction programmes. A total of 119 usable questionnaires were received and 17 semi-structured interviews were conducted, analysed and synthesised to provide a broader view on the major challenges and how to eﬀectively implement and practice construction programmes.","call-number":"1","container-title":"International Journal of Project Management","DOI":"10.1016/j.ijproman.2009.02.004","ISSN":"02637863","issue":"1","journalAbbreviation":"International Journal of Project Management","language":"en","license":"https://www.elsevier.com/tdm/userlicense/1.0/","page":"26-39","source":"8","title":"Major challenges to the successful implementation and practice of programme management in the construction environment: A critical analysis","title-short":"Major challenges to the successful implementation and practice of programme management in the construction environment","volume":"28","author":[{"family":"Shehu","given":"Zayyana"},{"family":"Akintoye","given":"Akintola"}],"issued":{"date-parts":[["2010",1]]}}},{"id":3757,"uris":["http://zotero.org/users/13172592/items/UF6FTCCL"],"itemData":{"id":3757,"type":"article-journal","abstract":"Multi-project change programs pursue challenging goals and may suffer from uncertainty and conflicting interests. To achieve their goals, such programs need integration both with the parent organization and between projects. There is a need for knowledge on how program actors implement integration. This study pursues new knowledge on program actors' agency in program integration in the context of multi-project change programs. Two case programs in different contexts were explored, to map their integration mechanisms and program actors' integration activities during the program lifecycle. The results reveal five integration tasks, the program-specific use of integration mechanisms, differences in the integration approach between the two programs, and the parent organization's input at the program front end in defining the program's requisite autonomy. The organization's maturity in project-based organizing, the program and project managers' competence, and the autonomy enabled at the program front end are shown to define the programs' integration practice.","container-title":"International Journal of Project Management","DOI":"10.1016/j.ijproman.2018.02.003","ISSN":"0263-7863","issue":"4","journalAbbreviation":"International Journal of Project Management","language":"en","note":"TLDR: The organization's maturity in project-based organizing, the program and project managers' competence, and the autonomy enabled at the program front end are shown to define the programs' integration practice.","page":"583-599","source":"7.4","title":"Program integration in multi-project change programs: Agency in integration practice","title-short":"Program integration in multi-project change programs","volume":"36","author":[{"family":"Vuorinen","given":"Lauri"},{"family":"Martinsuo","given":"Miia"}],"issued":{"date-parts":[["2018",5,1]]}}}],"schema":"https://github.com/citation-style-language/schema/raw/master/csl-citation.json"} </w:instrText>
      </w:r>
      <w:r>
        <w:fldChar w:fldCharType="separate"/>
      </w:r>
      <w:r w:rsidR="002F3722" w:rsidRPr="002F3722">
        <w:rPr>
          <w:rFonts w:cs="Times New Roman"/>
          <w:kern w:val="0"/>
          <w:vertAlign w:val="superscript"/>
        </w:rPr>
        <w:t>[25</w:t>
      </w:r>
      <w:r w:rsidR="00BA516A">
        <w:rPr>
          <w:rFonts w:cs="Times New Roman"/>
          <w:kern w:val="0"/>
          <w:vertAlign w:val="superscript"/>
        </w:rPr>
        <w:t>-</w:t>
      </w:r>
      <w:r w:rsidR="002F3722" w:rsidRPr="002F3722">
        <w:rPr>
          <w:rFonts w:cs="Times New Roman"/>
          <w:kern w:val="0"/>
          <w:vertAlign w:val="superscript"/>
        </w:rPr>
        <w:t>26]</w:t>
      </w:r>
      <w:r>
        <w:fldChar w:fldCharType="end"/>
      </w:r>
      <w:r w:rsidRPr="00E616BF">
        <w:rPr>
          <w:rFonts w:hint="eastAsia"/>
        </w:rPr>
        <w:t>。项目群开发各环节的统筹则聚焦于</w:t>
      </w:r>
      <w:r>
        <w:rPr>
          <w:rFonts w:hint="eastAsia"/>
        </w:rPr>
        <w:t>规划</w:t>
      </w:r>
      <w:r w:rsidRPr="00E616BF">
        <w:rPr>
          <w:rFonts w:hint="eastAsia"/>
        </w:rPr>
        <w:t>设计、</w:t>
      </w:r>
      <w:r w:rsidRPr="00E616BF">
        <w:rPr>
          <w:rFonts w:hint="eastAsia"/>
        </w:rPr>
        <w:t>采购、施工</w:t>
      </w:r>
      <w:r>
        <w:rPr>
          <w:rFonts w:hint="eastAsia"/>
        </w:rPr>
        <w:t>与运维</w:t>
      </w:r>
      <w:r w:rsidRPr="00E616BF">
        <w:rPr>
          <w:rFonts w:hint="eastAsia"/>
        </w:rPr>
        <w:t>等环节的整体规划，旨在通过</w:t>
      </w:r>
      <w:r>
        <w:rPr>
          <w:rFonts w:hint="eastAsia"/>
        </w:rPr>
        <w:t>信息</w:t>
      </w:r>
      <w:r w:rsidRPr="00E616BF">
        <w:rPr>
          <w:rFonts w:hint="eastAsia"/>
        </w:rPr>
        <w:t>集成</w:t>
      </w:r>
      <w:r>
        <w:rPr>
          <w:rFonts w:hint="eastAsia"/>
        </w:rPr>
        <w:t>实现各</w:t>
      </w:r>
      <w:r w:rsidRPr="00E616BF">
        <w:rPr>
          <w:rFonts w:hint="eastAsia"/>
        </w:rPr>
        <w:t>环节</w:t>
      </w:r>
      <w:r>
        <w:rPr>
          <w:rFonts w:hint="eastAsia"/>
        </w:rPr>
        <w:t>的流畅衔接</w:t>
      </w:r>
      <w:r w:rsidRPr="00E616BF">
        <w:rPr>
          <w:rFonts w:hint="eastAsia"/>
        </w:rPr>
        <w:t>，</w:t>
      </w:r>
      <w:r>
        <w:rPr>
          <w:rFonts w:hint="eastAsia"/>
        </w:rPr>
        <w:t>以</w:t>
      </w:r>
      <w:r w:rsidRPr="00E616BF">
        <w:rPr>
          <w:rFonts w:hint="eastAsia"/>
        </w:rPr>
        <w:t>提高项目群的整体绩效</w:t>
      </w:r>
      <w:r>
        <w:fldChar w:fldCharType="begin"/>
      </w:r>
      <w:r w:rsidR="002F3722">
        <w:instrText xml:space="preserve"> ADDIN ZOTERO_ITEM CSL_CITATION {"citationID":"a1aaqq0mtqt","properties":{"formattedCitation":"\\super [27,28]\\nosupersub{}","plainCitation":"[27,28]","noteIndex":0},"citationItems":[{"id":3755,"uris":["http://zotero.org/users/13172592/items/RCT4IH9V"],"itemData":{"id":3755,"type":"article-journal","abstract":"The paper reports a study of the post-acquisition integration process in three foreign acquisitions made by Swedish multinationals. Detailed interview data and questionnaire responses in both acquiring and acquired firms are presented. The sub-processes of task integration and human integration are separated out and it is shown that effective integration in these cases was achieved through a two-phase process. In phase one, task integration led to a satisficing solution that limited the interaction between acquired and acquiring units, while human integration proceeded smoothly and led to cultural convergence and mutual respect. In phase two, there was renewed task integration built on the success of the human integration that had been achieved, which led to much greater interdependencies between acquired and acquiring units.","call-number":"1","container-title":"Journal of Management Studies","DOI":"10.1111/1467-6486.00186","ISSN":"1467-6486","issue":"3","language":"en","note":"_eprint: https://onlinelibrary.wiley.com/doi/pdf/10.1111/1467-6486.00186\nTLDR: It is shown that effective integration in these cases was achieved through a two-phase process, where task integration led to a satisficing solution that limited the interaction between acquired and acquiring units, while human integration proceeded smoothly and led to cultural convergence and mutual respect.","page":"395-425","source":"7","title":"Managing the post-acquisition integration process: How the human integration and task integration processes interact to foster value creation","title-short":"Managing the post-acquisition integration process","volume":"37","author":[{"family":"Birkinshaw","given":"Julian"},{"family":"Bresman","given":"Henrik"},{"family":"Håkanson","given":"Lars"}],"issued":{"date-parts":[["2000"]]}}},{"id":1730,"uris":["http://zotero.org/users/13172592/items/6RNFFW52"],"itemData":{"id":1730,"type":"article-journal","abstract":"Maturity models can improve the effectiveness and capability of the organizations. However, the existing maturity models are only for one single organization and cannot deal with the specific problems of mega construction programs (MCPs) in China. The program management subjects of MCPs in China consist of the owner, the general design contractor, and the general construction contractor, which are not mature in the organizational management and process management. This paper presents a program management organization maturity integrated model for MCPs (PMOMIM-MCPs) in China, which integrates the program management subjects of MCPs and can improve the capability of them. Two submodels of PMOMIM-MCPs—Organizational Management Submodel (OMS) and Process Management Submodel (PMS) are given. In the end, a case study is given to justify and optimize the model.","call-number":"1","container-title":"International Journal of Project Management","DOI":"10.1016/j.ijproman.2011.03.003","ISSN":"02637863","issue":"7","journalAbbreviation":"International Journal of Project Management","language":"en","page":"834-845","source":"8","title":"Program management organization maturity integrated model for mega construction programs in China","volume":"29","author":[{"family":"Jia","given":"Guangshe"},{"family":"Chen","given":"Yuting"},{"family":"Xue","given":"Xiangdong"},{"family":"Chen","given":"Jianguo"},{"family":"Cao","given":"Jiming"},{"family":"Tang","given":"Kewei"}],"issued":{"date-parts":[["2011",10]]}}}],"schema":"https://github.com/citation-style-language/schema/raw/master/csl-citation.json"} </w:instrText>
      </w:r>
      <w:r>
        <w:fldChar w:fldCharType="separate"/>
      </w:r>
      <w:r w:rsidR="002F3722" w:rsidRPr="002F3722">
        <w:rPr>
          <w:rFonts w:cs="Times New Roman"/>
          <w:kern w:val="0"/>
          <w:vertAlign w:val="superscript"/>
        </w:rPr>
        <w:t>[27</w:t>
      </w:r>
      <w:r w:rsidR="00BA516A">
        <w:rPr>
          <w:rFonts w:cs="Times New Roman"/>
          <w:kern w:val="0"/>
          <w:vertAlign w:val="superscript"/>
        </w:rPr>
        <w:t>-</w:t>
      </w:r>
      <w:r w:rsidR="002F3722" w:rsidRPr="002F3722">
        <w:rPr>
          <w:rFonts w:cs="Times New Roman"/>
          <w:kern w:val="0"/>
          <w:vertAlign w:val="superscript"/>
        </w:rPr>
        <w:t>28]</w:t>
      </w:r>
      <w:r>
        <w:fldChar w:fldCharType="end"/>
      </w:r>
      <w:r>
        <w:rPr>
          <w:rFonts w:hint="eastAsia"/>
        </w:rPr>
        <w:t>。</w:t>
      </w:r>
    </w:p>
    <w:p w14:paraId="17EC45F4" w14:textId="3A406C51" w:rsidR="0084715F" w:rsidRDefault="0084715F" w:rsidP="0084715F">
      <w:pPr>
        <w:pStyle w:val="2"/>
      </w:pPr>
      <w:r w:rsidRPr="0084715F">
        <w:rPr>
          <w:rFonts w:hint="eastAsia"/>
        </w:rPr>
        <w:t>清洁能源项目管理</w:t>
      </w:r>
      <w:r>
        <w:rPr>
          <w:rFonts w:hint="eastAsia"/>
        </w:rPr>
        <w:t>机理研究</w:t>
      </w:r>
    </w:p>
    <w:p w14:paraId="50ACEC49" w14:textId="77BAF342" w:rsidR="000132E7" w:rsidRDefault="0084715F" w:rsidP="0084715F">
      <w:pPr>
        <w:ind w:firstLine="420"/>
      </w:pPr>
      <w:r>
        <w:rPr>
          <w:rFonts w:hint="eastAsia"/>
        </w:rPr>
        <w:t>清洁能源基地中各清洁能源项目的顺利实施，对清洁能源基地开发的总体顺利推进具有重要意义。</w:t>
      </w:r>
      <w:r w:rsidRPr="003568A5">
        <w:rPr>
          <w:rFonts w:hint="eastAsia"/>
        </w:rPr>
        <w:t>已有研究</w:t>
      </w:r>
      <w:r>
        <w:rPr>
          <w:rFonts w:hint="eastAsia"/>
        </w:rPr>
        <w:t>对清洁能源项目开发成功的关键因素进行了研究，涉及政策环境、市场需求、项目建设环境、相关技术应用和利益相关方合作等方面</w:t>
      </w:r>
      <w:r>
        <w:fldChar w:fldCharType="begin"/>
      </w:r>
      <w:r w:rsidR="00EB7246">
        <w:instrText xml:space="preserve"> ADDIN ZOTERO_ITEM CSL_CITATION {"citationID":"qhigk7yl","properties":{"formattedCitation":"\\super [3\\uc0\\u8211{}5]\\nosupersub{}","plainCitation":"[3–5]","noteIndex":0},"citationItems":[{"id":3663,"uris":["http://zotero.org/users/13172592/items/KBFEHVJI"],"itemData":{"id":3663,"type":"article-journal","abstract":"Renewable energy is one of the most popular topics in utilization of the electric energy resources. There are various types of alternative energy, which can be used as electrical energy. However, the suitableness of the green energy in a certain country is depending on some criteria such as geographical location, the availability of energy and so on. In order to establish the renewable energy, a well-planned strategy and management must be acquired. The main objective of this paper is to analyse the causal relation of some important criteria of project planning and development of a wind energy project in Malaysia. By using a system dynamic approach, it is found that government policies, investment of renewable energy, energy demand, geographical location and fund management are the most important criteria that need to be considered among others. The diagram of causal relationship with reinforcing and balancing loop shows that the application of renewable energy in Malaysia is promising. In addition, the information of the criteria relationship is further investigated by using the stock flow diagram. From the diagram, the factors that affect project’s expenditure could be analysed. This is very important to a developing country where more budgets can be allocated for other facilities, cultures, infrastructure, science, and technology development. By utilise the renewable energy in Malaysia, the carbon dioxide emission can be reduced and contribution to a sustainable and long term alternative energy resources country.","container-title":"Renewable and Sustainable Energy Reviews","DOI":"10.1016/j.rser.2014.07.078","ISSN":"1364-0321","journalAbbreviation":"Renewable and Sustainable Energy Reviews","language":"en-US","page":"917-932","source":"ScienceDirect","title":"Renewable energy project: Project management, challenges and risk","title-short":"Renewable energy project","volume":"38","author":[{"family":"Goh","given":"H. H."},{"family":"Lee","given":"S. W."},{"family":"Chua","given":"Q. S."},{"family":"Goh","given":"K. C."},{"family":"Kok","given":"B. C."},{"family":"Teo","given":"K. T. K."}],"issued":{"date-parts":[["2014",10,1]]}}},{"id":3701,"uris":["http://zotero.org/users/13172592/items/DIB9DINA"],"itemData":{"id":3701,"type":"article-journal","abstract":"The future of electriﬁcation of Africa lies within off-grid generation via renewable energy (RE). Although many RE projects have started across the Sub-Sahara, especially public projects are seldom successful. This study engages directly (ethnographically) with the local communities beneﬁtting or expected to beneﬁt from the projects, the implementing organizations and government.","call-number":"1","container-title":"Renewable Energy","DOI":"10.1016/j.renene.2016.10.037","ISSN":"09601481","journalAbbreviation":"Renewable Energy","language":"en","page":"234-240","source":"9","title":"The empirical reality &amp; sustainable management failures of renewable energy projects in Sub-Saharan Africa (part 1 of 2)","volume":"102","author":[{"family":"Ikejemba","given":"Eugene C.X."},{"family":"Mpuan","given":"Peter B."},{"family":"Schuur","given":"Peter C."},{"family":"Van Hillegersberg","given":"Jos"}],"issued":{"date-parts":[["2017",3]]}}},{"id":3015,"uris":["http://zotero.org/users/13172592/items/HR7IAUXP"],"itemData":{"id":3015,"type":"article-journal","abstract":"Successful renewable energy projects are crucial to bring the cleaner and sustainable environment of this universe. Owed to this, world's countries and policymakers are trying hard to double the current share of renewable energy consumptions (18.3%) by 2030, which has been resulting in the construction of multiple renewable energy projects. This study identiﬁes multiple critical success factors (CSFs) and their inﬂuences mechanisms, required for renewable-energy projects. Using a sample of 272 ﬁrms working on renewable energy projects in Pakistan, a quantitative and causal study was undertaken to identify the efﬁciency (short-run success) and effectiveness (long-run success) mechanisms of critical success factors in renewable energy projects. Structural equation modeling (SEM) was applied to test and verify hypothesis. The results show that though the efﬁciency and effectiveness of critical success factors in renewable energy projects are equally important, the effectiveness (long-run success) in renewable energy projects is mainly depends upon the efﬁciency (short-run success) of the critical success factors (CSFs) involved in such kind of projects. The study expected to contribute towards and widen up the existing knowledge base for the renewable energy projects by adding on the ﬁndings regarding the inﬂuences mechanisms of critical success factors.","call-number":"1","container-title":"Energy","DOI":"10.1016/j.energy.2018.06.015","ISSN":"03605442","journalAbbreviation":"Energy","language":"en","page":"944-956","source":"9","title":"Efficiency and effectiveness of factors affecting renewable energy projects: An empirical perspective","volume":"158","author":[{"family":"Maqbool","given":"Rashid"}],"issued":{"date-parts":[["2018",9]]}}}],"schema":"https://github.com/citation-style-language/schema/raw/master/csl-citation.json"} </w:instrText>
      </w:r>
      <w:r>
        <w:fldChar w:fldCharType="separate"/>
      </w:r>
      <w:r w:rsidR="00EB7246" w:rsidRPr="00EB7246">
        <w:rPr>
          <w:rFonts w:cs="Times New Roman"/>
          <w:kern w:val="0"/>
          <w:vertAlign w:val="superscript"/>
        </w:rPr>
        <w:t>[3–5]</w:t>
      </w:r>
      <w:r>
        <w:fldChar w:fldCharType="end"/>
      </w:r>
      <w:r>
        <w:rPr>
          <w:rFonts w:hint="eastAsia"/>
        </w:rPr>
        <w:t>。</w:t>
      </w:r>
    </w:p>
    <w:p w14:paraId="0F521964" w14:textId="65D7178E" w:rsidR="000132E7" w:rsidRDefault="0084715F" w:rsidP="0084715F">
      <w:pPr>
        <w:ind w:firstLine="420"/>
      </w:pPr>
      <w:r>
        <w:rPr>
          <w:rFonts w:hint="eastAsia"/>
        </w:rPr>
        <w:t>分析清洁能源项目关键成功因素的作用机理对提高管理效率也十分重要。</w:t>
      </w:r>
      <w:r>
        <w:t>Goh et al.</w:t>
      </w:r>
      <w:r>
        <w:fldChar w:fldCharType="begin"/>
      </w:r>
      <w:r w:rsidR="00EB7246">
        <w:instrText xml:space="preserve"> ADDIN ZOTERO_ITEM CSL_CITATION {"citationID":"a1ufv5t6hfg","properties":{"formattedCitation":"\\super [3]\\nosupersub{}","plainCitation":"[3]","noteIndex":0},"citationItems":[{"id":3663,"uris":["http://zotero.org/users/13172592/items/KBFEHVJI"],"itemData":{"id":3663,"type":"article-journal","abstract":"Renewable energy is one of the most popular topics in utilization of the electric energy resources. There are various types of alternative energy, which can be used as electrical energy. However, the suitableness of the green energy in a certain country is depending on some criteria such as geographical location, the availability of energy and so on. In order to establish the renewable energy, a well-planned strategy and management must be acquired. The main objective of this paper is to analyse the causal relation of some important criteria of project planning and development of a wind energy project in Malaysia. By using a system dynamic approach, it is found that government policies, investment of renewable energy, energy demand, geographical location and fund management are the most important criteria that need to be considered among others. The diagram of causal relationship with reinforcing and balancing loop shows that the application of renewable energy in Malaysia is promising. In addition, the information of the criteria relationship is further investigated by using the stock flow diagram. From the diagram, the factors that affect project’s expenditure could be analysed. This is very important to a developing country where more budgets can be allocated for other facilities, cultures, infrastructure, science, and technology development. By utilise the renewable energy in Malaysia, the carbon dioxide emission can be reduced and contribution to a sustainable and long term alternative energy resources country.","container-title":"Renewable and Sustainable Energy Reviews","DOI":"10.1016/j.rser.2014.07.078","ISSN":"1364-0321","journalAbbreviation":"Renewable and Sustainable Energy Reviews","language":"en-US","page":"917-932","source":"ScienceDirect","title":"Renewable energy project: Project management, challenges and risk","title-short":"Renewable energy project","volume":"38","author":[{"family":"Goh","given":"H. H."},{"family":"Lee","given":"S. W."},{"family":"Chua","given":"Q. S."},{"family":"Goh","given":"K. C."},{"family":"Kok","given":"B. C."},{"family":"Teo","given":"K. T. K."}],"issued":{"date-parts":[["2014",10,1]]}},"suppress-author":true}],"schema":"https://github.com/citation-style-language/schema/raw/master/csl-citation.json"} </w:instrText>
      </w:r>
      <w:r>
        <w:fldChar w:fldCharType="separate"/>
      </w:r>
      <w:r w:rsidR="00EB7246" w:rsidRPr="00EB7246">
        <w:rPr>
          <w:rFonts w:cs="Times New Roman"/>
          <w:kern w:val="0"/>
          <w:vertAlign w:val="superscript"/>
        </w:rPr>
        <w:t>[3]</w:t>
      </w:r>
      <w:r>
        <w:fldChar w:fldCharType="end"/>
      </w:r>
      <w:r>
        <w:rPr>
          <w:rFonts w:hint="eastAsia"/>
        </w:rPr>
        <w:t>首先应用</w:t>
      </w:r>
      <w:r w:rsidRPr="00D845BD">
        <w:rPr>
          <w:rFonts w:hint="eastAsia"/>
        </w:rPr>
        <w:t>系统动力学方法</w:t>
      </w:r>
      <w:r>
        <w:rPr>
          <w:rFonts w:hint="eastAsia"/>
        </w:rPr>
        <w:t>，验证了</w:t>
      </w:r>
      <w:r w:rsidRPr="00D845BD">
        <w:rPr>
          <w:rFonts w:hint="eastAsia"/>
        </w:rPr>
        <w:t>政府政策、清洁能源投资、能源需求、地理位置和资金管理</w:t>
      </w:r>
      <w:r>
        <w:rPr>
          <w:rFonts w:hint="eastAsia"/>
        </w:rPr>
        <w:t>能够影响项目规划设计、建设、运维等阶段。此外，许多学者以</w:t>
      </w:r>
      <w:r>
        <w:t>Maqbool</w:t>
      </w:r>
      <w:r w:rsidRPr="006E4BFF">
        <w:rPr>
          <w:rFonts w:cs="Times New Roman"/>
          <w:kern w:val="0"/>
        </w:rPr>
        <w:t xml:space="preserve"> </w:t>
      </w:r>
      <w:r w:rsidRPr="002E7F3B">
        <w:rPr>
          <w:rFonts w:cs="Times New Roman"/>
          <w:kern w:val="0"/>
        </w:rPr>
        <w:t>et al.</w:t>
      </w:r>
      <w:r>
        <w:fldChar w:fldCharType="begin"/>
      </w:r>
      <w:r w:rsidR="00EB7246">
        <w:instrText xml:space="preserve"> ADDIN ZOTERO_ITEM CSL_CITATION {"citationID":"g1ImEllB","properties":{"formattedCitation":"\\super [5]\\nosupersub{}","plainCitation":"[5]","noteIndex":0},"citationItems":[{"id":3015,"uris":["http://zotero.org/users/13172592/items/HR7IAUXP"],"itemData":{"id":3015,"type":"article-journal","abstract":"Successful renewable energy projects are crucial to bring the cleaner and sustainable environment of this universe. Owed to this, world's countries and policymakers are trying hard to double the current share of renewable energy consumptions (18.3%) by 2030, which has been resulting in the construction of multiple renewable energy projects. This study identiﬁes multiple critical success factors (CSFs) and their inﬂuences mechanisms, required for renewable-energy projects. Using a sample of 272 ﬁrms working on renewable energy projects in Pakistan, a quantitative and causal study was undertaken to identify the efﬁciency (short-run success) and effectiveness (long-run success) mechanisms of critical success factors in renewable energy projects. Structural equation modeling (SEM) was applied to test and verify hypothesis. The results show that though the efﬁciency and effectiveness of critical success factors in renewable energy projects are equally important, the effectiveness (long-run success) in renewable energy projects is mainly depends upon the efﬁciency (short-run success) of the critical success factors (CSFs) involved in such kind of projects. The study expected to contribute towards and widen up the existing knowledge base for the renewable energy projects by adding on the ﬁndings regarding the inﬂuences mechanisms of critical success factors.","call-number":"1","container-title":"Energy","DOI":"10.1016/j.energy.2018.06.015","ISSN":"03605442","journalAbbreviation":"Energy","language":"en","page":"944-956","source":"9","title":"Efficiency and effectiveness of factors affecting renewable energy projects: An empirical perspective","volume":"158","author":[{"family":"Maqbool","given":"Rashid"}],"issued":{"date-parts":[["2018",9]]}},"suppress-author":true}],"schema":"https://github.com/citation-style-language/schema/raw/master/csl-citation.json"} </w:instrText>
      </w:r>
      <w:r>
        <w:fldChar w:fldCharType="separate"/>
      </w:r>
      <w:r w:rsidR="00EB7246" w:rsidRPr="00EB7246">
        <w:rPr>
          <w:rFonts w:cs="Times New Roman"/>
          <w:kern w:val="0"/>
          <w:vertAlign w:val="superscript"/>
        </w:rPr>
        <w:t>[5]</w:t>
      </w:r>
      <w:r>
        <w:fldChar w:fldCharType="end"/>
      </w:r>
      <w:r>
        <w:rPr>
          <w:rFonts w:hint="eastAsia"/>
        </w:rPr>
        <w:t>提出的关键管理要素为基础，应用结构方程模型方法，分析这些因素之间的交互作用，以及如何通过影响利益相关方满意度、社区参与或支持型</w:t>
      </w:r>
      <w:r w:rsidRPr="009B3BEF">
        <w:rPr>
          <w:rFonts w:hint="eastAsia"/>
        </w:rPr>
        <w:t>领导</w:t>
      </w:r>
      <w:r>
        <w:rPr>
          <w:rFonts w:hint="eastAsia"/>
        </w:rPr>
        <w:t>等中间因素，最终作用于项目绩效</w:t>
      </w:r>
      <w:r>
        <w:fldChar w:fldCharType="begin"/>
      </w:r>
      <w:r w:rsidR="00EB7246">
        <w:instrText xml:space="preserve"> ADDIN ZOTERO_ITEM CSL_CITATION {"citationID":"a1kff2onkl2","properties":{"formattedCitation":"\\super [29\\uc0\\u8211{}31]\\nosupersub{}","plainCitation":"[29–31]","noteIndex":0},"citationItems":[{"id":3018,"uris":["http://zotero.org/users/13172592/items/LVZ3QQ6J"],"itemData":{"id":3018,"type":"article-journal","abstract":"Renewable energy projects (REPs) are critical to providing a clean and sustainable environmental perspective alongside the economic prosperity of any country. Unfortunately, recent trends in renewable energy projects (REPs) are not positive enough regarding their successful completion within the budgeted cost, planned time, proposed quality, and other necessary constraints. Although the pertinent literature has discussed the critical success factors (CSFs) for such projects, their influencing mechanism with respect to the role of key stakeholders is still overlooked. This study recognizes several critical success factors (CSFs) and their influencing mechanisms onto renewable energy projects (REPs) in order to evaluate direct influences onto project success as well as indirect influences through stakeholders’ satisfaction (SS) as mediation on the project success of small and medium-sized renewable energy projects (REPs) in Pakistan’s energy sector. A sample of about 272 respondents working with renewable energy projects (REPs), including key stakeholders, has been collected to perform data analysis and draw inferences. A structural equation modeling (SEM) approach was used for data analysis and inference drawing. The results show that though there is a positive and direct association between critical success factors (CSFs) and project success, a partial mediating role of stakeholders’ satisfaction (SS) between CSFs and project success was still determined. Hence, it was found that CSFs significantly contribute to renewable energy projects (REPs) through mediating influences of stakeholders’ satisfaction (SS). The findings confirmed that stakeholders’ satisfaction (SS) is a key determinant for critical success factors (CSFs) in renewable energy projects (REPs). Moreover, stakeholders’ satisfaction (SS) emerged to be a crucial element for the completion of such projects. The empirical findings of this study might have a useful effect on academicians and the practitioners engaged with renewable energy projects (REPs).","container-title":"Energy, Sustainability and Society","DOI":"10.1186/s13705-020-00259-0","ISSN":"2192-0567","issue":"1","journalAbbreviation":"Energ Sustain Soc","language":"en","license":"2020 The Author(s)","note":"number: 1\npublisher: BioMed Central","page":"1-15","source":"energsustainsoc.biomedcentral.com","title":"Stakeholders’ satisfaction as a key determinant of critical success factors in renewable energy projects","volume":"10","author":[{"family":"Maqbool","given":"Rashid"},{"family":"Deng","given":"Xiaomei"},{"family":"Rashid","given":"Yahya"}],"issued":{"date-parts":[["2020",12]]}}},{"id":3038,"uris":["http://zotero.org/users/13172592/items/TIGLYLVN"],"itemData":{"id":3038,"type":"article-journal","abstract":"This study investigates the relationship between critical success factors (CSFs), organizational support, and renewable energy project success. The critical success factors with multiple dimensions (communication, team, technical, and environmental) were used in this paper. This study adopts the questionnaire survey approach, and collects data from the construction based renewable energy projects located in Punjab Province, Pakistan, which comprised 342 valid samples. Partial least-squares structural equation modelling (PLS-SEM) was used to analyze the theoretical framework. The results conﬁrmed that three critical success factors i.e. team factors (TF), technical factors (Tech. F), and environmental factors (EF), have a positive and signiﬁcant direct relationship with project success. However, communication factors (CF) have a direct but insigniﬁcant relationship with project success. Moreover, results also conﬁrmed the positive mediating role of organizational support between critical success factors and project success. The empirical outcomes of this study show that these four critical success factors increase the success of renewable energy projects. The outcomes also show that organizational support as a mediating variable plays a dynamic role in enhancing the tangible success of renewable energy projects. This study contributes through empirical ﬁndings in the existing knowledge base for renewable energy projects.","call-number":"1","container-title":"Energy","DOI":"10.1016/j.energy.2021.122765","ISSN":"03605442","journalAbbreviation":"Energy","language":"en","page":"122765","source":"9","title":"Exploring the role of organizational support, and critical success factors on renewable energy projects of Pakistan","volume":"243","author":[{"family":"Rasool","given":"Samma Faiz"},{"family":"Chin","given":"Tachia"},{"family":"Wang","given":"Mansi"},{"family":"Asghar","given":"Ali"},{"family":"Khan","given":"Anwar"},{"family":"Zhou","given":"Li"}],"issued":{"date-parts":[["2022",3]]}}},{"id":3040,"uris":["http://zotero.org/users/13172592/items/AKUJJ752"],"itemData":{"id":3040,"type":"article-journal","abstract":"This study aims to investigate the relationship between critical success factors and sustainable project success of renewable energy projects of Pakistan. In this study, supportive leadership intervenes between critical success factors and sustainable project success. The study adopts a quantitative research approach using survey data from the project managers, project team leaders, and project staff of renewable energy projects. A questionnaire survey approach is used to collect data. For data analysis, we used the partial least square structural equation modeling through SmartPLS 3.2.2. The outcomes indicate that in the direct relationship, organizational, communication, and technical factors positively and significantly affect the sustainable project success, while team factors show insignificant relationships with sustainable project success. Moreover, organizational, team, and communication factors positively and significantly affect supportive leadership, while technical factors have established an insignificant relationship with supportive leadership. Besides, supportive leadership also positively and significantly impacts sustainable project success. The outcomes also show that supportive leadership positively and significantly mediates between organizational, team and communication factors and sustainable project success. Meanwhile, supportive leadership negatively and insignificantly mediates between technical factors and sustainable project success. The concluding remarks also discussed the practical implications, limitations, and future research directions.","call-number":"2","container-title":"Energy Policy","DOI":"10.1016/j.enpol.2022.112793","ISSN":"03014215","journalAbbreviation":"Energy Policy","language":"en","page":"112793","source":"9.3","title":"Impact of critical success factors and supportive leadership on sustainable success of renewable energy projects: Empirical evidence from Pakistan","title-short":"Impact of critical success factors and supportive leadership on sustainable success of renewable energy projects","volume":"162","author":[{"family":"Zaman","given":"Shah"},{"family":"Wang","given":"Zilong"},{"family":"Rasool","given":"Samma Faiz"},{"family":"Zaman","given":"Qamar Uz"},{"family":"Raza","given":"Hamid"}],"issued":{"date-parts":[["2022",3]]}}}],"schema":"https://github.com/citation-style-language/schema/raw/master/csl-citation.json"} </w:instrText>
      </w:r>
      <w:r>
        <w:fldChar w:fldCharType="separate"/>
      </w:r>
      <w:r w:rsidR="00EB7246" w:rsidRPr="00EB7246">
        <w:rPr>
          <w:rFonts w:cs="Times New Roman"/>
          <w:kern w:val="0"/>
          <w:vertAlign w:val="superscript"/>
        </w:rPr>
        <w:t>[29–31]</w:t>
      </w:r>
      <w:r>
        <w:fldChar w:fldCharType="end"/>
      </w:r>
      <w:r>
        <w:rPr>
          <w:rFonts w:hint="eastAsia"/>
        </w:rPr>
        <w:t>。</w:t>
      </w:r>
    </w:p>
    <w:p w14:paraId="56F66AA9" w14:textId="14F17CEC" w:rsidR="0084715F" w:rsidRPr="0084715F" w:rsidRDefault="0084715F" w:rsidP="0084715F">
      <w:pPr>
        <w:ind w:firstLine="420"/>
      </w:pPr>
      <w:r>
        <w:rPr>
          <w:rFonts w:hint="eastAsia"/>
        </w:rPr>
        <w:t>这些研究旨在验证管理要素对项目开发的积极作用，</w:t>
      </w:r>
      <w:r>
        <w:t>对中介因素的考量较为单一，未能</w:t>
      </w:r>
      <w:r>
        <w:rPr>
          <w:rFonts w:hint="eastAsia"/>
        </w:rPr>
        <w:t>系统</w:t>
      </w:r>
      <w:r>
        <w:t>揭示管理要素的作用机制</w:t>
      </w:r>
      <w:r>
        <w:rPr>
          <w:rFonts w:hint="eastAsia"/>
        </w:rPr>
        <w:t>；也尚未从项目群管理视角，综合考虑清洁能源基地多相关方管理、多项目协调、多开发环节统筹的特点，理论研究体系仍需进一步优化。</w:t>
      </w:r>
    </w:p>
    <w:p w14:paraId="2954E532" w14:textId="77777777" w:rsidR="00BC1DF7" w:rsidRDefault="00BC1DF7" w:rsidP="00BC1DF7">
      <w:pPr>
        <w:pStyle w:val="1"/>
      </w:pPr>
      <w:r>
        <w:rPr>
          <w:rFonts w:hint="eastAsia"/>
        </w:rPr>
        <w:t>模型构建</w:t>
      </w:r>
    </w:p>
    <w:p w14:paraId="081C146A" w14:textId="187DB48B" w:rsidR="000132E7" w:rsidRPr="000132E7" w:rsidRDefault="00873BC4" w:rsidP="00873BC4">
      <w:pPr>
        <w:pStyle w:val="2"/>
      </w:pPr>
      <w:r w:rsidRPr="00873BC4">
        <w:rPr>
          <w:rFonts w:hint="eastAsia"/>
        </w:rPr>
        <w:t>清洁能源基地一体化管理输入因素</w:t>
      </w:r>
    </w:p>
    <w:p w14:paraId="38E97200" w14:textId="7BD5B78B" w:rsidR="00BC1DF7" w:rsidRDefault="0084715F" w:rsidP="00873BC4">
      <w:pPr>
        <w:pStyle w:val="3"/>
      </w:pPr>
      <w:r>
        <w:rPr>
          <w:rFonts w:hint="eastAsia"/>
        </w:rPr>
        <w:t>外部条件</w:t>
      </w:r>
    </w:p>
    <w:p w14:paraId="5C0417AD" w14:textId="42119506" w:rsidR="000132E7" w:rsidRDefault="000132E7" w:rsidP="000132E7">
      <w:pPr>
        <w:ind w:firstLine="420"/>
      </w:pPr>
      <w:r>
        <w:rPr>
          <w:rFonts w:hint="eastAsia"/>
        </w:rPr>
        <w:t>清洁能源基地开发的外部条件对项目建设与运营</w:t>
      </w:r>
      <w:r w:rsidRPr="00C323B6">
        <w:rPr>
          <w:rFonts w:hint="eastAsia"/>
        </w:rPr>
        <w:t>起到了关键的支撑作用</w:t>
      </w:r>
      <w:r>
        <w:rPr>
          <w:rFonts w:hint="eastAsia"/>
        </w:rPr>
        <w:t>，可分为自然条件、征地移民条件、配套基础设施、政策与市场四方面。</w:t>
      </w:r>
    </w:p>
    <w:p w14:paraId="240D26B5" w14:textId="4326A5D7" w:rsidR="000132E7" w:rsidRDefault="000132E7" w:rsidP="000132E7">
      <w:pPr>
        <w:ind w:firstLine="420"/>
      </w:pPr>
      <w:r>
        <w:rPr>
          <w:rFonts w:hint="eastAsia"/>
        </w:rPr>
        <w:t>自然条件方面，清洁能源基地大多位于我国西部地区，所处地区的清洁能源禀赋、互补性是衡量项目技术、经济可行性的关键因素</w:t>
      </w:r>
      <w:r>
        <w:fldChar w:fldCharType="begin"/>
      </w:r>
      <w:r w:rsidR="00EB7246">
        <w:instrText xml:space="preserve"> ADDIN ZOTERO_ITEM CSL_CITATION {"citationID":"a2fos21vp2o","properties":{"formattedCitation":"\\super [32,33]\\nosupersub{}","plainCitation":"[32,33]","noteIndex":0},"citationItems":[{"id":739,"uris":["http://zotero.org/users/13172592/items/M3QTEVZQ"],"itemData":{"id":739,"type":"article-journal","abstract":"In the context of global carbon reduction, many countries have established carbon–neutral commitments. With abundant wind–solar–hydro–geothermal resources, the development of renewable energy in the Qinghai–Tibet Plateau can meet the demand for carbon neutrality. Accordingly, this study aims to carry out an innovative and systematic assessment of renewable energy, considering the new pattern of multiple renewable energies (wind, solar, hydro, and geothermal energy) centralized co-development. A propagable analysis is conducted, based on two hypotheses, namely, considering resource conditions and taking plateau-specific practical constraints and energy storage into account. Resource concentration and synergy are further analyzed by a novel indicator and multiple scenarios are initiated to reduce the subjectivity, while various distance thresholds for substations with varying voltage levels are innovatively defined to optimize the assessment accuracy. Taking the Lhasa River Basin as the study area, results show that areas with suitable resources for two, three, and four types of renewable energy centralized co-development account for 41.3%, 32.7%, and 5.8% of the total area, respectively. After constraints considered, eligible areas for wind, photovoltaic, geothermal, and hydro power decline sharply to 6.0%, 22.3%, 13.5%, and 13.1% of the entire basin, with potentials of 4.91, 12.68, 10.77, and 0.97 GW. Under the highly suitable scenario, the proportions plummet to 0.2%, 1.6%, 0.6%, and 0.4%, with potentials of 0.12, 0.99, 0.29, and 0.02 GW, reflecting a high sensitivity to plateau-specific practical constraints. Wind power potential is the most sensitive to construction difficulty and investment reward among these resources, whereas hydropower potential has the strongest response to ecological protection. Results also show that more than a quarter of the renewable energy centrally developable areas have energy synergies, indicating the applicability of renewable energy centralized co-development.","call-number":"1","container-title":"Energy Conversion and Management","DOI":"10.1016/j.enconman.2022.115879","ISSN":"01968904","journalAbbreviation":"Energy Conversion and Management","language":"en","note":"rate: 5","page":"115879","source":"10.4","title":"Systematic potential analysis on renewable energy centralized co-development at high altitude: A case study in Qinghai-Tibet plateau","title-short":"Systematic potential analysis on renewable energy centralized co-development at high altitude","volume":"267","author":[{"family":"Qiu","given":"Lihua"},{"family":"He","given":"Li"},{"family":"Lu","given":"Hongwei"},{"family":"Liang","given":"Dongzhe"}],"issued":{"date-parts":[["2022",9]]}}},{"id":745,"uris":["http://zotero.org/users/13172592/items/JSFYLTMN"],"itemData":{"id":745,"type":"article-journal","abstract":"Multi-criteria decision making (MCDM) methods are becoming increasingly popular in solving energy selection problems because these problems involve multiple and often conﬂicting criteria. This paper presents comparative analysis of ranking renewable energy sources (RES) for electricity generation in Taiwan using four MCDM methods - WSM, VIKOR, TOPSIS, and ELECTRE. The Shannon entropy weight method is used to assess the importance of each criterion for the ranking of RES. After that, four MCDM methods are utilized for quantitative evaluation to rank all available RE alternatives. From the weights estimation results, eﬃciency is the ﬁrst priority in all evaluation criteria, followed by job creation, operation, and maintenance cost. The purpose of this study is to rank the priorities of various RES and propose recommendations for Taiwan's RE development. The ranking results show that hydro is the best alternative in Taiwan, followed by solar, wind, biomass and geothermal. Furthermore, sensitivity analysis of the weights was conducted considering the ranking results heavily depend on the criteria weight. The results of sensitivity analysis indicated that when ﬁnancial or technical aspects are focused upon, hydropower is the best RES because its technology is the most mature and the cost is the lowest in Taiwan. In addition, from an environmental perspective, wind energy is the best choice, and from the social perspective, solar PV is the best choice. The ﬁndings of this study can provide useful information to energy decision makers and serve as a reference for Taiwan's energy policy.","container-title":"Renewable and Sustainable Energy Reviews","DOI":"10.1016/j.rser.2018.05.007","ISSN":"13640321","journalAbbreviation":"Renewable and Sustainable Energy Reviews","language":"en","note":"rate: 3\nTLDR: Hydropower is the best RES in Taiwan because its technology is the most mature and the cost is the lowest in Taiwan, according to the results of comparative analysis of ranking renewable energy sources for electricity generation using four MCDM methods.","page":"883-896","source":"DOI.org (Crossref)","title":"Comparative analysis of MCDM methods for ranking renewable energy sources in Taiwan","volume":"92","author":[{"family":"Lee","given":"Hsing-Chen"},{"family":"Chang","given":"Ching-Ter"}],"issued":{"date-parts":[["2018",9]]}}}],"schema":"https://github.com/citation-style-language/schema/raw/master/csl-citation.json"} </w:instrText>
      </w:r>
      <w:r>
        <w:fldChar w:fldCharType="separate"/>
      </w:r>
      <w:r w:rsidR="00EB7246" w:rsidRPr="00EB7246">
        <w:rPr>
          <w:rFonts w:cs="Times New Roman"/>
          <w:kern w:val="0"/>
          <w:vertAlign w:val="superscript"/>
        </w:rPr>
        <w:t>[32</w:t>
      </w:r>
      <w:r w:rsidR="00BA516A">
        <w:rPr>
          <w:rFonts w:cs="Times New Roman"/>
          <w:kern w:val="0"/>
          <w:vertAlign w:val="superscript"/>
        </w:rPr>
        <w:t>-</w:t>
      </w:r>
      <w:r w:rsidR="00EB7246" w:rsidRPr="00EB7246">
        <w:rPr>
          <w:rFonts w:cs="Times New Roman"/>
          <w:kern w:val="0"/>
          <w:vertAlign w:val="superscript"/>
        </w:rPr>
        <w:t>33]</w:t>
      </w:r>
      <w:r>
        <w:fldChar w:fldCharType="end"/>
      </w:r>
      <w:r>
        <w:rPr>
          <w:rFonts w:hint="eastAsia"/>
        </w:rPr>
        <w:t>。地形、</w:t>
      </w:r>
      <w:r w:rsidRPr="00C323B6">
        <w:rPr>
          <w:rFonts w:hint="eastAsia"/>
        </w:rPr>
        <w:t>地质、水文和气候条件</w:t>
      </w:r>
      <w:r>
        <w:rPr>
          <w:rFonts w:hint="eastAsia"/>
        </w:rPr>
        <w:t>直接影响设计、</w:t>
      </w:r>
      <w:r w:rsidRPr="00C323B6">
        <w:rPr>
          <w:rFonts w:hint="eastAsia"/>
        </w:rPr>
        <w:t>施工</w:t>
      </w:r>
      <w:r>
        <w:rPr>
          <w:rFonts w:hint="eastAsia"/>
        </w:rPr>
        <w:t>的</w:t>
      </w:r>
      <w:r w:rsidRPr="00C323B6">
        <w:rPr>
          <w:rFonts w:hint="eastAsia"/>
        </w:rPr>
        <w:t>复杂度</w:t>
      </w:r>
      <w:r>
        <w:fldChar w:fldCharType="begin"/>
      </w:r>
      <w:r w:rsidR="00EB7246">
        <w:instrText xml:space="preserve"> ADDIN ZOTERO_ITEM CSL_CITATION {"citationID":"a16dvdqckop","properties":{"formattedCitation":"\\super [34]\\nosupersub{}","plainCitation":"[34]","noteIndex":0},"citationItems":[{"id":684,"uris":["http://zotero.org/users/13172592/items/ZYN4KCDV"],"itemData":{"id":684,"type":"article-journal","abstract":"The intermittent characteristic of a solar-alone or a wind-alone power generation system prevents the standalone renewable energy system from being fully reliable without suitable energy storage capability. In this study, the most traditional and mature storage technology, pumped hydro storage (PHS), is introduced to support the standalone microgrid hybrid solar-wind system. This paper explores a new solution for the challenging task about energy storage. A mathematical model of the hybrid system is developed and the operating principle is introduced. The proposed system is applied in a case study to power a remote island in Hong Kong, and its technical feasibility is then examined. The hour-by-hour simulation results indicate that the intermittent nature of the renewables can be compensated by introducing the PHS technology. Therefore, a reliable and environmentally friendly power supply can be provided. The results demonstrate that technically the PHS based renewable energy system is an ideal solution to achieve 100% energy autonomy in remote communities.","call-number":"1","container-title":"Renewable Energy","DOI":"10.1016/j.renene.2014.03.028","ISSN":"09601481","journalAbbreviation":"Renewable Energy","language":"en","page":"7-15","source":"8.7","title":"Technical feasibility study on a standalone hybrid solar-wind system with pumped hydro storage for a remote island in Hong Kong","volume":"69","author":[{"family":"Ma","given":"Tao"},{"family":"Yang","given":"Hongxing"},{"family":"Lu","given":"Lin"},{"family":"Peng","given":"Jinqing"}],"issued":{"date-parts":[["2014",9]]}}}],"schema":"https://github.com/citation-style-language/schema/raw/master/csl-citation.json"} </w:instrText>
      </w:r>
      <w:r>
        <w:fldChar w:fldCharType="separate"/>
      </w:r>
      <w:r w:rsidR="00EB7246" w:rsidRPr="00EB7246">
        <w:rPr>
          <w:rFonts w:cs="Times New Roman"/>
          <w:kern w:val="0"/>
          <w:vertAlign w:val="superscript"/>
        </w:rPr>
        <w:t>[34]</w:t>
      </w:r>
      <w:r>
        <w:fldChar w:fldCharType="end"/>
      </w:r>
      <w:r>
        <w:rPr>
          <w:rFonts w:hint="eastAsia"/>
        </w:rPr>
        <w:t>。清洁能源基地对自然环境的影响也是项目审批的重点论证环节，需关注基地开发对动物栖息地、保护区、迁徙路线等方面的影响</w:t>
      </w:r>
      <w:r>
        <w:fldChar w:fldCharType="begin"/>
      </w:r>
      <w:r w:rsidR="00EB7246">
        <w:instrText xml:space="preserve"> ADDIN ZOTERO_ITEM CSL_CITATION {"citationID":"a1f3kjprt7u","properties":{"formattedCitation":"\\super [35]\\nosupersub{}","plainCitation":"[35]","noteIndex":0},"citationItems":[{"id":3101,"uris":["http://zotero.org/users/13172592/items/EXH2UIRP"],"itemData":{"id":3101,"type":"article-journal","abstract":"Although the development and the implementation of Renewable Energy (RE) solutions are crucial for the transformation of countries towards sustainability, Project Management (PM) may help companies to introduce these solutions, although no study analyzes and synthetizes previous research on the interplay between PM and RE. The article aims to ﬁll this gap by presenting an analysis of publications that address the analyzed issue and are indexed in the Scopus database. The article utilizes bibliometric analysis, network analyses, and in-depth qualitative studies published before 2023. The ﬁrst method examines research productivity in the context of authors, institutions, and designations. The second method examines the authors’ and keywords’ networks. The third is more comprehensive and focuses on contributions to both project management and the technological domain provided by articles, which constitute H (Hirsch)-Core in this research ﬁeld. Based on the bibliometric analysis, it can be concluded that the scientiﬁc structure of the “project management–renewable energy” (PM-RE) ﬁeld consists of 335 documents, which were published, in total, by 672 authors and in 135 journals. There are four keyword clusters, with blurred boundaries between them. In the PM area, organizational issues, focusing on project effectiveness, cooperation with stakeholders, and project evaluation methods were discussed. In the RE area, the main focus was on wind energy, technological issues, and the implementation of technologies in the end-toend communication architecture for smart grids, photovoltaic systems, biomass projects, or the exploitation of geothermal resources. The article directly indicates the areas that should be addressed in future research. This study is the ﬁrst literature review that explores the PM–RE research ﬁeld. It provides knowledge that can be the subject of improving technologies and project management issues in the energy industry.","call-number":"4","container-title":"Energies","DOI":"10.3390/en16124609","ISSN":"1996-1073","issue":"12","journalAbbreviation":"Energies","language":"en","license":"https://creativecommons.org/licenses/by/4.0/","page":"4609","source":"3","title":"The linkage between renewable energy and project management: What do we already know, and what are the future directions of research?","title-short":"The linkage between renewable energy and project management","volume":"16","author":[{"family":"Piwowar-Sulej","given":"Katarzyna"},{"family":"Sołtysik","given":"Mariusz"},{"family":"Jarosz","given":"Szymon"},{"family":"Pukała","given":"Ryszard"}],"issued":{"date-parts":[["2023",6,9]]}}}],"schema":"https://github.com/citation-style-language/schema/raw/master/csl-citation.json"} </w:instrText>
      </w:r>
      <w:r>
        <w:fldChar w:fldCharType="separate"/>
      </w:r>
      <w:r w:rsidR="00EB7246" w:rsidRPr="00EB7246">
        <w:rPr>
          <w:rFonts w:cs="Times New Roman"/>
          <w:kern w:val="0"/>
          <w:vertAlign w:val="superscript"/>
        </w:rPr>
        <w:t>[35]</w:t>
      </w:r>
      <w:r>
        <w:fldChar w:fldCharType="end"/>
      </w:r>
      <w:r>
        <w:rPr>
          <w:rFonts w:hint="eastAsia"/>
        </w:rPr>
        <w:t>。</w:t>
      </w:r>
    </w:p>
    <w:p w14:paraId="2792C5F2" w14:textId="5DF43641" w:rsidR="000132E7" w:rsidRDefault="000132E7" w:rsidP="000132E7">
      <w:pPr>
        <w:ind w:firstLine="420"/>
      </w:pPr>
      <w:r>
        <w:t>征地与移民安置直接关系到项目的顺利实施</w:t>
      </w:r>
      <w:r>
        <w:rPr>
          <w:rFonts w:hint="eastAsia"/>
        </w:rPr>
        <w:t>以及当地</w:t>
      </w:r>
      <w:r>
        <w:t>社会</w:t>
      </w:r>
      <w:r>
        <w:rPr>
          <w:rFonts w:hint="eastAsia"/>
        </w:rPr>
        <w:t>环境</w:t>
      </w:r>
      <w:r>
        <w:t>的稳定</w:t>
      </w:r>
      <w:r>
        <w:fldChar w:fldCharType="begin"/>
      </w:r>
      <w:r w:rsidR="00EB7246">
        <w:instrText xml:space="preserve"> ADDIN ZOTERO_ITEM CSL_CITATION {"citationID":"a2ibcbakap2","properties":{"formattedCitation":"\\super [36]\\nosupersub{}","plainCitation":"[36]","noteIndex":0},"citationItems":[{"id":3781,"uris":["http://zotero.org/users/13172592/items/FCEXP5AE"],"itemData":{"id":3781,"type":"article-journal","abstract":"This article examines the role of multilateral social and environmental safeguards in land acquisition for renewable energy (RE) development in Southeast Asia. We assessed the development of two large-scale wind projects in Indonesia and the Philippines through a qualitative comparative case study analysis. We find that the influence of safeguards is the product of two factors: the timing of multilateral funds in project development and the relative ease through which developers can acquire land through non-safeguard-compliant pathways. Our findings highlight the continued importance of land use policy and planning in mediating the social and environmental impacts of RE infrastructure.","call-number":"3","container-title":"Journal of Planning Education and Research","DOI":"10.1177/0739456X221147859","ISSN":"0739-456X","issue":"4","language":"en","note":"publisher: SAGE Publications Inc","page":"2056-2067","source":"2.8","title":"Land acquisition governance and its implications for renewable energy development in Indonesia and the Philippines","volume":"44","author":[{"family":"Kennedy","given":"Sean F."},{"family":"Qayyum","given":"Faizaan"}],"issued":{"date-parts":[["2024",12,1]]}}}],"schema":"https://github.com/citation-style-language/schema/raw/master/csl-citation.json"} </w:instrText>
      </w:r>
      <w:r>
        <w:fldChar w:fldCharType="separate"/>
      </w:r>
      <w:r w:rsidR="00EB7246" w:rsidRPr="00EB7246">
        <w:rPr>
          <w:rFonts w:cs="Times New Roman"/>
          <w:kern w:val="0"/>
          <w:vertAlign w:val="superscript"/>
        </w:rPr>
        <w:t>[36]</w:t>
      </w:r>
      <w:r>
        <w:fldChar w:fldCharType="end"/>
      </w:r>
      <w:r w:rsidRPr="00ED3D47">
        <w:rPr>
          <w:rFonts w:hint="eastAsia"/>
        </w:rPr>
        <w:t>。</w:t>
      </w:r>
      <w:r>
        <w:rPr>
          <w:rFonts w:hint="eastAsia"/>
        </w:rPr>
        <w:t>一方面，</w:t>
      </w:r>
      <w:r w:rsidRPr="00ED3D47">
        <w:rPr>
          <w:rFonts w:hint="eastAsia"/>
        </w:rPr>
        <w:t>需合理规划土地征收</w:t>
      </w:r>
      <w:r>
        <w:rPr>
          <w:rFonts w:hint="eastAsia"/>
        </w:rPr>
        <w:t>，</w:t>
      </w:r>
      <w:r>
        <w:t>并系统评估其对社会经济及生态环境的影响</w:t>
      </w:r>
      <w:r>
        <w:fldChar w:fldCharType="begin"/>
      </w:r>
      <w:r w:rsidR="00EB7246">
        <w:instrText xml:space="preserve"> ADDIN ZOTERO_ITEM CSL_CITATION {"citationID":"a1an2538vg0","properties":{"formattedCitation":"\\super [37]\\nosupersub{}","plainCitation":"[37]","noteIndex":0},"citationItems":[{"id":3779,"uris":["http://zotero.org/users/13172592/items/R3CZC9BE"],"itemData":{"id":3779,"type":"article-journal","abstract":"In Kenya, as well as in other parts of the global South, the drive to expand electricity production through large-scale renewable energy projects such as wind, solar and geothermal have been widely documented, along with land-related contestations emerging from within the affected communities. However, cases where local people consent to cede land to land investors have not yet received sufficient scholarly attention. Focusing on the Kipeto wind energy project in Kenya, this paper presents a counterpoint to the theoretical postulate of ‘accumulation by dispossession’ – to show how accumulation was possible without community dispossession of land. Grounded in empirical research, the paper argues, first, that land acquisition for wind energy development does not necessarily lead to dispossession if affected populations are compensated fairly, for example with better housing, jobs, money, and importantly are allowed to continue accessing land to sustain livelihoods. Second, the achievability of Kipeto wind energy project is largely due to the company's strategic approach to land consultation and negotiation with communities, which leads to wider social acceptance of the wind energy project. Nevertheless, some landowners have expressed their dissatisfaction concerning the financial compensation mechanisms. Thus, there is need for a longitudinal study to ascertain the extent to which the project developer and landowners keep to their promises as well as to understand the long-term impacts of land deals.","call-number":"2","container-title":"Energy Research &amp; Social Science","DOI":"10.1016/j.erss.2024.103530","ISSN":"2214-6296","journalAbbreviation":"Energy Research &amp; Social Science","page":"103530","source":"6.9","title":"Land acquisition, renewable energy development, and livelihood transformation in rural Kenya: The case of the Kipeto wind energy project","title-short":"Land acquisition, renewable energy development, and livelihood transformation in rural Kenya","volume":"112","author":[{"family":"Ndi","given":"Frankline A."}],"issued":{"date-parts":[["2024",6,1]]}}}],"schema":"https://github.com/citation-style-language/schema/raw/master/csl-citation.json"} </w:instrText>
      </w:r>
      <w:r>
        <w:fldChar w:fldCharType="separate"/>
      </w:r>
      <w:r w:rsidR="00EB7246" w:rsidRPr="00EB7246">
        <w:rPr>
          <w:rFonts w:cs="Times New Roman"/>
          <w:kern w:val="0"/>
          <w:vertAlign w:val="superscript"/>
        </w:rPr>
        <w:t>[37]</w:t>
      </w:r>
      <w:r>
        <w:fldChar w:fldCharType="end"/>
      </w:r>
      <w:r w:rsidRPr="00ED3D47">
        <w:rPr>
          <w:rFonts w:hint="eastAsia"/>
        </w:rPr>
        <w:t>。</w:t>
      </w:r>
      <w:r>
        <w:rPr>
          <w:rFonts w:hint="eastAsia"/>
        </w:rPr>
        <w:t>另一方面，应</w:t>
      </w:r>
      <w:r w:rsidRPr="00ED3D47">
        <w:rPr>
          <w:rFonts w:hint="eastAsia"/>
        </w:rPr>
        <w:t>制定公平合理的移民安置</w:t>
      </w:r>
      <w:r w:rsidRPr="00ED3D47">
        <w:rPr>
          <w:rFonts w:hint="eastAsia"/>
        </w:rPr>
        <w:lastRenderedPageBreak/>
        <w:t>计划与补偿标准，</w:t>
      </w:r>
      <w:r>
        <w:rPr>
          <w:rFonts w:hint="eastAsia"/>
        </w:rPr>
        <w:t>以获得</w:t>
      </w:r>
      <w:r w:rsidRPr="00ED3D47">
        <w:rPr>
          <w:rFonts w:hint="eastAsia"/>
        </w:rPr>
        <w:t>地方政府和居民的信任与支持</w:t>
      </w:r>
      <w:r>
        <w:fldChar w:fldCharType="begin"/>
      </w:r>
      <w:r w:rsidR="00EB7246">
        <w:instrText xml:space="preserve"> ADDIN ZOTERO_ITEM CSL_CITATION {"citationID":"a1m853u8eco","properties":{"formattedCitation":"\\super [38]\\nosupersub{}","plainCitation":"[38]","noteIndex":0},"citationItems":[{"id":3050,"uris":["http://zotero.org/users/13172592/items/GRM9JMJ9"],"itemData":{"id":3050,"type":"article-journal","abstract":"With increasing worldwide energy demand, many energy-related issues are growing, including global warming, energy sustainability, and environmental pollution. These challenges force nations to actively endorse renewable energy development policies. As a result, numerous renewable energy projects are executed around the globe, which are confronting various hurdles, causing failure for many of the current projects. This study, therefore, aims to suggest that community participation in planning and decisionmaking is an imperative mediator through which government support (GS) and organizational innovativeness (OI) can positively affect renewable project success. Data was collected through a survey from 650 respondents of the renewable energy projects in Pakistan, and hypotheses were proved by employing structural equation modeling (SEM). The ﬁndings show that GS and OI have a signiﬁcant positive impact on the CP and project success. Moreover, CP was realized to partially mediates these relationships. It is expected that the ﬁndings present guidelines for the government authorities so that they endeavor and make better policies for involving the community as a mediator in project planning and decision making for renewable energy projects.","call-number":"1","container-title":"Energy","DOI":"10.1016/j.energy.2021.122172","ISSN":"03605442","journalAbbreviation":"Energy","language":"en","page":"122172","source":"9","title":"The influence of government support, organizational innovativeness and community participation in renewable energy project success: A case of Pakistan","title-short":"The influence of government support, organizational innovativeness and community participation in renewable energy project success","volume":"239","author":[{"family":"Hussain","given":"Shahid"},{"family":"Xuetong","given":"Wang"},{"family":"Maqbool","given":"Rashid"},{"family":"Hussain","given":"Mustansar"},{"family":"Shahnawaz","given":"Muhammad"}],"issued":{"date-parts":[["2022",1]]}}}],"schema":"https://github.com/citation-style-language/schema/raw/master/csl-citation.json"} </w:instrText>
      </w:r>
      <w:r>
        <w:fldChar w:fldCharType="separate"/>
      </w:r>
      <w:r w:rsidR="00EB7246" w:rsidRPr="00EB7246">
        <w:rPr>
          <w:rFonts w:cs="Times New Roman"/>
          <w:kern w:val="0"/>
          <w:vertAlign w:val="superscript"/>
        </w:rPr>
        <w:t>[38]</w:t>
      </w:r>
      <w:r>
        <w:fldChar w:fldCharType="end"/>
      </w:r>
      <w:r w:rsidRPr="00ED3D47">
        <w:rPr>
          <w:rFonts w:hint="eastAsia"/>
        </w:rPr>
        <w:t>。</w:t>
      </w:r>
    </w:p>
    <w:p w14:paraId="44C0A6BC" w14:textId="58552414" w:rsidR="000132E7" w:rsidRDefault="000132E7" w:rsidP="000132E7">
      <w:pPr>
        <w:ind w:firstLine="420"/>
      </w:pPr>
      <w:r w:rsidRPr="008351F6">
        <w:rPr>
          <w:rFonts w:hint="eastAsia"/>
        </w:rPr>
        <w:t>配套基础设施</w:t>
      </w:r>
      <w:r>
        <w:rPr>
          <w:rFonts w:hint="eastAsia"/>
        </w:rPr>
        <w:t>方面，</w:t>
      </w:r>
      <w:r>
        <w:t>首先道路交通设施是物资、设备和人力及时供应的基础</w:t>
      </w:r>
      <w:r>
        <w:fldChar w:fldCharType="begin"/>
      </w:r>
      <w:r w:rsidR="00EB7246">
        <w:instrText xml:space="preserve"> ADDIN ZOTERO_ITEM CSL_CITATION {"citationID":"a1qq3f6h3va","properties":{"formattedCitation":"\\super [32]\\nosupersub{}","plainCitation":"[32]","noteIndex":0},"citationItems":[{"id":739,"uris":["http://zotero.org/users/13172592/items/M3QTEVZQ"],"itemData":{"id":739,"type":"article-journal","abstract":"In the context of global carbon reduction, many countries have established carbon–neutral commitments. With abundant wind–solar–hydro–geothermal resources, the development of renewable energy in the Qinghai–Tibet Plateau can meet the demand for carbon neutrality. Accordingly, this study aims to carry out an innovative and systematic assessment of renewable energy, considering the new pattern of multiple renewable energies (wind, solar, hydro, and geothermal energy) centralized co-development. A propagable analysis is conducted, based on two hypotheses, namely, considering resource conditions and taking plateau-specific practical constraints and energy storage into account. Resource concentration and synergy are further analyzed by a novel indicator and multiple scenarios are initiated to reduce the subjectivity, while various distance thresholds for substations with varying voltage levels are innovatively defined to optimize the assessment accuracy. Taking the Lhasa River Basin as the study area, results show that areas with suitable resources for two, three, and four types of renewable energy centralized co-development account for 41.3%, 32.7%, and 5.8% of the total area, respectively. After constraints considered, eligible areas for wind, photovoltaic, geothermal, and hydro power decline sharply to 6.0%, 22.3%, 13.5%, and 13.1% of the entire basin, with potentials of 4.91, 12.68, 10.77, and 0.97 GW. Under the highly suitable scenario, the proportions plummet to 0.2%, 1.6%, 0.6%, and 0.4%, with potentials of 0.12, 0.99, 0.29, and 0.02 GW, reflecting a high sensitivity to plateau-specific practical constraints. Wind power potential is the most sensitive to construction difficulty and investment reward among these resources, whereas hydropower potential has the strongest response to ecological protection. Results also show that more than a quarter of the renewable energy centrally developable areas have energy synergies, indicating the applicability of renewable energy centralized co-development.","call-number":"1","container-title":"Energy Conversion and Management","DOI":"10.1016/j.enconman.2022.115879","ISSN":"01968904","journalAbbreviation":"Energy Conversion and Management","language":"en","note":"rate: 5","page":"115879","source":"10.4","title":"Systematic potential analysis on renewable energy centralized co-development at high altitude: A case study in Qinghai-Tibet plateau","title-short":"Systematic potential analysis on renewable energy centralized co-development at high altitude","volume":"267","author":[{"family":"Qiu","given":"Lihua"},{"family":"He","given":"Li"},{"family":"Lu","given":"Hongwei"},{"family":"Liang","given":"Dongzhe"}],"issued":{"date-parts":[["2022",9]]}}}],"schema":"https://github.com/citation-style-language/schema/raw/master/csl-citation.json"} </w:instrText>
      </w:r>
      <w:r>
        <w:fldChar w:fldCharType="separate"/>
      </w:r>
      <w:r w:rsidR="00EB7246" w:rsidRPr="00EB7246">
        <w:rPr>
          <w:rFonts w:cs="Times New Roman"/>
          <w:kern w:val="0"/>
          <w:vertAlign w:val="superscript"/>
        </w:rPr>
        <w:t>[32]</w:t>
      </w:r>
      <w:r>
        <w:fldChar w:fldCharType="end"/>
      </w:r>
      <w:r>
        <w:t>。其次，多能互补的运营模式对电网基础设施提出了更高</w:t>
      </w:r>
      <w:r>
        <w:rPr>
          <w:rFonts w:hint="eastAsia"/>
        </w:rPr>
        <w:t>的</w:t>
      </w:r>
      <w:r>
        <w:t>要求</w:t>
      </w:r>
      <w:r>
        <w:fldChar w:fldCharType="begin"/>
      </w:r>
      <w:r w:rsidR="00EB7246">
        <w:instrText xml:space="preserve"> ADDIN ZOTERO_ITEM CSL_CITATION {"citationID":"aklpu13mj","properties":{"formattedCitation":"\\super [39,40]\\nosupersub{}","plainCitation":"[39,40]","noteIndex":0},"citationItems":[{"id":3230,"uris":["http://zotero.org/users/13172592/items/X7HBX32P"],"itemData":{"id":3230,"type":"article-journal","abstract":"Power transmission and transformation projects (PTTPs) under new energy grid connections are different from ordinary engineering construction projects. With large investment amounts, various supporting facilities, and high safety and quality requirements, PTTPs are vulnerable to the volatility of new energy power generation, climate, geological conditions, geopolitical environment, technological changes, and other kinds of uncertain factors. Therefore, the investment risk of PTTPs under new energy grid connection is particularly considerable in the project management. For the owner of PTTPs, adopting the engineering-procurement-construction (EPC) mode is an effective attempt to solve the project construction problems faced by the owners. Thus, this paper deeply excavates the key risk points of PTTPs in the initial investment phase under the EPC mode and constructs the novel risk evaluation index system from the perspectives of economy, management, policy, society, and environment. An assessment model is established based on triangle fuzzy number-hesitant fuzzy linguistic term sets (HFLTS-TFNs), the entropy method, and the fuzzy comprehensive evaluation method, which is used to evaluate the investment risk of PTTPs to provide reference for power grid corporations to control project risks. Finally, a case study in the Hexi Corridor region, Gansu Province, China, is illustrated to demonstrate the rationality of the decision model and find management risks are the most vital risk factors for PTTPs under EPC mode.","container-title":"Mathematical Problems in Engineering","DOI":"10.1155/2022/2258938","ISSN":"1563-5147, 1024-123X","journalAbbreviation":"Mathematical Problems in Engineering","language":"en","license":"https://creativecommons.org/licenses/by/4.0/","page":"1-12","source":"DOI.org (Crossref)","title":"Investment risk assessment of EPC power transmission and transformation projects under new energy grid connection based on the owner’s perspective","volume":"2022","author":[{"family":"Ding","given":"Yan"},{"family":"Zhang","given":"Xiaomei"},{"family":"Zhou","given":"Liqing"},{"family":"Xu","given":"Chuanbo"}],"editor":[{"family":"Dinçer","given":"Hasan"}],"issued":{"date-parts":[["2022",8,12]]}}</w:instrText>
      </w:r>
      <w:r w:rsidR="00EB7246">
        <w:rPr>
          <w:rFonts w:hint="eastAsia"/>
        </w:rPr>
        <w:instrText>},{"id":3304,"uris":["http://zotero.org/users/13172592/items/SM667CBB"],"itemData":{"id":3304,"type":"article-journal","abstract":"</w:instrText>
      </w:r>
      <w:r w:rsidR="00EB7246">
        <w:rPr>
          <w:rFonts w:hint="eastAsia"/>
        </w:rPr>
        <w:instrText>大力推动可再生能源发展是应对当前能源危机和环境问题的重要手段</w:instrText>
      </w:r>
      <w:r w:rsidR="00EB7246">
        <w:rPr>
          <w:rFonts w:hint="eastAsia"/>
        </w:rPr>
        <w:instrText>,</w:instrText>
      </w:r>
      <w:r w:rsidR="00EB7246">
        <w:rPr>
          <w:rFonts w:hint="eastAsia"/>
        </w:rPr>
        <w:instrText>全球许多国家和地区陆续提出未来向</w:instrText>
      </w:r>
      <w:r w:rsidR="00EB7246">
        <w:rPr>
          <w:rFonts w:hint="eastAsia"/>
        </w:rPr>
        <w:instrText>100%</w:instrText>
      </w:r>
      <w:r w:rsidR="00EB7246">
        <w:rPr>
          <w:rFonts w:hint="eastAsia"/>
        </w:rPr>
        <w:instrText>可再生能源电力系统</w:instrText>
      </w:r>
      <w:r w:rsidR="00EB7246">
        <w:rPr>
          <w:rFonts w:hint="eastAsia"/>
        </w:rPr>
        <w:instrText>(100%renewableenergypower systems,100%REPS)</w:instrText>
      </w:r>
      <w:r w:rsidR="00EB7246">
        <w:rPr>
          <w:rFonts w:hint="eastAsia"/>
        </w:rPr>
        <w:instrText>转型的设想</w:instrText>
      </w:r>
      <w:r w:rsidR="00EB7246">
        <w:rPr>
          <w:rFonts w:hint="eastAsia"/>
        </w:rPr>
        <w:instrText>,</w:instrText>
      </w:r>
      <w:r w:rsidR="00EB7246">
        <w:rPr>
          <w:rFonts w:hint="eastAsia"/>
        </w:rPr>
        <w:instrText>相关学术研究成果在近年来也持续大量涌现。为全面综述该领域的国内外研究现状和发展趋势</w:instrText>
      </w:r>
      <w:r w:rsidR="00EB7246">
        <w:rPr>
          <w:rFonts w:hint="eastAsia"/>
        </w:rPr>
        <w:instrText>,</w:instrText>
      </w:r>
      <w:r w:rsidR="00EB7246">
        <w:rPr>
          <w:rFonts w:hint="eastAsia"/>
        </w:rPr>
        <w:instrText>对进一步开展该领域相关研究工作提供参考和借鉴</w:instrText>
      </w:r>
      <w:r w:rsidR="00EB7246">
        <w:rPr>
          <w:rFonts w:hint="eastAsia"/>
        </w:rPr>
        <w:instrText>,</w:instrText>
      </w:r>
      <w:r w:rsidR="00EB7246">
        <w:rPr>
          <w:rFonts w:hint="eastAsia"/>
        </w:rPr>
        <w:instrText>该文阐述</w:instrText>
      </w:r>
      <w:r w:rsidR="00EB7246">
        <w:rPr>
          <w:rFonts w:hint="eastAsia"/>
        </w:rPr>
        <w:instrText>100%REPS</w:instrText>
      </w:r>
      <w:r w:rsidR="00EB7246">
        <w:rPr>
          <w:rFonts w:hint="eastAsia"/>
        </w:rPr>
        <w:instrText>的基本概念及其与碳中和电力系统、纯清洁能源电力系统的联系和区别</w:instrText>
      </w:r>
      <w:r w:rsidR="00EB7246">
        <w:rPr>
          <w:rFonts w:hint="eastAsia"/>
        </w:rPr>
        <w:instrText>,</w:instrText>
      </w:r>
      <w:r w:rsidR="00EB7246">
        <w:rPr>
          <w:rFonts w:hint="eastAsia"/>
        </w:rPr>
        <w:instrText>从技术、经济、政策</w:instrText>
      </w:r>
      <w:r w:rsidR="00EB7246">
        <w:rPr>
          <w:rFonts w:hint="eastAsia"/>
        </w:rPr>
        <w:instrText>3</w:instrText>
      </w:r>
      <w:r w:rsidR="00EB7246">
        <w:rPr>
          <w:rFonts w:hint="eastAsia"/>
        </w:rPr>
        <w:instrText>方面分析构建</w:instrText>
      </w:r>
      <w:r w:rsidR="00EB7246">
        <w:rPr>
          <w:rFonts w:hint="eastAsia"/>
        </w:rPr>
        <w:instrText>100%REPS</w:instrText>
      </w:r>
      <w:r w:rsidR="00EB7246">
        <w:rPr>
          <w:rFonts w:hint="eastAsia"/>
        </w:rPr>
        <w:instrText>将面临的主要挑战。在此基础上</w:instrText>
      </w:r>
      <w:r w:rsidR="00EB7246">
        <w:rPr>
          <w:rFonts w:hint="eastAsia"/>
        </w:rPr>
        <w:instrText>,</w:instrText>
      </w:r>
      <w:r w:rsidR="00EB7246">
        <w:rPr>
          <w:rFonts w:hint="eastAsia"/>
        </w:rPr>
        <w:instrText>从电源规划、网架规划、无功配置、稳定性分析与控制、运行调度、电能质量优化</w:instrText>
      </w:r>
      <w:r w:rsidR="00EB7246">
        <w:rPr>
          <w:rFonts w:hint="eastAsia"/>
        </w:rPr>
        <w:instrText>6</w:instrText>
      </w:r>
      <w:r w:rsidR="00EB7246">
        <w:rPr>
          <w:rFonts w:hint="eastAsia"/>
        </w:rPr>
        <w:instrText>个环节</w:instrText>
      </w:r>
      <w:r w:rsidR="00EB7246">
        <w:rPr>
          <w:rFonts w:hint="eastAsia"/>
        </w:rPr>
        <w:instrText>,</w:instrText>
      </w:r>
      <w:r w:rsidR="00EB7246">
        <w:rPr>
          <w:rFonts w:hint="eastAsia"/>
        </w:rPr>
        <w:instrText>综述当前相关研究成果</w:instrText>
      </w:r>
      <w:r w:rsidR="00EB7246">
        <w:rPr>
          <w:rFonts w:hint="eastAsia"/>
        </w:rPr>
        <w:instrText>,</w:instrText>
      </w:r>
      <w:r w:rsidR="00EB7246">
        <w:rPr>
          <w:rFonts w:hint="eastAsia"/>
        </w:rPr>
        <w:instrText>拟定应对这些挑战的潜在研究方向</w:instrText>
      </w:r>
      <w:r w:rsidR="00EB7246">
        <w:rPr>
          <w:rFonts w:hint="eastAsia"/>
        </w:rPr>
        <w:instrText>,</w:instrText>
      </w:r>
      <w:r w:rsidR="00EB7246">
        <w:rPr>
          <w:rFonts w:hint="eastAsia"/>
        </w:rPr>
        <w:instrText>分析其中需要重点关注的难点问题</w:instrText>
      </w:r>
      <w:r w:rsidR="00EB7246">
        <w:rPr>
          <w:rFonts w:hint="eastAsia"/>
        </w:rPr>
        <w:instrText>,</w:instrText>
      </w:r>
      <w:r w:rsidR="00EB7246">
        <w:rPr>
          <w:rFonts w:hint="eastAsia"/>
        </w:rPr>
        <w:instrText>进而提出一套面向</w:instrText>
      </w:r>
      <w:r w:rsidR="00EB7246">
        <w:rPr>
          <w:rFonts w:hint="eastAsia"/>
        </w:rPr>
        <w:instrText>100%REPS</w:instrText>
      </w:r>
      <w:r w:rsidR="00EB7246">
        <w:rPr>
          <w:rFonts w:hint="eastAsia"/>
        </w:rPr>
        <w:instrText>的研究框架。最后</w:instrText>
      </w:r>
      <w:r w:rsidR="00EB7246">
        <w:rPr>
          <w:rFonts w:hint="eastAsia"/>
        </w:rPr>
        <w:instrText>,</w:instrText>
      </w:r>
      <w:r w:rsidR="00EB7246">
        <w:rPr>
          <w:rFonts w:hint="eastAsia"/>
        </w:rPr>
        <w:instrText>对未来</w:instrText>
      </w:r>
      <w:r w:rsidR="00EB7246">
        <w:rPr>
          <w:rFonts w:hint="eastAsia"/>
        </w:rPr>
        <w:instrText>100%REPS</w:instrText>
      </w:r>
      <w:r w:rsidR="00EB7246">
        <w:rPr>
          <w:rFonts w:hint="eastAsia"/>
        </w:rPr>
        <w:instrText>的应用实践与探索进行总结和展望。</w:instrText>
      </w:r>
      <w:r w:rsidR="00EB7246">
        <w:rPr>
          <w:rFonts w:hint="eastAsia"/>
        </w:rPr>
        <w:instrText>","container-title":"</w:instrText>
      </w:r>
      <w:r w:rsidR="00EB7246">
        <w:rPr>
          <w:rFonts w:hint="eastAsia"/>
        </w:rPr>
        <w:instrText>中国电机工程学报</w:instrText>
      </w:r>
      <w:r w:rsidR="00EB7246">
        <w:rPr>
          <w:rFonts w:hint="eastAsia"/>
        </w:rPr>
        <w:instrText>","DOI":"10.13334/j.0258-8013.pcsee.192031","ISSN":"0258-8013","issue":"6","language":"zh-CN","page":"1843-1856","source":"CNKI","title":"</w:instrText>
      </w:r>
      <w:r w:rsidR="00EB7246">
        <w:rPr>
          <w:rFonts w:hint="eastAsia"/>
        </w:rPr>
        <w:instrText>构建</w:instrText>
      </w:r>
      <w:r w:rsidR="00EB7246">
        <w:rPr>
          <w:rFonts w:hint="eastAsia"/>
        </w:rPr>
        <w:instrText>100%</w:instrText>
      </w:r>
      <w:r w:rsidR="00EB7246">
        <w:rPr>
          <w:rFonts w:hint="eastAsia"/>
        </w:rPr>
        <w:instrText>可再生能源电力系统述评与展望</w:instrText>
      </w:r>
      <w:r w:rsidR="00EB7246">
        <w:rPr>
          <w:rFonts w:hint="eastAsia"/>
        </w:rPr>
        <w:instrText>","volume":"40","author":[{"family":"</w:instrText>
      </w:r>
      <w:r w:rsidR="00EB7246">
        <w:rPr>
          <w:rFonts w:hint="eastAsia"/>
        </w:rPr>
        <w:instrText>文</w:instrText>
      </w:r>
      <w:r w:rsidR="00EB7246">
        <w:rPr>
          <w:rFonts w:hint="eastAsia"/>
        </w:rPr>
        <w:instrText>","given":"</w:instrText>
      </w:r>
      <w:r w:rsidR="00EB7246">
        <w:rPr>
          <w:rFonts w:hint="eastAsia"/>
        </w:rPr>
        <w:instrText>云峰</w:instrText>
      </w:r>
      <w:r w:rsidR="00EB7246">
        <w:rPr>
          <w:rFonts w:hint="eastAsia"/>
        </w:rPr>
        <w:instrText>"},{"family":"</w:instrText>
      </w:r>
      <w:r w:rsidR="00EB7246">
        <w:rPr>
          <w:rFonts w:hint="eastAsia"/>
        </w:rPr>
        <w:instrText>杨</w:instrText>
      </w:r>
      <w:r w:rsidR="00EB7246">
        <w:rPr>
          <w:rFonts w:hint="eastAsia"/>
        </w:rPr>
        <w:instrText>","given":"</w:instrText>
      </w:r>
      <w:r w:rsidR="00EB7246">
        <w:rPr>
          <w:rFonts w:hint="eastAsia"/>
        </w:rPr>
        <w:instrText>伟峰</w:instrText>
      </w:r>
      <w:r w:rsidR="00EB7246">
        <w:rPr>
          <w:rFonts w:hint="eastAsia"/>
        </w:rPr>
        <w:instrText>"},{"family":"</w:instrText>
      </w:r>
      <w:r w:rsidR="00EB7246">
        <w:rPr>
          <w:rFonts w:hint="eastAsia"/>
        </w:rPr>
        <w:instrText>汪</w:instrText>
      </w:r>
      <w:r w:rsidR="00EB7246">
        <w:rPr>
          <w:rFonts w:hint="eastAsia"/>
        </w:rPr>
        <w:instrText>","given":"</w:instrText>
      </w:r>
      <w:r w:rsidR="00EB7246">
        <w:rPr>
          <w:rFonts w:hint="eastAsia"/>
        </w:rPr>
        <w:instrText>荣华</w:instrText>
      </w:r>
      <w:r w:rsidR="00EB7246">
        <w:rPr>
          <w:rFonts w:hint="eastAsia"/>
        </w:rPr>
        <w:instrText>"},{"family":"</w:instrText>
      </w:r>
      <w:r w:rsidR="00EB7246">
        <w:rPr>
          <w:rFonts w:hint="eastAsia"/>
        </w:rPr>
        <w:instrText>胥</w:instrText>
      </w:r>
      <w:r w:rsidR="00EB7246">
        <w:rPr>
          <w:rFonts w:hint="eastAsia"/>
        </w:rPr>
        <w:instrText>","given":"</w:instrText>
      </w:r>
      <w:r w:rsidR="00EB7246">
        <w:rPr>
          <w:rFonts w:hint="eastAsia"/>
        </w:rPr>
        <w:instrText>威汀</w:instrText>
      </w:r>
      <w:r w:rsidR="00EB7246">
        <w:rPr>
          <w:rFonts w:hint="eastAsia"/>
        </w:rPr>
        <w:instrText>"},{"family":"</w:instrText>
      </w:r>
      <w:r w:rsidR="00EB7246">
        <w:rPr>
          <w:rFonts w:hint="eastAsia"/>
        </w:rPr>
        <w:instrText>叶</w:instrText>
      </w:r>
      <w:r w:rsidR="00EB7246">
        <w:rPr>
          <w:rFonts w:hint="eastAsia"/>
        </w:rPr>
        <w:instrText>","given":"</w:instrText>
      </w:r>
      <w:r w:rsidR="00EB7246">
        <w:rPr>
          <w:rFonts w:hint="eastAsia"/>
        </w:rPr>
        <w:instrText>希</w:instrText>
      </w:r>
      <w:r w:rsidR="00EB7246">
        <w:rPr>
          <w:rFonts w:hint="eastAsia"/>
        </w:rPr>
        <w:instrText>"},{"family":"</w:instrText>
      </w:r>
      <w:r w:rsidR="00EB7246">
        <w:rPr>
          <w:rFonts w:hint="eastAsia"/>
        </w:rPr>
        <w:instrText>李</w:instrText>
      </w:r>
      <w:r w:rsidR="00EB7246">
        <w:rPr>
          <w:rFonts w:hint="eastAsia"/>
        </w:rPr>
        <w:instrText>","given":"</w:instrText>
      </w:r>
      <w:r w:rsidR="00EB7246">
        <w:rPr>
          <w:rFonts w:hint="eastAsia"/>
        </w:rPr>
        <w:instrText>婷</w:instrText>
      </w:r>
      <w:r w:rsidR="00EB7246">
        <w:rPr>
          <w:rFonts w:hint="eastAsia"/>
        </w:rPr>
        <w:instrText>"}],"issued":{"date-parts":[["2020"]]}}}],"schema":"https://github.com/citation-style-language/schema/raw/master/csl-cit</w:instrText>
      </w:r>
      <w:r w:rsidR="00EB7246">
        <w:instrText xml:space="preserve">ation.json"} </w:instrText>
      </w:r>
      <w:r>
        <w:fldChar w:fldCharType="separate"/>
      </w:r>
      <w:r w:rsidR="00EB7246" w:rsidRPr="00EB7246">
        <w:rPr>
          <w:rFonts w:cs="Times New Roman"/>
          <w:kern w:val="0"/>
          <w:vertAlign w:val="superscript"/>
        </w:rPr>
        <w:t>[39</w:t>
      </w:r>
      <w:r w:rsidR="00BA516A">
        <w:rPr>
          <w:rFonts w:cs="Times New Roman"/>
          <w:kern w:val="0"/>
          <w:vertAlign w:val="superscript"/>
        </w:rPr>
        <w:t>-</w:t>
      </w:r>
      <w:r w:rsidR="00EB7246" w:rsidRPr="00EB7246">
        <w:rPr>
          <w:rFonts w:cs="Times New Roman"/>
          <w:kern w:val="0"/>
          <w:vertAlign w:val="superscript"/>
        </w:rPr>
        <w:t>40]</w:t>
      </w:r>
      <w:r>
        <w:fldChar w:fldCharType="end"/>
      </w:r>
      <w:r>
        <w:rPr>
          <w:rFonts w:hint="eastAsia"/>
        </w:rPr>
        <w:t>。</w:t>
      </w:r>
      <w:r>
        <w:t>此外，</w:t>
      </w:r>
      <w:r>
        <w:rPr>
          <w:rFonts w:hint="eastAsia"/>
        </w:rPr>
        <w:t>也</w:t>
      </w:r>
      <w:r>
        <w:t>需构建完善的通信网络基础设施，以保障信息的高效</w:t>
      </w:r>
      <w:r>
        <w:rPr>
          <w:rFonts w:hint="eastAsia"/>
        </w:rPr>
        <w:t>、可靠</w:t>
      </w:r>
      <w:r>
        <w:t>传输，从而提升决策效率与系统响应能力</w:t>
      </w:r>
      <w:r>
        <w:fldChar w:fldCharType="begin"/>
      </w:r>
      <w:r w:rsidR="00EB7246">
        <w:instrText xml:space="preserve"> ADDIN ZOTERO_ITEM CSL_CITATION {"citationID":"a102k5ju8tn","properties":{"formattedCitation":"\\super [41,42]\\nosupersub{}","plainCitation":"[41,42]","noteIndex":0},"citationItems":[{"id":3784,"uris":["http://zotero.org/users/13172592/items/LYITPWEF"],"itemData":{"id":3784,"type":"article-journal","abstract":"By focusing on a distributed energy system that has been widely diffused for efficient utilization of renewable energy generation in recent years, this paper investigates the relationship between productivity growth and information and communications technology capital in the energy sector. Information and communications technology is a key factor in operating distributed energy systems in a way that balances energy supply and demand in order to minimize energy loss and to enhance capacity utilization. The objective of this study is to clarify the determining factors that affect productivity growth, focusing on three different information and communications technologies: information technology capital, communication technology capital and software capital. Our estimation sample covers energy sectors in 14 countries from 2000 to 2014. The results show that information technology and software capital contribute to increasing material productivity and capital productivity in the energy sector, respectively. Meanwhile, communication technology capital negatively affects these two productivity indicators.","container-title":"Energies","DOI":"10.3390/en12091786","ISSN":"1996-1073","issue":"9","language":"en","license":"http://creativecommons.org/licenses/by/3.0/","note":"number: 9\npublisher: Multidisciplinary Digital Publishing Institute\nTLDR: The results show that information technology and software capital contribute to increasing material productivity and capital productivity in the energy sector, respectively, while communication technology capital negatively affects these two productivity indicators.","page":"1786","source":"3","title":"How does information and communication technology capital affect productivity in the energy sector? New evidence from 14 countries, considering the transition to renewable energy systems","title-short":"How does information and communication technology capital affect productivity in the energy sector?","volume":"12","author":[{"family":"Fujii","given":"Hidemichi"},{"family":"Shinozaki","given":"Akihiko"},{"family":"Kagawa","given":"Shigemi"},{"family":"Managi","given":"Shunsuke"}],"issued":{"date-parts":[["2019",1]]}},"label":"page"},{"id":3782,"uris":["http://zotero.org/users/13172592/items/ZSPGCAZW"],"itemData":{"id":3782,"type":"article-journal","abstract":"Renewable energy technology innovation (RETI) has become a key factor in mitigating climate change and promoting sustainable development of the world economy, but there is no literature on the effect of information and communication technology (ICT) on RETI and its impact mechanism. This paper measures RETI using panel data for 70 countries from 2005 to 2019 based on the combination of diffusion and depreciation effects of technological innovation and systematically examines the direct and mediating mechanisms of ICT's effect on RETI. The results show that ICT significantly contributes to RETI and even holds after addressing endogeneity, replacing the explanatory or explanatory variables, excluding extreme values, and excluding the effects of the financial crisis. The results of the transmission mechanism analysis indicate that ICT affects RETI through human capital accumulation, financial development, and information disclosure, meaning that human capital, financial development, and information disclosure are important mediating transmission mechanisms. The results of heterogeneity analysis note significant economic organizational heterogeneity and innovation environment heterogeneity of ICT to RETI. Specifically, in IEA and OECD member nations as well as in the high renewable energy consumption and high R&amp;D investment groups, the contribution effect of ICT on RETI is more significant.","call-number":"1","container-title":"Renewable Energy","DOI":"10.1016/j.renene.2022.10.015","ISSN":"0960-1481","journalAbbreviation":"Renewable Energy","language":"en","page":"546-557","source":"9","title":"How does information and communication technology affect renewable energy technology innovation? International evidence","title-short":"How does information and communication technology affect renewable energy technology innovation?","volume":"200","author":[{"family":"Lee","given":"Chien-Chiang"},{"family":"He","given":"Zhi-Wen"},{"family":"Xiao","given":"Fu"}],"issued":{"date-parts":[["2022",11,1]]}},"label":"page"}],"schema":"https://github.com/citation-style-language/schema/raw/master/csl-citation.json"} </w:instrText>
      </w:r>
      <w:r>
        <w:fldChar w:fldCharType="separate"/>
      </w:r>
      <w:r w:rsidR="00EB7246" w:rsidRPr="00EB7246">
        <w:rPr>
          <w:rFonts w:cs="Times New Roman"/>
          <w:kern w:val="0"/>
          <w:vertAlign w:val="superscript"/>
        </w:rPr>
        <w:t>[41</w:t>
      </w:r>
      <w:r w:rsidR="00BA516A">
        <w:rPr>
          <w:rFonts w:cs="Times New Roman"/>
          <w:kern w:val="0"/>
          <w:vertAlign w:val="superscript"/>
        </w:rPr>
        <w:t>-</w:t>
      </w:r>
      <w:r w:rsidR="00EB7246" w:rsidRPr="00EB7246">
        <w:rPr>
          <w:rFonts w:cs="Times New Roman"/>
          <w:kern w:val="0"/>
          <w:vertAlign w:val="superscript"/>
        </w:rPr>
        <w:t>42]</w:t>
      </w:r>
      <w:r>
        <w:fldChar w:fldCharType="end"/>
      </w:r>
      <w:r>
        <w:t>。</w:t>
      </w:r>
    </w:p>
    <w:p w14:paraId="2DC961A0" w14:textId="3B96EC08" w:rsidR="000132E7" w:rsidRDefault="000132E7" w:rsidP="000132E7">
      <w:pPr>
        <w:ind w:firstLine="420"/>
      </w:pPr>
      <w:r>
        <w:t>在政策层面，财税优惠、技术创新激励</w:t>
      </w:r>
      <w:r>
        <w:rPr>
          <w:rFonts w:hint="eastAsia"/>
        </w:rPr>
        <w:t>、</w:t>
      </w:r>
      <w:r>
        <w:t>科研资金支持等政策措施可为项目建设提供制度保障</w:t>
      </w:r>
      <w:r>
        <w:fldChar w:fldCharType="begin"/>
      </w:r>
      <w:r w:rsidR="00EB7246">
        <w:instrText xml:space="preserve"> ADDIN ZOTERO_ITEM CSL_CITATION {"citationID":"a1741pnuk53","properties":{"formattedCitation":"\\super [43\\uc0\\u8211{}45]\\nosupersub{}","plainCitation":"[43–45]","noteIndex":0},"citationItems":[{"id":751,"uris":["http://zotero.org/users/13172592/items/I3QECVUL"],"itemData":{"id":751,"type":"article-journal","abstract":"To solve the global warming and energy crisis, substituting fossil fuel energy such as oil with renewable energy is an inevitable trend. International efforts towards this have been great, as evidenced by climate change legislation related to the energy sector. Employing panel data on energy-related legislative activity aimed at climate change in 129 countries in the period 2001–2020, this research statistically investigated the short- and long-term effects of energy laws that promote renewable energy-based electricity generation including non-hydro renewable energy-based electricity generation in the short and long run. The effect is enhanced in countries with a strong legal system. Moreover, the impact of legislative acts is stronger than that of executive orders. Regarding different types of renewable energy resources, the effects of energy laws on solar and wind energy are stronger compared to other renewable sources. Furthermore, heterogeneous tests show that the effect of energy laws on renewable energy is greater in high and upper middle-income countries than in lower middle- and low-income countries. In 2020, the current energy laws increased renewable energy and non-hydro renewable energy electricity generation by 2248.067 and 1888.341 quadrillion kWh, respectively.","call-number":"2","container-title":"Energy Economics","DOI":"10.1016/j.eneco.2023.106504","ISSN":"01409883","journalAbbreviation":"Energy Economics","language":"en","page":"106504","source":"12.8","title":"Promoting renewable energy through national energy legislation","volume":"118","author":[{"family":"Liu","given":"Ying"},{"family":"Feng","given":"Chao"}],"issued":{"date-parts":[["2023",2]]}}},{"id":752,"uris":["http://zotero.org/users/13172592/items/B29ULQ6W"],"itemData":{"id":752,"type":"article-journal","abstract":"Considering the importance of developing renewable energy consumption to reduce the threat of climate change, this study attempts to evaluate the impacts of green bonds and the development of wind, hydro, and solar energy in a sample of 15 member economies of the Organisation for Economic Co-operation and Development (OECD). It employs the fully modified OLS (FMOLS) technique based on data from 2010 to 2020. The estimations show that issued green bonds increase wind and hydro-energy consumption in OECD countries. At the same time, green bonds do not significantly impact solar energy deployment in these economies. The central practical integrated policies recommended by this study include developing a digital green bond market, establishing a green bond issuance network (GBIN), implementing an international carbon tax policy, and planning to achieve green economic recovery through the green bond market development.","call-number":"2","container-title":"Energy Economics","DOI":"10.1016/j.eneco.2023.106725","ISSN":"01409883","journalAbbreviation":"Energy Economics","language":"en","page":"106725","source":"12.8","title":"Green bonds markets and renewable energy development: Policy integration for achieving carbon neutrality","title-short":"Green bonds markets and renewable energy development","volume":"123","author":[{"family":"Wang","given":"Yang"},{"family":"Taghizadeh-Hesary","given":"Farhad"}],"issued":{"date-parts":[["2023",7]]}}},{"id":753,"uris":["http://zotero.org/users/13172592/items/YSKVMKNQ"],"itemData":{"id":753,"type":"article-journal","abstract":"This research examines the effect of environmental policy stringency on green innovation in renewable energy technology and whether the green innovation response differs with varying degrees of environmental policy. Based on panel data of 33 countries over the period 1990e2015, we show that a stringent environmental policy does encourage green innovation in renewable energy technology, and this impact is more pronounced in OECD countries and high-income countries. More speciﬁcally, a stringent non-market-based environmental policy induces more patents in renewable energy generation. The ﬁndings also show that a stringent environmental policy yields green innovation for geothermal energy, hydro energy, and marine energy, but not for wind energy and solar energy. Heterogeneity analysis suggests that innovation capacity and environmental pressure enhance the impact of environmental policy stringency on green innovation in the renewable energy ﬁeld. Finally, the paper presents that clean energy investment plays the role of a mechanism through which environmental policy stringency spurs green innovation in the renewable energy ﬁeld, offering insights into the inﬂuence of environmental policy stringency on green innovation.","call-number":"1","container-title":"Renewable Energy","DOI":"10.1016/j.renene.2022.06.074","ISSN":"09601481","journalAbbreviation":"Renewable Energy","language":"en","page":"1113-1124","source":"8.7","title":"Does an environmental policy bring to green innovation in renewable energy?","volume":"195","author":[{"family":"Zhang","given":"Dan"},{"family":"Zheng","given":"Mingbo"},{"family":"Feng","given":"Gen-Fu"},{"family":"Chang","given":"Chun-Ping"}],"issued":{"date-parts":[["2022",8]]}}}],"schema":"https://github.com/citation-style-language/schema/raw/master/csl-citation.json"} </w:instrText>
      </w:r>
      <w:r>
        <w:fldChar w:fldCharType="separate"/>
      </w:r>
      <w:r w:rsidR="00EB7246" w:rsidRPr="00EB7246">
        <w:rPr>
          <w:rFonts w:cs="Times New Roman"/>
          <w:kern w:val="0"/>
          <w:vertAlign w:val="superscript"/>
        </w:rPr>
        <w:t>[43–45]</w:t>
      </w:r>
      <w:r>
        <w:fldChar w:fldCharType="end"/>
      </w:r>
      <w:r>
        <w:rPr>
          <w:rFonts w:hint="eastAsia"/>
        </w:rPr>
        <w:t>。</w:t>
      </w:r>
      <w:r>
        <w:t>在市场层面，完善清洁能源电力市场交易机制，</w:t>
      </w:r>
      <w:r>
        <w:rPr>
          <w:rFonts w:hint="eastAsia"/>
        </w:rPr>
        <w:t>合理分配</w:t>
      </w:r>
      <w:r>
        <w:t>输配电权</w:t>
      </w:r>
      <w:r>
        <w:rPr>
          <w:rFonts w:hint="eastAsia"/>
        </w:rPr>
        <w:t>，</w:t>
      </w:r>
      <w:r>
        <w:t>明确市场准入规则和电价机制，</w:t>
      </w:r>
      <w:r>
        <w:rPr>
          <w:rFonts w:hint="eastAsia"/>
        </w:rPr>
        <w:t>则有助于</w:t>
      </w:r>
      <w:r>
        <w:t>构建公平开放的电力市场。</w:t>
      </w:r>
    </w:p>
    <w:p w14:paraId="77C7FE4D" w14:textId="77777777" w:rsidR="00BC1DF7" w:rsidRDefault="00BC1DF7" w:rsidP="00873BC4">
      <w:pPr>
        <w:pStyle w:val="3"/>
      </w:pPr>
      <w:r>
        <w:rPr>
          <w:rFonts w:hint="eastAsia"/>
        </w:rPr>
        <w:t>业主项目群管理能力</w:t>
      </w:r>
    </w:p>
    <w:p w14:paraId="56A719F3" w14:textId="5C509829" w:rsidR="000132E7" w:rsidRDefault="000132E7" w:rsidP="00BC1DF7">
      <w:pPr>
        <w:ind w:firstLine="420"/>
      </w:pPr>
      <w:r w:rsidRPr="00C323B6">
        <w:rPr>
          <w:rFonts w:hint="eastAsia"/>
        </w:rPr>
        <w:t>业主参与</w:t>
      </w:r>
      <w:r>
        <w:rPr>
          <w:rFonts w:hint="eastAsia"/>
        </w:rPr>
        <w:t>清洁能源基地</w:t>
      </w:r>
      <w:r w:rsidRPr="00C323B6">
        <w:rPr>
          <w:rFonts w:hint="eastAsia"/>
        </w:rPr>
        <w:t>投资、</w:t>
      </w:r>
      <w:r>
        <w:rPr>
          <w:rFonts w:hint="eastAsia"/>
        </w:rPr>
        <w:t>规划设计、</w:t>
      </w:r>
      <w:r w:rsidRPr="00C323B6">
        <w:rPr>
          <w:rFonts w:hint="eastAsia"/>
        </w:rPr>
        <w:t>建设、运维等各阶段，其管理能力对</w:t>
      </w:r>
      <w:r>
        <w:rPr>
          <w:rFonts w:hint="eastAsia"/>
        </w:rPr>
        <w:t>清洁能源基地开发</w:t>
      </w:r>
      <w:r w:rsidRPr="00C323B6">
        <w:rPr>
          <w:rFonts w:hint="eastAsia"/>
        </w:rPr>
        <w:t>至关重要</w:t>
      </w:r>
      <w:r>
        <w:fldChar w:fldCharType="begin"/>
      </w:r>
      <w:r w:rsidR="00E17813">
        <w:instrText xml:space="preserve"> ADDIN ZOTERO_ITEM CSL_CITATION {"citationID":"a5na685753","properties":{"formattedCitation":"\\super [46,47]\\nosupersub{}","plainCitation":"[46,47]","noteIndex":0},"citationItems":[{"id":2584,"uris":["http://zotero.org/users/13172592/items/LUC3WH29","http://zotero.org/users/13172592/items/SB8X9A3C"],"itemData":{"id":2584,"type":"article-journal","archive_location":"WOS:000235671300002","call-number":"2","container-title":"Journal of Construction Engineering and Management","DOI":"10.1061/(ASCE)0733-9364(2006)132:3(217)","ISSN":"0733-9364","issue":"3","language":"en","page":"217-229","source":"5.1","title":"Partnering mechanism in construction: An empirical study on the Chinese construction industry","volume":"132","author":[{"family":"Tang","given":"WZ"},{"family":"Duffield","given":"CF"},{"family":"Young","given":"DM"}],"issued":{"date-parts":[["2006",3]]}}},{"id":2700,"uris":["http://zotero.org/users/13172592/items/UYEBYSJ7"],"itemData":{"id":2700,"type":"article-journal","abstract":"AbstractExisting studies tend to agree that there are links between owners’ capabilities and\nproject performance. However, limited research has systematically addressed the relationships\namong the multiple facets of organizational capabilities and project ...","archive_location":"world","call-number":"2","container-title":"Journal of Construction Engineering and Management","DOI":"10.1061/(ASCE)CO.1943-7862.0000694","ISSN":"1943-7862","issue":"9","language":"en","license":"© 2013 American Society of Civil Engineers","note":"publisher: American Society of Civil Engineers","page":"1168-1178","source":"4.1","title":"Relationship between owners’ capabilities and project performance on development of hydropower projects in China","volume":"139","author":[{"family":"Wang","given":"Shuli"},{"family":"Tang","given":"Wenzhe"},{"family":"Li","given":"Yuxuan"}],"issued":{"date-parts":[["2013",9,1]]}}}],"schema":"https://github.com/citation-style-language/schema/raw/master/csl-citation.json"} </w:instrText>
      </w:r>
      <w:r>
        <w:fldChar w:fldCharType="separate"/>
      </w:r>
      <w:r w:rsidR="00E17813" w:rsidRPr="00E17813">
        <w:rPr>
          <w:rFonts w:cs="Times New Roman"/>
          <w:kern w:val="0"/>
          <w:vertAlign w:val="superscript"/>
        </w:rPr>
        <w:t>[46</w:t>
      </w:r>
      <w:r w:rsidR="00BA516A">
        <w:rPr>
          <w:rFonts w:cs="Times New Roman"/>
          <w:kern w:val="0"/>
          <w:vertAlign w:val="superscript"/>
        </w:rPr>
        <w:t>-</w:t>
      </w:r>
      <w:r w:rsidR="00E17813" w:rsidRPr="00E17813">
        <w:rPr>
          <w:rFonts w:cs="Times New Roman"/>
          <w:kern w:val="0"/>
          <w:vertAlign w:val="superscript"/>
        </w:rPr>
        <w:t>47]</w:t>
      </w:r>
      <w:r>
        <w:fldChar w:fldCharType="end"/>
      </w:r>
      <w:r w:rsidRPr="00C323B6">
        <w:rPr>
          <w:rFonts w:hint="eastAsia"/>
        </w:rPr>
        <w:t>。</w:t>
      </w:r>
    </w:p>
    <w:p w14:paraId="6F2FCC13" w14:textId="211105FB" w:rsidR="000132E7" w:rsidRDefault="000132E7" w:rsidP="00BC1DF7">
      <w:pPr>
        <w:ind w:firstLine="420"/>
      </w:pPr>
      <w:r>
        <w:t>清洁能源基地</w:t>
      </w:r>
      <w:r>
        <w:rPr>
          <w:rFonts w:hint="eastAsia"/>
        </w:rPr>
        <w:t>涉及</w:t>
      </w:r>
      <w:r>
        <w:t>地域广、</w:t>
      </w:r>
      <w:r>
        <w:rPr>
          <w:rFonts w:hint="eastAsia"/>
        </w:rPr>
        <w:t>建设</w:t>
      </w:r>
      <w:r>
        <w:t>周期长，业主</w:t>
      </w:r>
      <w:r>
        <w:rPr>
          <w:rFonts w:hint="eastAsia"/>
        </w:rPr>
        <w:t>的</w:t>
      </w:r>
      <w:r>
        <w:t>目标管理能力</w:t>
      </w:r>
      <w:r>
        <w:rPr>
          <w:rFonts w:hint="eastAsia"/>
        </w:rPr>
        <w:t>对高效推进基地目标的实现至关重要</w:t>
      </w:r>
      <w:r>
        <w:fldChar w:fldCharType="begin"/>
      </w:r>
      <w:r w:rsidR="00E17813">
        <w:instrText xml:space="preserve"> ADDIN ZOTERO_ITEM CSL_CITATION {"citationID":"a1nktuklng6","properties":{"formattedCitation":"\\super [11,48]\\nosupersub{}","plainCitation":"[11,48]","noteIndex":0},"citationItems":[{"id":1879,"uris":["http://zotero.org/users/13172592/items/5S4EIAMP","http://zotero.org/users/13172592/items/6FMHPKI8"],"itemData":{"id":1879,"type":"article-journal","abstract":"Program management is increasingly regarded as a key approach to improving the performance of a construction megaproject through the coordinated management of its constituent projects. However, previous studies have seldom provided a pragmatic program management framework that can fully address the requirements of clients in managing construction megaprojects. Therefore, based on a case study of the Shanghai Expo construction, this study aims to identify the principal program organization factors (POFs) that are determinants of the program organization established by a client to manage a megaproject. Mixed research methods, such as case study, literature review, interviews, Delphi survey, and archival methods, are employed in this study. Consequently, 12 principal POFs, grouped under three main categories (environmental capability, core capacity, and motivational capability of the client’s program organization to manage its construction megaproject), are identified: (1) contextual understanding, (2) program strategy, (3) program leadership, (4) scope management, (5) program governance, (6) matrix organizational structure, (7) program management office, (8) use of project breakdown structure and work breakdown structure tools, (9) partnering with key stakeholders, (10) technology management, (11) communication management, and (12) team building. These research findings will help scholars and professionals, particularly those in China, to appreciate the key issues in managing megaprojects through program organization. DOI: 10.1061/(ASCE)ME.1943-5479.0000310. © 2014 American Society of Civil Engineers.","call-number":"1","container-title":"Journal of Management in Engineering","DOI":"10.1061/(ASCE)ME.1943-5479.0000310","ISSN":"0742-597X, 1943-5479","issue":"5","journalAbbreviation":"J. Manage. Eng.","language":"en","page":"05014019","source":"7.4","title":"Understanding the determinants of program organization for construction megaproject success: Case study of the Shanghai Expo construction","title-short":"Understanding the Determinants of Program Organization for Construction Megaproject Success","volume":"31","author":[{"family":"Hu","given":"Yi"},{"family":"Chan","given":"Albert P. C."},{"family":"Le","given":"Yun"}],"issued":{"date-parts":[["2015",9]]}}},{"id":1738,"uris":["http://zotero.org/users/13172592/items/CUYPTB3R"],"itemData":{"id":1738,"type":"article-journal","abstract":"Project management, as a discipline in its traditional form, is insular, focusing on the deﬁnition, planning and execution of a speciﬁc objective. The growing use of projects to eﬀect signiﬁcant organisational change has led to a widespread interest in programme management. Programmes by grouping, directing and initiating new projects set the context for projects, yet they too are subject to external inﬂuences and developments. Emergent thinking on programme management best practice has focused on the internal context, namely the marshalling of projects and resources to achieve the desired strategic and/or synergy beneﬁts. Relatively neglected, though crucially important, is the need to shape, embed and align the programme to the evolving needs of the organisation. This paper argues that, where programmes provide a bridge between projects and the organisation’s strategy, programme management takes on many of the characteristics and competencies of strategic change management and organisational development. Programme directors and managers have fundamental roles as mediators’ moderators and manipulators of the external context and pressures. They must embrace and deal with the ambiguity, tensions and interplay between the need for concrete action and the strategic imperative of openness, options and speedy response. Drawing on a case study, the paper illustrates the challenges and development needs of project managers seeking to make the transition to programme management. The paper argues that newly appointed programme directors and managers are often unprepared for the challenges of continually shaping internal and external context, and frequently lacking the creativity, awareness and sensitivity such a role demands. # 2002 Elsevier Science Ltd and IPMA. All rights reserved.","call-number":"1","container-title":"International Journal of Project Management","DOI":"10.1016/S0263-7863(01)00073-4","ISSN":"02637863","issue":"3","journalAbbreviation":"International Journal of Project Management","language":"en","license":"https://www.elsevier.com/tdm/userlicense/1.0/","page":"229-233","source":"8","title":"Shaping context: The role and challenge for programmes","title-short":"Shaping context","volume":"20","author":[{"family":"Pellegrinelli","given":"Sergio"}],"issued":{"date-parts":[["2002",4]]}}}],"schema":"https://github.com/citation-style-language/schema/raw/master/csl-citation.json"} </w:instrText>
      </w:r>
      <w:r>
        <w:fldChar w:fldCharType="separate"/>
      </w:r>
      <w:r w:rsidR="00E17813" w:rsidRPr="00E17813">
        <w:rPr>
          <w:rFonts w:cs="Times New Roman"/>
          <w:kern w:val="0"/>
          <w:vertAlign w:val="superscript"/>
        </w:rPr>
        <w:t>[11,48]</w:t>
      </w:r>
      <w:r>
        <w:fldChar w:fldCharType="end"/>
      </w:r>
      <w:r>
        <w:rPr>
          <w:rFonts w:hint="eastAsia"/>
        </w:rPr>
        <w:t>。</w:t>
      </w:r>
      <w:r>
        <w:t>业主需明确项目建设与运营目标，</w:t>
      </w:r>
      <w:r>
        <w:rPr>
          <w:rFonts w:hint="eastAsia"/>
        </w:rPr>
        <w:t>并</w:t>
      </w:r>
      <w:r>
        <w:t>充分理解各利益相关方对清洁能源基地的</w:t>
      </w:r>
      <w:r w:rsidRPr="00D854C4">
        <w:t>需求</w:t>
      </w:r>
      <w:r w:rsidRPr="00D854C4">
        <w:fldChar w:fldCharType="begin"/>
      </w:r>
      <w:r w:rsidR="00EB7246">
        <w:instrText xml:space="preserve"> ADDIN ZOTERO_ITEM CSL_CITATION {"citationID":"QeJLPHPT","properties":{"formattedCitation":"\\super [11]\\nosupersub{}","plainCitation":"[11]","noteIndex":0},"citationItems":[{"id":1879,"uris":["http://zotero.org/users/13172592/items/5S4EIAMP","http://zotero.org/users/13172592/items/6FMHPKI8"],"itemData":{"id":1879,"type":"article-journal","abstract":"Program management is increasingly regarded as a key approach to improving the performance of a construction megaproject through the coordinated management of its constituent projects. However, previous studies have seldom provided a pragmatic program management framework that can fully address the requirements of clients in managing construction megaprojects. Therefore, based on a case study of the Shanghai Expo construction, this study aims to identify the principal program organization factors (POFs) that are determinants of the program organization established by a client to manage a megaproject. Mixed research methods, such as case study, literature review, interviews, Delphi survey, and archival methods, are employed in this study. Consequently, 12 principal POFs, grouped under three main categories (environmental capability, core capacity, and motivational capability of the client’s program organization to manage its construction megaproject), are identified: (1) contextual understanding, (2) program strategy, (3) program leadership, (4) scope management, (5) program governance, (6) matrix organizational structure, (7) program management office, (8) use of project breakdown structure and work breakdown structure tools, (9) partnering with key stakeholders, (10) technology management, (11) communication management, and (12) team building. These research findings will help scholars and professionals, particularly those in China, to appreciate the key issues in managing megaprojects through program organization. DOI: 10.1061/(ASCE)ME.1943-5479.0000310. © 2014 American Society of Civil Engineers.","call-number":"1","container-title":"Journal of Management in Engineering","DOI":"10.1061/(ASCE)ME.1943-5479.0000310","ISSN":"0742-597X, 1943-5479","issue":"5","journalAbbreviation":"J. Manage. Eng.","language":"en","page":"05014019","source":"7.4","title":"Understanding the determinants of program organization for construction megaproject success: Case study of the Shanghai Expo construction","title-short":"Understanding the Determinants of Program Organization for Construction Megaproject Success","volume":"31","author":[{"family":"Hu","given":"Yi"},{"family":"Chan","given":"Albert P. C."},{"family":"Le","given":"Yun"}],"issued":{"date-parts":[["2015",9]]}}}],"schema":"https://github.com/citation-style-language/schema/raw/master/csl-citation.json"} </w:instrText>
      </w:r>
      <w:r w:rsidRPr="00D854C4">
        <w:fldChar w:fldCharType="separate"/>
      </w:r>
      <w:r w:rsidR="00EB7246" w:rsidRPr="00EB7246">
        <w:rPr>
          <w:rFonts w:cs="Times New Roman"/>
          <w:kern w:val="0"/>
          <w:vertAlign w:val="superscript"/>
        </w:rPr>
        <w:t>[11]</w:t>
      </w:r>
      <w:r w:rsidRPr="00D854C4">
        <w:fldChar w:fldCharType="end"/>
      </w:r>
      <w:r w:rsidRPr="00D854C4">
        <w:t>。</w:t>
      </w:r>
    </w:p>
    <w:p w14:paraId="2760B8CF" w14:textId="2878E27E" w:rsidR="000132E7" w:rsidRDefault="000132E7" w:rsidP="00BC1DF7">
      <w:pPr>
        <w:ind w:firstLine="420"/>
      </w:pPr>
      <w:r w:rsidRPr="00E81D9B">
        <w:rPr>
          <w:rFonts w:hint="eastAsia"/>
        </w:rPr>
        <w:t>组织协调</w:t>
      </w:r>
      <w:r>
        <w:rPr>
          <w:rFonts w:hint="eastAsia"/>
        </w:rPr>
        <w:t>各项目、各利益相关方与各开发环节间的顺畅衔接</w:t>
      </w:r>
      <w:r w:rsidRPr="00E81D9B">
        <w:rPr>
          <w:rFonts w:hint="eastAsia"/>
        </w:rPr>
        <w:t>是</w:t>
      </w:r>
      <w:r>
        <w:rPr>
          <w:rFonts w:hint="eastAsia"/>
        </w:rPr>
        <w:t>高效推进</w:t>
      </w:r>
      <w:r w:rsidRPr="00E81D9B">
        <w:rPr>
          <w:rFonts w:hint="eastAsia"/>
        </w:rPr>
        <w:t>清洁能源基地</w:t>
      </w:r>
      <w:r>
        <w:rPr>
          <w:rFonts w:hint="eastAsia"/>
        </w:rPr>
        <w:t>开发</w:t>
      </w:r>
      <w:r w:rsidRPr="00E81D9B">
        <w:rPr>
          <w:rFonts w:hint="eastAsia"/>
        </w:rPr>
        <w:t>的关键</w:t>
      </w:r>
      <w:r>
        <w:fldChar w:fldCharType="begin"/>
      </w:r>
      <w:r w:rsidR="00E17813">
        <w:instrText xml:space="preserve"> ADDIN ZOTERO_ITEM CSL_CITATION {"citationID":"a2bmuvsbm5u","properties":{"formattedCitation":"\\super [49,50]\\nosupersub{}","plainCitation":"[49,50]","noteIndex":0},"citationItems":[{"id":3031,"uris":["http://zotero.org/users/13172592/items/2YQAPHEH"],"itemData":{"id":3031,"type":"article-journal","abstract":"Owed to their enormous impact on the sustainable development of energy security, climate change, and the economy, multiple renewable-energy projects are carried out around the world, both in developed and in developing countries. Since the construction of renewable energy project is an entrepreneurial activity, there is a big concern about the success of such projects. Although pertinent literature suggests several methodologies to enhance the success of various projects, renewable-energy projects are still overlooked. This study identifies multiple critical success factors (CSFs), required for renewable-energy projects. Using a sample of 272 firms working on renewable energy projects in Pakistan, a quantitative and causal study was undertaken to identify the critical success factors (CSFs). Structural equation modeling (SEM) was applied to test and verify hypothesis. The results show that there is a strong direct dependency of project success over the proposed factors, however environmental factors are found to be the only predominant CSFs which show the significant indirect effect on project success. The study expected to contribute towards and widen up the existing knowledge base for the project performance of renewable energy projects by adding on the findings regarding critical success factors.","call-number":"3","container-title":"Journal of Civil Engineering and Management","DOI":"10.3846/jcem.2018.1691","ISSN":"1392-3730, 1822-3605","issue":"3","language":"en","page":"223-237","source":"4.3","title":"Identifying the critical success factors and their relevant aspects for renewable energy projects: An empirical perspective","volume":"24","author":[{"family":"Maqbool","given":"Rashid"},{"family":"Rashid","given":"Yahya"},{"family":"Sultana","given":"Saira"},{"family":"Sudong","given":"Ye"}],"issued":{"date-parts":[["2018",5,28]]}}},{"id":2357,"uris":["http://zotero.org/users/13172592/items/675DGTRL"],"itemData":{"id":2357,"type":"article-journal","abstract":"Given that a strong owner has been identified as an important factor in the success of megaprojects, there has been a growing recognition of the importance of megaproject owner organizational capabilities. However, the questions of what organizational capabilities do owners need to foster successful megaprojects, and whether these capabilities are the stronger the better, have yet to be addressed. To answer these questions, this study identified the dimensions of owner organizational capabilities based on literature and interviews, and developed several sets of parallel hypotheses. Based on the 229 valid questionnaire data collected, the relationships between owner organizational capabilities and megaproject success were analyzed through hierarchical multiple regression, and the results were discussed through expert interviews. The findings show that owner coordination, dynamic, and system integration capabilities have positive impacts on megaproject success, with coordination capabilities being the most significant. While the impact of motivational capabilities on megaproject success is inverted U-shaped. This study provides an actionable dimensional framework for megaproject owner capabilities, moving the field of owner organizational capabilities beyond the conceptual level. This study provides empirical evidence for the importance of megaproject owner organizational capabilities and takes a more dialectical view of a strong owner. The empirical results can provide insights and guidance on the configuration and development of megaproject owner capabilities. DOI: 10.1061/JCEMD4.COENG-13097. © 2023 American Society of Civil Engineers.","call-number":"2","container-title":"Journal of Construction Engineering and Management","DOI":"10.1061/JCEMD4.COENG-13097","ISSN":"0733-9364, 1943-7862","issue":"7","journalAbbreviation":"J. Constr. Eng. Manage.","language":"en","page":"04023055","source":"5.1","title":"Deconstructing organizational capabilities of megaproject owners: Dimensions and levels","title-short":"Deconstructing Organizational Capabilities of Megaproject Owners","volume":"149","author":[{"family":"Zhang","given":"Xinyue"},{"family":"Liu","given":"Mingqiang"},{"family":"Le","given":"Yun"},{"family":"Wei","given":"Jianjun"},{"family":"Zhu","given":"Yongsong"},{"family":"Li","given":"Yongkui"}],"issued":{"date-parts":[["2023",7]]}}}],"schema":"https://github.com/citation-style-language/schema/raw/master/csl-citation.json"} </w:instrText>
      </w:r>
      <w:r>
        <w:fldChar w:fldCharType="separate"/>
      </w:r>
      <w:r w:rsidR="00E17813" w:rsidRPr="00E17813">
        <w:rPr>
          <w:rFonts w:cs="Times New Roman"/>
          <w:kern w:val="0"/>
          <w:vertAlign w:val="superscript"/>
        </w:rPr>
        <w:t>[49</w:t>
      </w:r>
      <w:r w:rsidR="00BA516A">
        <w:rPr>
          <w:rFonts w:cs="Times New Roman"/>
          <w:kern w:val="0"/>
          <w:vertAlign w:val="superscript"/>
        </w:rPr>
        <w:t>-</w:t>
      </w:r>
      <w:r w:rsidR="00E17813" w:rsidRPr="00E17813">
        <w:rPr>
          <w:rFonts w:cs="Times New Roman"/>
          <w:kern w:val="0"/>
          <w:vertAlign w:val="superscript"/>
        </w:rPr>
        <w:t>50]</w:t>
      </w:r>
      <w:r>
        <w:fldChar w:fldCharType="end"/>
      </w:r>
      <w:r w:rsidRPr="00E81D9B">
        <w:rPr>
          <w:rFonts w:hint="eastAsia"/>
        </w:rPr>
        <w:t>。清洁能源基地</w:t>
      </w:r>
      <w:r>
        <w:rPr>
          <w:rFonts w:hint="eastAsia"/>
        </w:rPr>
        <w:t>开发</w:t>
      </w:r>
      <w:r w:rsidRPr="00E81D9B">
        <w:rPr>
          <w:rFonts w:hint="eastAsia"/>
        </w:rPr>
        <w:t>涉及规划</w:t>
      </w:r>
      <w:r>
        <w:rPr>
          <w:rFonts w:hint="eastAsia"/>
        </w:rPr>
        <w:t>、</w:t>
      </w:r>
      <w:r w:rsidRPr="00E81D9B">
        <w:rPr>
          <w:rFonts w:hint="eastAsia"/>
        </w:rPr>
        <w:t>设计</w:t>
      </w:r>
      <w:r>
        <w:rPr>
          <w:rFonts w:hint="eastAsia"/>
        </w:rPr>
        <w:t>、采购、</w:t>
      </w:r>
      <w:r w:rsidRPr="00E81D9B">
        <w:rPr>
          <w:rFonts w:hint="eastAsia"/>
        </w:rPr>
        <w:t>施工</w:t>
      </w:r>
      <w:r>
        <w:rPr>
          <w:rFonts w:hint="eastAsia"/>
        </w:rPr>
        <w:t>、</w:t>
      </w:r>
      <w:r w:rsidRPr="00E81D9B">
        <w:rPr>
          <w:rFonts w:hint="eastAsia"/>
        </w:rPr>
        <w:t>运营的全生命周期管理</w:t>
      </w:r>
      <w:r>
        <w:rPr>
          <w:rFonts w:hint="eastAsia"/>
        </w:rPr>
        <w:t>。</w:t>
      </w:r>
      <w:r w:rsidRPr="00E81D9B">
        <w:rPr>
          <w:rFonts w:hint="eastAsia"/>
        </w:rPr>
        <w:t>业主</w:t>
      </w:r>
      <w:r>
        <w:rPr>
          <w:rFonts w:hint="eastAsia"/>
        </w:rPr>
        <w:t>需统筹调配不同子项目各环节的</w:t>
      </w:r>
      <w:r w:rsidRPr="00E81D9B">
        <w:rPr>
          <w:rFonts w:hint="eastAsia"/>
        </w:rPr>
        <w:t>资源，</w:t>
      </w:r>
      <w:r>
        <w:rPr>
          <w:rFonts w:hint="eastAsia"/>
        </w:rPr>
        <w:t>促进</w:t>
      </w:r>
      <w:r w:rsidRPr="00E81D9B">
        <w:rPr>
          <w:rFonts w:hint="eastAsia"/>
        </w:rPr>
        <w:t>多方协作</w:t>
      </w:r>
      <w:r>
        <w:rPr>
          <w:rFonts w:hint="eastAsia"/>
        </w:rPr>
        <w:t>，推进信息流通，提高管理效率。</w:t>
      </w:r>
    </w:p>
    <w:p w14:paraId="0E0667D9" w14:textId="4E30E537" w:rsidR="000132E7" w:rsidRDefault="000132E7" w:rsidP="00BC1DF7">
      <w:pPr>
        <w:ind w:firstLine="420"/>
      </w:pPr>
      <w:r w:rsidRPr="006B4AC8">
        <w:rPr>
          <w:rFonts w:hint="eastAsia"/>
        </w:rPr>
        <w:t>信息技术是业主提升清洁能源基地</w:t>
      </w:r>
      <w:r>
        <w:rPr>
          <w:rFonts w:hint="eastAsia"/>
        </w:rPr>
        <w:t>建设与运维水平</w:t>
      </w:r>
      <w:r w:rsidRPr="006B4AC8">
        <w:rPr>
          <w:rFonts w:hint="eastAsia"/>
        </w:rPr>
        <w:t>的重要</w:t>
      </w:r>
      <w:r>
        <w:rPr>
          <w:rFonts w:hint="eastAsia"/>
        </w:rPr>
        <w:t>工具</w:t>
      </w:r>
      <w:r>
        <w:fldChar w:fldCharType="begin"/>
      </w:r>
      <w:r w:rsidR="00E17813">
        <w:instrText xml:space="preserve"> ADDIN ZOTERO_ITEM CSL_CITATION {"citationID":"a25fpq313rg","properties":{"formattedCitation":"\\super [51,52]\\nosupersub{}","plainCitation":"[51,52]","noteIndex":0},"citationItems":[{"id":687,"uris":["http://zotero.org/users/13172592/items/D8ELTBEC"],"itemData":{"id":687,"type":"article-journal","abstract":"Optimizing day-ahead generation schedules of hydro–wind–photovoltaic (PV) complementary systems (HWPCSs) can help to promote the accommodation of wind and solar energies. However, it is challenging to formulate appropriate generation schedules for the large HWPCS that contains cascade hydropower plants, in particular, a steady requirement of power delivery is considered in the optimization model. To further improve complementary performance of the large HWPCS, we propose a risk-averse day-ahead generation scheduling approach that considers the steady requirement of power delivery. First, a representative scenario set is used to characterize forecast uncertainties of the wind and PV power. Then, a multi-objective optimal generation scheduling model with consideration of the operational risks of electricity curtailment and power shortage is proposed. Finally, a two-layer nested optimization framework is designed to derive the system’s generation schedule. The clean energy base in the upper Yellow River basin, China was selected as a case study. The results show that: (1) forecast uncertainties of wind and PV power are more likely to induce power shortage risk in summer and autumn, but to induce electricity curtailment risk in spring and winter; (2) without using extra constraint handling strategies, the proposed approach could directly yield a stair-shaped power delivery curve, which is good for long-distance power transmission applications; and (3) compared with a traditional method without considering the operational risks, the proposed generation scheduling approach could significantly reduce the comprehensive risk rate by 65% on average, while the cascade hydropower production and peak shaving performance are satisfactory. Therefore, the proposed approach is effective in guiding the day-ahead generation scheduling of the HWPCSs that contain cascade hydropower plants.","call-number":"1","container-title":"Applied Energy","DOI":"10.1016/j.apenergy.2021.118467","ISSN":"03062619","journalAbbreviation":"Applied Energy","language":"en","page":"118467","source":"11.2","title":"Risk-averse day-ahead generation scheduling of hydro–wind–photovoltaic complementary systems considering the steady requirement of power delivery","volume":"309","author":[{"family":"Guo","given":"Yi"},{"family":"Ming","given":"Bo"},{"family":"Huang","given":"Qiang"},{"family":"Wang","given":"Yimin"},{"family":"Zheng","given":"Xudong"},{"family":"Zhang","given":"Wei"}],"issued":{"date-parts":[["2022",3]]}}},{"id":992,"uris":["http://zotero.org/users/13172592/items/RBW6SKQ8"],"itemData":{"id":992,"type":"article-journal","abstract":"Cascade hydropower producers face two stages of risk when participating in medium and long-term market transactions: transaction risk during the bidding stage; and the operational risk during the scheduling and operation stage due to the uncertainty of runoff and market-clearing prices. Therefore, how to measure the above risks and make corresponding decisions has become an urgent problem for producers.This paper combines the real market structure and rules of a certain hydropower dominated market in Southwest China, and establishes a mid-term operation and trading decision-making method based on the Joint Information Gap Decision Theory (IGDT) and Prospect Theory. To address the main uncertainty variables that producers face in participating in transactions, this paper obtains the maximum fluctuation range of variables that satisfy the expected revenue in a robust model based on IGDT. Then, using Prospect Theory, a bidding strategy model that takes into account the psychological factors of producers is constructed within this range.To solve the nonlinear programming problem and address the accuracy issues caused by curve fitting during the solution process, a nonlinear programming combined with an improved stepwise optimization hybrid algorithm is employed.Using actual data from a hydropower grid in southwest China participating in the market as an example. The results indicate that the method provides the fluctuation range of runoff and market prices under different expected return targets, and can formulate reasonable bidding decisions and operation plans based on producers different risk preferences within this range.","call-number":"4","container-title":"Frontiers in Energy Research","DOI":"10.3389/fenrg.2023.1252624","ISSN":"2296-598X","journalAbbreviation":"Front. Energy Res.","language":"en","page":"1252624","source":"3.4","title":"Mid-term scheduling and trading decisions for cascade hydropower stations considering multiple variable uncertainties","volume":"11","author":[{"family":"Lu","given":"Jia"},{"family":"Liu","given":"Yaxin"},{"family":"Cao","given":"Hui"},{"family":"Xu","given":"Yang"},{"family":"Ma","given":"Haoyu"},{"family":"Zhang","given":"Zheng"},{"family":"Wang","given":"Tao"},{"family":"Yang","given":"Yuqi"}],"issued":{"date-parts":[["2023",10,13]]}}}],"schema":"https://github.com/citation-style-language/schema/raw/master/csl-citation.json"} </w:instrText>
      </w:r>
      <w:r>
        <w:fldChar w:fldCharType="separate"/>
      </w:r>
      <w:r w:rsidR="00E17813" w:rsidRPr="00E17813">
        <w:rPr>
          <w:rFonts w:cs="Times New Roman"/>
          <w:kern w:val="0"/>
          <w:vertAlign w:val="superscript"/>
        </w:rPr>
        <w:t>[51</w:t>
      </w:r>
      <w:r w:rsidR="00BA516A">
        <w:rPr>
          <w:rFonts w:cs="Times New Roman"/>
          <w:kern w:val="0"/>
          <w:vertAlign w:val="superscript"/>
        </w:rPr>
        <w:t>-</w:t>
      </w:r>
      <w:r w:rsidR="00E17813" w:rsidRPr="00E17813">
        <w:rPr>
          <w:rFonts w:cs="Times New Roman"/>
          <w:kern w:val="0"/>
          <w:vertAlign w:val="superscript"/>
        </w:rPr>
        <w:t>52]</w:t>
      </w:r>
      <w:r>
        <w:fldChar w:fldCharType="end"/>
      </w:r>
      <w:r w:rsidRPr="006B4AC8">
        <w:rPr>
          <w:rFonts w:hint="eastAsia"/>
        </w:rPr>
        <w:t>。</w:t>
      </w:r>
      <w:r>
        <w:rPr>
          <w:rFonts w:hint="eastAsia"/>
        </w:rPr>
        <w:t>例如，</w:t>
      </w:r>
      <w:r>
        <w:t>清洁能源基地开发</w:t>
      </w:r>
      <w:r>
        <w:rPr>
          <w:rFonts w:hint="eastAsia"/>
        </w:rPr>
        <w:t>往往面临复杂的地质条件，涉及更繁杂的设计、施工流程，也会产生更加庞大的工程数据</w:t>
      </w:r>
      <w:r>
        <w:fldChar w:fldCharType="begin"/>
      </w:r>
      <w:r w:rsidR="00EB7246">
        <w:instrText xml:space="preserve"> ADDIN ZOTERO_ITEM CSL_CITATION {"citationID":"KQyPEwn9","properties":{"formattedCitation":"\\super [34]\\nosupersub{}","plainCitation":"[34]","noteIndex":0},"citationItems":[{"id":684,"uris":["http://zotero.org/users/13172592/items/ZYN4KCDV"],"itemData":{"id":684,"type":"article-journal","abstract":"The intermittent characteristic of a solar-alone or a wind-alone power generation system prevents the standalone renewable energy system from being fully reliable without suitable energy storage capability. In this study, the most traditional and mature storage technology, pumped hydro storage (PHS), is introduced to support the standalone microgrid hybrid solar-wind system. This paper explores a new solution for the challenging task about energy storage. A mathematical model of the hybrid system is developed and the operating principle is introduced. The proposed system is applied in a case study to power a remote island in Hong Kong, and its technical feasibility is then examined. The hour-by-hour simulation results indicate that the intermittent nature of the renewables can be compensated by introducing the PHS technology. Therefore, a reliable and environmentally friendly power supply can be provided. The results demonstrate that technically the PHS based renewable energy system is an ideal solution to achieve 100% energy autonomy in remote communities.","call-number":"1","container-title":"Renewable Energy","DOI":"10.1016/j.renene.2014.03.028","ISSN":"09601481","journalAbbreviation":"Renewable Energy","language":"en","page":"7-15","source":"8.7","title":"Technical feasibility study on a standalone hybrid solar-wind system with pumped hydro storage for a remote island in Hong Kong","volume":"69","author":[{"family":"Ma","given":"Tao"},{"family":"Yang","given":"Hongxing"},{"family":"Lu","given":"Lin"},{"family":"Peng","given":"Jinqing"}],"issued":{"date-parts":[["2014",9]]}}}],"schema":"https://github.com/citation-style-language/schema/raw/master/csl-citation.json"} </w:instrText>
      </w:r>
      <w:r>
        <w:fldChar w:fldCharType="separate"/>
      </w:r>
      <w:r w:rsidR="00EB7246" w:rsidRPr="00EB7246">
        <w:rPr>
          <w:rFonts w:cs="Times New Roman"/>
          <w:kern w:val="0"/>
          <w:vertAlign w:val="superscript"/>
        </w:rPr>
        <w:t>[34]</w:t>
      </w:r>
      <w:r>
        <w:fldChar w:fldCharType="end"/>
      </w:r>
      <w:r>
        <w:rPr>
          <w:rFonts w:hint="eastAsia"/>
        </w:rPr>
        <w:t>。</w:t>
      </w:r>
      <w:r w:rsidRPr="006B4AC8">
        <w:rPr>
          <w:rFonts w:hint="eastAsia"/>
        </w:rPr>
        <w:t>构建一体化信息管理平台，能够有效集成项目群的数据</w:t>
      </w:r>
      <w:r>
        <w:fldChar w:fldCharType="begin"/>
      </w:r>
      <w:r w:rsidR="00EB7246">
        <w:instrText xml:space="preserve"> ADDIN ZOTERO_ITEM CSL_CITATION {"citationID":"a16eaercq5j","properties":{"formattedCitation":"\\super [41]\\nosupersub{}","plainCitation":"[41]","noteIndex":0},"citationItems":[{"id":3784,"uris":["http://zotero.org/users/13172592/items/LYITPWEF"],"itemData":{"id":3784,"type":"article-journal","abstract":"By focusing on a distributed energy system that has been widely diffused for efficient utilization of renewable energy generation in recent years, this paper investigates the relationship between productivity growth and information and communications technology capital in the energy sector. Information and communications technology is a key factor in operating distributed energy systems in a way that balances energy supply and demand in order to minimize energy loss and to enhance capacity utilization. The objective of this study is to clarify the determining factors that affect productivity growth, focusing on three different information and communications technologies: information technology capital, communication technology capital and software capital. Our estimation sample covers energy sectors in 14 countries from 2000 to 2014. The results show that information technology and software capital contribute to increasing material productivity and capital productivity in the energy sector, respectively. Meanwhile, communication technology capital negatively affects these two productivity indicators.","container-title":"Energies","DOI":"10.3390/en12091786","ISSN":"1996-1073","issue":"9","language":"en","license":"http://creativecommons.org/licenses/by/3.0/","note":"number: 9\npublisher: Multidisciplinary Digital Publishing Institute\nTLDR: The results show that information technology and software capital contribute to increasing material productivity and capital productivity in the energy sector, respectively, while communication technology capital negatively affects these two productivity indicators.","page":"1786","source":"3","title":"How does information and communication technology capital affect productivity in the energy sector? New evidence from 14 countries, considering the transition to renewable energy systems","title-short":"How does information and communication technology capital affect productivity in the energy sector?","volume":"12","author":[{"family":"Fujii","given":"Hidemichi"},{"family":"Shinozaki","given":"Akihiko"},{"family":"Kagawa","given":"Shigemi"},{"family":"Managi","given":"Shunsuke"}],"issued":{"date-parts":[["2019",1]]}}}],"schema":"https://github.com/citation-style-language/schema/raw/master/csl-citation.json"} </w:instrText>
      </w:r>
      <w:r>
        <w:fldChar w:fldCharType="separate"/>
      </w:r>
      <w:r w:rsidR="00EB7246" w:rsidRPr="00EB7246">
        <w:rPr>
          <w:rFonts w:cs="Times New Roman"/>
          <w:kern w:val="0"/>
          <w:vertAlign w:val="superscript"/>
        </w:rPr>
        <w:t>[41]</w:t>
      </w:r>
      <w:r>
        <w:fldChar w:fldCharType="end"/>
      </w:r>
      <w:r>
        <w:rPr>
          <w:rFonts w:hint="eastAsia"/>
        </w:rPr>
        <w:t>；也需建立配套的</w:t>
      </w:r>
      <w:r w:rsidRPr="006B4AC8">
        <w:rPr>
          <w:rFonts w:hint="eastAsia"/>
        </w:rPr>
        <w:t>数字化业务流程，</w:t>
      </w:r>
      <w:r>
        <w:rPr>
          <w:rFonts w:hint="eastAsia"/>
        </w:rPr>
        <w:t>以充分发挥信息技术的潜力</w:t>
      </w:r>
      <w:r>
        <w:fldChar w:fldCharType="begin"/>
      </w:r>
      <w:r w:rsidR="00EB7246">
        <w:instrText xml:space="preserve"> ADDIN ZOTERO_ITEM CSL_CITATION {"citationID":"a2mb8t24927","properties":{"formattedCitation":"\\super [42]\\nosupersub{}","plainCitation":"[42]","noteIndex":0},"citationItems":[{"id":3782,"uris":["http://zotero.org/users/13172592/items/ZSPGCAZW"],"itemData":{"id":3782,"type":"article-journal","abstract":"Renewable energy technology innovation (RETI) has become a key factor in mitigating climate change and promoting sustainable development of the world economy, but there is no literature on the effect of information and communication technology (ICT) on RETI and its impact mechanism. This paper measures RETI using panel data for 70 countries from 2005 to 2019 based on the combination of diffusion and depreciation effects of technological innovation and systematically examines the direct and mediating mechanisms of ICT's effect on RETI. The results show that ICT significantly contributes to RETI and even holds after addressing endogeneity, replacing the explanatory or explanatory variables, excluding extreme values, and excluding the effects of the financial crisis. The results of the transmission mechanism analysis indicate that ICT affects RETI through human capital accumulation, financial development, and information disclosure, meaning that human capital, financial development, and information disclosure are important mediating transmission mechanisms. The results of heterogeneity analysis note significant economic organizational heterogeneity and innovation environment heterogeneity of ICT to RETI. Specifically, in IEA and OECD member nations as well as in the high renewable energy consumption and high R&amp;D investment groups, the contribution effect of ICT on RETI is more significant.","call-number":"1","container-title":"Renewable Energy","DOI":"10.1016/j.renene.2022.10.015","ISSN":"0960-1481","journalAbbreviation":"Renewable Energy","language":"en","page":"546-557","source":"9","title":"How does information and communication technology affect renewable energy technology innovation? International evidence","title-short":"How does information and communication technology affect renewable energy technology innovation?","volume":"200","author":[{"family":"Lee","given":"Chien-Chiang"},{"family":"He","given":"Zhi-Wen"},{"family":"Xiao","given":"Fu"}],"issued":{"date-parts":[["2022",11,1]]}}}],"schema":"https://github.com/citation-style-language/schema/raw/master/csl-citation.json"} </w:instrText>
      </w:r>
      <w:r>
        <w:fldChar w:fldCharType="separate"/>
      </w:r>
      <w:r w:rsidR="00EB7246" w:rsidRPr="00EB7246">
        <w:rPr>
          <w:rFonts w:cs="Times New Roman"/>
          <w:kern w:val="0"/>
          <w:vertAlign w:val="superscript"/>
        </w:rPr>
        <w:t>[42]</w:t>
      </w:r>
      <w:r>
        <w:fldChar w:fldCharType="end"/>
      </w:r>
      <w:r w:rsidRPr="006B4AC8">
        <w:rPr>
          <w:rFonts w:hint="eastAsia"/>
        </w:rPr>
        <w:t>。</w:t>
      </w:r>
    </w:p>
    <w:p w14:paraId="39AF5227" w14:textId="6C68B426" w:rsidR="000132E7" w:rsidRDefault="000132E7" w:rsidP="000132E7">
      <w:pPr>
        <w:ind w:firstLine="420"/>
      </w:pPr>
      <w:r>
        <w:t>清洁能源基地</w:t>
      </w:r>
      <w:r w:rsidRPr="0093489A">
        <w:t>开发</w:t>
      </w:r>
      <w:r w:rsidRPr="0093489A">
        <w:rPr>
          <w:rFonts w:hint="eastAsia"/>
        </w:rPr>
        <w:t>也面临</w:t>
      </w:r>
      <w:r>
        <w:rPr>
          <w:rFonts w:hint="eastAsia"/>
        </w:rPr>
        <w:t>复杂</w:t>
      </w:r>
      <w:r w:rsidRPr="0093489A">
        <w:rPr>
          <w:rFonts w:hint="eastAsia"/>
        </w:rPr>
        <w:t>多变的自然、社会、经济与政策环境</w:t>
      </w:r>
      <w:r w:rsidRPr="0093489A">
        <w:fldChar w:fldCharType="begin"/>
      </w:r>
      <w:r w:rsidR="00E17813">
        <w:instrText xml:space="preserve"> ADDIN ZOTERO_ITEM CSL_CITATION {"citationID":"O3xt7wad","properties":{"formattedCitation":"\\super [49]\\nosupersub{}","plainCitation":"[49]","noteIndex":0},"citationItems":[{"id":3031,"uris":["http://zotero.org/users/13172592/items/2YQAPHEH"],"itemData":{"id":3031,"type":"article-journal","abstract":"Owed to their enormous impact on the sustainable development of energy security, climate change, and the economy, multiple renewable-energy projects are carried out around the world, both in developed and in developing countries. Since the construction of renewable energy project is an entrepreneurial activity, there is a big concern about the success of such projects. Although pertinent literature suggests several methodologies to enhance the success of various projects, renewable-energy projects are still overlooked. This study identifies multiple critical success factors (CSFs), required for renewable-energy projects. Using a sample of 272 firms working on renewable energy projects in Pakistan, a quantitative and causal study was undertaken to identify the critical success factors (CSFs). Structural equation modeling (SEM) was applied to test and verify hypothesis. The results show that there is a strong direct dependency of project success over the proposed factors, however environmental factors are found to be the only predominant CSFs which show the significant indirect effect on project success. The study expected to contribute towards and widen up the existing knowledge base for the project performance of renewable energy projects by adding on the findings regarding critical success factors.","call-number":"3","container-title":"Journal of Civil Engineering and Management","DOI":"10.3846/jcem.2018.1691","ISSN":"1392-3730, 1822-3605","issue":"3","language":"en","page":"223-237","source":"4.3","title":"Identifying the critical success factors and their relevant aspects for renewable energy projects: An empirical perspective","volume":"24","author":[{"family":"Maqbool","given":"Rashid"},{"family":"Rashid","given":"Yahya"},{"family":"Sultana","given":"Saira"},{"family":"Sudong","given":"Ye"}],"issued":{"date-parts":[["2018",5,28]]}}}],"schema":"https://github.com/citation-style-language/schema/raw/master/csl-citation.json"} </w:instrText>
      </w:r>
      <w:r w:rsidRPr="0093489A">
        <w:fldChar w:fldCharType="separate"/>
      </w:r>
      <w:r w:rsidR="00E17813" w:rsidRPr="00E17813">
        <w:rPr>
          <w:rFonts w:cs="Times New Roman"/>
          <w:kern w:val="0"/>
          <w:vertAlign w:val="superscript"/>
        </w:rPr>
        <w:t>[49]</w:t>
      </w:r>
      <w:r w:rsidRPr="0093489A">
        <w:fldChar w:fldCharType="end"/>
      </w:r>
      <w:r>
        <w:rPr>
          <w:rFonts w:hint="eastAsia"/>
        </w:rPr>
        <w:t>。</w:t>
      </w:r>
      <w:r>
        <w:t>其中，国家层面的财税补贴与政策支持对清洁能源项目的顺利实施及经济收益具有重要影响</w:t>
      </w:r>
      <w:r w:rsidRPr="00D95F17">
        <w:rPr>
          <w:highlight w:val="yellow"/>
        </w:rPr>
        <w:fldChar w:fldCharType="begin"/>
      </w:r>
      <w:r w:rsidR="00EB7246">
        <w:rPr>
          <w:highlight w:val="yellow"/>
        </w:rPr>
        <w:instrText xml:space="preserve"> ADDIN ZOTERO_ITEM CSL_CITATION {"citationID":"hGvTAddi","properties":{"formattedCitation":"\\super [4]\\nosupersub{}","plainCitation":"[4]","noteIndex":0},"citationItems":[{"id":3701,"uris":["http://zotero.org/users/13172592/items/DIB9DINA"],"itemData":{"id":3701,"type":"article-journal","abstract":"The future of electriﬁcation of Africa lies within off-grid generation via renewable energy (RE). Although many RE projects have started across the Sub-Sahara, especially public projects are seldom successful. This study engages directly (ethnographically) with the local communities beneﬁtting or expected to beneﬁt from the projects, the implementing organizations and government.","call-number":"1","container-title":"Renewable Energy","DOI":"10.1016/j.renene.2016.10.037","ISSN":"09601481","journalAbbreviation":"Renewable Energy","language":"en","page":"234-240","source":"9","title":"The empirical reality &amp; sustainable management failures of renewable energy projects in Sub-Saharan Africa (part 1 of 2)","volume":"102","author":[{"family":"Ikejemba","given":"Eugene C.X."},{"family":"Mpuan","given":"Peter B."},{"family":"Schuur","given":"Peter C."},{"family":"Van Hillegersberg","given":"Jos"}],"issued":{"date-parts":[["2017",3]]}}}],"schema":"https://github.com/citation-style-language/schema/raw/master/csl-citation.json"} </w:instrText>
      </w:r>
      <w:r w:rsidRPr="00D95F17">
        <w:rPr>
          <w:highlight w:val="yellow"/>
        </w:rPr>
        <w:fldChar w:fldCharType="separate"/>
      </w:r>
      <w:r w:rsidR="00EB7246" w:rsidRPr="00EB7246">
        <w:rPr>
          <w:rFonts w:cs="Times New Roman"/>
          <w:kern w:val="0"/>
          <w:vertAlign w:val="superscript"/>
        </w:rPr>
        <w:t>[4]</w:t>
      </w:r>
      <w:r w:rsidRPr="00D95F17">
        <w:rPr>
          <w:highlight w:val="yellow"/>
        </w:rPr>
        <w:fldChar w:fldCharType="end"/>
      </w:r>
      <w:r>
        <w:rPr>
          <w:rFonts w:hint="eastAsia"/>
        </w:rPr>
        <w:t>。</w:t>
      </w:r>
      <w:r>
        <w:t>业主</w:t>
      </w:r>
      <w:r w:rsidRPr="00AA25BC">
        <w:rPr>
          <w:rFonts w:hint="eastAsia"/>
        </w:rPr>
        <w:t>需保持对政策法规变动、市场需求</w:t>
      </w:r>
      <w:r>
        <w:rPr>
          <w:rFonts w:hint="eastAsia"/>
        </w:rPr>
        <w:t>波动</w:t>
      </w:r>
      <w:r w:rsidRPr="00AA25BC">
        <w:rPr>
          <w:rFonts w:hint="eastAsia"/>
        </w:rPr>
        <w:t>以及自然环境变化的敏锐感知</w:t>
      </w:r>
      <w:r>
        <w:rPr>
          <w:rFonts w:hint="eastAsia"/>
        </w:rPr>
        <w:t>，</w:t>
      </w:r>
      <w:r>
        <w:t>并通过优化资源配置，及时应对潜在风险与挑战</w:t>
      </w:r>
      <w:r>
        <w:rPr>
          <w:rFonts w:hint="eastAsia"/>
        </w:rPr>
        <w:t>。</w:t>
      </w:r>
      <w:r>
        <w:t>同时，业主应建立知识管理</w:t>
      </w:r>
      <w:r>
        <w:rPr>
          <w:rFonts w:hint="eastAsia"/>
        </w:rPr>
        <w:t>体系</w:t>
      </w:r>
      <w:r>
        <w:t>，总结并吸收过往经验，不断提升管理能力</w:t>
      </w:r>
      <w:r>
        <w:rPr>
          <w:rFonts w:hint="eastAsia"/>
        </w:rPr>
        <w:t>，快速适应环境变化</w:t>
      </w:r>
      <w:r w:rsidRPr="0093489A">
        <w:fldChar w:fldCharType="begin"/>
      </w:r>
      <w:r w:rsidR="00E17813">
        <w:instrText xml:space="preserve"> ADDIN ZOTERO_ITEM CSL_CITATION {"citationID":"myIg1KkA","properties":{"formattedCitation":"\\super [53]\\nosupersub{}","plainCitation":"[53]","noteIndex":0},"citationItems":[{"id":3803,"uris":["http://zotero.org/users/13172592/items/YTLSDMGW"],"itemData"</w:instrText>
      </w:r>
      <w:r w:rsidR="00E17813">
        <w:rPr>
          <w:rFonts w:hint="eastAsia"/>
        </w:rPr>
        <w:instrText>:{"id":3803,"type":"thesis","event-place":"</w:instrText>
      </w:r>
      <w:r w:rsidR="00E17813">
        <w:rPr>
          <w:rFonts w:hint="eastAsia"/>
        </w:rPr>
        <w:instrText>北京</w:instrText>
      </w:r>
      <w:r w:rsidR="00E17813">
        <w:rPr>
          <w:rFonts w:hint="eastAsia"/>
        </w:rPr>
        <w:instrText>","publisher":"</w:instrText>
      </w:r>
      <w:r w:rsidR="00E17813">
        <w:rPr>
          <w:rFonts w:hint="eastAsia"/>
        </w:rPr>
        <w:instrText>清华大学</w:instrText>
      </w:r>
      <w:r w:rsidR="00E17813">
        <w:rPr>
          <w:rFonts w:hint="eastAsia"/>
        </w:rPr>
        <w:instrText>","publisher-place":"</w:instrText>
      </w:r>
      <w:r w:rsidR="00E17813">
        <w:rPr>
          <w:rFonts w:hint="eastAsia"/>
        </w:rPr>
        <w:instrText>北京</w:instrText>
      </w:r>
      <w:r w:rsidR="00E17813">
        <w:rPr>
          <w:rFonts w:hint="eastAsia"/>
        </w:rPr>
        <w:instrText>","title":"</w:instrText>
      </w:r>
      <w:r w:rsidR="00E17813">
        <w:rPr>
          <w:rFonts w:hint="eastAsia"/>
        </w:rPr>
        <w:instrText>价值共创视角下水利水电工程设计管理研究</w:instrText>
      </w:r>
      <w:r w:rsidR="00E17813">
        <w:rPr>
          <w:rFonts w:hint="eastAsia"/>
        </w:rPr>
        <w:instrText>","author":[{"family":"</w:instrText>
      </w:r>
      <w:r w:rsidR="00E17813">
        <w:rPr>
          <w:rFonts w:hint="eastAsia"/>
        </w:rPr>
        <w:instrText>刘</w:instrText>
      </w:r>
      <w:r w:rsidR="00E17813">
        <w:rPr>
          <w:rFonts w:hint="eastAsia"/>
        </w:rPr>
        <w:instrText>","given":"</w:instrText>
      </w:r>
      <w:r w:rsidR="00E17813">
        <w:rPr>
          <w:rFonts w:hint="eastAsia"/>
        </w:rPr>
        <w:instrText>扬</w:instrText>
      </w:r>
      <w:r w:rsidR="00E17813">
        <w:rPr>
          <w:rFonts w:hint="eastAsia"/>
        </w:rPr>
        <w:instrText>"}],"issued":{"date-parts":[["2023"]]}}}],"schema":"https://github.com/citation-style-language/schema/</w:instrText>
      </w:r>
      <w:r w:rsidR="00E17813">
        <w:instrText xml:space="preserve">raw/master/csl-citation.json"} </w:instrText>
      </w:r>
      <w:r w:rsidRPr="0093489A">
        <w:fldChar w:fldCharType="separate"/>
      </w:r>
      <w:r w:rsidR="00E17813" w:rsidRPr="00E17813">
        <w:rPr>
          <w:rFonts w:cs="Times New Roman"/>
          <w:kern w:val="0"/>
          <w:vertAlign w:val="superscript"/>
        </w:rPr>
        <w:t>[53]</w:t>
      </w:r>
      <w:r w:rsidRPr="0093489A">
        <w:fldChar w:fldCharType="end"/>
      </w:r>
      <w:r>
        <w:rPr>
          <w:rFonts w:hint="eastAsia"/>
        </w:rPr>
        <w:t>。</w:t>
      </w:r>
    </w:p>
    <w:p w14:paraId="47029939" w14:textId="6EDC2D9E" w:rsidR="000132E7" w:rsidRPr="000132E7" w:rsidRDefault="000132E7" w:rsidP="00BC1DF7">
      <w:pPr>
        <w:ind w:firstLine="420"/>
      </w:pPr>
      <w:r>
        <w:rPr>
          <w:rFonts w:hint="eastAsia"/>
        </w:rPr>
        <w:t>在适应外部环境变化的同时，业主也需联合利益相关各方进一步实现技术与管理层面的优化与创</w:t>
      </w:r>
      <w:r>
        <w:rPr>
          <w:rFonts w:hint="eastAsia"/>
        </w:rPr>
        <w:t>新</w:t>
      </w:r>
      <w:r>
        <w:fldChar w:fldCharType="begin"/>
      </w:r>
      <w:r w:rsidR="00E17813">
        <w:instrText xml:space="preserve"> ADDIN ZOTERO_ITEM CSL_CITATION {"citationID":"a26rnqc5d5a","properties":{"formattedCitation":"\\super [54]\\nosupersub{}","plainCitation":"[54]","noteIndex":0},"citationItems":[{"id":2996,"uris":["http://zotero.org/users/13172592/items/9VHB8M2S"],"itemDa</w:instrText>
      </w:r>
      <w:r w:rsidR="00E17813">
        <w:rPr>
          <w:rFonts w:hint="eastAsia"/>
        </w:rPr>
        <w:instrText>ta":{"id":2996,"type":"thesis","event-place":"</w:instrText>
      </w:r>
      <w:r w:rsidR="00E17813">
        <w:rPr>
          <w:rFonts w:hint="eastAsia"/>
        </w:rPr>
        <w:instrText>北京</w:instrText>
      </w:r>
      <w:r w:rsidR="00E17813">
        <w:rPr>
          <w:rFonts w:hint="eastAsia"/>
        </w:rPr>
        <w:instrText>","language":"en-US","publisher":"</w:instrText>
      </w:r>
      <w:r w:rsidR="00E17813">
        <w:rPr>
          <w:rFonts w:hint="eastAsia"/>
        </w:rPr>
        <w:instrText>清华大学</w:instrText>
      </w:r>
      <w:r w:rsidR="00E17813">
        <w:rPr>
          <w:rFonts w:hint="eastAsia"/>
        </w:rPr>
        <w:instrText>","publisher-place":"</w:instrText>
      </w:r>
      <w:r w:rsidR="00E17813">
        <w:rPr>
          <w:rFonts w:hint="eastAsia"/>
        </w:rPr>
        <w:instrText>北京</w:instrText>
      </w:r>
      <w:r w:rsidR="00E17813">
        <w:rPr>
          <w:rFonts w:hint="eastAsia"/>
        </w:rPr>
        <w:instrText>","title":"</w:instrText>
      </w:r>
      <w:r w:rsidR="00E17813">
        <w:rPr>
          <w:rFonts w:hint="eastAsia"/>
        </w:rPr>
        <w:instrText>清洁能源工程科技创新机理研究</w:instrText>
      </w:r>
      <w:r w:rsidR="00E17813">
        <w:rPr>
          <w:rFonts w:hint="eastAsia"/>
        </w:rPr>
        <w:instrText>","author":[{"family":"</w:instrText>
      </w:r>
      <w:r w:rsidR="00E17813">
        <w:rPr>
          <w:rFonts w:hint="eastAsia"/>
        </w:rPr>
        <w:instrText>张亚坤</w:instrText>
      </w:r>
      <w:r w:rsidR="00E17813">
        <w:rPr>
          <w:rFonts w:hint="eastAsia"/>
        </w:rPr>
        <w:instrText>","given":""}],"issued":{"date-parts":[["2024"]]}}}],"schema":"https://github.com/citation-styl</w:instrText>
      </w:r>
      <w:r w:rsidR="00E17813">
        <w:instrText xml:space="preserve">e-language/schema/raw/master/csl-citation.json"} </w:instrText>
      </w:r>
      <w:r>
        <w:fldChar w:fldCharType="separate"/>
      </w:r>
      <w:r w:rsidR="00E17813" w:rsidRPr="00E17813">
        <w:rPr>
          <w:rFonts w:cs="Times New Roman"/>
          <w:kern w:val="0"/>
          <w:vertAlign w:val="superscript"/>
        </w:rPr>
        <w:t>[54]</w:t>
      </w:r>
      <w:r>
        <w:fldChar w:fldCharType="end"/>
      </w:r>
      <w:r>
        <w:rPr>
          <w:rFonts w:hint="eastAsia"/>
        </w:rPr>
        <w:t>。技术层面，应</w:t>
      </w:r>
      <w:r>
        <w:t>密切关注前沿技术发展，及时应用新技术、新工艺、新材料，</w:t>
      </w:r>
      <w:r>
        <w:rPr>
          <w:rFonts w:hint="eastAsia"/>
        </w:rPr>
        <w:t>以</w:t>
      </w:r>
      <w:r>
        <w:t>提升清洁能源基地</w:t>
      </w:r>
      <w:r w:rsidRPr="0093489A">
        <w:t>开发</w:t>
      </w:r>
      <w:r>
        <w:rPr>
          <w:rFonts w:hint="eastAsia"/>
        </w:rPr>
        <w:t>的</w:t>
      </w:r>
      <w:r>
        <w:t>技术水平</w:t>
      </w:r>
      <w:r w:rsidRPr="0093489A">
        <w:fldChar w:fldCharType="begin"/>
      </w:r>
      <w:r w:rsidR="00E17813">
        <w:instrText xml:space="preserve"> ADDIN ZOTERO_ITEM CSL_CITATION {"citationID":"sEMJXiGu","properties":{"formattedCitation":"\\super [55]\\nosupersub{}","plainCitation":"[55]","noteIndex":0},"citationItems":[{"id":2358,"uris":["http://zotero.org/users/13172592/items/E9Z93RH2"],"itemData":{"id":2358,"type":"article-journal","call-number":"4","container-title":"Journal of Asian Architecture and Building Engineering","DOI":"10.1080/13467581.2024.2329357","ISSN":"1346-7581, 1347-2852","journalAbbreviation":"Journal of Asian Architecture and Building Engineering","language":"en","page":"1-16","source":"1.3","title":"Effect of resource integration on organizational resilience of megaprojects: Role of dynamic capability and resource availability","title-short":"Effect of resource integration on organizational resilience of megaprojects","author":[{"family":"Wang","given":"Dedong"},{"family":"Zhao","given":"Xiaoru"}],"issued":{"date-parts":[["2024",3,17]]}}}],"schema":"https://github.com/citation-style-language/schema/raw/master/csl-citation.json"} </w:instrText>
      </w:r>
      <w:r w:rsidRPr="0093489A">
        <w:fldChar w:fldCharType="separate"/>
      </w:r>
      <w:r w:rsidR="00E17813" w:rsidRPr="00E17813">
        <w:rPr>
          <w:rFonts w:cs="Times New Roman"/>
          <w:kern w:val="0"/>
          <w:vertAlign w:val="superscript"/>
        </w:rPr>
        <w:t>[55]</w:t>
      </w:r>
      <w:r w:rsidRPr="0093489A">
        <w:fldChar w:fldCharType="end"/>
      </w:r>
      <w:r>
        <w:t>。</w:t>
      </w:r>
      <w:r>
        <w:rPr>
          <w:rFonts w:hint="eastAsia"/>
        </w:rPr>
        <w:t>管理层面，则应重视风险管理，及时辨识潜在风险因素，以更好地应对项目开发的不确定性；也需明确</w:t>
      </w:r>
      <w:r>
        <w:t>利益相关方协作机制，</w:t>
      </w:r>
      <w:r>
        <w:rPr>
          <w:rFonts w:hint="eastAsia"/>
        </w:rPr>
        <w:t>积极</w:t>
      </w:r>
      <w:r>
        <w:t>引入外部知识</w:t>
      </w:r>
      <w:r>
        <w:rPr>
          <w:rFonts w:hint="eastAsia"/>
        </w:rPr>
        <w:t>，以</w:t>
      </w:r>
      <w:r>
        <w:t>不断</w:t>
      </w:r>
      <w:r>
        <w:rPr>
          <w:rFonts w:hint="eastAsia"/>
        </w:rPr>
        <w:t>优化</w:t>
      </w:r>
      <w:r>
        <w:t>管理流程</w:t>
      </w:r>
      <w:r>
        <w:fldChar w:fldCharType="begin"/>
      </w:r>
      <w:r w:rsidR="00E17813">
        <w:instrText xml:space="preserve"> ADDIN ZOTERO_ITEM CSL_CITATION {"citationID":"a3fjlpcpv","properties":{"formattedCitation":"\\super [56,57]\\nosupersub{}","plainCitation":"[56,57]","noteIndex":0},"citationItems":[{"id":3707,"uris":["http://zotero.org/users/13172592/items/8BFVII23"],"itemData":{"id":3707,"type":"article-journal","abstract":"There is a rapidly increasing demand for hydropower in China. However, little research has been conducted to systematically investigate the overall aspects of hydropower development risks. With support of the data collected from a fieldwork survey, this study reports the multiple facets of hydropower development risks in China as perceived by main project participants. All groups have a common view on the criticality of safety, and the groups also have their own priorities, i.e., resettlement of migrants, incompetence of subcontractors, project delay, inadequate or incorrect design, premature failure of facilities and ecological and environmental impacts are the key risks to clients, whereas quality of work, financial related risks, reputation, and claims and disputes are the main concerns to contractors. A case study of Three Gorges Project further demonstrates that, hydropower development risks can be effectively managed by encouraging joint efforts of all participants to achieve the goals on producing renewable energy, reducing emissions of CO2, and providing important social/economical benefits. Future hydropower development should emphasize the interactions between project delivery, environmental, and economical processes to reach appropriate trade-offs among involving stakeholders, by adequately considering the inter-relations between project participants' risks as well as hydropower project's externalities on a broad view.","call-number":"1","container-title":"Energy","DOI":"10.1016/j.energy.2013.08.034","ISSN":"0360-5442","journalAbbreviation":"Energy","language":"en","page":"316-324","source":"9","title":"Risk management of hydropower development in China","volume":"60","author":[{"family":"Tang","given":"Wenzhe"},{"family":"Li","given":"Zhuoyu"},{"family":"Qiang","given":"Maoshan"},{"family":"Wang","given":"Shuli"},{"family":"Lu","given":"Youmei"}],"issued":{"date-parts":[["2013",10,1]]}}},{"id":3718,"uris":["http://zotero.org/users/13172592/items/F3U4KHM8"],"itemData":{"id":3718,"type":"article-journal","abstract":"The construction phase of onshore wind farm projects involves different types of risks that hinder their development. This study aims to identify and assess risk factors that affect the construction of onshore wind farm projects and rank them based on their severity as assessed from the Canadian perspective. Thirty risk factors were collected through an extensive literature review. Then, experts were asked to subjectively evaluate the probability and impact of each factor on project cost, time, quality, and safety. The fuzzy technique for order of preference by similarity to ideal solution (fuzzy TOPSIS) and the fuzzy analytic hierarchy process (fuzzy AHP) were used to rank these risk factors based on their severity. The closeness coefficient (CC) indicated that a lack of management expertise, a shortage of resources required for project delivery, adverse weather, material damage during construction, and failure to keep up with recent innovative technology are the most severe risks affecting onshore wind farm projects in Canada with CC values of 0.9710, 0.9642, 0.9635, 0.9575, and 0.9450, respectively. The findings of this study support the decision making of investors and contractors who work in the Canadian wind energy industry by highlighting the critical risk factors. Moreover, this study is beneficial for decision makers in other jurisdictions since a review and a list of risk factors that affect the construction of onshore wind projects are provided herein.","container-title":"Renewable and Sustainable Energy Reviews","DOI":"10.1016/j.rser.2023.114145","ISSN":"1364-0321","journalAbbreviation":"Renewable and Sustainable Energy Reviews","language":"en","page":"114145","source":"ScienceDirect","title":"Risk assessment for onshore wind projects in Canada","volume":"191","author":[{"family":"Mohamed","given":"Emad"},{"family":"Seresht","given":"Nima Gerami"},{"family":"Jafari","given":"Parinaz"},{"family":"AbouRizk","given":"Simaan"}],"issued":{"date-parts":[["2024",3,1]]}}}],"schema":"https://github.com/citation-style-language/schema/raw/master/csl-citation.json"} </w:instrText>
      </w:r>
      <w:r>
        <w:fldChar w:fldCharType="separate"/>
      </w:r>
      <w:r w:rsidR="00E17813" w:rsidRPr="00E17813">
        <w:rPr>
          <w:rFonts w:cs="Times New Roman"/>
          <w:kern w:val="0"/>
          <w:vertAlign w:val="superscript"/>
        </w:rPr>
        <w:t>[56</w:t>
      </w:r>
      <w:r w:rsidR="00BA516A">
        <w:rPr>
          <w:rFonts w:cs="Times New Roman"/>
          <w:kern w:val="0"/>
          <w:vertAlign w:val="superscript"/>
        </w:rPr>
        <w:t>-</w:t>
      </w:r>
      <w:r w:rsidR="00E17813" w:rsidRPr="00E17813">
        <w:rPr>
          <w:rFonts w:cs="Times New Roman"/>
          <w:kern w:val="0"/>
          <w:vertAlign w:val="superscript"/>
        </w:rPr>
        <w:t>57]</w:t>
      </w:r>
      <w:r>
        <w:fldChar w:fldCharType="end"/>
      </w:r>
      <w:r>
        <w:rPr>
          <w:rFonts w:hint="eastAsia"/>
        </w:rPr>
        <w:t>。</w:t>
      </w:r>
    </w:p>
    <w:p w14:paraId="2291751B" w14:textId="47DCC981" w:rsidR="00BC1DF7" w:rsidRDefault="000132E7" w:rsidP="00873BC4">
      <w:pPr>
        <w:pStyle w:val="3"/>
      </w:pPr>
      <w:bookmarkStart w:id="0" w:name="_Toc198492772"/>
      <w:r>
        <w:rPr>
          <w:rFonts w:hint="eastAsia"/>
        </w:rPr>
        <w:t>管理制度</w:t>
      </w:r>
      <w:bookmarkEnd w:id="0"/>
    </w:p>
    <w:p w14:paraId="239D2261" w14:textId="3A6B60F8" w:rsidR="000132E7" w:rsidRDefault="000132E7" w:rsidP="000132E7">
      <w:pPr>
        <w:ind w:firstLine="420"/>
      </w:pPr>
      <w:r>
        <w:rPr>
          <w:rFonts w:hint="eastAsia"/>
        </w:rPr>
        <w:t>项目管理制度旨在明确利益相关方责权分配，规范项目开发与管理流程，并制定考核与激励机制，以提升项目管理效率</w:t>
      </w:r>
      <w:r w:rsidRPr="004924D6">
        <w:fldChar w:fldCharType="begin"/>
      </w:r>
      <w:r w:rsidR="00E17813">
        <w:instrText xml:space="preserve"> ADDIN ZOTERO_ITEM CSL_CITATION {"citationID":"K2z44r88","properties":{"formattedCitation":"\\super [58,59]\\nosupersub{}","plainCitation":"[58,59]","noteIndex":0},"citationItems":[{"id":3641,"uris":["http://zotero.org/users/13172592/items/E8ZZWK6Q"],"itemData":{"id":3641,"type":"article-journal","abstract":"Public infrastructure projects must comply with the divergent and even conflicting demands of multiple institutional logics causing institutional complexity. Despite the increasing interest in different forms of complexities in projects, we lack empirical illustrations and rigorous theorizing of mechanisms for responding to institutional complexity. This paper demonstrates how public buyers of a tunnel construction project formed a hybrid organization of a multi-party project alliance to respond to institutional complexity. We delineate a process of temporary hybridization through which the competing logics of a bureaucratic state, corporate market, and multiple professions were combined within the temporary project alliance organization. Such temporary hybridization not only focused on selective coupling with external demands but also mitigated internal tensions. Our findings emphasize a blended organizational structure, jointly formed governance and incentive systems, and the facilitation of social interaction to build a temporary yet sustainable hybrid organization capable of combining conflicting institutional logics.","call-number":"1","collection-title":"Projects, Organizations and Institutions","container-title":"International Journal of Project Management","DOI":"10.1016/j.ijproman.2018.07.004","ISSN":"0263-7863","issue":"2","journalAbbreviation":"International Journal of Project Management","language":"en","page":"298-317","source":"7.4","title":"Politics, public servants, and profits: Institutional complexity and temporary hybridization in a public infrastructure alliance project","title-short":"Politics, public servants, and profits","volume":"37","author":[{"family":"Matinheikki","given":"Juri"},{"family":"Aaltonen","given":"Kirsi"},{"family":"Walker","given":"Derek"}],"issued":{"date-parts":[["2019",2,1]]}}},{"id":3643,"uris":["http://zotero.org/users/13172592/items/4AWXSLXW"],"itemData":{"id":3643,"type":"article-journal","abstract":"Understanding the drivers of low-carbon practices in green supply chain management in the construction industry is essential because it largely addresses the major problem of global warming due to carbon dioxide emissions. The purpose of this study is to investigate key drivers of low-carbon practices in green supply chain management in construction industry. Based on institutional theory, relational view theory, and self-determination theory, three drivers for low-carbon practices were identified, namely, environmental regulation, supply chain relationship, and organizational culture. Then a questionnaire was administered and data were collected from the owners, contractors, designers, and other relevant parties of the construction project. Partial least squares structural equation modeling was used to analyze data. The results show that supply chain relationship and organizational culture are positively and directly correlated with the low-carbon practices level of green supply chain management. In addition, this study also found that organizational culture partially mediates the relationship between supply chain relationship and low-carbon practices. Contrary to expectations, environmental regulation has no direct effect on practices, while supply chain relationship and organizational culture fully mediate the relationship between environmental regulation and practices. As limited research has been conducted to examine the drivers for green supply chain management low-carbon practices in the construction industry, this study bridges the knowledge gap and contributes to the current knowledge system of green supply chain management. Additionally, the findings of this study can provide authorities and practitioners with a deeper understanding of low-carbon practices in green supply chain management, and helping to propose more feasible measures to reduce carbon dioxide emissions and improve environmental performance.","call-number":"1","container-title":"Journal of Cleaner Production","DOI":"10.1016/j.jclepro.2023.139497","ISSN":"0959-6526","journalAbbreviation":"Journal of Cleaner Production","language":"en","page":"139497","source":"9.7","title":"Drivers of low-carbon practices in green supply chain management in construction industry: An empirical study in China","title-short":"Drivers of low-carbon practices in green supply chain management in construction industry","volume":"428","author":[{"family":"Fu","given":"Chun"},{"family":"Liu","given":"Ya-Qi"},{"family":"Shan","given":"Ming"}],"issued":{"date-parts":[["2023",11,20]]}}}],"schema":"https://github.com/citation-style-language/schema/raw/master/csl-citation.json"} </w:instrText>
      </w:r>
      <w:r w:rsidRPr="004924D6">
        <w:fldChar w:fldCharType="separate"/>
      </w:r>
      <w:r w:rsidR="00E17813" w:rsidRPr="00E17813">
        <w:rPr>
          <w:rFonts w:cs="Times New Roman"/>
          <w:kern w:val="0"/>
          <w:vertAlign w:val="superscript"/>
        </w:rPr>
        <w:t>[58</w:t>
      </w:r>
      <w:r w:rsidR="00BA516A">
        <w:rPr>
          <w:rFonts w:cs="Times New Roman"/>
          <w:kern w:val="0"/>
          <w:vertAlign w:val="superscript"/>
        </w:rPr>
        <w:t>-</w:t>
      </w:r>
      <w:r w:rsidR="00E17813" w:rsidRPr="00E17813">
        <w:rPr>
          <w:rFonts w:cs="Times New Roman"/>
          <w:kern w:val="0"/>
          <w:vertAlign w:val="superscript"/>
        </w:rPr>
        <w:t>59]</w:t>
      </w:r>
      <w:r w:rsidRPr="004924D6">
        <w:fldChar w:fldCharType="end"/>
      </w:r>
      <w:r w:rsidRPr="004924D6">
        <w:rPr>
          <w:rFonts w:hint="eastAsia"/>
        </w:rPr>
        <w:t>。</w:t>
      </w:r>
      <w:r w:rsidRPr="00EB2D8E">
        <w:rPr>
          <w:rFonts w:hint="eastAsia"/>
        </w:rPr>
        <w:t>清洁能源基地开发需根据社会与政策环境建立适配的管理制度体系。</w:t>
      </w:r>
      <w:r>
        <w:rPr>
          <w:rFonts w:hint="eastAsia"/>
        </w:rPr>
        <w:t>适宜的项目开发环境能够降低清洁能源基地设计、施工、采购、运维各环节的实施难度，减少开发过程中的不确定性与风险水平，进而减少各环节管理制度制定的复杂度</w:t>
      </w:r>
      <w:r w:rsidRPr="00F00752">
        <w:fldChar w:fldCharType="begin"/>
      </w:r>
      <w:r w:rsidR="00EB7246">
        <w:instrText xml:space="preserve"> ADDIN ZOTERO_ITEM CSL_CITATION {"citationID":"trs93gTu","properties":{"formattedCitation":"\\super [3]\\nosupersub{}","plainCitation":"[3]","noteIndex":0},"citationItems":[{"id":3663,"uris":["http://zotero.org/users/13172592/items/KBFEHVJI"],"itemData":{"id":3663,"type":"article-journal","abstract":"Renewable energy is one of the most popular topics in utilization of the electric energy resources. There are various types of alternative energy, which can be used as electrical energy. However, the suitableness of the green energy in a certain country is depending on some criteria such as geographical location, the availability of energy and so on. In order to establish the renewable energy, a well-planned strategy and management must be acquired. The main objective of this paper is to analyse the causal relation of some important criteria of project planning and development of a wind energy project in Malaysia. By using a system dynamic approach, it is found that government policies, investment of renewable energy, energy demand, geographical location and fund management are the most important criteria that need to be considered among others. The diagram of causal relationship with reinforcing and balancing loop shows that the application of renewable energy in Malaysia is promising. In addition, the information of the criteria relationship is further investigated by using the stock flow diagram. From the diagram, the factors that affect project’s expenditure could be analysed. This is very important to a developing country where more budgets can be allocated for other facilities, cultures, infrastructure, science, and technology development. By utilise the renewable energy in Malaysia, the carbon dioxide emission can be reduced and contribution to a sustainable and long term alternative energy resources country.","container-title":"Renewable and Sustainable Energy Reviews","DOI":"10.1016/j.rser.2014.07.078","ISSN":"1364-0321","journalAbbreviation":"Renewable and Sustainable Energy Reviews","language":"en-US","page":"917-932","source":"ScienceDirect","title":"Renewable energy project: Project management, challenges and risk","title-short":"Renewable energy project","volume":"38","author":[{"family":"Goh","given":"H. H."},{"family":"Lee","given":"S. W."},{"family":"Chua","given":"Q. S."},{"family":"Goh","given":"K. C."},{"family":"Kok","given":"B. C."},{"family":"Teo","given":"K. T. K."}],"issued":{"date-parts":[["2014",10,1]]}}}],"schema":"https://github.com/citation-style-language/schema/raw/master/csl-citation.json"} </w:instrText>
      </w:r>
      <w:r w:rsidRPr="00F00752">
        <w:fldChar w:fldCharType="separate"/>
      </w:r>
      <w:r w:rsidR="00EB7246" w:rsidRPr="00EB7246">
        <w:rPr>
          <w:rFonts w:cs="Times New Roman"/>
          <w:kern w:val="0"/>
          <w:vertAlign w:val="superscript"/>
        </w:rPr>
        <w:t>[3]</w:t>
      </w:r>
      <w:r w:rsidRPr="00F00752">
        <w:fldChar w:fldCharType="end"/>
      </w:r>
      <w:r>
        <w:rPr>
          <w:rFonts w:hint="eastAsia"/>
        </w:rPr>
        <w:t>。完善且明确的清洁能源电力市场参与机制有助于清洁能源基地制定合理的运行机制，以建立多能互补系统，充分利用清洁能源</w:t>
      </w:r>
      <w:r>
        <w:fldChar w:fldCharType="begin"/>
      </w:r>
      <w:r w:rsidR="00E17813">
        <w:instrText xml:space="preserve"> ADDIN ZOTERO_ITEM CSL_CITATION {"citationID":"al4d3skci6","properties":{"formattedCitation":"\\super [60]\\nosupersub{}","plainCitation":"[60]","noteIndex":0},"citationItems":[{"id":2489,"uris":["http://zotero.org/users/13172592/items/RHTGFDIB"],"itemData":{"id":2489,"type":"article-journal","abstract":"To achieve the carbon-neutral goal set for 2060, China has promoted renewable energy development for more than two decades. Meanwhile, China's electricity market is undergoing a new round of reform by introducing more market-oriented mechanisms and changing the market structure. This paper investigates the impact of three electric utility market structures experimented with in China on promoting renewable energy through a simulation model. The three market structures are vertical monopoly, weak monopoly (separation of power generators and grids), and monopolistic competition (Cournot-Nash competition). The model is calibrated with the actual data of the regional utility network in Beijing, Tianjin, and Tangshan areas. The simulation results show that the electricity market structure plays a vital role in renewable electricity, and the competition among utilities tends to benefit renewable energy development (wind power here). The study's conclusions are helpful to our understanding of further reforms in the electric utility industry and the long-term clean energy target in China.","call-number":"1","container-title":"Renewable Energy","language":"en","page":"118911","source":"8.7","title":"Effect of market structure on renewable energy development—A simulation study of a regional electricity market in China","volume":"215","author":[{"family":"Zhao","given":"Xiaoli"},{"family":"Sun","given":"Chuyu"},{"family":"Zhong","given":"Zewei"},{"family":"Liu","given":"Suwei"},{"family":"Yang","given":"Zili"}],"issued":{"date-parts":[["2023",10,1]]}}}],"schema":"https://github.com/citation-style-language/schema/raw/master/csl-citation.json"} </w:instrText>
      </w:r>
      <w:r>
        <w:fldChar w:fldCharType="separate"/>
      </w:r>
      <w:r w:rsidR="00E17813" w:rsidRPr="00E17813">
        <w:rPr>
          <w:rFonts w:cs="Times New Roman"/>
          <w:kern w:val="0"/>
          <w:vertAlign w:val="superscript"/>
        </w:rPr>
        <w:t>[60]</w:t>
      </w:r>
      <w:r>
        <w:fldChar w:fldCharType="end"/>
      </w:r>
      <w:r>
        <w:rPr>
          <w:rFonts w:hint="eastAsia"/>
        </w:rPr>
        <w:t>。良好的征地移民、财税、输配电权政策，则能够为相关管理制度提供政府的</w:t>
      </w:r>
      <w:r w:rsidRPr="00722BCA">
        <w:rPr>
          <w:rFonts w:hint="eastAsia"/>
        </w:rPr>
        <w:t>规制性</w:t>
      </w:r>
      <w:r>
        <w:rPr>
          <w:rFonts w:hint="eastAsia"/>
        </w:rPr>
        <w:t>支撑，也为制定合理的激励机制、引入外部技术支持提供了物质基础</w:t>
      </w:r>
      <w:r w:rsidRPr="00F00752">
        <w:rPr>
          <w:highlight w:val="yellow"/>
        </w:rPr>
        <w:fldChar w:fldCharType="begin"/>
      </w:r>
      <w:r w:rsidR="00E17813">
        <w:rPr>
          <w:highlight w:val="yellow"/>
        </w:rPr>
        <w:instrText xml:space="preserve"> ADDIN ZOTERO_ITEM CSL_CITATION {"citationID":"9XrNfdbj","properties":{"formattedCitation":"\\super [61]\\nosupersub{}","plainCitation":"[61]","noteIndex":0},"citationItems":[{"id":3773,"uris":["http://zotero.org/users/13172592/items/8JFUZWNV"],"itemData":{"id":3773,"type":"article-journal","abstract":"Global awareness and commitment, in regards to climate change, access to water and renewable energy deployment has risen in the last decade. However, many countries are still locked in unsustainable practices, specifically in regards to energy, this results in damaging consequences not just for the country but the world. Case in point of the Dominican Republic (DR), an island with an immense renewable energy potential, a growing economy and the financial aid of many international entities. Regardless of all this, “the business as usual” decision for the energy strategies is based on fossil foil. As a result, thousands of people are still without energy, the infrastructure itself is unreliable, and the cost of fossil fuel is 6–8% of the country’s GDP. The country also suffers from blackouts, the expensive tariff and unstable energy grid. Therefore, this paper discusses and critically evaluates critical success factors (CSF) for implementing renewable energy strategies in the DR. For this purpose, an extensive literature review was done, along with 25 interviews with the key actors in the renewable energy market of the DR, that were analysed using content analysis and ISM method. These methods provided insight into 6 CSF. These CFS aid the stakeholder’s in the creation and growth of the RE market in the DR.","call-number":"1","container-title":"Renewable Energy","DOI":"10.1016/j.renene.2019.12.053","ISSN":"0960-1481","journalAbbreviation":"Renewable Energy","language":"en","page":"329-335","source":"9","title":"Evaluating critical success factors for implementing renewable energy strategies in the Dominican Republic","volume":"149","author":[{"family":"Donastorg","given":"Angelines"},{"family":"Renukappa","given":"Suresh"},{"family":"Suresh","given":"Subashini"}],"issued":{"date-parts":[["2020",4,1]]}}}],"schema":"https://github.com/citation-style-language/schema/raw/master/csl-citation.json"} </w:instrText>
      </w:r>
      <w:r w:rsidRPr="00F00752">
        <w:rPr>
          <w:highlight w:val="yellow"/>
        </w:rPr>
        <w:fldChar w:fldCharType="separate"/>
      </w:r>
      <w:r w:rsidR="00E17813" w:rsidRPr="00E17813">
        <w:rPr>
          <w:rFonts w:cs="Times New Roman"/>
          <w:kern w:val="0"/>
          <w:vertAlign w:val="superscript"/>
        </w:rPr>
        <w:t>[61]</w:t>
      </w:r>
      <w:r w:rsidRPr="00F00752">
        <w:rPr>
          <w:highlight w:val="yellow"/>
        </w:rPr>
        <w:fldChar w:fldCharType="end"/>
      </w:r>
      <w:r>
        <w:rPr>
          <w:rFonts w:hint="eastAsia"/>
        </w:rPr>
        <w:t>。基于此，提出假设</w:t>
      </w:r>
      <w:r>
        <w:rPr>
          <w:rFonts w:hint="eastAsia"/>
        </w:rPr>
        <w:t>1</w:t>
      </w:r>
      <w:r>
        <w:rPr>
          <w:rFonts w:hint="eastAsia"/>
        </w:rPr>
        <w:t>（</w:t>
      </w:r>
      <w:r>
        <w:rPr>
          <w:rFonts w:hint="eastAsia"/>
        </w:rPr>
        <w:t>H1</w:t>
      </w:r>
      <w:r>
        <w:rPr>
          <w:rFonts w:hint="eastAsia"/>
        </w:rPr>
        <w:t>）：</w:t>
      </w:r>
    </w:p>
    <w:p w14:paraId="0FC4B747" w14:textId="6063A2D5" w:rsidR="00BC1DF7" w:rsidRDefault="000132E7" w:rsidP="006D6E88">
      <w:pPr>
        <w:ind w:firstLine="422"/>
      </w:pPr>
      <w:r w:rsidRPr="000132E7">
        <w:rPr>
          <w:rFonts w:hint="eastAsia"/>
          <w:b/>
          <w:bCs/>
        </w:rPr>
        <w:t>H1</w:t>
      </w:r>
      <w:r w:rsidRPr="000132E7">
        <w:rPr>
          <w:rFonts w:hint="eastAsia"/>
          <w:b/>
          <w:bCs/>
        </w:rPr>
        <w:t>：</w:t>
      </w:r>
      <w:r w:rsidRPr="000132E7">
        <w:rPr>
          <w:rFonts w:hint="eastAsia"/>
        </w:rPr>
        <w:t>清洁能源基地适宜的外部条件能够提升管理制度建设水平。</w:t>
      </w:r>
    </w:p>
    <w:p w14:paraId="60611995" w14:textId="1ABFDBEA" w:rsidR="000132E7" w:rsidRDefault="000132E7" w:rsidP="000132E7">
      <w:pPr>
        <w:ind w:firstLine="420"/>
      </w:pPr>
      <w:r>
        <w:t>业主在</w:t>
      </w:r>
      <w:r>
        <w:rPr>
          <w:rFonts w:hint="eastAsia"/>
        </w:rPr>
        <w:t>清洁能源基地管理</w:t>
      </w:r>
      <w:r>
        <w:t>制度制定与执行过程中发挥关键作用</w:t>
      </w:r>
      <w:r>
        <w:fldChar w:fldCharType="begin"/>
      </w:r>
      <w:r w:rsidR="00E17813">
        <w:instrText xml:space="preserve"> ADDIN ZOTERO_ITEM CSL_CITATION {"citationID":"a1endudo2n5","properties":{"formattedCitation":"\\super [62,63]\\nosupersub{}","plainCitation":"[62,63]","noteIndex":0},"citationItems":[{"id":3118,"uris":["http://zotero.org/users/13172592/items/U72NFJ32"],"itemData":{"id":3118,"type":"article-journal","abstract":"External program manager involvement can provide professional and systematic management services to owners. It can help to manage and coordinate different subprojects and ensure the achievement of the overall strategic goals of large projects. The promotion of external program manager involvement is not only efficiency-driven, but the institutional environment also has a significant impact. This study developed a theoretical model to explain how external program manager involvement is influenced by external institutional forces (coercive, mimetic, and normative pressures) and internal top management support. Based on a questionnaire survey, this study tested the research model through partial least-squares structural equation modeling. The empirical results revealed that coercive pressures have no significant impact on external program manager involvement; owners’ top management support acts as a complete mediator between the mimetic pressures and external program manager involvement; normative pressures have the greatest impact on top management support and external program manager involvement, and top management support plays a key but partially mediating role. A direct contribution of this study is to reveal how different types of isomorphic pressures can be better exercised to facilitate the involvement of external program managers. Going further, by incorporating both external institutional pressures and internal top management support into the research model, this study provides insight into how organizations are influenced by external institutions to apply tools or approaches internally. DOI: 10.1061/(ASCE)CO.1943-7862.0002306. © 2022 American Society of Civil Engineers.","call-number":"2","container-title":"Journal of Construction Engineering and Management","DOI":"10.1061/(ASCE)CO.1943-7862.0002306","ISSN":"0733-9364, 1943-7862","issue":"9","journalAbbreviation":"J. Constr. Eng. Manage.","language":"en","page":"04022079","source":"4.1","title":"Impact of institutional pressures on external program manager involvement: Evidence from large projects in China","title-short":"Impact of institutional pressures on external program manager involvement","volume":"148","author":[{"family":"Liu","given":"Mingqiang"},{"family":"Zhu","given":"Yongsong"},{"family":"Wei","given":"Jianjun"},{"family":"Le","given":"Yun"},{"family":"Zhang","given":"Xinyue"}],"issued":{"date-parts":[["2022",9]]}}},{"id":3150,"uris":["http://zotero.org/users/13172592/items/7UCP48TP"],"itemData":{"id":3150,"type":"article-journal","abstract":"The characteristics of Mega construction projects bring great difficulties and challenges to project management, as in the aspects of complexity, uncertainty, integrated management, etc. Mega industrial construction is more difficult to managers. Traditional project management with even appropriate method and data can not meet mega construction projects, so with integrating projects objectives with strategic view, managers should design project organization on the basis of every project characteristics, establish good communication and cross-functional coordination mechanism, create unity and cooperation partnership culture in the project process. This paper has designed an owner organization of a mega industrial construction project according to relevant literature and determining factors of organization, and has also proposed that cross-functional and cross-professional coordination is key to continuous improvement and successful implementation of the organization.","call-number":"1","collection-title":"Complexities in Managing Mega Construction Projects","container-title":"International Journal of Project Management","DOI":"10.1016/j.ijproman.2011.04.005","ISSN":"0263-7863","issue":"7","journalAbbreviation":"International Journal of Project Management","language":"en","page":"828-833","source":"7.4","title":"Owner organization design for mega industrial construction projects","volume":"29","author":[{"family":"Sun","given":"Jide"},{"family":"Zhang","given":"Peiliang"}],"issued":{"date-parts":[["2011",10,1]]}}}],"schema":"https://github.com/citation-style-language/schema/raw/master/csl-citation.json"} </w:instrText>
      </w:r>
      <w:r>
        <w:fldChar w:fldCharType="separate"/>
      </w:r>
      <w:r w:rsidR="00E17813" w:rsidRPr="00E17813">
        <w:rPr>
          <w:rFonts w:cs="Times New Roman"/>
          <w:kern w:val="0"/>
          <w:vertAlign w:val="superscript"/>
        </w:rPr>
        <w:t>[62</w:t>
      </w:r>
      <w:r w:rsidR="00BA516A">
        <w:rPr>
          <w:rFonts w:cs="Times New Roman"/>
          <w:kern w:val="0"/>
          <w:vertAlign w:val="superscript"/>
        </w:rPr>
        <w:t>-</w:t>
      </w:r>
      <w:r w:rsidR="00E17813" w:rsidRPr="00E17813">
        <w:rPr>
          <w:rFonts w:cs="Times New Roman"/>
          <w:kern w:val="0"/>
          <w:vertAlign w:val="superscript"/>
        </w:rPr>
        <w:t>63]</w:t>
      </w:r>
      <w:r>
        <w:fldChar w:fldCharType="end"/>
      </w:r>
      <w:r>
        <w:rPr>
          <w:rFonts w:hint="eastAsia"/>
        </w:rPr>
        <w:t>。首先，业主的目标管理能力有助于明确各方需求以及项目开发的重难点，并制定更为合理的绩效考核指标与相应的激励机制</w:t>
      </w:r>
      <w:r>
        <w:fldChar w:fldCharType="begin"/>
      </w:r>
      <w:r w:rsidR="00E17813">
        <w:instrText xml:space="preserve"> ADDIN ZOTERO_ITEM CSL_CITATION {"citationID":"ahi1lutb18","properties":{"formattedCitation":"\\super [48,64]\\nosupersub{}","plainCitation":"[48,64]","noteIndex":0},"citationItems":[{"id":1738,"uris":["http://zotero.org/users/13172592/items/CUYPTB3R"],"itemData":{"id":1738,"type":"article-journal","abstract":"Project management, as a discipline in its traditional form, is insular, focusing on the deﬁnition, planning and execution of a speciﬁc objective. The growing use of projects to eﬀect signiﬁcant organisational change has led to a widespread interest in programme management. Programmes by grouping, directing and initiating new projects set the context for projects, yet they too are subject to external inﬂuences and developments. Emergent thinking on programme management best practice has focused on the internal context, namely the marshalling of projects and resources to achieve the desired strategic and/or synergy beneﬁts. Relatively neglected, though crucially important, is the need to shape, embed and align the programme to the evolving needs of the organisation. This paper argues that, where programmes provide a bridge between projects and the organisation’s strategy, programme management takes on many of the characteristics and competencies of strategic change management and organisational development. Programme directors and managers have fundamental roles as mediators’ moderators and manipulators of the external context and pressures. They must embrace and deal with the ambiguity, tensions and interplay between the need for concrete action and the strategic imperative of openness, options and speedy response. Drawing on a case study, the paper illustrates the challenges and development needs of project managers seeking to make the transition to programme management. The paper argues that newly appointed programme directors and managers are often unprepared for the challenges of continually shaping internal and external context, and frequently lacking the creativity, awareness and sensitivity such a role demands. # 2002 Elsevier Science Ltd and IPMA. All rights reserved.","call-number":"1","container-title":"International Journal of Project Management","DOI":"10.1016/S0263-7863(01)00073-4","ISSN":"02637863","issue":"3","journalAbbreviation":"International Journal of Project Management","language":"en","license":"https://www.elsevier.com/tdm/userlicense/1.0/","page":"229-233","source":"8","title":"Shaping context: The role and challenge for programmes","title-short":"Shaping context","volume":"20","author":[{"family":"Pellegrinelli","given":"Sergio"}],"issued":{"date-parts":[["2002",4]]}}},{"id":1851,"uris":["http://zotero.org/users/13172592/items/BJPXB6VR"],"itemData":{"id":1851,"type":"article-journal","abstract":"In recent years, the construction sector has been increasingly inclined toward using systematic program management approaches. Despite acknowledging the crucial impact of PgMO on program management success, the existing literature lacks sufﬁcient research on the areas where this ofﬁce can provide support for success in the construction sector. This article aims to identify the critical success factors and PgMO areas that contribute to program success in the construction sector. To address the research questions and goals, standardized interviews were conducted with 49 PgMO members from 14 organizations implementing construction programs. Based on the literature and statistical analysis, ten critical success factors (CSFs) for construction programs were identiﬁed. However, the signiﬁcance of these CSFs may vary depending on the context of the construction sector. Furthermore, statistical analysis revealed ﬁve areas where PgMO can support program success: maintaining program governance, program initiation, program planning and budgeting, stakeholder and relationship management, and requirements and knowledge management resulting from program implementation. Managers are advised to take action in all the identiﬁed areas of PgMO to increase the likelihood of achieving program success. They should also pay attention to weaker areas and strengthen them as part of best practices.","call-number":"3","container-title":"Buildings","DOI":"10.3390/buildings13051336","ISSN":"2075-5309","issue":"5","journalAbbreviation":"Buildings","language":"en","license":"https://creativecommons.org/licenses/by/4.0/","page":"1336","source":"3.8","title":"Factors and areas of PgMO supporting the success of the program management in the construction sector","volume":"13","author":[{"family":"Trzeciak","given":"Mateusz"}],"issued":{"date-parts":[["2023",5,20]]}}}],"schema":"https://github.com/citation-style-language/schema/raw/master/csl-citation.json"} </w:instrText>
      </w:r>
      <w:r>
        <w:fldChar w:fldCharType="separate"/>
      </w:r>
      <w:r w:rsidR="00E17813" w:rsidRPr="00E17813">
        <w:rPr>
          <w:rFonts w:cs="Times New Roman"/>
          <w:kern w:val="0"/>
          <w:vertAlign w:val="superscript"/>
        </w:rPr>
        <w:t>[48,64]</w:t>
      </w:r>
      <w:r>
        <w:fldChar w:fldCharType="end"/>
      </w:r>
      <w:r>
        <w:rPr>
          <w:rFonts w:hint="eastAsia"/>
        </w:rPr>
        <w:t>。其次，良好的组织协调能力能够帮助业主统筹管理多项目的同步开发，明确管理接口与业务衔接关系，从而</w:t>
      </w:r>
      <w:r>
        <w:t>针对各环节制定科学且适配的管理机制</w:t>
      </w:r>
      <w:r>
        <w:fldChar w:fldCharType="begin"/>
      </w:r>
      <w:r w:rsidR="00E17813">
        <w:instrText xml:space="preserve"> ADDIN ZOTERO_ITEM CSL_CITATION {"citationID":"a2o3vt638db","properties":{"formattedCitation":"\\super [47,65]\\nosupersub{}","plainCitation":"[47,65]","noteIndex":0},"citationItems":[{"id":3169,"uris":["http://zotero.org/users/13172592/items/M7I4LF4Y"],"itemData":{"id":3169,"type":"article-journal","abstract":"A great deal of literature has pointed to the importance of trust as a facilitator of positive relationships among project stakeholders. Trust is argued to enhance a variety of intra-organizational relationships, including project team dynamics, top management support, and coordination across functional departments. Likewise, trust is argued to improve the inter-organizational relationships among principal actors in project development, such as contractors, owners, and suppliers. This paper reports on the results of an empirical study that investigated the impact of trust between project owners and contractors in a number of large construction projects in Canada. We operationalized trust along the Hartman [Hartman FT. The role of trust in project management. In: Slevin DP, Cleland DI, Pinto JK, editors. The frontiers of project management research. Newtown Square, PA: Project Management Institute; 2002, p. 225–35] dimensions as incorporating both competence and integrity and compared the perspectives of project contractors and owners. Using regression and path analysis, we analyzed the diﬀerential eﬀects of competence and integrity trust on enhanced owner/contractor relationships and project success. Our ﬁndings indicate that trust has diﬀerent meanings for contractors and owners, as its impact on satisfaction with the relationship and positive project outcomes varies depending upon which group is surveyed.","call-number":"1","container-title":"International Journal of Project Management","DOI":"10.1016/j.ijproman.2008.09.010","ISSN":"02637863","issue":"6","journalAbbreviation":"International Journal of Project Management","language":"en","license":"https://www.elsevier.com/tdm/userlicense/1.0/","page":"638-648","source":"7.4","title":"Trust in projects: An empirical assessment of owner/contractor relationships","title-short":"Trust in projects","volume":"27","author":[{"family":"Pinto","given":"Jeffrey K."},{"family":"Slevin","given":"Dennis P."},{"family":"English","given":"Brent"}],"issued":{"date-parts":[["2009",8]]}},"label":"page"},{"id":2700,"uris":["http://zotero.org/users/13172592/items/UYEBYSJ7"],"itemData":{"id":2700,"type":"article-journal","abstract":"AbstractExisting studies tend to agree that there are links between owners’ capabilities and\nproject performance. However, limited research has systematically addressed the relationships\namong the multiple facets of organizational capabilities and project ...","archive_location":"world","call-number":"2","container-title":"Journal of Construction Engineering and Management","DOI":"10.1061/(ASCE)CO.1943-7862.0000694","ISSN":"1943-7862","issue":"9","language":"en","license":"© 2013 American Society of Civil Engineers","note":"publisher: American Society of Civil Engineers","page":"1168-1178","source":"4.1","title":"Relationship between owners’ capabilities and project performance on development of hydropower projects in China","volume":"139","author":[{"family":"Wang","given":"Shuli"},{"family":"Tang","given":"Wenzhe"},{"family":"Li","given":"Yuxuan"}],"issued":{"date-parts":[["2013",9,1]]}},"label":"page"}],"schema":"https://github.com/citation-style-language/schema/raw/master/csl-citation.json"} </w:instrText>
      </w:r>
      <w:r>
        <w:fldChar w:fldCharType="separate"/>
      </w:r>
      <w:r w:rsidR="00E17813" w:rsidRPr="00E17813">
        <w:rPr>
          <w:rFonts w:cs="Times New Roman"/>
          <w:kern w:val="0"/>
          <w:vertAlign w:val="superscript"/>
        </w:rPr>
        <w:t>[47,65]</w:t>
      </w:r>
      <w:r>
        <w:fldChar w:fldCharType="end"/>
      </w:r>
      <w:r>
        <w:rPr>
          <w:rFonts w:hint="eastAsia"/>
        </w:rPr>
        <w:t>。第三，业主的信息技术应用能力是实现清洁能源基地数字化建设与运维的重要支撑，也为制定配套的数字化管理体系奠定了基础</w:t>
      </w:r>
      <w:r>
        <w:fldChar w:fldCharType="begin"/>
      </w:r>
      <w:r w:rsidR="002F3722">
        <w:instrText xml:space="preserve"> ADDIN ZOTERO_ITEM CSL_CITATION {"citationID":"adnc27ip76","properties":{"formattedCitation":"\\super [28]\\nosupersub{}","plainCitation":"[28]","noteIndex":0},"citationItems":[{"id":1730,"uris":["http://zotero.org/users/13172592/items/6RNFFW52"],"itemData":{"id":1730,"type":"article-journal","abstract":"Maturity models can improve the effectiveness and capability of the organizations. However, the existing maturity models are only for one single organization and cannot deal with the specific problems of mega construction programs (MCPs) in China. The program management subjects of MCPs in China consist of the owner, the general design contractor, and the general construction contractor, which are not mature in the organizational management and process management. This paper presents a program management organization maturity integrated model for MCPs (PMOMIM-MCPs) in China, which integrates the program management subjects of MCPs and can improve the capability of them. Two submodels of PMOMIM-MCPs—Organizational Management Submodel (OMS) and Process Management Submodel (PMS) are given. In the end, a case study is given to justify and optimize the model.","call-number":"1","container-title":"International Journal of Project Management","DOI":"10.1016/j.ijproman.2011.03.003","ISSN":"02637863","issue":"7","journalAbbreviation":"International Journal of Project Management","language":"en","page":"834-845","source":"8","title":"Program management organization maturity integrated model for mega construction programs in China","volume":"29","author":[{"family":"Jia","given":"Guangshe"},{"family":"Chen","given":"Yuting"},{"family":"Xue","given":"Xiangdong"},{"family":"Chen","given":"Jianguo"},{"family":"Cao","given":"Jiming"},{"family":"Tang","given":"Kewei"}],"issued":{"date-parts":[["2011",10]]}}}],"schema":"https://github.com/citation-style-language/schema/raw/master/csl-citation.json"} </w:instrText>
      </w:r>
      <w:r>
        <w:fldChar w:fldCharType="separate"/>
      </w:r>
      <w:r w:rsidR="002F3722" w:rsidRPr="002F3722">
        <w:rPr>
          <w:rFonts w:cs="Times New Roman"/>
          <w:kern w:val="0"/>
          <w:vertAlign w:val="superscript"/>
        </w:rPr>
        <w:t>[28]</w:t>
      </w:r>
      <w:r>
        <w:fldChar w:fldCharType="end"/>
      </w:r>
      <w:r>
        <w:rPr>
          <w:rFonts w:hint="eastAsia"/>
        </w:rPr>
        <w:t>。此外，清洁能源基地管理制度需适应不断变化的外部环境。业主敏捷感知外部政策、市场、社会与自然环境变化并及时进行动态优化，有利于保持管理制度与清洁能源基地开发的长期适配</w:t>
      </w:r>
      <w:r>
        <w:fldChar w:fldCharType="begin"/>
      </w:r>
      <w:r w:rsidR="00E17813">
        <w:instrText xml:space="preserve"> ADDIN ZOTERO_ITEM CSL_CITATION {"citationID":"a249cvspj4r","properties":{"formattedCitation":"\\super [50,53]\\nosupersub{}","plainCitation":"[50,53]","noteIndex":0},"citationItems":[{"id":2357,"uris":["http://zotero.org/users/13172592/items/675DGTRL"],"itemData":{"id":2357,"type":"article-journal","abstract":"Given that a strong owner has been identified as an important factor in the success of megaprojects, there has been a growing recognition of the importance of megaproject owner organizational capabilities. However, the questions of what organizational capabilities do owners need to foster successful megaprojects, and whether these capabilities are the stronger the better, have yet to be addressed. To answer these questions, this study identified the dimensions of owner organizational capabilities based on literature and interviews, and developed several sets of parallel hypotheses. Based on the 229 valid questionnaire data collected, the relationships between owner organizational capabilities and megaproject success were analyzed through hierarchical multiple regression, and the results were discussed through expert interviews. The findings show that owner coordination, dynamic, and system integration capabilities have positive impacts on megaproject success, with coordination capabilities being the most significant. While the impact of motivational capabilities on megaproject success is inverted U-shaped. This study provides an actionable dimensional framework for megaproject owner capabilities, moving the field of owner organizational capabilities beyond the conceptual level. This study provides empirical evidence for the importance of megaproject owner organizational capabilities and takes a more dialectical view of a strong owner. The empirical results can provide insights and guidance on the configuration and development of megaproject owner capabilities. DOI: 10.1061/JCEMD4.COENG-13097. © 2023 American Society of Civil Engineers.","call-number":"2","container-title":"Journal of Construction Engineering and Management","DOI":"10.1061/JCEMD4.COENG-13097","ISSN":"0733-9364, 1943-7862","issue":"7","journalAbbreviation":"J. Constr. Eng. Manage.","language":"en","page":"04023055","source":"5.1","title":"Deconstructing organizational capabilities of megaproject owners: Dimensions and levels","title-short":"Deconstructing Organizational Capabilities of Megaproject Owners","volume":"149","author":[{"family":"Zhang","given":"Xinyue"},{"family":"Liu","given":"Mingqiang"},{"family":"Le","given":"Yun"},{"family":"Wei","given":"Jianjun"},{"family":"Zhu","given":"Yongsong"},{"family":"Li","given":"Yongkui"}],"issued":{"date-parts":[["2023",7]]}},"label":"page"},{"id":3803,"uris":["http://zotero.org/users/13172592/items/YTLSDMGW"],"itemData":{"id":3803,"type</w:instrText>
      </w:r>
      <w:r w:rsidR="00E17813">
        <w:rPr>
          <w:rFonts w:hint="eastAsia"/>
        </w:rPr>
        <w:instrText>":"thesis","event-place":"</w:instrText>
      </w:r>
      <w:r w:rsidR="00E17813">
        <w:rPr>
          <w:rFonts w:hint="eastAsia"/>
        </w:rPr>
        <w:instrText>北京</w:instrText>
      </w:r>
      <w:r w:rsidR="00E17813">
        <w:rPr>
          <w:rFonts w:hint="eastAsia"/>
        </w:rPr>
        <w:instrText>","publisher":"</w:instrText>
      </w:r>
      <w:r w:rsidR="00E17813">
        <w:rPr>
          <w:rFonts w:hint="eastAsia"/>
        </w:rPr>
        <w:instrText>清华大学</w:instrText>
      </w:r>
      <w:r w:rsidR="00E17813">
        <w:rPr>
          <w:rFonts w:hint="eastAsia"/>
        </w:rPr>
        <w:instrText>","publisher-place":"</w:instrText>
      </w:r>
      <w:r w:rsidR="00E17813">
        <w:rPr>
          <w:rFonts w:hint="eastAsia"/>
        </w:rPr>
        <w:instrText>北京</w:instrText>
      </w:r>
      <w:r w:rsidR="00E17813">
        <w:rPr>
          <w:rFonts w:hint="eastAsia"/>
        </w:rPr>
        <w:instrText>","title":"</w:instrText>
      </w:r>
      <w:r w:rsidR="00E17813">
        <w:rPr>
          <w:rFonts w:hint="eastAsia"/>
        </w:rPr>
        <w:instrText>价值共创视角下水利水电工程设计管理研究</w:instrText>
      </w:r>
      <w:r w:rsidR="00E17813">
        <w:rPr>
          <w:rFonts w:hint="eastAsia"/>
        </w:rPr>
        <w:instrText>","author":[{"family":"</w:instrText>
      </w:r>
      <w:r w:rsidR="00E17813">
        <w:rPr>
          <w:rFonts w:hint="eastAsia"/>
        </w:rPr>
        <w:instrText>刘</w:instrText>
      </w:r>
      <w:r w:rsidR="00E17813">
        <w:rPr>
          <w:rFonts w:hint="eastAsia"/>
        </w:rPr>
        <w:instrText>","given":"</w:instrText>
      </w:r>
      <w:r w:rsidR="00E17813">
        <w:rPr>
          <w:rFonts w:hint="eastAsia"/>
        </w:rPr>
        <w:instrText>扬</w:instrText>
      </w:r>
      <w:r w:rsidR="00E17813">
        <w:rPr>
          <w:rFonts w:hint="eastAsia"/>
        </w:rPr>
        <w:instrText>"}],"issued":{"date-parts":[["2023"]]}},"label":"page"}],"schema":"https://github.com/citation-style-language/schema/ra</w:instrText>
      </w:r>
      <w:r w:rsidR="00E17813">
        <w:instrText xml:space="preserve">w/master/csl-citation.json"} </w:instrText>
      </w:r>
      <w:r>
        <w:fldChar w:fldCharType="separate"/>
      </w:r>
      <w:r w:rsidR="00E17813" w:rsidRPr="00E17813">
        <w:rPr>
          <w:rFonts w:cs="Times New Roman"/>
          <w:kern w:val="0"/>
          <w:vertAlign w:val="superscript"/>
        </w:rPr>
        <w:t>[50,53]</w:t>
      </w:r>
      <w:r>
        <w:fldChar w:fldCharType="end"/>
      </w:r>
      <w:r>
        <w:rPr>
          <w:rFonts w:hint="eastAsia"/>
        </w:rPr>
        <w:t>。基于此，提出假设</w:t>
      </w:r>
      <w:r>
        <w:rPr>
          <w:rFonts w:hint="eastAsia"/>
        </w:rPr>
        <w:t>2</w:t>
      </w:r>
      <w:r>
        <w:rPr>
          <w:rFonts w:hint="eastAsia"/>
        </w:rPr>
        <w:t>（</w:t>
      </w:r>
      <w:r>
        <w:rPr>
          <w:rFonts w:hint="eastAsia"/>
        </w:rPr>
        <w:t>H2</w:t>
      </w:r>
      <w:r>
        <w:rPr>
          <w:rFonts w:hint="eastAsia"/>
        </w:rPr>
        <w:t>）：</w:t>
      </w:r>
    </w:p>
    <w:p w14:paraId="081F6331" w14:textId="77777777" w:rsidR="000132E7" w:rsidRDefault="000132E7" w:rsidP="000132E7">
      <w:pPr>
        <w:ind w:firstLine="422"/>
      </w:pPr>
      <w:r w:rsidRPr="000132E7">
        <w:rPr>
          <w:rFonts w:hint="eastAsia"/>
          <w:b/>
          <w:bCs/>
        </w:rPr>
        <w:t>H2</w:t>
      </w:r>
      <w:r w:rsidRPr="000132E7">
        <w:rPr>
          <w:rFonts w:hint="eastAsia"/>
          <w:b/>
          <w:bCs/>
        </w:rPr>
        <w:t>：</w:t>
      </w:r>
      <w:r w:rsidRPr="000132E7">
        <w:rPr>
          <w:rFonts w:hint="eastAsia"/>
        </w:rPr>
        <w:t>清洁能源基地良好的业主项目群管理能力能够提升管理制度建设水平。</w:t>
      </w:r>
    </w:p>
    <w:p w14:paraId="4565339B" w14:textId="2AF611A6" w:rsidR="00873BC4" w:rsidRPr="000132E7" w:rsidRDefault="00873BC4" w:rsidP="00873BC4">
      <w:pPr>
        <w:pStyle w:val="2"/>
      </w:pPr>
      <w:r w:rsidRPr="00873BC4">
        <w:rPr>
          <w:rFonts w:hint="eastAsia"/>
        </w:rPr>
        <w:t>清洁能源基地一体化管理</w:t>
      </w:r>
      <w:r>
        <w:rPr>
          <w:rFonts w:hint="eastAsia"/>
        </w:rPr>
        <w:t>过程</w:t>
      </w:r>
      <w:r w:rsidRPr="00873BC4">
        <w:rPr>
          <w:rFonts w:hint="eastAsia"/>
        </w:rPr>
        <w:t>因素</w:t>
      </w:r>
    </w:p>
    <w:p w14:paraId="08B7E082" w14:textId="534A5C5D" w:rsidR="00BC1DF7" w:rsidRDefault="000132E7" w:rsidP="00873BC4">
      <w:pPr>
        <w:pStyle w:val="3"/>
      </w:pPr>
      <w:bookmarkStart w:id="1" w:name="_Toc198492774"/>
      <w:r>
        <w:rPr>
          <w:rFonts w:hint="eastAsia"/>
        </w:rPr>
        <w:t>资源配置</w:t>
      </w:r>
      <w:bookmarkEnd w:id="1"/>
    </w:p>
    <w:p w14:paraId="01AEBEBA" w14:textId="6773F36A" w:rsidR="00873BC4" w:rsidRPr="009E77A9" w:rsidRDefault="00873BC4" w:rsidP="00873BC4">
      <w:pPr>
        <w:ind w:firstLine="420"/>
        <w:rPr>
          <w:color w:val="FF0000"/>
        </w:rPr>
      </w:pPr>
      <w:r w:rsidRPr="004B70A9">
        <w:rPr>
          <w:rFonts w:hint="eastAsia"/>
        </w:rPr>
        <w:t>在工程项目管理中</w:t>
      </w:r>
      <w:r>
        <w:rPr>
          <w:rFonts w:hint="eastAsia"/>
        </w:rPr>
        <w:t>，“</w:t>
      </w:r>
      <w:r w:rsidRPr="004B70A9">
        <w:rPr>
          <w:rFonts w:hint="eastAsia"/>
        </w:rPr>
        <w:t>资源</w:t>
      </w:r>
      <w:r>
        <w:rPr>
          <w:rFonts w:hint="eastAsia"/>
        </w:rPr>
        <w:t>”包括</w:t>
      </w:r>
      <w:r w:rsidRPr="004B70A9">
        <w:rPr>
          <w:rFonts w:hint="eastAsia"/>
        </w:rPr>
        <w:t>项目</w:t>
      </w:r>
      <w:r>
        <w:rPr>
          <w:rFonts w:hint="eastAsia"/>
        </w:rPr>
        <w:t>开发</w:t>
      </w:r>
      <w:r w:rsidRPr="004B70A9">
        <w:rPr>
          <w:rFonts w:hint="eastAsia"/>
        </w:rPr>
        <w:t>过</w:t>
      </w:r>
      <w:r w:rsidRPr="004B70A9">
        <w:rPr>
          <w:rFonts w:hint="eastAsia"/>
        </w:rPr>
        <w:lastRenderedPageBreak/>
        <w:t>程所需</w:t>
      </w:r>
      <w:r>
        <w:rPr>
          <w:rFonts w:hint="eastAsia"/>
        </w:rPr>
        <w:t>的</w:t>
      </w:r>
      <w:r w:rsidRPr="004B70A9">
        <w:rPr>
          <w:rFonts w:hint="eastAsia"/>
        </w:rPr>
        <w:t>资金、设备、</w:t>
      </w:r>
      <w:r>
        <w:rPr>
          <w:rFonts w:hint="eastAsia"/>
        </w:rPr>
        <w:t>材料、</w:t>
      </w:r>
      <w:r w:rsidRPr="004B70A9">
        <w:rPr>
          <w:rFonts w:hint="eastAsia"/>
        </w:rPr>
        <w:t>人员、技术、</w:t>
      </w:r>
      <w:r>
        <w:rPr>
          <w:rFonts w:hint="eastAsia"/>
        </w:rPr>
        <w:t>知识、</w:t>
      </w:r>
      <w:r w:rsidRPr="004B70A9">
        <w:rPr>
          <w:rFonts w:hint="eastAsia"/>
        </w:rPr>
        <w:t>信息等。</w:t>
      </w:r>
      <w:r>
        <w:rPr>
          <w:rFonts w:hint="eastAsia"/>
        </w:rPr>
        <w:t>“</w:t>
      </w:r>
      <w:r w:rsidRPr="004B70A9">
        <w:rPr>
          <w:rFonts w:hint="eastAsia"/>
        </w:rPr>
        <w:t>资源配置</w:t>
      </w:r>
      <w:r>
        <w:rPr>
          <w:rFonts w:hint="eastAsia"/>
        </w:rPr>
        <w:t>”</w:t>
      </w:r>
      <w:r w:rsidRPr="004B70A9">
        <w:rPr>
          <w:rFonts w:hint="eastAsia"/>
        </w:rPr>
        <w:t>则是指</w:t>
      </w:r>
      <w:r>
        <w:rPr>
          <w:rFonts w:hint="eastAsia"/>
        </w:rPr>
        <w:t>对各类资源进行</w:t>
      </w:r>
      <w:r w:rsidRPr="004B70A9">
        <w:rPr>
          <w:rFonts w:hint="eastAsia"/>
        </w:rPr>
        <w:t>合理分配</w:t>
      </w:r>
      <w:r>
        <w:rPr>
          <w:rFonts w:hint="eastAsia"/>
        </w:rPr>
        <w:t>与高效</w:t>
      </w:r>
      <w:r w:rsidRPr="004B70A9">
        <w:rPr>
          <w:rFonts w:hint="eastAsia"/>
        </w:rPr>
        <w:t>调度，以</w:t>
      </w:r>
      <w:r w:rsidRPr="00CD53DE">
        <w:rPr>
          <w:rFonts w:hint="eastAsia"/>
        </w:rPr>
        <w:t>保障项目目标达成，并确保项目顺利推进</w:t>
      </w:r>
      <w:r>
        <w:rPr>
          <w:shd w:val="clear" w:color="auto" w:fill="FFFFFF"/>
        </w:rPr>
        <w:fldChar w:fldCharType="begin"/>
      </w:r>
      <w:r w:rsidR="00E17813">
        <w:rPr>
          <w:shd w:val="clear" w:color="auto" w:fill="FFFFFF"/>
        </w:rPr>
        <w:instrText xml:space="preserve"> ADDIN ZOTERO_ITEM CSL_CITATION {"citationID":"oA0lBCyp","properties":{"formattedCitation":"\\super [66]\\nosupersub{}","plainCitation":"[66]","noteIndex":0},"citationItems":[{"id":1913,"uris":["http://zotero.org/users/13172592/items/SEEJ9QCG"],"itemData":{"id":1913,"type":"article-journal","abstract":"Multi-project management is typically considered an intra-organizational endeavor of implementing strategies through programs, portfolios, or lineages of change and development projects. Inter-organizational multi-project management takes place between project-based firms and other actors in project networks. The multi-project aspects in inter-organizational contexts cause significant management complexity, but their specific requirements are inadequately understood. This article explores the nature and requirements of project-based firms’ multi-project management in inter-organizational contexts. Parallel and sequential inter-organizational multi-project settings are proposed as an expansion to the dominant intra-organizational research. A thematic framework is developed based on stakeholder and agency theories and previous knowledge from portfolio and program management research complemented with an inductive analysis of extant literature. Consequently, we map and report previous research on multi-project management requirements relevant to inter-organizational contexts concerning strategy, resources, governance, and learning. Propositions are developed and future research is recommended in these domains.","call-number":"1","container-title":"International Journal of Project Management","DOI":"10.1016/j.ijproman.2022.09.003","ISSN":"02637863","issue":"7","journalAbbreviation":"International Journal of Project Management","language":"en","page":"813-826","source":"8","title":"Multi-project management in inter-organizational contexts","volume":"40","author":[{"family":"Martinsuo","given":"Miia"},{"family":"Ahola","given":"Tuomas"}],"issued":{"date-parts":[["2022",10]]}}}],"schema":"https://github.com/citation-style-language/schema/raw/master/csl-citation.json"} </w:instrText>
      </w:r>
      <w:r>
        <w:rPr>
          <w:shd w:val="clear" w:color="auto" w:fill="FFFFFF"/>
        </w:rPr>
        <w:fldChar w:fldCharType="separate"/>
      </w:r>
      <w:r w:rsidR="00E17813" w:rsidRPr="00E17813">
        <w:rPr>
          <w:rFonts w:cs="Times New Roman"/>
          <w:kern w:val="0"/>
          <w:vertAlign w:val="superscript"/>
        </w:rPr>
        <w:t>[66]</w:t>
      </w:r>
      <w:r>
        <w:rPr>
          <w:shd w:val="clear" w:color="auto" w:fill="FFFFFF"/>
        </w:rPr>
        <w:fldChar w:fldCharType="end"/>
      </w:r>
      <w:r w:rsidRPr="004B70A9">
        <w:rPr>
          <w:rFonts w:hint="eastAsia"/>
        </w:rPr>
        <w:t>。</w:t>
      </w:r>
      <w:r>
        <w:rPr>
          <w:rFonts w:hint="eastAsia"/>
        </w:rPr>
        <w:t>在清洁能源基地开发</w:t>
      </w:r>
      <w:r w:rsidRPr="004B70A9">
        <w:rPr>
          <w:rFonts w:hint="eastAsia"/>
        </w:rPr>
        <w:t>中，不仅</w:t>
      </w:r>
      <w:r>
        <w:rPr>
          <w:rFonts w:hint="eastAsia"/>
        </w:rPr>
        <w:t>应保证</w:t>
      </w:r>
      <w:r w:rsidRPr="004B70A9">
        <w:rPr>
          <w:rFonts w:hint="eastAsia"/>
        </w:rPr>
        <w:t>资源</w:t>
      </w:r>
      <w:r>
        <w:rPr>
          <w:rFonts w:hint="eastAsia"/>
        </w:rPr>
        <w:t>的按时供给</w:t>
      </w:r>
      <w:r w:rsidRPr="004B70A9">
        <w:rPr>
          <w:rFonts w:hint="eastAsia"/>
        </w:rPr>
        <w:t>，还需在不同环节</w:t>
      </w:r>
      <w:r>
        <w:rPr>
          <w:rFonts w:hint="eastAsia"/>
        </w:rPr>
        <w:t>、不同项目与不同利益相关方</w:t>
      </w:r>
      <w:r w:rsidRPr="004B70A9">
        <w:rPr>
          <w:rFonts w:hint="eastAsia"/>
        </w:rPr>
        <w:t>间实现资源</w:t>
      </w:r>
      <w:r>
        <w:rPr>
          <w:rFonts w:hint="eastAsia"/>
        </w:rPr>
        <w:t>的</w:t>
      </w:r>
      <w:r w:rsidRPr="004B70A9">
        <w:rPr>
          <w:rFonts w:hint="eastAsia"/>
        </w:rPr>
        <w:t>有效共享和</w:t>
      </w:r>
      <w:r>
        <w:rPr>
          <w:rFonts w:hint="eastAsia"/>
        </w:rPr>
        <w:t>敏捷</w:t>
      </w:r>
      <w:r w:rsidRPr="004B70A9">
        <w:rPr>
          <w:rFonts w:hint="eastAsia"/>
        </w:rPr>
        <w:t>调度</w:t>
      </w:r>
      <w:r>
        <w:fldChar w:fldCharType="begin"/>
      </w:r>
      <w:r w:rsidR="00E17813">
        <w:instrText xml:space="preserve"> ADDIN ZOTERO_ITEM CSL_CITATION {"citationID":"a1ne6fksgnn","properties":{"formattedCitation":"\\super [3,55]\\nosupersub{}","plainCitation":"[3,55]","noteIndex":0},"citationItems":[{"id":3663,"uris":["http://zotero.org/users/13172592/items/KBFEHVJI"],"itemData":{"id":3663,"type":"article-journal","abstract":"Renewable energy is one of the most popular topics in utilization of the electric energy resources. There are various types of alternative energy, which can be used as electrical energy. However, the suitableness of the green energy in a certain country is depending on some criteria such as geographical location, the availability of energy and so on. In order to establish the renewable energy, a well-planned strategy and management must be acquired. The main objective of this paper is to analyse the causal relation of some important criteria of project planning and development of a wind energy project in Malaysia. By using a system dynamic approach, it is found that government policies, investment of renewable energy, energy demand, geographical location and fund management are the most important criteria that need to be considered among others. The diagram of causal relationship with reinforcing and balancing loop shows that the application of renewable energy in Malaysia is promising. In addition, the information of the criteria relationship is further investigated by using the stock flow diagram. From the diagram, the factors that affect project’s expenditure could be analysed. This is very important to a developing country where more budgets can be allocated for other facilities, cultures, infrastructure, science, and technology development. By utilise the renewable energy in Malaysia, the carbon dioxide emission can be reduced and contribution to a sustainable and long term alternative energy resources country.","container-title":"Renewable and Sustainable Energy Reviews","DOI":"10.1016/j.rser.2014.07.078","ISSN":"1364-0321","journalAbbreviation":"Renewable and Sustainable Energy Reviews","language":"en-US","page":"917-932","source":"ScienceDirect","title":"Renewable energy project: Project management, challenges and risk","title-short":"Renewable energy project","volume":"38","author":[{"family":"Goh","given":"H. H."},{"family":"Lee","given":"S. W."},{"family":"Chua","given":"Q. S."},{"family":"Goh","given":"K. C."},{"family":"Kok","given":"B. C."},{"family":"Teo","given":"K. T. K."}],"issued":{"date-parts":[["2014",10,1]]}}},{"id":2358,"uris":["http://zotero.org/users/13172592/items/E9Z93RH2"],"itemData":{"id":2358,"type":"article-journal","call-number":"4","container-title":"Journal of Asian Architecture and Building Engineering","DOI":"10.1080/13467581.2024.2329357","ISSN":"1346-7581, 1347-2852","journalAbbreviation":"Journal of Asian Architecture and Building Engineering","language":"en","page":"1-16","source":"1.3","title":"Effect of resource integration on organizational resilience of megaprojects: Role of dynamic capability and resource availability","title-short":"Effect of resource integration on organizational resilience of megaprojects","author":[{"family":"Wang","given":"Dedong"},{"family":"Zhao","given":"Xiaoru"}],"issued":{"date-parts":[["2024",3,17]]}}}],"schema":"https://github.com/citation-style-language/schema/raw/master/csl-citation.json"} </w:instrText>
      </w:r>
      <w:r>
        <w:fldChar w:fldCharType="separate"/>
      </w:r>
      <w:r w:rsidR="00E17813" w:rsidRPr="00E17813">
        <w:rPr>
          <w:rFonts w:cs="Times New Roman"/>
          <w:kern w:val="0"/>
          <w:vertAlign w:val="superscript"/>
        </w:rPr>
        <w:t>[3,55]</w:t>
      </w:r>
      <w:r>
        <w:fldChar w:fldCharType="end"/>
      </w:r>
      <w:r w:rsidRPr="004B70A9">
        <w:rPr>
          <w:rFonts w:hint="eastAsia"/>
        </w:rPr>
        <w:t>。</w:t>
      </w:r>
    </w:p>
    <w:p w14:paraId="3CB3BE65" w14:textId="58EF851D" w:rsidR="00873BC4" w:rsidRDefault="00873BC4" w:rsidP="00873BC4">
      <w:pPr>
        <w:ind w:firstLine="420"/>
      </w:pPr>
      <w:r w:rsidRPr="00B040CB">
        <w:t>在清洁能源基地开发中，外部条件对资源配置水平具有重要影响</w:t>
      </w:r>
      <w:r w:rsidRPr="00B040CB">
        <w:fldChar w:fldCharType="begin"/>
      </w:r>
      <w:r w:rsidR="00EB7246">
        <w:instrText xml:space="preserve"> ADDIN ZOTERO_ITEM CSL_CITATION {"citationID":"abo11oYw","properties":{"formattedCitation":"\\super [3]\\nosupersub{}","plainCitation":"[3]","noteIndex":0},"citationItems":[{"id":3663,"uris":["http://zotero.org/users/13172592/items/KBFEHVJI"],"itemData":{"id":3663,"type":"article-journal","abstract":"Renewable energy is one of the most popular topics in utilization of the electric energy resources. There are various types of alternative energy, which can be used as electrical energy. However, the suitableness of the green energy in a certain country is depending on some criteria such as geographical location, the availability of energy and so on. In order to establish the renewable energy, a well-planned strategy and management must be acquired. The main objective of this paper is to analyse the causal relation of some important criteria of project planning and development of a wind energy project in Malaysia. By using a system dynamic approach, it is found that government policies, investment of renewable energy, energy demand, geographical location and fund management are the most important criteria that need to be considered among others. The diagram of causal relationship with reinforcing and balancing loop shows that the application of renewable energy in Malaysia is promising. In addition, the information of the criteria relationship is further investigated by using the stock flow diagram. From the diagram, the factors that affect project’s expenditure could be analysed. This is very important to a developing country where more budgets can be allocated for other facilities, cultures, infrastructure, science, and technology development. By utilise the renewable energy in Malaysia, the carbon dioxide emission can be reduced and contribution to a sustainable and long term alternative energy resources country.","container-title":"Renewable and Sustainable Energy Reviews","DOI":"10.1016/j.rser.2014.07.078","ISSN":"1364-0321","journalAbbreviation":"Renewable and Sustainable Energy Reviews","language":"en-US","page":"917-932","source":"ScienceDirect","title":"Renewable energy project: Project management, challenges and risk","title-short":"Renewable energy project","volume":"38","author":[{"family":"Goh","given":"H. H."},{"family":"Lee","given":"S. W."},{"family":"Chua","given":"Q. S."},{"family":"Goh","given":"K. C."},{"family":"Kok","given":"B. C."},{"family":"Teo","given":"K. T. K."}],"issued":{"date-parts":[["2014",10,1]]}}}],"schema":"https://github.com/citation-style-language/schema/raw/master/csl-citation.json"} </w:instrText>
      </w:r>
      <w:r w:rsidRPr="00B040CB">
        <w:fldChar w:fldCharType="separate"/>
      </w:r>
      <w:r w:rsidR="00EB7246" w:rsidRPr="00EB7246">
        <w:rPr>
          <w:rFonts w:cs="Times New Roman"/>
          <w:kern w:val="0"/>
          <w:vertAlign w:val="superscript"/>
        </w:rPr>
        <w:t>[3]</w:t>
      </w:r>
      <w:r w:rsidRPr="00B040CB">
        <w:fldChar w:fldCharType="end"/>
      </w:r>
      <w:r w:rsidRPr="00B040CB">
        <w:t>。</w:t>
      </w:r>
      <w:r>
        <w:rPr>
          <w:rFonts w:hint="eastAsia"/>
        </w:rPr>
        <w:t>良好</w:t>
      </w:r>
      <w:r w:rsidRPr="00B040CB">
        <w:rPr>
          <w:rFonts w:hint="eastAsia"/>
        </w:rPr>
        <w:t>的地形</w:t>
      </w:r>
      <w:r>
        <w:rPr>
          <w:rFonts w:hint="eastAsia"/>
        </w:rPr>
        <w:t>地质</w:t>
      </w:r>
      <w:r w:rsidRPr="00B040CB">
        <w:rPr>
          <w:rFonts w:hint="eastAsia"/>
        </w:rPr>
        <w:t>和适宜的气候条件能够降低施工难度</w:t>
      </w:r>
      <w:r w:rsidRPr="007E5AFB">
        <w:rPr>
          <w:rFonts w:hint="eastAsia"/>
        </w:rPr>
        <w:t>，</w:t>
      </w:r>
      <w:r w:rsidRPr="00B040CB">
        <w:rPr>
          <w:rFonts w:hint="eastAsia"/>
        </w:rPr>
        <w:t>减少自然灾害带来的风险</w:t>
      </w:r>
      <w:r>
        <w:rPr>
          <w:rFonts w:hint="eastAsia"/>
        </w:rPr>
        <w:t>，</w:t>
      </w:r>
      <w:r w:rsidRPr="00B040CB">
        <w:rPr>
          <w:rFonts w:hint="eastAsia"/>
        </w:rPr>
        <w:t>从而提升设备与材料运输的效率</w:t>
      </w:r>
      <w:r w:rsidRPr="007E5AFB">
        <w:rPr>
          <w:rFonts w:hint="eastAsia"/>
        </w:rPr>
        <w:t>，加快资源的调度和投入</w:t>
      </w:r>
      <w:r>
        <w:fldChar w:fldCharType="begin"/>
      </w:r>
      <w:r w:rsidR="00E17813">
        <w:instrText xml:space="preserve"> ADDIN ZOTERO_ITEM CSL_CITATION {"citationID":"a216ql7b5f3","properties":{"formattedCitation":"\\super [57]\\nosupersub{}","plainCitation":"[57]","noteIndex":0},"citationItems":[{"id":3718,"uris":["http://zotero.org/users/13172592/items/F3U4KHM8"],"itemData":{"id":3718,"type":"article-journal","abstract":"The construction phase of onshore wind farm projects involves different types of risks that hinder their development. This study aims to identify and assess risk factors that affect the construction of onshore wind farm projects and rank them based on their severity as assessed from the Canadian perspective. Thirty risk factors were collected through an extensive literature review. Then, experts were asked to subjectively evaluate the probability and impact of each factor on project cost, time, quality, and safety. The fuzzy technique for order of preference by similarity to ideal solution (fuzzy TOPSIS) and the fuzzy analytic hierarchy process (fuzzy AHP) were used to rank these risk factors based on their severity. The closeness coefficient (CC) indicated that a lack of management expertise, a shortage of resources required for project delivery, adverse weather, material damage during construction, and failure to keep up with recent innovative technology are the most severe risks affecting onshore wind farm projects in Canada with CC values of 0.9710, 0.9642, 0.9635, 0.9575, and 0.9450, respectively. The findings of this study support the decision making of investors and contractors who work in the Canadian wind energy industry by highlighting the critical risk factors. Moreover, this study is beneficial for decision makers in other jurisdictions since a review and a list of risk factors that affect the construction of onshore wind projects are provided herein.","container-title":"Renewable and Sustainable Energy Reviews","DOI":"10.1016/j.rser.2023.114145","ISSN":"1364-0321","journalAbbreviation":"Renewable and Sustainable Energy Reviews","language":"en","page":"114145","source":"ScienceDirect","title":"Risk assessment for onshore wind projects in Canada","volume":"191","author":[{"family":"Mohamed","given":"Emad"},{"family":"Seresht","given":"Nima Gerami"},{"family":"Jafari","given":"Parinaz"},{"family":"AbouRizk","given":"Simaan"}],"issued":{"date-parts":[["2024",3,1]]}}}],"schema":"https://github.com/citation-style-language/schema/raw/master/csl-citation.json"} </w:instrText>
      </w:r>
      <w:r>
        <w:fldChar w:fldCharType="separate"/>
      </w:r>
      <w:r w:rsidR="00E17813" w:rsidRPr="00E17813">
        <w:rPr>
          <w:rFonts w:cs="Times New Roman"/>
          <w:kern w:val="0"/>
          <w:vertAlign w:val="superscript"/>
        </w:rPr>
        <w:t>[57]</w:t>
      </w:r>
      <w:r>
        <w:fldChar w:fldCharType="end"/>
      </w:r>
      <w:r w:rsidRPr="007E5AFB">
        <w:rPr>
          <w:rFonts w:hint="eastAsia"/>
        </w:rPr>
        <w:t>。</w:t>
      </w:r>
      <w:r>
        <w:t>此外，完善的交通基础设施可保障设备、材料及人力资源的高效流动，而现代化通信设施则为信息共享提供技术支撑</w:t>
      </w:r>
      <w:r>
        <w:fldChar w:fldCharType="begin"/>
      </w:r>
      <w:r w:rsidR="00E17813">
        <w:instrText xml:space="preserve"> ADDIN ZOTERO_ITEM CSL_CITATION {"citationID":"a2odn1kkr2i","properties":{"formattedCitation":"\\super [67,68]\\nosupersub{}","plainCitation":"[67,68]","noteIndex":0},"citationItems":[{"id":4058,"uris":["http://zotero.org/users/13172592/items/IHGTN6WL"],"itemData":{"id":4058,"type":"article-journal","abstract":"Wind energy is among the most relevant types of renewable energy and plays a vital role in the projected European energy mix for 2020. The aim of this paper is to comprehensively present current risks and risk management solutions of renewable energy projects and to identify critical gaps in risk transfer, thereby differentiating between onshore and offshore wind parks with focus on the European market. Our study shows that apart from insurance, diversification, in particular, is one of the most important tools for risk management and it is used in various dimensions, which also results from a lack of alternative coverage. Furthermore, policy and regulatory risks appear to represent a major barrier for renewable energy investments, while at the same time, insurance coverage or alternative risk mitigation is strongly limited. This emphasizes the need for new risk transfer solutions to ensure a sustainable growth of renewable energy.","container-title":"Renewable and Sustainable Energy Reviews","DOI":"10.1016/j.rser.2016.01.103","ISSN":"1364-0321","journalAbbreviation":"Renewable and Sustainable Energy Reviews","language":"en","page":"982-998","source":"ScienceDirect","title":"Risks and risk management of renewable energy projects: The case of onshore and offshore wind parks","title-short":"Risks and risk management of renewable energy projects","volume":"60","author":[{"family":"Gatzert","given":"Nadine"},{"family":"Kosub","given":"Thomas"}],"issued":{"date-parts":[["2016",7,1]]}}},{"id":741,"uris":["http://zotero.org/users/13172592/items/ASZS8NR9"],"itemData":{"id":741,"type":"article-journal","abstract":"Traditional energy supplies in rural areas are mainly rural power grids and fossil energy, which makes energy use inefficient and is not environmentally unfriendly. With the development of agricultural intelligence and the increasing seriousness of environmental problems, rural areas urgently need to make full use of the rich local renewable resources such as biogas and wind power. Meanwhile, it is also necessary to jointly optimize the supply of electricity and heat energy to improve energy utilization efficiency and reduce emissions. In this paper, a cooperative operation framework of the integrated rural energy system with greenhouses (IRES-GH) is introduced and a novel forecast scenario-based robust energy management method is presented to hedge the uncertainty of electric load and wind power output. Based on the forecast bounds of uncertain variables, a twostage robust optimization (TSRO) model of the IRES-GH is first built. Using the TSRO model, the operation status of the units and energy storage elements in the worst-case scenario can be got. Then, the deterministic dispatch model is constructed based on the obtained operation status of devices and the day-ahead hourly point forecast scenario of uncertain variables to enhance the economy of the dispatch results. Since the second stage of the TSRO model includes binary variables, the nested column and constraint generation (NC&amp;CG) algorithm is used to solve it. The effectiveness of the model and solution method is verified by two cases with different scales.","call-number":"1","container-title":"Applied Energy","DOI":"10.1016/j.apenergy.2022.120343","ISSN":"03062619","journalAbbreviation":"Applied Energy","language":"en","note":"rate: 4","page":"120343","source":"11.2","title":"A novel forecast scenario-based robust energy management method for integrated rural energy systems with greenhouses","volume":"330","author":[{"family":"Tan","given":"Hong"},{"family":"Li","given":"Zhenxing"},{"family":"Wang","given":"Qiujie"},{"family":"Mohamed","given":"Mohamed A."}],"issued":{"date-parts":[["2023",1]]}}}],"schema":"https://github.com/citation-style-language/schema/raw/master/csl-citation.json"} </w:instrText>
      </w:r>
      <w:r>
        <w:fldChar w:fldCharType="separate"/>
      </w:r>
      <w:r w:rsidR="00E17813" w:rsidRPr="00E17813">
        <w:rPr>
          <w:rFonts w:cs="Times New Roman"/>
          <w:kern w:val="0"/>
          <w:vertAlign w:val="superscript"/>
        </w:rPr>
        <w:t>[67</w:t>
      </w:r>
      <w:r w:rsidR="00BA516A">
        <w:rPr>
          <w:rFonts w:cs="Times New Roman"/>
          <w:kern w:val="0"/>
          <w:vertAlign w:val="superscript"/>
        </w:rPr>
        <w:t>-</w:t>
      </w:r>
      <w:r w:rsidR="00E17813" w:rsidRPr="00E17813">
        <w:rPr>
          <w:rFonts w:cs="Times New Roman"/>
          <w:kern w:val="0"/>
          <w:vertAlign w:val="superscript"/>
        </w:rPr>
        <w:t>68]</w:t>
      </w:r>
      <w:r>
        <w:fldChar w:fldCharType="end"/>
      </w:r>
      <w:r w:rsidRPr="007E5AFB">
        <w:rPr>
          <w:rFonts w:hint="eastAsia"/>
        </w:rPr>
        <w:t>。</w:t>
      </w:r>
      <w:r>
        <w:t>与此同时，政策支持以及清洁能源电力市场</w:t>
      </w:r>
      <w:r>
        <w:rPr>
          <w:rFonts w:hint="eastAsia"/>
        </w:rPr>
        <w:t>不断</w:t>
      </w:r>
      <w:r>
        <w:t>完善，为清洁能源基地开发提供了稳定的制度保障，增强了行业发展的确定性，</w:t>
      </w:r>
      <w:r>
        <w:rPr>
          <w:rFonts w:hint="eastAsia"/>
        </w:rPr>
        <w:t>有助于</w:t>
      </w:r>
      <w:r>
        <w:t>吸引外部资本投入，推动内外部资源高效整合</w:t>
      </w:r>
      <w:r>
        <w:fldChar w:fldCharType="begin"/>
      </w:r>
      <w:r w:rsidR="00E17813">
        <w:instrText xml:space="preserve"> ADDIN ZOTERO_ITEM CSL_CITATION {"citationID":"a1stqdjurid","properties":{"formattedCitation":"\\super [69,70]\\nosupersub{}","plainCitation":"[69,70]","noteIndex":0},"citationItems":[{"id":2656,"uris":["http://zotero.org/users/13172592/items/V5DR77T4"],"itemData":{"id":2656,"type":"article-journal","abstract":"The transition to a 100% renewable energy system based on variable renewable energy raises technical but also institutional questions. The smart energ…","call-number":"1","container-title":"Energy","DOI":"10.1016/j.energy.2018.07.100","ISSN":"0360-5442","language":"en","note":"publisher: Pergamon","page":"148-157","source":"9","title":"The electricity market in a renewable energy system","volume":"162","author":[{"family":"Djørup","given":"Søren"},{"family":"Thellufsen","given":"Jakob Zinck"},{"family":"Sorknæs","given":"Peter"}],"issued":{"date-parts":[["2018",11,1]]}}},{"id":3719,"uris":["http://zotero.org/users/13172592/items/LLAK7P4C"],"itemData":{"id":3719,"type":"article-journal","abstract":"The global collective actions of countries are insufficient to meet the goals agreed upon under the Paris Agreement. On one hand, countries are trailing behind in meeting their renewable energy targets. On the other hand, the implementation of renewable energy projects is affected by the political, regulatory, and policy challenges faced by engineering, procurement, and construction firms. Such issues force project firms to overlook their best practices and cause delays in connecting renewable energy plants to the national grid. This study investigates the relationship between two key project-level critical success factors and the project success of renewable energy projects in Pakistan with the moderating role of political factors. Using a data set of 238 respondents and Smart PLS 4 to analyze the data set, the results confirm the positive impact of communication and organizational factors on a project’s success. The findings also indicate that political factors are a major bottleneck that weakens the capability of project organizations to implement renewable energy projects in Pakistan. The current line of inquiry has implications for the ability of governments to effectively manage the power generation sector and support the transition to renewable energy. It also has significant theoretical implications for environmental contingency theory in terms of the adaptation of project firms to the external environment. The study concludes that project firms in the renewable energy sector need to be aware of political forces in the external environment to not only minimize their impact but to also provide timely completion of projects within and beyond Pakistan.","call-number":"3","container-title":"Sustainability","DOI":"10.3390/su15118910","ISSN":"2071-1050","issue":"11","language":"en","license":"http://creativecommons.org/licenses/by/3.0/","note":"number: 11\npublisher: Multidisciplinary Digital Publishing Institute","page":"8910","source":"3.3","title":"Investigating the moderating role of political factors on internal success factors and project success: Empirical evidence from Pakistan","title-short":"Investigating the moderating role of political factors on internal success factors and project success","volume":"15","author":[{"family":"Haris","given":"Muhammad"},{"family":"Yang","given":"Qing"}],"issued":{"date-parts":[["2023",1]]}}}],"schema":"https://github.com/citation-style-language/schema/raw/master/csl-citation.json"} </w:instrText>
      </w:r>
      <w:r>
        <w:fldChar w:fldCharType="separate"/>
      </w:r>
      <w:r w:rsidR="00E17813" w:rsidRPr="00E17813">
        <w:rPr>
          <w:rFonts w:cs="Times New Roman"/>
          <w:kern w:val="0"/>
          <w:vertAlign w:val="superscript"/>
        </w:rPr>
        <w:t>[69</w:t>
      </w:r>
      <w:r w:rsidR="00BA516A">
        <w:rPr>
          <w:rFonts w:cs="Times New Roman"/>
          <w:kern w:val="0"/>
          <w:vertAlign w:val="superscript"/>
        </w:rPr>
        <w:t>-</w:t>
      </w:r>
      <w:r w:rsidR="00E17813" w:rsidRPr="00E17813">
        <w:rPr>
          <w:rFonts w:cs="Times New Roman"/>
          <w:kern w:val="0"/>
          <w:vertAlign w:val="superscript"/>
        </w:rPr>
        <w:t>70]</w:t>
      </w:r>
      <w:r>
        <w:fldChar w:fldCharType="end"/>
      </w:r>
      <w:r>
        <w:rPr>
          <w:rFonts w:hint="eastAsia"/>
        </w:rPr>
        <w:t>。基于此，提出假设</w:t>
      </w:r>
      <w:r>
        <w:rPr>
          <w:rFonts w:hint="eastAsia"/>
        </w:rPr>
        <w:t>3</w:t>
      </w:r>
      <w:r>
        <w:rPr>
          <w:rFonts w:hint="eastAsia"/>
        </w:rPr>
        <w:t>（</w:t>
      </w:r>
      <w:r>
        <w:rPr>
          <w:rFonts w:hint="eastAsia"/>
        </w:rPr>
        <w:t>H3</w:t>
      </w:r>
      <w:r>
        <w:rPr>
          <w:rFonts w:hint="eastAsia"/>
        </w:rPr>
        <w:t>）：</w:t>
      </w:r>
    </w:p>
    <w:p w14:paraId="569BEEC0" w14:textId="77777777" w:rsidR="00873BC4" w:rsidRPr="00873BC4" w:rsidRDefault="00873BC4" w:rsidP="00873BC4">
      <w:pPr>
        <w:ind w:firstLine="422"/>
        <w:rPr>
          <w:b/>
          <w:bCs/>
        </w:rPr>
      </w:pPr>
      <w:r w:rsidRPr="00873BC4">
        <w:rPr>
          <w:rFonts w:hint="eastAsia"/>
          <w:b/>
          <w:bCs/>
        </w:rPr>
        <w:t>H3</w:t>
      </w:r>
      <w:r w:rsidRPr="00873BC4">
        <w:rPr>
          <w:rFonts w:hint="eastAsia"/>
          <w:b/>
          <w:bCs/>
        </w:rPr>
        <w:t>：</w:t>
      </w:r>
      <w:r w:rsidRPr="00873BC4">
        <w:rPr>
          <w:rFonts w:hint="eastAsia"/>
        </w:rPr>
        <w:t>清洁能源基地适宜的外部条件能够提升资源配置水平。</w:t>
      </w:r>
    </w:p>
    <w:p w14:paraId="288A19E6" w14:textId="538DD272" w:rsidR="00873BC4" w:rsidRDefault="00873BC4" w:rsidP="00873BC4">
      <w:pPr>
        <w:ind w:firstLine="420"/>
      </w:pPr>
      <w:r>
        <w:rPr>
          <w:rFonts w:hint="eastAsia"/>
        </w:rPr>
        <w:t>完善的建设与运行管理制度能够为设计</w:t>
      </w:r>
      <w:r>
        <w:t>、采购、施工及运营</w:t>
      </w:r>
      <w:r>
        <w:rPr>
          <w:rFonts w:hint="eastAsia"/>
        </w:rPr>
        <w:t>的资源配置</w:t>
      </w:r>
      <w:r>
        <w:t>提供规范化指导，</w:t>
      </w:r>
      <w:r>
        <w:rPr>
          <w:rFonts w:hint="eastAsia"/>
        </w:rPr>
        <w:t>以促使</w:t>
      </w:r>
      <w:r w:rsidRPr="00583126">
        <w:rPr>
          <w:rFonts w:hint="eastAsia"/>
        </w:rPr>
        <w:t>资源</w:t>
      </w:r>
      <w:r>
        <w:rPr>
          <w:rFonts w:hint="eastAsia"/>
        </w:rPr>
        <w:t>供给</w:t>
      </w:r>
      <w:r w:rsidRPr="00583126">
        <w:rPr>
          <w:rFonts w:hint="eastAsia"/>
        </w:rPr>
        <w:t>符合</w:t>
      </w:r>
      <w:r>
        <w:rPr>
          <w:rFonts w:hint="eastAsia"/>
        </w:rPr>
        <w:t>各环节的</w:t>
      </w:r>
      <w:r w:rsidRPr="00583126">
        <w:rPr>
          <w:rFonts w:hint="eastAsia"/>
        </w:rPr>
        <w:t>需求</w:t>
      </w:r>
      <w:r>
        <w:fldChar w:fldCharType="begin"/>
      </w:r>
      <w:r w:rsidR="00E17813">
        <w:instrText xml:space="preserve"> ADDIN ZOTERO_ITEM CSL_CITATION {"citationID":"a2c0np9ht7h","properties":{"formattedCitation":"\\super [71,72]\\nosupersub{}","plainCitation":"[71,72]","noteIndex":0},"citationItems":[{"id":3596,"uris":["http://zotero.org/users/13172592/items/6ND7JBXD"],"itemData":{"id":3596,"type":"article-journal","abstract":"What makes organizations so similar? We contend that the engine of rationalization and bureaucratization has moved from the competitive marketplace to the state and the professions. Once a set of organizations emerges as a field, a paradox arises: rational actors make their organizations increasingly similar as they try to change them. We describe three isomorphic processes--coercive, mimetic, and normative--leading to this outcome. We then specify hypotheses about the impact of resource centralization and dependency, goal ambiguity and technical uncertainty, and professionalization and structuration on isomorphic change. Finally, we suggest implications for theories of organizations and social change.","call-number":"1","container-title":"American Sociological Review","DOI":"10.2307/2095101","ISSN":"0003-1224","issue":"2","language":"en","note":"publisher: [American Sociological Association, Sage Publications, Inc.]","page":"147-160","source":"7.1","title":"The iron cage revisited: Institutional isomorphism and collective rationality in organizational fields","title-short":"The iron cage revisited","volume":"48","author":[{"family":"Dimaggio","given":"Paul J."},{"family":"Powell","given":"Walter W."}],"issued":{"date-parts":[["1983"]]}}},{"id":3586,"uris":["http://zotero.org/users/13172592/items/L5F2R9UW"],"itemData":{"id":3586,"type":"article-journal","abstract":"Project management is widely seen as delivering undertakings on time, on budget, and on scope. This conceptualization fails, however, to address the front end and its management. Addressing the front end moves the discipline to a second, more strategic level. This article proposes a third level of conceptualization: the institutional level, where management is focused on creating the conditions to support and foster projects, both in its parent organization and its external environment. Management here is done for and on the project rather than in or to it. We show that management at this level offers an enlarged research agenda and improvement in performance.","call-number":"2","container-title":"Project Management Journal","DOI":"10.1002/pmj.20271","ISSN":"1938-9507","issue":"6","language":"en","license":"© 2011 Project Management Institute","note":"_eprint: https://onlinelibrary.wiley.com/doi/pdf/10.1002/pmj.20271","page":"20-32","source":"5.1","title":"Managing the institutional context for projects","volume":"42","author":[{"family":"Morris","given":"Peter W. G."},{"family":"Geraldi","given":"Joana"}],"issued":{"date-parts":[["2011"]]}}}],"schema":"https://github.com/citation-style-language/schema/raw/master/csl-citation.json"} </w:instrText>
      </w:r>
      <w:r>
        <w:fldChar w:fldCharType="separate"/>
      </w:r>
      <w:r w:rsidR="00E17813" w:rsidRPr="00E17813">
        <w:rPr>
          <w:rFonts w:cs="Times New Roman"/>
          <w:kern w:val="0"/>
          <w:vertAlign w:val="superscript"/>
        </w:rPr>
        <w:t>[71</w:t>
      </w:r>
      <w:r w:rsidR="00BA516A">
        <w:rPr>
          <w:rFonts w:cs="Times New Roman"/>
          <w:kern w:val="0"/>
          <w:vertAlign w:val="superscript"/>
        </w:rPr>
        <w:t>-</w:t>
      </w:r>
      <w:r w:rsidR="00E17813" w:rsidRPr="00E17813">
        <w:rPr>
          <w:rFonts w:cs="Times New Roman"/>
          <w:kern w:val="0"/>
          <w:vertAlign w:val="superscript"/>
        </w:rPr>
        <w:t>72]</w:t>
      </w:r>
      <w:r>
        <w:fldChar w:fldCharType="end"/>
      </w:r>
      <w:r w:rsidRPr="00583126">
        <w:rPr>
          <w:rFonts w:hint="eastAsia"/>
        </w:rPr>
        <w:t>。</w:t>
      </w:r>
      <w:r>
        <w:rPr>
          <w:rFonts w:hint="eastAsia"/>
        </w:rPr>
        <w:t>其次，</w:t>
      </w:r>
      <w:r>
        <w:t>明确利益相关方责权</w:t>
      </w:r>
      <w:r>
        <w:rPr>
          <w:rFonts w:hint="eastAsia"/>
        </w:rPr>
        <w:t>，并制定清晰的管理流程，</w:t>
      </w:r>
      <w:r w:rsidRPr="00583126">
        <w:rPr>
          <w:rFonts w:hint="eastAsia"/>
        </w:rPr>
        <w:t>能够确保资源在不同</w:t>
      </w:r>
      <w:r>
        <w:rPr>
          <w:rFonts w:hint="eastAsia"/>
        </w:rPr>
        <w:t>利益相关方与</w:t>
      </w:r>
      <w:r w:rsidRPr="00583126">
        <w:rPr>
          <w:rFonts w:hint="eastAsia"/>
        </w:rPr>
        <w:t>环节间有序流动</w:t>
      </w:r>
      <w:r>
        <w:fldChar w:fldCharType="begin"/>
      </w:r>
      <w:r w:rsidR="00E17813">
        <w:instrText xml:space="preserve"> ADDIN ZOTERO_ITEM CSL_CITATION {"citationID":"acsh9hdosm","properties":{"formattedCitation":"\\super [46]\\nosupersub{}","plainCitation":"[46]","noteIndex":0},"citationItems":[{"id":2584,"uris":["http://zotero.org/users/13172592/items/LUC3WH29","http://zotero.org/users/13172592/items/SB8X9A3C"],"itemData":{"id":2584,"type":"article-journal","archive_location":"WOS:000235671300002","call-number":"2","container-title":"Journal of Construction Engineering and Management","DOI":"10.1061/(ASCE)0733-9364(2006)132:3(217)","ISSN":"0733-9364","issue":"3","language":"en","page":"217-229","source":"5.1","title":"Partnering mechanism in construction: An empirical study on the Chinese construction industry","volume":"132","author":[{"family":"Tang","given":"WZ"},{"family":"Duffield","given":"CF"},{"family":"Young","given":"DM"}],"issued":{"date-parts":[["2006",3]]}}}],"schema":"https://github.com/citation-style-language/schema/raw/master/csl-citation.json"} </w:instrText>
      </w:r>
      <w:r>
        <w:fldChar w:fldCharType="separate"/>
      </w:r>
      <w:r w:rsidR="00E17813" w:rsidRPr="00E17813">
        <w:rPr>
          <w:rFonts w:cs="Times New Roman"/>
          <w:kern w:val="0"/>
          <w:vertAlign w:val="superscript"/>
        </w:rPr>
        <w:t>[46]</w:t>
      </w:r>
      <w:r>
        <w:fldChar w:fldCharType="end"/>
      </w:r>
      <w:r>
        <w:rPr>
          <w:rFonts w:hint="eastAsia"/>
        </w:rPr>
        <w:t>。构建完善的知识管理体系也有助于总结经验，分析与整合信息，并推进</w:t>
      </w:r>
      <w:r>
        <w:t>项目间</w:t>
      </w:r>
      <w:r>
        <w:rPr>
          <w:rFonts w:hint="eastAsia"/>
        </w:rPr>
        <w:t>以及利益相关方间的知识</w:t>
      </w:r>
      <w:r>
        <w:t>共享</w:t>
      </w:r>
      <w:r>
        <w:fldChar w:fldCharType="begin"/>
      </w:r>
      <w:r w:rsidR="00E17813">
        <w:instrText xml:space="preserve"> ADDIN ZOTERO_ITEM CSL_CITATION {"citationID":"a2jf6f5tk1j","properties":{"formattedCitation":"\\super [73,74]\\nosupersub{}","plainCitation":"[73,74]","noteIndex":0},"citationItems":[{"id":1641,"uris":["http://zotero.org/users/13172592/items/93NZ4BEB"],"itemData":{"id":1641,"type":"article-journal","abstract":"The combination of the economic pressures, maturity and limitations of project management and the dynamic nature of the construction industry clients’ requirements has triggered the need for the adoption and implementation of programme management as a de facto means of aligning, coordinating and managing a portfolio of construction projects to deliver beneﬁts that would not be achievable if the projects were managed independently. Despite the beneﬁts achievable in the practice of programme management, the awareness and understanding of its practice in the construction industry remains vague as a result of a lack of clarity and inconsistencies associated with its deﬁnitions. To fully understand the core essence of programme management, it is imperative that its quintessential deﬁnition, practice and context are clearly understood and documented. This research is based on a pragmatic synthesis of literature review and industrial questionnaire survey which establishes the relationship, similarities and diﬀerences between programme management and project management and subsequently draws comparisons of the practices relevant to programmes between programme and non-programme organisations. The research further highlights the implications of unawareness and lack of understanding that can aﬀect the eﬀective implementation and practice of programme management in the UK construction environment.","call-number":"1","container-title":"International Journal of Project Management","DOI":"10.1016/j.ijproman.2009.02.005","ISSN":"02637863","issue":"7","journalAbbreviation":"International Journal of Project Management","language":"en","license":"https://www.elsevier.com/tdm/userlicense/1.0/","page":"703-716","source":"8","title":"Construction programme management theory and practice: Contextual and pragmatic approach","title-short":"Construction programme management theory and practice","volume":"27","author":[{"family":"Shehu","given":"Zayyana"},{"family":"Akintoye","given":"Akintola"}],"issued":{"date-parts":[["2009",10]]}}},{"id":4083,"uris":["http://zotero.org/users/13172592/items/IKSFIFU8"],"itemData":{"id":4083,"type":"article-journal","abstract":"In the information age, organization theories have addressed p</w:instrText>
      </w:r>
      <w:r w:rsidR="00E17813">
        <w:rPr>
          <w:rFonts w:hint="eastAsia"/>
        </w:rPr>
        <w:instrText>roblem</w:instrText>
      </w:r>
      <w:r w:rsidR="00E17813">
        <w:rPr>
          <w:rFonts w:hint="eastAsia"/>
        </w:rPr>
        <w:instrText>‐</w:instrText>
      </w:r>
      <w:r w:rsidR="00E17813">
        <w:rPr>
          <w:rFonts w:hint="eastAsia"/>
        </w:rPr>
        <w:instrText>solving as an information</w:instrText>
      </w:r>
      <w:r w:rsidR="00E17813">
        <w:rPr>
          <w:rFonts w:hint="eastAsia"/>
        </w:rPr>
        <w:instrText>‐</w:instrText>
      </w:r>
      <w:r w:rsidR="00E17813">
        <w:rPr>
          <w:rFonts w:hint="eastAsia"/>
        </w:rPr>
        <w:instrText>processing activity. However, in this era, with the realization of knowledge</w:instrText>
      </w:r>
      <w:r w:rsidR="00E17813">
        <w:rPr>
          <w:rFonts w:hint="eastAsia"/>
        </w:rPr>
        <w:instrText>‐</w:instrText>
      </w:r>
      <w:r w:rsidR="00E17813">
        <w:rPr>
          <w:rFonts w:hint="eastAsia"/>
        </w:rPr>
        <w:instrText>based views of the organi...","archive_location":"world","container-title":"Construction Management and Economics","DOI":"10.1080/014461908026210</w:instrText>
      </w:r>
      <w:r w:rsidR="00E17813">
        <w:instrText xml:space="preserve">44","issue":"12","language":"en","license":"Copyright Taylor and Francis Group, LLC","note":"publisher: Taylor &amp; Francis","page":"1303-1311","source":"3","title":"Managing construction project change: A knowledge management perspective","title-short":"Managing construction project change","volume":"26","author":[{"family":"Senaratne","given":"Sepani"},{"family":"Sexton","given":"Martin"}],"issued":{"date-parts":[["2008"]]}}}],"schema":"https://github.com/citation-style-language/schema/raw/master/csl-citation.json"} </w:instrText>
      </w:r>
      <w:r>
        <w:fldChar w:fldCharType="separate"/>
      </w:r>
      <w:r w:rsidR="00E17813" w:rsidRPr="00E17813">
        <w:rPr>
          <w:rFonts w:cs="Times New Roman"/>
          <w:kern w:val="0"/>
          <w:vertAlign w:val="superscript"/>
        </w:rPr>
        <w:t>[73</w:t>
      </w:r>
      <w:r w:rsidR="00BA516A">
        <w:rPr>
          <w:rFonts w:cs="Times New Roman"/>
          <w:kern w:val="0"/>
          <w:vertAlign w:val="superscript"/>
        </w:rPr>
        <w:t>-</w:t>
      </w:r>
      <w:r w:rsidR="00E17813" w:rsidRPr="00E17813">
        <w:rPr>
          <w:rFonts w:cs="Times New Roman"/>
          <w:kern w:val="0"/>
          <w:vertAlign w:val="superscript"/>
        </w:rPr>
        <w:t>74]</w:t>
      </w:r>
      <w:r>
        <w:fldChar w:fldCharType="end"/>
      </w:r>
      <w:r>
        <w:rPr>
          <w:rFonts w:hint="eastAsia"/>
        </w:rPr>
        <w:t>。此外，建立合理的</w:t>
      </w:r>
      <w:r>
        <w:t>技能培训</w:t>
      </w:r>
      <w:r>
        <w:rPr>
          <w:rFonts w:hint="eastAsia"/>
        </w:rPr>
        <w:t>与人才培养机制能够及时、高效地引入外部人力、技术与管理资源。基于此，提出假设</w:t>
      </w:r>
      <w:r>
        <w:rPr>
          <w:rFonts w:hint="eastAsia"/>
        </w:rPr>
        <w:t>4</w:t>
      </w:r>
      <w:r>
        <w:rPr>
          <w:rFonts w:hint="eastAsia"/>
        </w:rPr>
        <w:t>（</w:t>
      </w:r>
      <w:r>
        <w:rPr>
          <w:rFonts w:hint="eastAsia"/>
        </w:rPr>
        <w:t>H4</w:t>
      </w:r>
      <w:r>
        <w:rPr>
          <w:rFonts w:hint="eastAsia"/>
        </w:rPr>
        <w:t>）：</w:t>
      </w:r>
    </w:p>
    <w:p w14:paraId="55105D07" w14:textId="1CBCC55E" w:rsidR="00873BC4" w:rsidRDefault="00873BC4" w:rsidP="00873BC4">
      <w:pPr>
        <w:ind w:firstLine="422"/>
      </w:pPr>
      <w:r w:rsidRPr="00873BC4">
        <w:rPr>
          <w:rFonts w:hint="eastAsia"/>
          <w:b/>
          <w:bCs/>
        </w:rPr>
        <w:t>H4</w:t>
      </w:r>
      <w:r w:rsidRPr="00873BC4">
        <w:rPr>
          <w:rFonts w:hint="eastAsia"/>
          <w:b/>
          <w:bCs/>
        </w:rPr>
        <w:t>：</w:t>
      </w:r>
      <w:r w:rsidRPr="00873BC4">
        <w:rPr>
          <w:rFonts w:hint="eastAsia"/>
        </w:rPr>
        <w:t>清洁能源基地完善的管理制度能够提升资源配置水平。</w:t>
      </w:r>
    </w:p>
    <w:p w14:paraId="5304EACD" w14:textId="2DFED432" w:rsidR="00BA516A" w:rsidRPr="00BA516A" w:rsidRDefault="00BA516A" w:rsidP="00BA516A">
      <w:pPr>
        <w:ind w:firstLine="420"/>
        <w:rPr>
          <w:bCs/>
        </w:rPr>
      </w:pPr>
      <w:r w:rsidRPr="00BA516A">
        <w:rPr>
          <w:rFonts w:hint="eastAsia"/>
          <w:bCs/>
        </w:rPr>
        <w:t>业主能够推进清洁能源基地实现资源的高效配置</w:t>
      </w:r>
      <w:r>
        <w:rPr>
          <w:bCs/>
        </w:rPr>
        <w:softHyphen/>
      </w:r>
      <w:r>
        <w:rPr>
          <w:rFonts w:hint="eastAsia"/>
          <w:bCs/>
          <w:vertAlign w:val="superscript"/>
        </w:rPr>
        <w:t>[</w:t>
      </w:r>
      <w:r>
        <w:rPr>
          <w:bCs/>
          <w:vertAlign w:val="superscript"/>
        </w:rPr>
        <w:t>63]</w:t>
      </w:r>
      <w:r w:rsidRPr="00BA516A">
        <w:rPr>
          <w:rFonts w:hint="eastAsia"/>
          <w:bCs/>
        </w:rPr>
        <w:t>。首先，业主明确清洁能源基地各子项目的开发目标与资源需求，能够减少资源调配的不确定性，避免资源浪费，以实现资源及时供应与精准配置</w:t>
      </w:r>
      <w:r w:rsidR="008A61D6">
        <w:rPr>
          <w:rFonts w:hint="eastAsia"/>
          <w:bCs/>
          <w:vertAlign w:val="superscript"/>
        </w:rPr>
        <w:t>[</w:t>
      </w:r>
      <w:r w:rsidR="008A61D6">
        <w:rPr>
          <w:bCs/>
          <w:vertAlign w:val="superscript"/>
        </w:rPr>
        <w:t>14]</w:t>
      </w:r>
      <w:r w:rsidRPr="00BA516A">
        <w:rPr>
          <w:rFonts w:hint="eastAsia"/>
          <w:bCs/>
        </w:rPr>
        <w:t>。其次，业主以清洁能源基地总体开发为目标，从一体化视角统筹协调多个项目和利益相关方，有助于明确资源配置的优先级，减少因信息不对称导致的资源错配，提升资源利用效率</w:t>
      </w:r>
      <w:r w:rsidR="008A61D6" w:rsidRPr="008A61D6">
        <w:rPr>
          <w:rFonts w:hint="eastAsia"/>
          <w:bCs/>
          <w:vertAlign w:val="superscript"/>
        </w:rPr>
        <w:t>[</w:t>
      </w:r>
      <w:r w:rsidR="008A61D6" w:rsidRPr="008A61D6">
        <w:rPr>
          <w:bCs/>
          <w:vertAlign w:val="superscript"/>
        </w:rPr>
        <w:t>50]</w:t>
      </w:r>
      <w:r w:rsidRPr="00BA516A">
        <w:rPr>
          <w:rFonts w:hint="eastAsia"/>
          <w:bCs/>
        </w:rPr>
        <w:t>。知识与信息是清洁能源基地开发过程中的重要资源。业主对信息技术的有效应用不仅能够提升各利益相关方之间的信息流通与共享效率；也有助于构建知识管</w:t>
      </w:r>
      <w:r w:rsidRPr="00BA516A">
        <w:rPr>
          <w:rFonts w:hint="eastAsia"/>
          <w:bCs/>
        </w:rPr>
        <w:t>理系统，以促进组织内部及外部经验的积累与分享</w:t>
      </w:r>
      <w:r w:rsidR="008A61D6">
        <w:fldChar w:fldCharType="begin"/>
      </w:r>
      <w:r w:rsidR="008A61D6">
        <w:instrText xml:space="preserve"> ADDIN ZOTERO_ITEM CSL_CITATION {"citationID":"tdbic1wL","properties":{"formattedCitation":"\\super [17,18]\\nosupersub{}","plainCitation":"[17,18]","noteIndex":0},"citationItems":[{"id":1917,"uris":["http://zotero.org/users/13172592/items/ITAY8FHW"],"itemData":{"id":1917,"type":"article-journal","abstract":"With the advancement of today's technological improvements and the rapid growth in population, the magnitude of construction projects has grown significantlywhile construction budgets continue to shrink. We can and must build faster, safer, bigger, and more economicallythan our predecessors did and while goingthrough the same basic planning, engineering, and construction phases. To meet this challenge, effective program management is crucial. Previously, management systemsconcentrated on schedule and cost, but in today's economic climate funding has become a major management issue for these multiproject programs. An effective management information system (MIS) must be capable of monitoring schedule, cost, and funding components. This paper discusses the general requirements for creation of a customized MIS and makes recommendations for assessing the program's needs, developing the schedules, and monitoring the finances. It is intended to be used as a guideline by managers to help define their project-specificrequirements and establish the foundation on which to build their MIS.","call-number":"1","container-title":"Journal of Management in Engineering","DOI":"10.1061/(ASCE)9742-597X(1994)10:1(37)","ISSN":"0742-597X, 1943-5479","issue":"1","journalAbbreviation":"J. Manage. Eng.","language":"en","page":"37-42","source":"7.4","title":"Establishing management information systems for multiproject programs","volume":"10","author":[{"family":"Zapalac","given":"Russell"},{"family":"Kuemmler","given":"Karen"},{"family":"Malagon","given":"Tim"}],"issued":{"date-parts":[["1994",1]]}}},{"id":1850,"uris":["http://zotero.org/users/13172592/items/54DC6TVI"],"itemData":{"id":1850,"type":"article-journal","abstract":"This paper is about intelligent Program Management Information System (iPMIS) to support decisionmaking and management of urban renewal mega projects over their life cycle in Korea. Program management focuses on soft issues i.e. benefits, stakeholders, and governance. A challenge is the diversity of urban renewal projects in terms of process and organization structure. The authors clarify the general requirements of systems to support program management while coping with diversity as follows: openness, clearness, convenience and consistency. As solutions, the authors present a conceptual model for iPMIS featuring the following characteristics: a web-based platform in which general modules and external integrated Geographic Information System (GIS) with decision support logical models are operated; interfaces; cooperative operating IT and IS in urban planning and construction; and a protocol for managing data cooperatively at the level of nation, district, project and facility. Two main unique features are: a user-created ontological process map that provides the operation scenario and menus of the iPMIS; and plug &amp; play techniques by which modules are selected and then operated immediately. These core concepts have been implemented as a prototype system and have been applied to a real construction project. The evaluation result shows that this technique can reduce systems implementation time by 90%.","call-number":"4","container-title":"Journal of Asian Architecture and Building Engineering","DOI":"10.3130/jaabe.8.57","ISSN":"1346-7581, 1347-2852","issue":"1","journalAbbreviation":"Journal of Asian Architecture and Building Engineering","language":"en","note":"TLDR: The authors present a conceptual model for iPMIS featuring a web-based platform in which general modules and external integrated Geographic Information System with decision support logical models are operated; interfaces; cooperative operating IT and IS in urban planning and construction; and a protocol for managing data cooperatively at the level of nation, district, project and facility.","page":"57-64","source":"1.3","title":"A conceptual model of intelligent program management information systems (iPMIS) for urban renewal mega projects in Korea","volume":"8","author":[{"family":"Kim","given":"Ju-Hyung"},{"family":"Yoon","given":"Ja-Young"},{"family":"Kim","given":"Kyung-Hwan"},{"family":"Kim","given":"Jae-Jun"}],"issued":{"date-parts":[["2009",5]]}}}],"schema":"https://github.com/citation-style-language/schema/raw/master/csl-citation.json"} </w:instrText>
      </w:r>
      <w:r w:rsidR="008A61D6">
        <w:fldChar w:fldCharType="separate"/>
      </w:r>
      <w:r w:rsidR="008A61D6" w:rsidRPr="00E17813">
        <w:rPr>
          <w:rFonts w:cs="Times New Roman"/>
          <w:kern w:val="0"/>
          <w:vertAlign w:val="superscript"/>
        </w:rPr>
        <w:t>[17</w:t>
      </w:r>
      <w:r w:rsidR="008A61D6">
        <w:rPr>
          <w:rFonts w:cs="Times New Roman"/>
          <w:kern w:val="0"/>
          <w:vertAlign w:val="superscript"/>
        </w:rPr>
        <w:t>-</w:t>
      </w:r>
      <w:r w:rsidR="008A61D6" w:rsidRPr="00E17813">
        <w:rPr>
          <w:rFonts w:cs="Times New Roman"/>
          <w:kern w:val="0"/>
          <w:vertAlign w:val="superscript"/>
        </w:rPr>
        <w:t>18]</w:t>
      </w:r>
      <w:r w:rsidR="008A61D6">
        <w:fldChar w:fldCharType="end"/>
      </w:r>
      <w:r w:rsidRPr="00BA516A">
        <w:rPr>
          <w:rFonts w:hint="eastAsia"/>
          <w:bCs/>
        </w:rPr>
        <w:t>。此外，业主通过对市场变化、政策调整和各子项目需求的敏锐感知，快速响应外部变化，能够保障外部知识、技术的及时引入，并促进资源配置的动态调整与优化</w:t>
      </w:r>
      <w:r w:rsidR="008A61D6" w:rsidRPr="0093489A">
        <w:fldChar w:fldCharType="begin"/>
      </w:r>
      <w:r w:rsidR="008A61D6">
        <w:instrText xml:space="preserve"> ADDIN ZOTERO_ITEM CSL_CITATION {"citationID":"sEMJXiGu","properties":{"formattedCitation":"\\super [55]\\nosupersub{}","plainCitation":"[55]","noteIndex":0},"citationItems":[{"id":2358,"uris":["http://zotero.org/users/13172592/items/E9Z93RH2"],"itemData":{"id":2358,"type":"article-journal","call-number":"4","container-title":"Journal of Asian Architecture and Building Engineering","DOI":"10.1080/13467581.2024.2329357","ISSN":"1346-7581, 1347-2852","journalAbbreviation":"Journal of Asian Architecture and Building Engineering","language":"en","page":"1-16","source":"1.3","title":"Effect of resource integration on organizational resilience of megaprojects: Role of dynamic capability and resource availability","title-short":"Effect of resource integration on organizational resilience of megaprojects","author":[{"family":"Wang","given":"Dedong"},{"family":"Zhao","given":"Xiaoru"}],"issued":{"date-parts":[["2024",3,17]]}}}],"schema":"https://github.com/citation-style-language/schema/raw/master/csl-citation.json"} </w:instrText>
      </w:r>
      <w:r w:rsidR="008A61D6" w:rsidRPr="0093489A">
        <w:fldChar w:fldCharType="separate"/>
      </w:r>
      <w:r w:rsidR="008A61D6" w:rsidRPr="00E17813">
        <w:rPr>
          <w:rFonts w:cs="Times New Roman"/>
          <w:kern w:val="0"/>
          <w:vertAlign w:val="superscript"/>
        </w:rPr>
        <w:t>[55]</w:t>
      </w:r>
      <w:r w:rsidR="008A61D6" w:rsidRPr="0093489A">
        <w:fldChar w:fldCharType="end"/>
      </w:r>
      <w:r w:rsidRPr="00BA516A">
        <w:rPr>
          <w:rFonts w:hint="eastAsia"/>
          <w:bCs/>
        </w:rPr>
        <w:t>。基于此，提出假设</w:t>
      </w:r>
      <w:r w:rsidRPr="00BA516A">
        <w:rPr>
          <w:rFonts w:hint="eastAsia"/>
          <w:bCs/>
        </w:rPr>
        <w:t>5</w:t>
      </w:r>
      <w:r w:rsidRPr="00BA516A">
        <w:rPr>
          <w:rFonts w:hint="eastAsia"/>
          <w:bCs/>
        </w:rPr>
        <w:t>（</w:t>
      </w:r>
      <w:r w:rsidRPr="00BA516A">
        <w:rPr>
          <w:rFonts w:hint="eastAsia"/>
          <w:bCs/>
        </w:rPr>
        <w:t>H5</w:t>
      </w:r>
      <w:r w:rsidRPr="00BA516A">
        <w:rPr>
          <w:rFonts w:hint="eastAsia"/>
          <w:bCs/>
        </w:rPr>
        <w:t>）：</w:t>
      </w:r>
    </w:p>
    <w:p w14:paraId="10EC77A0" w14:textId="7EB09030" w:rsidR="00BA516A" w:rsidRPr="00BA516A" w:rsidRDefault="00BA516A" w:rsidP="00BA516A">
      <w:pPr>
        <w:ind w:firstLine="422"/>
        <w:rPr>
          <w:bCs/>
        </w:rPr>
      </w:pPr>
      <w:r w:rsidRPr="00BA516A">
        <w:rPr>
          <w:rFonts w:hint="eastAsia"/>
          <w:b/>
          <w:bCs/>
        </w:rPr>
        <w:t>H5</w:t>
      </w:r>
      <w:r w:rsidRPr="00BA516A">
        <w:rPr>
          <w:rFonts w:hint="eastAsia"/>
          <w:b/>
          <w:bCs/>
        </w:rPr>
        <w:t>：</w:t>
      </w:r>
      <w:r w:rsidRPr="00BA516A">
        <w:rPr>
          <w:rFonts w:hint="eastAsia"/>
          <w:bCs/>
        </w:rPr>
        <w:t>清洁能源基地良好的业主项目群管理能力能够提升资源配置水平。</w:t>
      </w:r>
    </w:p>
    <w:p w14:paraId="19C5B2DA" w14:textId="58EA8CE3" w:rsidR="00BC1DF7" w:rsidRDefault="00873BC4" w:rsidP="00873BC4">
      <w:pPr>
        <w:pStyle w:val="3"/>
      </w:pPr>
      <w:r>
        <w:rPr>
          <w:rFonts w:hint="eastAsia"/>
        </w:rPr>
        <w:t>伙伴关系</w:t>
      </w:r>
    </w:p>
    <w:p w14:paraId="506B121D" w14:textId="46DA7E38" w:rsidR="00BC1DF7" w:rsidRDefault="00873BC4" w:rsidP="00BC1DF7">
      <w:pPr>
        <w:ind w:firstLine="420"/>
      </w:pPr>
      <w:r w:rsidRPr="00E46326">
        <w:rPr>
          <w:rFonts w:hint="eastAsia"/>
        </w:rPr>
        <w:t>伙伴关系</w:t>
      </w:r>
      <w:r>
        <w:rPr>
          <w:rFonts w:hint="eastAsia"/>
        </w:rPr>
        <w:t>（</w:t>
      </w:r>
      <w:r>
        <w:rPr>
          <w:rFonts w:hint="eastAsia"/>
        </w:rPr>
        <w:t>Partnering</w:t>
      </w:r>
      <w:r>
        <w:rPr>
          <w:rFonts w:hint="eastAsia"/>
        </w:rPr>
        <w:t>）</w:t>
      </w:r>
      <w:r w:rsidRPr="00E46326">
        <w:rPr>
          <w:rFonts w:hint="eastAsia"/>
        </w:rPr>
        <w:t>指项目各</w:t>
      </w:r>
      <w:r>
        <w:rPr>
          <w:rFonts w:hint="eastAsia"/>
        </w:rPr>
        <w:t>利益相关方</w:t>
      </w:r>
      <w:r w:rsidRPr="00E46326">
        <w:rPr>
          <w:rFonts w:hint="eastAsia"/>
        </w:rPr>
        <w:t>基于共同目标，构建的长期互信合作关系</w:t>
      </w:r>
      <w:r>
        <w:fldChar w:fldCharType="begin"/>
      </w:r>
      <w:r w:rsidR="00E17813">
        <w:instrText xml:space="preserve"> ADDIN ZOTERO_ITEM CSL_CITATION {"citationID":"a11ma01e0rh","properties":{"formattedCitation":"\\super [46]\\nosupersub{}","plainCitation":"[46]","noteIndex":0},"citationItems":[{"id":2584,"uris":["http://zotero.org/users/13172592/items/LUC3WH29","http://zotero.org/users/13172592/items/SB8X9A3C"],"itemData":{"id":2584,"type":"article-journal","archive_location":"WOS:000235671300002","call-number":"2","container-title":"Journal of Construction Engineering and Management","DOI":"10.1061/(ASCE)0733-9364(2006)132:3(217)","ISSN":"0733-9364","issue":"3","language":"en","page":"217-229","source":"5.1","title":"Partnering mechanism in construction: An empirical study on the Chinese construction industry","volume":"132","author":[{"family":"Tang","given":"WZ"},{"family":"Duffield","given":"CF"},{"family":"Young","given":"DM"}],"issued":{"date-parts":[["2006",3]]}}}],"schema":"https://github.com/citation-style-language/schema/raw/master/csl-citation.json"} </w:instrText>
      </w:r>
      <w:r>
        <w:fldChar w:fldCharType="separate"/>
      </w:r>
      <w:r w:rsidR="00E17813" w:rsidRPr="00E17813">
        <w:rPr>
          <w:rFonts w:cs="Times New Roman"/>
          <w:kern w:val="0"/>
          <w:vertAlign w:val="superscript"/>
        </w:rPr>
        <w:t>[46]</w:t>
      </w:r>
      <w:r>
        <w:fldChar w:fldCharType="end"/>
      </w:r>
      <w:r>
        <w:rPr>
          <w:rFonts w:hint="eastAsia"/>
        </w:rPr>
        <w:t>。清洁能源基地开发涉及利益相关方众多，包括</w:t>
      </w:r>
      <w:r w:rsidRPr="00E46326">
        <w:rPr>
          <w:rFonts w:hint="eastAsia"/>
        </w:rPr>
        <w:t>业主、政府部门、电网公司、设计单位、施工单位、监理单位、材料设备供应单位、用电方等</w:t>
      </w:r>
      <w:r>
        <w:rPr>
          <w:highlight w:val="yellow"/>
        </w:rPr>
        <w:fldChar w:fldCharType="begin"/>
      </w:r>
      <w:r w:rsidR="00E17813">
        <w:rPr>
          <w:highlight w:val="yellow"/>
        </w:rPr>
        <w:instrText xml:space="preserve"> ADDIN ZOTERO_ITEM CSL_CITATION {"citationID":"a1bc0c720n1","properties":{"formattedCitation":"\\super [75]\\nosupersub{}","plainCitation":"[75]","noteIndex":0},"citationItems":[{"id":2995,"uris":["http://zotero.org/users/13172592/items/W9LENCGE"],"itemDa</w:instrText>
      </w:r>
      <w:r w:rsidR="00E17813">
        <w:rPr>
          <w:rFonts w:hint="eastAsia"/>
          <w:highlight w:val="yellow"/>
        </w:rPr>
        <w:instrText>ta":{"id":2995,"type":"thesis","event-place":"</w:instrText>
      </w:r>
      <w:r w:rsidR="00E17813">
        <w:rPr>
          <w:rFonts w:hint="eastAsia"/>
          <w:highlight w:val="yellow"/>
        </w:rPr>
        <w:instrText>北京</w:instrText>
      </w:r>
      <w:r w:rsidR="00E17813">
        <w:rPr>
          <w:rFonts w:hint="eastAsia"/>
          <w:highlight w:val="yellow"/>
        </w:rPr>
        <w:instrText>","language":"en-US","publisher":"</w:instrText>
      </w:r>
      <w:r w:rsidR="00E17813">
        <w:rPr>
          <w:rFonts w:hint="eastAsia"/>
          <w:highlight w:val="yellow"/>
        </w:rPr>
        <w:instrText>清华大学</w:instrText>
      </w:r>
      <w:r w:rsidR="00E17813">
        <w:rPr>
          <w:rFonts w:hint="eastAsia"/>
          <w:highlight w:val="yellow"/>
        </w:rPr>
        <w:instrText>","publisher-place":"</w:instrText>
      </w:r>
      <w:r w:rsidR="00E17813">
        <w:rPr>
          <w:rFonts w:hint="eastAsia"/>
          <w:highlight w:val="yellow"/>
        </w:rPr>
        <w:instrText>北京</w:instrText>
      </w:r>
      <w:r w:rsidR="00E17813">
        <w:rPr>
          <w:rFonts w:hint="eastAsia"/>
          <w:highlight w:val="yellow"/>
        </w:rPr>
        <w:instrText>","title":"</w:instrText>
      </w:r>
      <w:r w:rsidR="00E17813">
        <w:rPr>
          <w:rFonts w:hint="eastAsia"/>
          <w:highlight w:val="yellow"/>
        </w:rPr>
        <w:instrText>清洁能源项目风险管理研究</w:instrText>
      </w:r>
      <w:r w:rsidR="00E17813">
        <w:rPr>
          <w:rFonts w:hint="eastAsia"/>
          <w:highlight w:val="yellow"/>
        </w:rPr>
        <w:instrText>","author":[{"family":"</w:instrText>
      </w:r>
      <w:r w:rsidR="00E17813">
        <w:rPr>
          <w:rFonts w:hint="eastAsia"/>
          <w:highlight w:val="yellow"/>
        </w:rPr>
        <w:instrText>娄长圣</w:instrText>
      </w:r>
      <w:r w:rsidR="00E17813">
        <w:rPr>
          <w:rFonts w:hint="eastAsia"/>
          <w:highlight w:val="yellow"/>
        </w:rPr>
        <w:instrText>","given":""}],"issued":{"date-parts":[["2024"]]}}}],"schema":"https://github.com/citation-style-</w:instrText>
      </w:r>
      <w:r w:rsidR="00E17813">
        <w:rPr>
          <w:highlight w:val="yellow"/>
        </w:rPr>
        <w:instrText xml:space="preserve">language/schema/raw/master/csl-citation.json"} </w:instrText>
      </w:r>
      <w:r>
        <w:rPr>
          <w:highlight w:val="yellow"/>
        </w:rPr>
        <w:fldChar w:fldCharType="separate"/>
      </w:r>
      <w:r w:rsidR="00E17813" w:rsidRPr="00E17813">
        <w:rPr>
          <w:rFonts w:cs="Times New Roman"/>
          <w:kern w:val="0"/>
          <w:vertAlign w:val="superscript"/>
        </w:rPr>
        <w:t>[75]</w:t>
      </w:r>
      <w:r>
        <w:rPr>
          <w:highlight w:val="yellow"/>
        </w:rPr>
        <w:fldChar w:fldCharType="end"/>
      </w:r>
      <w:r>
        <w:rPr>
          <w:rFonts w:hint="eastAsia"/>
        </w:rPr>
        <w:t>。构建利益相关方间良好的</w:t>
      </w:r>
      <w:r w:rsidRPr="00E46326">
        <w:rPr>
          <w:rFonts w:hint="eastAsia"/>
        </w:rPr>
        <w:t>伙伴关系</w:t>
      </w:r>
      <w:r>
        <w:rPr>
          <w:rFonts w:hint="eastAsia"/>
        </w:rPr>
        <w:t>，有助于推进</w:t>
      </w:r>
      <w:r w:rsidRPr="00E46326">
        <w:rPr>
          <w:rFonts w:hint="eastAsia"/>
        </w:rPr>
        <w:t>风险管理、全面质量管理</w:t>
      </w:r>
      <w:r>
        <w:rPr>
          <w:rFonts w:hint="eastAsia"/>
        </w:rPr>
        <w:t>以及</w:t>
      </w:r>
      <w:r w:rsidRPr="00E46326">
        <w:rPr>
          <w:rFonts w:hint="eastAsia"/>
        </w:rPr>
        <w:t>激励</w:t>
      </w:r>
      <w:r>
        <w:rPr>
          <w:rFonts w:hint="eastAsia"/>
        </w:rPr>
        <w:t>机制实施</w:t>
      </w:r>
      <w:r>
        <w:fldChar w:fldCharType="begin"/>
      </w:r>
      <w:r w:rsidR="00E17813">
        <w:instrText xml:space="preserve"> ADDIN ZOTERO_ITEM CSL_CITATION {"citationID":"a2pfuk0n60c","properties":{"formattedCitation":"\\super [56,76]\\nosupersub{}","plainCitation":"[56,76]","noteIndex":0},"citationItems":[{"id":2571,"uris":["http://zotero.org/users/13172592/items/5TZA5KFQ"],"itemData":{"id":2571,"type":"article-journal","abstract":"Total quality management (TQM) has increasingly been introduced into the construction industry across many countries as an improvement strategy, but there are many barriers impeding its effectiveness in implementation. Many researchers pointed out that partnering can facilitate TQM application, yet the quintessential nature on the linkage between the two techniques is still not clear due to a lack of rigorous verifiable empirical evidence. With support of the data collected from a survey of the Chinese construction industry, together with a case study of the Three Gorges Dam Project, this study reveals the mechanism of how partnering, associated with incentives, can enhance the implementation of TQM into the construction industry. It is concluded that partnering can enhance TQM largely due to enhancing the links across the boundaries of organizations within a trust environment; and the impacts of incentives on TQM are through both aligning strong motivations to encourage participants using the established links efficiently and aligning the necessary financial resources for participants to directly assist the investment on improving TQM. Further studies should be conducted to build optimum links and alignments among all project participants to ensure intraorganizational TQM activities are congruent with the interorganizational interactions, which require future project organizations to change in order to fit this.","archive_location":"WOS:000269848700003","container-title":"Journal of Professional Issues in Engineering Education and Practice","DOI":"10.1061/(ASCE)1052-3928(2009)135:4(129)","ISSN":"1052-3928","issue":"4","language":"en","page":"129-141","title":"Enhancing total quality management by partnering in construction","volume":"135","author":[{"family":"Tang","given":"WZ"},{"family":"Qiang","given":"MS"},{"family":"Duffield","given":"CF"},{"family":"Young","given":"DM"},{"family":"Lu","given":"YM"}],"issued":{"date-parts":[["2009",10]]}}},{"id":3707,"uris":["http://zotero.org/users/13172592/items/8BFVII23"],"itemData":{"id":3707,"type":"article-journal","abstract":"There is a rapidly increasing demand for hydropower in China. However, little research has been conducted to systematically investigate the overall aspects of hydropower development risks. With support of the data collected from a fieldwork survey, this study reports the multiple facets of hydropower development risks in China as perceived by main project participants. All groups have a common view on the criticality of safety, and the groups also have their own priorities, i.e., resettlement of migrants, incompetence of subcontractors, project delay, inadequate or incorrect design, premature failure of facilities and ecological and environmental impacts are the key risks to clients, whereas quality of work, financial related risks, reputation, and claims and disputes are the main concerns to contractors. A case study of Three Gorges Project further demonstrates that, hydropower development risks can be effectively managed by encouraging joint efforts of all participants to achieve the goals on producing renewable energy, reducing emissions of CO2, and providing important social/economical benefits. Future hydropower development should emphasize the interactions between project delivery, environmental, and economical processes to reach appropriate trade-offs among involving stakeholders, by adequately considering the inter-relations between project participants' risks as well as hydropower project's externalities on a broad view.","call-number":"1","container-title":"Energy","DOI":"10.1016/j.energy.2013.08.034","ISSN":"0360-5442","journalAbbreviation":"Energy","language":"en","page":"316-324","source":"9","title":"Risk management of hydropower development in China","volume":"60","author":[{"family":"Tang","given":"Wenzhe"},{"family":"Li","given":"Zhuoyu"},{"family":"Qiang","given":"Maoshan"},{"family":"Wang","given":"Shuli"},{"family":"Lu","given":"Youmei"}],"issued":{"date-parts":[["2013",10,1]]}}}],"schema":"https://github.com/citation-style-language/schema/raw/master/csl-citation.json"} </w:instrText>
      </w:r>
      <w:r>
        <w:fldChar w:fldCharType="separate"/>
      </w:r>
      <w:r w:rsidR="00E17813" w:rsidRPr="00E17813">
        <w:rPr>
          <w:rFonts w:cs="Times New Roman"/>
          <w:kern w:val="0"/>
          <w:vertAlign w:val="superscript"/>
        </w:rPr>
        <w:t>[56,76]</w:t>
      </w:r>
      <w:r>
        <w:fldChar w:fldCharType="end"/>
      </w:r>
      <w:r>
        <w:rPr>
          <w:rFonts w:hint="eastAsia"/>
        </w:rPr>
        <w:t>，提升设计、施工与采购水平，并最终作用于</w:t>
      </w:r>
      <w:r w:rsidRPr="00E46326">
        <w:rPr>
          <w:rFonts w:hint="eastAsia"/>
        </w:rPr>
        <w:t>项目绩效</w:t>
      </w:r>
      <w:r>
        <w:fldChar w:fldCharType="begin"/>
      </w:r>
      <w:r w:rsidR="00E17813">
        <w:instrText xml:space="preserve"> ADDIN ZOTERO_ITEM CSL_CITATION {"citationID":"a936mqcah7","properties":{"formattedCitation":"\\super [77\\uc0\\u8211{}79]\\nosupersub{}","plainCitation":"[77–79]","noteIndex":0},"citationItems":[{"id":168,"uris":["http://zotero.org/users/13172592/items/YXXHHZPX"],"itemData":{"id":168,"type":"article-journal","abstract":"The engineer–procure–construct (EPC) approach has been increasingly adopted in international markets, in which contractors need to have adequate capabilities in effectively dealing with a wide range of risks in a complex environment that consists of various stakeholders. Many researchers have embraced the strategy of partnering to integrate diverse project delivery activities by meeting the needs of all project participants. However, limited research has addressed the cause–effect relationships among partnering, risk management, and organizational capability on how performance improvements can be generated from them on a holistic view. This study systematically investigates the causal relationships among these themes by establishing and testing a conceptual model. With the support of data collected from Chinese contractors with experience in delivering EPC projects by questionnaire, interview, and a case study, the results provide empirical evidences on contractors' partnering application degree, strength, and weakness of organizational capabilities, overall picture of risk management, and project performance level, which form a sound basis for contractors' decision making during project implementation. This study further reveals that partnering can not only directly facilitate organizational capability and risk management but also exert its inﬂuence on risk management through enhanced organizational capability, thereby improving project performance. The above insights suggest research and practical emphases on combining risk management with partnering principles to assist in both intra- and inter-organizational activities, and contractors' appropriate linking with involved stakeholders to obtain necessary resources and effectively transfer them for successfully delivering international EPC projects.","container-title":"International Journal of Project Management","DOI":"10.1016/j.ijproman.2015.09.003","ISSN":"02637863","issue":"1","journalAbbreviation":"International Journal of Project Management","language":"en","page":"30-43","source":"DOI.org (Crossref)","title":"Enhancing engineer–procure–construct project performance by partnering in international markets: Perspective from Chinese construction companies","title-short":"Enhancing engineer–procure–construct project performance by partnering in international markets","volume":"34","author":[{"family":"Du","given":"Lei"},{"family":"Tang","given":"Wenzhe"},{"family":"Liu","given":"Chunna"},{"family":"Wang","given":"Shuli"},{"family":"Wang","given":"Tengfei"},{"family":"Shen","given":"Wenxin"},{"family":"Huang","given":"Min"},{"family":"Zhou","given":"Yongzhi"}],"issued":{"date-parts":[["2016",1]]}}},{"id":4096,"uris":["http://zotero.org/users/13172592/items/BLPYXAW5","http://zotero.org/users/13172592/items/QRNWAFXT"],"itemData":{"id":4096,"type":"article-journal","abstract":"Hydropower, as a renewable energy resource, has become an important way to ﬁt for Chinese long-term energy policy of energy transformation. Engineering–procurement–construction (EPC) has been increasingly adopted for improving hydropower project delivery efﬁciency in the utilization of water resources and generation of clean energy, where design plays a critical role in project success. Existing studies advocate the need to use partnering for better solutions to designs in EPC hydropower projects. However, there is a lack of a theoretical framework to systematically address design-related issues considering different participants’ interactions. This study coherently examined the causal relationships among partnering, design management, design capability, and EPC hydropower project performance by establishing and validating a conceptual model, with the support of data collected from a large-scale EPC hydropower project. Path analysis reveals that partnering can directly promote design management and design capability and exert an effect on design capability through enhancing design management, thereby achieving better hydropower project outcomes. This study’s contribution lies in that it theoretically builds the links between intraand inter-organizational design-related activities by systematically mapping EPC hydropower project performance on partnering, design management, and design capability. These ﬁndings also suggest broad practical strategies for participants to optimally integrate their complementary resources into designs to achieve superior hydropower project performance.","call-number":"3","container-title":"Water","DOI":"10.3390/w13233410","ISSN":"2073-4441","issue":"23","journalAbbreviation":"Water","language":"en","license":"https://creativecommons.org/licenses/by/4.0/","page":"3410","source":"3","title":"Improving design by partnering in engineering–procurement–construction (EPC) hydropower projects: A case study of a large-scale hydropower project in China","title-short":"Improving design by partnering in engineering–procurement–construction (EPC) hydropower projects","volume":"13","author":[{"family":"Liu","given":"Yang"},{"family":"Tang","given":"Wenzhe"},{"family":"Duffield","given":"Colin F."},{"family":"Hui","given":"Felix Kin Peng"},{"family":"Zhang","given":"Lihai"},{"family":"Zhang","given":"Xuteng"},{"family":"Kang","given":"Yanling"}],"issued":{"date-parts":[["2021",12,2]]}}},{"id":2569,"uris":["http://zotero.org/users/13172592/items/VCXERC3H"],"itemData":{"id":2569,"type":"article-journal","abstract":"Interface management has been viewed as one of the important organizational capabilities to promote coordination and integration among stakeholders in construction project delivery, especially for large-scale projects. This paper examines the role of formal governance, partnering, and organizational boundary activities and their interactions in interface management performance. An integrated framework with consideration of the influence of formal governance, partnering, and boundary activities on interface management performance and associated project outcomes was developed and empirically tested with data collected from 85 large-scale international projects. The results show that formal governance is the dominant determinant of interface management performance and can indirectly influence it through improving partnering and boundary activities. Partnering and boundary activities are also significant antecedents of interface management performance, which, in turn, improves project outcomes of large-scale construction projects. Formal governance and partnering mutually reinforce each other. Interface management performance is positively related to project outcomes in terms of quality, cost, and schedule. This empirical research contributes to the fundamental understanding of the critical factors that govern the interface management performance and, ultimately, the project outcomes. In addition, the outcomes of this study highlighted the broad managerial implications for participants in large-scale projects.","archive_location":"WOS:000656447700015","call-number":"2","container-title":"Journal of Construction Engineering and Management","DOI":"10.1061/(ASCE)CO.1943-7862.0002101","ISSN":"0733-9364","issue":"7","language":"en","page":"04021064","source":"5.1","title":"Managing interfaces in large-scale projects: The roles of formal governance and partnering","volume":"147","author":[{"family":"Shen","given":"WX"},{"family":"Tang","given":"WZ"},{"family":"Wang","given":"YH"},{"family":"Duffield","given":"CF"},{"family":"Hui","given":"FKP"},{"family":"Zhang","given":"LH"}],"issued":{"date-parts":[["2021",7,1]]}}}],"schema":"https://github.com/citation-style-language/schema/raw/master/csl-citation.json"} </w:instrText>
      </w:r>
      <w:r>
        <w:fldChar w:fldCharType="separate"/>
      </w:r>
      <w:r w:rsidR="00E17813" w:rsidRPr="00E17813">
        <w:rPr>
          <w:rFonts w:cs="Times New Roman"/>
          <w:kern w:val="0"/>
          <w:vertAlign w:val="superscript"/>
        </w:rPr>
        <w:t>[77–79]</w:t>
      </w:r>
      <w:r>
        <w:fldChar w:fldCharType="end"/>
      </w:r>
      <w:r w:rsidRPr="00E46326">
        <w:rPr>
          <w:rFonts w:hint="eastAsia"/>
        </w:rPr>
        <w:t>。</w:t>
      </w:r>
    </w:p>
    <w:p w14:paraId="1471236F" w14:textId="65D0E1E2" w:rsidR="00873BC4" w:rsidRDefault="00873BC4" w:rsidP="00873BC4">
      <w:pPr>
        <w:ind w:firstLine="420"/>
      </w:pPr>
      <w:r>
        <w:t>完善的清洁能源基地管理制度为利益相关方之间的协作与沟通提供了制度化保障。完善的制度能够在建设和运行阶段明确各方的责任与权力，规范管理流程，减少责任推诿和合作中的不确定性</w:t>
      </w:r>
      <w:r>
        <w:fldChar w:fldCharType="begin"/>
      </w:r>
      <w:r w:rsidR="00E17813">
        <w:instrText xml:space="preserve"> ADDIN ZOTERO_ITEM CSL_CITATION {"citationID":"atha17a6bh","properties":{"formattedCitation":"\\super [62,80]\\nosupersub{}","plainCitation":"[62,80]","noteIndex":0},"citationItems":[{"id":3118,"uris":["http://zotero.org/users/13172592/items/U72NFJ32"],"itemData":{"id":3118,"type":"article-journal","abstract":"External program manager involvement can provide professional and systematic management services to owners. It can help to manage and coordinate different subprojects and ensure the achievement of the overall strategic goals of large projects. The promotion of external program manager involvement is not only efficiency-driven, but the institutional environment also has a significant impact. This study developed a theoretical model to explain how external program manager involvement is influenced by external institutional forces (coercive, mimetic, and normative pressures) and internal top management support. Based on a questionnaire survey, this study tested the research model through partial least-squares structural equation modeling. The empirical results revealed that coercive pressures have no significant impact on external program manager involvement; owners’ top management support acts as a complete mediator between the mimetic pressures and external program manager involvement; normative pressures have the greatest impact on top management support and external program manager involvement, and top management support plays a key but partially mediating role. A direct contribution of this study is to reveal how different types of isomorphic pressures can be better exercised to facilitate the involvement of external program managers. Going further, by incorporating both external institutional pressures and internal top management support into the research model, this study provides insight into how organizations are influenced by external institutions to apply tools or approaches internally. DOI: 10.1061/(ASCE)CO.1943-7862.0002306. © 2022 American Society of Civil Engineers.","call-number":"2","container-title":"Journal of Construction Engineering and Management","DOI":"10.1061/(ASCE)CO.1943-7862.0002306","ISSN":"0733-9364, 1943-7862","issue":"9","journalAbbreviation":"J. Constr. Eng. Manage.","language":"en","page":"04022079","source":"4.1","title":"Impact of institutional pressures on external program manager involvement: Evidence from large projects in China","title-short":"Impact of institutional pressures on external program manager involvement","volume":"148","author":[{"family":"Liu","given":"Mingqiang"},{"family":"Zhu","given":"Yongsong"},{"family":"Wei","given":"Jianjun"},{"family":"Le","given":"Yun"},{"family":"Zhang","given":"Xinyue"}],"issued":{"date-parts":[["2022",9]]}}},{"id":3189,"uris":["http://zotero.org/users/13172592/items/ZUSW8V2S"],"itemData":{"id":3189,"type":"article-journal","abstract":"Risk allocation decisions are of critical importance in project management. The present study proposes an explanation for how risk allocation in a contract motivates a contractor to cooperate with a project owner. Theories of risk allocation and trust were used to motivate the research. Using a survey methodology, we collected data concerning 124 construction projects in China. We found that risk allocation inﬂuenced the contractor’s role behavior through the contractor’s feeling of being trusted but not the contractor’s trust in the owner. Feeling of being trusted partially mediated the eﬀect of risk allocation on the contractor’s in-role (i.e., contractual) behavior and fully mediated the eﬀect on extra-role behavior. The study introduces a social and psychological view of the impacts of risk allocation to the project and engineering management literature. We contribute to theory by arguing and demonstrating the mediating eﬀect of trust on the relationship between risk allocation and contractor behavior. From a practical standpoint, we conclude that contractual risk allocation has a signiﬁcant impact on building a trusting relationship between owners and contractors and that contractors who feel trusted perform both contractually mandated actions and actions external to the contract more diligently, resulting in the likelihood of improved outcomes for both parties.","call-number":"4","container-title":"Engineering Management Journal","DOI":"10.1080/10429247.2017.1408388","ISSN":"1042-9247, 2377-0643","issue":"1","journalAbbreviation":"Engineering Management Journal","language":"en","page":"14-23","source":"1.9","title":"Owner’s risk allocation and contractor’s role behavior in a project: A parallel-mediation model","title-short":"Owner’s risk allocation and contractor’s role behavior in a project","volume":"30","author":[{"family":"Xu","given":"Zhichao"},{"family":"Yin","given":"Yilin"},{"family":"Li","given":"Dahui"},{"family":"Browne","given":"Glenn J."}],"issued":{"date-parts":[["2018",1,2]]}}}],"schema":"https://github.com/citation-style-language/schema/raw/master/csl-citation.json"} </w:instrText>
      </w:r>
      <w:r>
        <w:fldChar w:fldCharType="separate"/>
      </w:r>
      <w:r w:rsidR="00E17813" w:rsidRPr="00E17813">
        <w:rPr>
          <w:rFonts w:cs="Times New Roman"/>
          <w:kern w:val="0"/>
          <w:vertAlign w:val="superscript"/>
        </w:rPr>
        <w:t>[62,80]</w:t>
      </w:r>
      <w:r>
        <w:fldChar w:fldCharType="end"/>
      </w:r>
      <w:r>
        <w:t>。数字化管理制度通过优化信息平台的</w:t>
      </w:r>
      <w:r>
        <w:rPr>
          <w:rFonts w:hint="eastAsia"/>
        </w:rPr>
        <w:t>信息</w:t>
      </w:r>
      <w:r>
        <w:t>流通与共享机制</w:t>
      </w:r>
      <w:r>
        <w:rPr>
          <w:rFonts w:hint="eastAsia"/>
        </w:rPr>
        <w:t>，提高沟通效率，</w:t>
      </w:r>
      <w:r>
        <w:t>为伙伴关系的建立提供了技术</w:t>
      </w:r>
      <w:r>
        <w:rPr>
          <w:rFonts w:hint="eastAsia"/>
        </w:rPr>
        <w:t>支撑</w:t>
      </w:r>
      <w:r>
        <w:fldChar w:fldCharType="begin"/>
      </w:r>
      <w:r w:rsidR="00E17813">
        <w:instrText xml:space="preserve"> ADDIN ZOTERO_ITEM CSL_CITATION {"citationID":"av221ilq5l","properties":{"formattedCitation":"\\super [18,81]\\nosupersub{}","plainCitation":"[18,81]","noteIndex":0},"citationItems":[{"id":1850,"uris":["http://zotero.org/users/13172592/items/54DC6TVI"],"itemData":{"id":1850,"type":"article-journal","abstract":"This paper is about intelligent Program Management Information System (iPMIS) to support decisionmaking and management of urban renewal mega projects over their life cycle in Korea. Program management focuses on soft issues i.e. benefits, stakeholders, and governance. A challenge is the diversity of urban renewal projects in terms of process and organization structure. The authors clarify the general requirements of systems to support program management while coping with diversity as follows: openness, clearness, convenience and consistency. As solutions, the authors present a conceptual model for iPMIS featuring the following characteristics: a web-based platform in which general modules and external integrated Geographic Information System (GIS) with decision support logical models are operated; interfaces; cooperative operating IT and IS in urban planning and construction; and a protocol for managing data cooperatively at the level of nation, district, project and facility. Two main unique features are: a user-created ontological process map that provides the operation scenario and menus of the iPMIS; and plug &amp; play techniques by which modules are selected and then operated immediately. These core concepts have been implemented as a prototype system and have been applied to a real construction project. The evaluation result shows that this technique can reduce systems implementation time by 90%.","call-number":"4","container-title":"Journal of Asian Architecture and Building Engineering","DOI":"10.3130/jaabe.8.57","ISSN":"1346-7581, 1347-2852","issue":"1","journalAbbreviation":"Journal of Asian Architecture and Building Engineering","language":"en","note":"TLDR: The authors present a conceptual model for iPMIS featuring a web-based platform in which general modules and external integrated Geographic Information System with decision support logical models are operated; interfaces; cooperative operating IT and IS in urban planning and construction; and a protocol for managing data cooperatively at the level of nation, district, project and facility.","page":"57-64","source":"1.3","title":"A conceptual model of intelligent program management information systems (iPMIS) for urban renewal mega projects in Korea","volume":"8","author":[{"family":"Kim","given":"Ju-Hyung"},{"family":"Yoon","given":"Ja-Young"},{"family":"Kim","given":"Kyung-Hwan"},{"family":"Kim","given":"Jae-Jun"}],"issued":{"date-parts":[["2009",5]]}}},{"id":4108,"uris":["http://zotero.org/users/13172592/items/G7XBNCZY"],"itemData":{"id":4108,"type":"article-journal","abstract":"BIM has been widely used in project management, but on the whole the applications have been scattered and the BIM models have not been deployed throughout the whole project life-cycle. Each participant builds their own BIM, so there is a major problem in how to integrate these dynamic and fragmented data together. In order to solve this problem, this paper focuses on BIM-based life-cycle information management and builds a framework for BIM-enabled life-cycle information management. To organize the life-cycle information well, the information components and information flow during the project life-cycle are defined. Then, the application of BIM in life-cycle information management is analysed. This framework will provide a unified platform for information management and ensure data integrity.","container-title":"International Journal of Advanced Robotic Systems","DOI":"10.5772/58445","ISSN":"1729-8806","issue":"8","language":"en","note":"publisher: SAGE Publications\nTLDR: A framework for BIM-enabled life-cycle information management is built and will provide a unified platform for information management and ensure data integrity.","page":"126","source":"2.1","title":"A framework for BIM-enabled life-cycle information management of construction project","volume":"11","author":[{"family":"Xu","given":"Xun"},{"family":"Ma","given":"Ling"},{"family":"Ding","given":"Lieyun"}],"issued":{"date-parts":[["2014",8,1]]}}}],"schema":"https://github.com/citation-style-language/schema/raw/master/csl-citation.json"} </w:instrText>
      </w:r>
      <w:r>
        <w:fldChar w:fldCharType="separate"/>
      </w:r>
      <w:r w:rsidR="00E17813" w:rsidRPr="00E17813">
        <w:rPr>
          <w:rFonts w:cs="Times New Roman"/>
          <w:kern w:val="0"/>
          <w:vertAlign w:val="superscript"/>
        </w:rPr>
        <w:t>[18,81]</w:t>
      </w:r>
      <w:r>
        <w:fldChar w:fldCharType="end"/>
      </w:r>
      <w:r>
        <w:rPr>
          <w:rFonts w:hint="eastAsia"/>
        </w:rPr>
        <w:t>。</w:t>
      </w:r>
      <w:r>
        <w:t>公平</w:t>
      </w:r>
      <w:r>
        <w:rPr>
          <w:rFonts w:hint="eastAsia"/>
        </w:rPr>
        <w:t>合理的</w:t>
      </w:r>
      <w:r>
        <w:t>考核评价体系</w:t>
      </w:r>
      <w:r>
        <w:rPr>
          <w:rFonts w:hint="eastAsia"/>
        </w:rPr>
        <w:t>则有助于鼓励</w:t>
      </w:r>
      <w:r w:rsidRPr="00A33000">
        <w:rPr>
          <w:rFonts w:hint="eastAsia"/>
        </w:rPr>
        <w:t>利益相关方</w:t>
      </w:r>
      <w:r>
        <w:rPr>
          <w:rFonts w:hint="eastAsia"/>
        </w:rPr>
        <w:t>履行</w:t>
      </w:r>
      <w:r w:rsidRPr="00A33000">
        <w:rPr>
          <w:rFonts w:hint="eastAsia"/>
        </w:rPr>
        <w:t>承诺</w:t>
      </w:r>
      <w:r>
        <w:rPr>
          <w:rFonts w:hint="eastAsia"/>
        </w:rPr>
        <w:t>，并重视与其他</w:t>
      </w:r>
      <w:r w:rsidRPr="00A33000">
        <w:rPr>
          <w:rFonts w:hint="eastAsia"/>
        </w:rPr>
        <w:t>利益相关方</w:t>
      </w:r>
      <w:r>
        <w:rPr>
          <w:rFonts w:hint="eastAsia"/>
        </w:rPr>
        <w:t>的协作；</w:t>
      </w:r>
      <w:r>
        <w:t>激励机制则</w:t>
      </w:r>
      <w:r>
        <w:rPr>
          <w:rFonts w:hint="eastAsia"/>
        </w:rPr>
        <w:t>能够</w:t>
      </w:r>
      <w:r>
        <w:t>通过激发合作积极性，</w:t>
      </w:r>
      <w:r>
        <w:rPr>
          <w:rFonts w:hint="eastAsia"/>
        </w:rPr>
        <w:t>推动</w:t>
      </w:r>
      <w:r>
        <w:t>伙伴关系的稳固发展</w:t>
      </w:r>
      <w:r>
        <w:fldChar w:fldCharType="begin"/>
      </w:r>
      <w:r w:rsidR="00E17813">
        <w:instrText xml:space="preserve"> ADDIN ZOTERO_ITEM CSL_CITATION {"citationID":"d5Fs49n0","properties":{"formattedCitation":"\\super [58,59]\\nosupersub{}","plainCitation":"[58,59]","noteIndex":0},"citationItems":[{"id":3641,"uris":["http://zotero.org/users/13172592/items/E8ZZWK6Q"],"itemData":{"id":3641,"type":"article-journal","abstract":"Public infrastructure projects must comply with the divergent and even conflicting demands of multiple institutional logics causing institutional complexity. Despite the increasing interest in different forms of complexities in projects, we lack empirical illustrations and rigorous theorizing of mechanisms for responding to institutional complexity. This paper demonstrates how public buyers of a tunnel construction project formed a hybrid organization of a multi-party project alliance to respond to institutional complexity. We delineate a process of temporary hybridization through which the competing logics of a bureaucratic state, corporate market, and multiple professions were combined within the temporary project alliance organization. Such temporary hybridization not only focused on selective coupling with external demands but also mitigated internal tensions. Our findings emphasize a blended organizational structure, jointly formed governance and incentive systems, and the facilitation of social interaction to build a temporary yet sustainable hybrid organization capable of combining conflicting institutional logics.","call-number":"1","collection-title":"Projects, Organizations and Institutions","container-title":"International Journal of Project Management","DOI":"10.1016/j.ijproman.2018.07.004","ISSN":"0263-7863","issue":"2","journalAbbreviation":"International Journal of Project Management","language":"en","page":"298-317","source":"7.4","title":"Politics, public servants, and profits: Institutional complexity and temporary hybridization in a public infrastructure alliance project","title-short":"Politics, public servants, and profits","volume":"37","author":[{"family":"Matinheikki","given":"Juri"},{"family":"Aaltonen","given":"Kirsi"},{"family":"Walker","given":"Derek"}],"issued":{"date-parts":[["2019",2,1]]}}},{"id":3643,"uris":["http://zotero.org/users/13172592/items/4AWXSLXW"],"itemData":{"id":3643,"type":"article-journal","abstract":"Understanding the drivers of low-carbon practices in green supply chain management in the construction industry is essential because it largely addresses the major problem of global warming due to carbon dioxide emissions. The purpose of this study is to investigate key drivers of low-carbon practices in green supply chain management in construction industry. Based on institutional theory, relational view theory, and self-determination theory, three drivers for low-carbon practices were identified, namely, environmental regulation, supply chain relationship, and organizational culture. Then a questionnaire was administered and data were collected from the owners, contractors, designers, and other relevant parties of the construction project. Partial least squares structural equation modeling was used to analyze data. The results show that supply chain relationship and organizational culture are positively and directly correlated with the low-carbon practices level of green supply chain management. In addition, this study also found that organizational culture partially mediates the relationship between supply chain relationship and low-carbon practices. Contrary to expectations, environmental regulation has no direct effect on practices, while supply chain relationship and organizational culture fully mediate the relationship between environmental regulation and practices. As limited research has been conducted to examine the drivers for green supply chain management low-carbon practices in the construction industry, this study bridges the knowledge gap and contributes to the current knowledge system of green supply chain management. Additionally, the findings of this study can provide authorities and practitioners with a deeper understanding of low-carbon practices in green supply chain management, and helping to propose more feasible measures to reduce carbon dioxide emissions and improve environmental performance.","call-number":"1","container-title":"Journal of Cleaner Production","DOI":"10.1016/j.jclepro.2023.139497","ISSN":"0959-6526","journalAbbreviation":"Journal of Cleaner Production","language":"en","page":"139497","source":"9.7","title":"Drivers of low-carbon practices in green supply chain management in construction industry: An empirical study in China","title-short":"Drivers of low-carbon practices in green supply chain management in construction industry","volume":"428","author":[{"family":"Fu","given":"Chun"},{"family":"Liu","given":"Ya-Qi"},{"family":"Shan","given":"Ming"}],"issued":{"date-parts":[["2023",11,20]]}}}],"schema":"https://github.com/citation-style-language/schema/raw/master/csl-citation.json"} </w:instrText>
      </w:r>
      <w:r>
        <w:fldChar w:fldCharType="separate"/>
      </w:r>
      <w:r w:rsidR="00E17813" w:rsidRPr="00E17813">
        <w:rPr>
          <w:rFonts w:cs="Times New Roman"/>
          <w:kern w:val="0"/>
          <w:vertAlign w:val="superscript"/>
        </w:rPr>
        <w:t>[58</w:t>
      </w:r>
      <w:r w:rsidR="00BA516A">
        <w:rPr>
          <w:rFonts w:cs="Times New Roman"/>
          <w:kern w:val="0"/>
          <w:vertAlign w:val="superscript"/>
        </w:rPr>
        <w:t>-</w:t>
      </w:r>
      <w:r w:rsidR="00E17813" w:rsidRPr="00E17813">
        <w:rPr>
          <w:rFonts w:cs="Times New Roman"/>
          <w:kern w:val="0"/>
          <w:vertAlign w:val="superscript"/>
        </w:rPr>
        <w:t>59]</w:t>
      </w:r>
      <w:r>
        <w:fldChar w:fldCharType="end"/>
      </w:r>
      <w:r>
        <w:t>。</w:t>
      </w:r>
      <w:r>
        <w:rPr>
          <w:rFonts w:hint="eastAsia"/>
        </w:rPr>
        <w:t>基于此，提出假设</w:t>
      </w:r>
      <w:r>
        <w:rPr>
          <w:rFonts w:hint="eastAsia"/>
        </w:rPr>
        <w:t>6</w:t>
      </w:r>
      <w:r>
        <w:rPr>
          <w:rFonts w:hint="eastAsia"/>
        </w:rPr>
        <w:t>（</w:t>
      </w:r>
      <w:r>
        <w:rPr>
          <w:rFonts w:hint="eastAsia"/>
        </w:rPr>
        <w:t>H6</w:t>
      </w:r>
      <w:r>
        <w:rPr>
          <w:rFonts w:hint="eastAsia"/>
        </w:rPr>
        <w:t>）：</w:t>
      </w:r>
    </w:p>
    <w:p w14:paraId="536920A8" w14:textId="77777777" w:rsidR="00873BC4" w:rsidRDefault="00873BC4" w:rsidP="00873BC4">
      <w:pPr>
        <w:ind w:firstLine="422"/>
      </w:pPr>
      <w:r w:rsidRPr="00873BC4">
        <w:rPr>
          <w:rFonts w:hint="eastAsia"/>
          <w:b/>
          <w:bCs/>
        </w:rPr>
        <w:t>H6</w:t>
      </w:r>
      <w:r w:rsidRPr="00873BC4">
        <w:rPr>
          <w:rFonts w:hint="eastAsia"/>
          <w:b/>
          <w:bCs/>
        </w:rPr>
        <w:t>：</w:t>
      </w:r>
      <w:r w:rsidRPr="00017B70">
        <w:rPr>
          <w:rFonts w:hint="eastAsia"/>
        </w:rPr>
        <w:t>清洁能源基地完善的管理制度</w:t>
      </w:r>
      <w:r>
        <w:rPr>
          <w:rFonts w:hint="eastAsia"/>
        </w:rPr>
        <w:t>能够提升</w:t>
      </w:r>
      <w:r w:rsidRPr="00761B3F">
        <w:rPr>
          <w:rFonts w:hint="eastAsia"/>
        </w:rPr>
        <w:t>各方间伙伴关系</w:t>
      </w:r>
      <w:r>
        <w:rPr>
          <w:rFonts w:hint="eastAsia"/>
        </w:rPr>
        <w:t>。</w:t>
      </w:r>
    </w:p>
    <w:p w14:paraId="781EABF3" w14:textId="2E83F629" w:rsidR="00873BC4" w:rsidRDefault="00873BC4" w:rsidP="00873BC4">
      <w:pPr>
        <w:ind w:firstLine="420"/>
      </w:pPr>
      <w:r>
        <w:rPr>
          <w:rFonts w:hint="eastAsia"/>
        </w:rPr>
        <w:t>在清洁能源基地开发过程中，</w:t>
      </w:r>
      <w:r w:rsidRPr="006D2BF0">
        <w:rPr>
          <w:rFonts w:hint="eastAsia"/>
        </w:rPr>
        <w:t>业主</w:t>
      </w:r>
      <w:r>
        <w:rPr>
          <w:rFonts w:hint="eastAsia"/>
        </w:rPr>
        <w:t>应与各</w:t>
      </w:r>
      <w:r w:rsidRPr="006D2BF0">
        <w:rPr>
          <w:rFonts w:hint="eastAsia"/>
        </w:rPr>
        <w:t>利益相关方</w:t>
      </w:r>
      <w:r>
        <w:rPr>
          <w:rFonts w:hint="eastAsia"/>
        </w:rPr>
        <w:t>建立良好的合作关系，促使各</w:t>
      </w:r>
      <w:r w:rsidRPr="006D2BF0">
        <w:rPr>
          <w:rFonts w:hint="eastAsia"/>
        </w:rPr>
        <w:t>利益相关方</w:t>
      </w:r>
      <w:r>
        <w:rPr>
          <w:rFonts w:hint="eastAsia"/>
        </w:rPr>
        <w:t>参与基地开发各环节。通过明确清洁能源基地与各子项目的开发目标，业主能够推动各</w:t>
      </w:r>
      <w:r w:rsidRPr="006D2BF0">
        <w:rPr>
          <w:rFonts w:hint="eastAsia"/>
        </w:rPr>
        <w:t>利益相关方</w:t>
      </w:r>
      <w:r>
        <w:rPr>
          <w:rFonts w:hint="eastAsia"/>
        </w:rPr>
        <w:t>对目标的一致认同</w:t>
      </w:r>
      <w:r>
        <w:fldChar w:fldCharType="begin"/>
      </w:r>
      <w:r w:rsidR="00E17813">
        <w:instrText xml:space="preserve"> ADDIN ZOTERO_ITEM CSL_CITATION {"citationID":"ame5tdol8f","properties":{"formattedCitation":"\\super [82]\\nosupersub{}","plainCitation":"[82]","noteIndex":0},"citationItems":[{"id":2567,"uris":["http://zotero.org/users/13172592/items/ZTQJ2U5I"],"itemData":{"id":2567,"type":"article-journal","abstract":"Hydropower development involves managing a network of diverse stakeholders. Owners play a critical part in effectively cooperating and establishing inter-organizational linking with stakeholders to achieve multiple project objectives. According to the data which is from the construction industry of hydropower in China, the research aims to investigate the causal relationships between cooperation with stakeholders and inter-organizational linking systematically, together with their impacts on the owners' social capital by developing and testing a conceptual model. Path analysis confirms that cooperation with stakeholders cannot only directly improve owners' social capital but also exert its influence on social capital through enhancement of inter-organizational linking, thereby improving project performance and winning external supports for owners' long-term development. Social network analysis shows that, from the perspective of owners, project stakeholders are clearly grouped into four clusters related to project feasibility, implementation, procurement and resettlement of migrants. These clusters reflect stakeholder's different roles and connections with each other in hydropower development. Understanding the above in-depth underlying relationships is fundamental for improving multi-organizational dynamics research to a state of the art, and help project participants to appropriately adopt cooperative strategies for maximizing the effectiveness of each stakeholder's resources. (C) 2018 Elsevier Ltd. All rights reserved.","archive_location":"WOS:000449892900028","call-number":"1","container-title":"Renewable Energy","DOI":"10.1016/j.renene.2018.07.137","ISSN":"0960-1481","language":"en","page":"326-334","source":"8.7","title":"Understanding the social network of stakeholders in hydropower project development: An owners' view","volume":"132","author":[{"family":"Wang","given":"SL"},{"family":"Shen","given":"WX"},{"family":"Tang","given":"WZ"},{"family":"Wang","given":"YH"},{"family":"Duffield","given":"CF"},{"family":"Hui","given":"FKP"}],"issued":{"date-parts":[["2019",3]]}}}],"schema":"https://github.com/citation-style-language/schema/raw/master/csl-citation.json"} </w:instrText>
      </w:r>
      <w:r>
        <w:fldChar w:fldCharType="separate"/>
      </w:r>
      <w:r w:rsidR="00E17813" w:rsidRPr="00E17813">
        <w:rPr>
          <w:rFonts w:cs="Times New Roman"/>
          <w:kern w:val="0"/>
          <w:vertAlign w:val="superscript"/>
        </w:rPr>
        <w:t>[82]</w:t>
      </w:r>
      <w:r>
        <w:fldChar w:fldCharType="end"/>
      </w:r>
      <w:r>
        <w:rPr>
          <w:rFonts w:hint="eastAsia"/>
        </w:rPr>
        <w:t>。良好的组织协调能力有助于业主明确各子项目、各环节中各方的资源需求，并公正合理地配置资源，高效解决矛盾与冲突</w:t>
      </w:r>
      <w:r>
        <w:fldChar w:fldCharType="begin"/>
      </w:r>
      <w:r w:rsidR="00E17813">
        <w:instrText xml:space="preserve"> ADDIN ZOTERO_ITEM CSL_CITATION {"citationID":"adm549p5m7","properties":{"formattedCitation":"\\super [29,83]\\nosupersub{}","plainCitation":"[29,83]","noteIndex":0},"citationItems":[{"id":3018,"uris":["http://zotero.org/users/13172592/items/LVZ3QQ6J"],"itemData":{"id":3018,"type":"article-journal","abstract":"Renewable energy projects (REPs) are critical to providing a clean and sustainable environmental perspective alongside the economic prosperity of any country. Unfortunately, recent trends in renewable energy projects (REPs) are not positive enough regarding their successful completion within the budgeted cost, planned time, proposed quality, and other necessary constraints. Although the pertinent literature has discussed the critical success factors (CSFs) for such projects, their influencing mechanism with respect to the role of key stakeholders is still overlooked. This study recognizes several critical success factors (CSFs) and their influencing mechanisms onto renewable energy projects (REPs) in order to evaluate direct influences onto project success as well as indirect influences through stakeholders’ satisfaction (SS) as mediation on the project success of small and medium-sized renewable energy projects (REPs) in Pakistan’s energy sector. A sample of about 272 respondents working with renewable energy projects (REPs), including key stakeholders, has been collected to perform data analysis and draw inferences. A structural equation modeling (SEM) approach was used for data analysis and inference drawing. The results show that though there is a positive and direct association between critical success factors (CSFs) and project success, a partial mediating role of stakeholders’ satisfaction (SS) between CSFs and project success was still determined. Hence, it was found that CSFs significantly contribute to renewable energy projects (REPs) through mediating influences of stakeholders’ satisfaction (SS). The findings confirmed that stakeholders’ satisfaction (SS) is a key determinant for critical success factors (CSFs) in renewable energy projects (REPs). Moreover, stakeholders’ satisfaction (SS) emerged to be a crucial element for the completion of such projects. The empirical findings of this study might have a useful effect on academicians and the practitioners engaged with renewable energy projects (REPs).","container-title":"Energy, Sustainability and Society","DOI":"10.1186/s13705-020-00259-0","ISSN":"2192-0567","issue":"1","journalAbbreviation":"Energ Sustain Soc","language":"en","license":"2020 The Author(s)","note":"number: 1\npublisher: BioMed Central","page":"1-15","source":"energsustainsoc.biomedcentral.com","title":"Stakeholders’ satisfaction as a key determinant of critical success factors in renewable energy projects","volume":"10","author":[{"family":"Maqbool","given":"Rashid"},{"family":"Deng","given":"Xiaomei"},{"family":"Rashid","given":"Yahya"}],"issued":{"date-parts":[["2020",12]]}}},{"id":2359,"uris":["http://zotero.org/users/13172592/items/H5TTPQC4"],"itemData":{"id":2359,"type":"article-journal","abstract":"Purpose – Currently, many studies have shown an increasing interest in owner-dynamic capabilities (ODCs). Existing studies mainly focus on the dynamic capability basis and capability development within the owner organization, whereas they rarely analyze the capability mobilization within the network of participants in megaprojects. Therefore, this study aims to explain the interaction and evolution of the mobilization strategies of ODCs and the cooperative strategies of other participants.","container-title":"Engineering, Construction and Architectural Management","DOI":"10.1108/ECAM-04-2023-0323","ISSN":"0969-9988","issue":"3","journalAbbreviation":"ECAM","language":"en","license":"https://www.emerald.com/insight/site-policies","page":"1478-1498","source":"DOI.org (Crossref)","title":"How to mobilize owner-dynamic capabilities in megaprojects? A tripartite evolutionary game approach","title-short":"How to mobilize owner-dynamic capabilities in megaprojects?","volume":"32","author":[{"family":"Tian","given":"Zidan"},{"family":"He","given":"Qinghua"},{"family":"Wang","given":"Ting"}],"issued":{"date-parts":[["2023"]]}}}],"schema":"https://github.com/citation-style-language/schema/raw/master/csl-citation.json"} </w:instrText>
      </w:r>
      <w:r>
        <w:fldChar w:fldCharType="separate"/>
      </w:r>
      <w:r w:rsidR="00E17813" w:rsidRPr="00E17813">
        <w:rPr>
          <w:rFonts w:cs="Times New Roman"/>
          <w:kern w:val="0"/>
          <w:vertAlign w:val="superscript"/>
        </w:rPr>
        <w:t>[29,83]</w:t>
      </w:r>
      <w:r>
        <w:fldChar w:fldCharType="end"/>
      </w:r>
      <w:r>
        <w:rPr>
          <w:rFonts w:hint="eastAsia"/>
        </w:rPr>
        <w:t>。业主的信息技术应用能力</w:t>
      </w:r>
      <w:r>
        <w:t>则为</w:t>
      </w:r>
      <w:r>
        <w:rPr>
          <w:rFonts w:hint="eastAsia"/>
        </w:rPr>
        <w:t>高效的</w:t>
      </w:r>
      <w:r>
        <w:t>信息</w:t>
      </w:r>
      <w:r>
        <w:rPr>
          <w:rFonts w:hint="eastAsia"/>
        </w:rPr>
        <w:t>采集</w:t>
      </w:r>
      <w:r>
        <w:t>、信息共享和决策提供了</w:t>
      </w:r>
      <w:r>
        <w:rPr>
          <w:rFonts w:hint="eastAsia"/>
        </w:rPr>
        <w:t>支撑</w:t>
      </w:r>
      <w:r>
        <w:t>，有助于</w:t>
      </w:r>
      <w:r>
        <w:rPr>
          <w:rFonts w:hint="eastAsia"/>
        </w:rPr>
        <w:t>在</w:t>
      </w:r>
      <w:r w:rsidRPr="006D2BF0">
        <w:rPr>
          <w:rFonts w:hint="eastAsia"/>
        </w:rPr>
        <w:t>利益相关方</w:t>
      </w:r>
      <w:r>
        <w:rPr>
          <w:rFonts w:hint="eastAsia"/>
        </w:rPr>
        <w:t>间</w:t>
      </w:r>
      <w:r>
        <w:t>建立</w:t>
      </w:r>
      <w:r>
        <w:rPr>
          <w:rFonts w:hint="eastAsia"/>
        </w:rPr>
        <w:t>透</w:t>
      </w:r>
      <w:r>
        <w:t>明、开放的沟通机制</w:t>
      </w:r>
      <w:r>
        <w:rPr>
          <w:rFonts w:hint="eastAsia"/>
        </w:rPr>
        <w:t>与渠道</w:t>
      </w:r>
      <w:r>
        <w:fldChar w:fldCharType="begin"/>
      </w:r>
      <w:r w:rsidR="00E17813">
        <w:instrText xml:space="preserve"> ADDIN ZOTERO_ITEM CSL_CITATION {"citationID":"a2dvl8otgef","properties":{"formattedCitation":"\\super [62]\\nosupersub{}","plainCitation":"[62]","noteIndex":0},"citationItems":[{"id":3118,"uris":["http://zotero.org/users/13172592/items/U72NFJ32"],"itemData":{"id":3118,"type":"article-journal","abstract":"External program manager involvement can provide professional and systematic management services to owners. It can help to manage and coordinate different subprojects and ensure the achievement of the overall strategic goals of large projects. The promotion of external program manager involvement is not only efficiency-driven, but the institutional environment also has a significant impact. This study developed a theoretical model to explain how external program manager involvement is influenced by external institutional forces (coercive, mimetic, and normative pressures) and internal top management support. Based on a questionnaire survey, this study tested the research model through partial least-squares structural equation modeling. The empirical results revealed that coercive pressures have no significant impact on external program manager involvement; owners’ top management support acts as a complete mediator between the mimetic pressures and external program manager involvement; normative pressures have the greatest impact on top management support and external program manager involvement, and top management support plays a key but partially mediating role. A direct contribution of this study is to reveal how different types of isomorphic pressures can be better exercised to facilitate the involvement of external program managers. Going further, by incorporating both external institutional pressures and internal top management support into the research model, this study provides insight into how organizations are influenced by external institutions to apply tools or approaches internally. DOI: 10.1061/(ASCE)CO.1943-7862.0002306. © 2022 American Society of Civil Engineers.","call-number":"2","container-title":"Journal of Construction Engineering and Management","DOI":"10.1061/(ASCE)CO.1943-7862.0002306","ISSN":"0733-9364, 1943-7862","issue":"9","journalAbbreviation":"J. Constr. Eng. Manage.","language":"en","page":"04022079","source":"4.1","title":"Impact of institutional pressures on external program manager involvement: Evidence from large projects in China","title-short":"Impact of institutional pressures on external program manager involvement","volume":"148","author":[{"family":"Liu","given":"Mingqiang"},{"family":"Zhu","given":"Yongsong"},{"family":"Wei","given":"Jianjun"},{"family":"Le","given":"Yun"},{"family":"Zhang","given":"Xinyue"}],"issued":{"date-parts":[["2022",9]]}}}],"schema":"https://github.com/citation-style-language/schema/raw/master/csl-citation.json"} </w:instrText>
      </w:r>
      <w:r>
        <w:fldChar w:fldCharType="separate"/>
      </w:r>
      <w:r w:rsidR="00E17813" w:rsidRPr="00E17813">
        <w:rPr>
          <w:rFonts w:cs="Times New Roman"/>
          <w:kern w:val="0"/>
          <w:vertAlign w:val="superscript"/>
        </w:rPr>
        <w:t>[62]</w:t>
      </w:r>
      <w:r>
        <w:fldChar w:fldCharType="end"/>
      </w:r>
      <w:r>
        <w:rPr>
          <w:rFonts w:hint="eastAsia"/>
        </w:rPr>
        <w:t>。业主的动态能力则能够及时感知环境变化</w:t>
      </w:r>
      <w:r>
        <w:rPr>
          <w:rFonts w:hint="eastAsia"/>
          <w:color w:val="000000"/>
        </w:rPr>
        <w:t>，及时发现并解决</w:t>
      </w:r>
      <w:r>
        <w:rPr>
          <w:rFonts w:hint="eastAsia"/>
        </w:rPr>
        <w:t>清洁能源基地开发过程中出现的问题</w:t>
      </w:r>
      <w:r>
        <w:fldChar w:fldCharType="begin"/>
      </w:r>
      <w:r w:rsidR="00E17813">
        <w:instrText xml:space="preserve"> ADDIN ZOTERO_ITEM CSL_CITATION {"citationID":"a12e8httacq","properties":{"formattedCitation":"\\super [11,50]\\nosupersub{}","plainCitation":"[11,50]","noteIndex":0},"citationItems":[{"id":1879,"uris":["http://zotero.org/users/13172592/items/5S4EIAMP","http://zotero.org/users/13172592/items/6FMHPKI8"],"itemData":{"id":1879,"type":"article-journal","abstract":"Program management is increasingly regarded as a key approach to improving the performance of a construction megaproject through the coordinated management of its constituent projects. However, previous studies have seldom provided a pragmatic program management framework that can fully address the requirements of clients in managing construction megaprojects. Therefore, based on a case study of the Shanghai Expo construction, this study aims to identify the principal program organization factors (POFs) that are determinants of the program organization established by a client to manage a megaproject. Mixed research methods, such as case study, literature review, interviews, Delphi survey, and archival methods, are employed in this study. Consequently, 12 principal POFs, grouped under three main categories (environmental capability, core capacity, and motivational capability of the client’s program organization to manage its construction megaproject), are identified: (1) contextual understanding, (2) program strategy, (3) program leadership, (4) scope management, (5) program governance, (6) matrix organizational structure, (7) program management office, (8) use of project breakdown structure and work breakdown structure tools, (9) partnering with key stakeholders, (10) technology management, (11) communication management, and (12) team building. These research findings will help scholars and professionals, particularly those in China, to appreciate the key issues in managing megaprojects through program organization. DOI: 10.1061/(ASCE)ME.1943-5479.0000310. © 2014 American Society of Civil Engineers.","call-number":"1","container-title":"Journal of Management in Engineering","DOI":"10.1061/(ASCE)ME.1943-5479.0000310","ISSN":"0742-597X, 1943-5479","issue":"5","journalAbbreviation":"J. Manage. Eng.","language":"en","page":"05014019","source":"7.4","title":"Understanding the determinants of program organization for construction megaproject success: Case study of the Shanghai Expo construction","title-short":"Understanding the Determinants of Program Organization for Construction Megaproject Success","volume":"31","author":[{"family":"Hu","given":"Yi"},{"family":"Chan","given":"Albert P. C."},{"family":"Le","given":"Yun"}],"issued":{"date-parts":[["2015",9]]}},"label":"page"},{"id":2357,"uris":["http://zotero.org/users/13172592/items/675DGTRL"],"itemData":{"id":2357,"type":"article-journal","abstract":"Given that a strong owner has been identified as an important factor in the success of megaprojects, there has been a growing recognition of the importance of megaproject owner organizational capabilities. However, the questions of what organizational capabilities do owners need to foster successful megaprojects, and whether these capabilities are the stronger the better, have yet to be addressed. To answer these questions, this study identified the dimensions of owner organizational capabilities based on literature and interviews, and developed several sets of parallel hypotheses. Based on the 229 valid questionnaire data collected, the relationships between owner organizational capabilities and megaproject success were analyzed through hierarchical multiple regression, and the results were discussed through expert interviews. The findings show that owner coordination, dynamic, and system integration capabilities have positive impacts on megaproject success, with coordination capabilities being the most significant. While the impact of motivational capabilities on megaproject success is inverted U-shaped. This study provides an actionable dimensional framework for megaproject owner capabilities, moving the field of owner organizational capabilities beyond the conceptual level. This study provides empirical evidence for the importance of megaproject owner organizational capabilities and takes a more dialectical view of a strong owner. The empirical results can provide insights and guidance on the configuration and development of megaproject owner capabilities. DOI: 10.1061/JCEMD4.COENG-13097. © 2023 American Society of Civil Engineers.","call-number":"2","container-title":"Journal of Construction Engineering and Management","DOI":"10.1061/JCEMD4.COENG-13097","ISSN":"0733-9364, 1943-7862","issue":"7","journalAbbreviation":"J. Constr. Eng. Manage.","language":"en","page":"04023055","source":"5.1","title":"Deconstructing organizational capabilities of megaproject owners: Dimensions and levels","title-short":"Deconstructing Organizational Capabilities of Megaproject Owners","volume":"149","author":[{"family":"Zhang","given":"Xinyue"},{"family":"Liu","given":"Mingqiang"},{"family":"Le","given":"Yun"},{"family":"Wei","given":"Jianjun"},{"family":"Zhu","given":"Yongsong"},{"family":"Li","given":"Yongkui"}],"issued":{"date-parts":[["2023",7]]}},"label":"page"}],"schema":"https://github.com/citation-style-language/schema/raw/master/csl-citation.json"} </w:instrText>
      </w:r>
      <w:r>
        <w:fldChar w:fldCharType="separate"/>
      </w:r>
      <w:r w:rsidR="00E17813" w:rsidRPr="00E17813">
        <w:rPr>
          <w:rFonts w:cs="Times New Roman"/>
          <w:kern w:val="0"/>
          <w:vertAlign w:val="superscript"/>
        </w:rPr>
        <w:t>[11,50]</w:t>
      </w:r>
      <w:r>
        <w:fldChar w:fldCharType="end"/>
      </w:r>
      <w:r>
        <w:rPr>
          <w:rFonts w:hint="eastAsia"/>
        </w:rPr>
        <w:t>。基于此，提出假设</w:t>
      </w:r>
      <w:r>
        <w:rPr>
          <w:rFonts w:hint="eastAsia"/>
        </w:rPr>
        <w:t>7</w:t>
      </w:r>
      <w:r>
        <w:rPr>
          <w:rFonts w:hint="eastAsia"/>
        </w:rPr>
        <w:t>（</w:t>
      </w:r>
      <w:r>
        <w:rPr>
          <w:rFonts w:hint="eastAsia"/>
        </w:rPr>
        <w:t>H7</w:t>
      </w:r>
      <w:r>
        <w:rPr>
          <w:rFonts w:hint="eastAsia"/>
        </w:rPr>
        <w:t>）：</w:t>
      </w:r>
    </w:p>
    <w:p w14:paraId="4BB77C24" w14:textId="77777777" w:rsidR="00873BC4" w:rsidRPr="006E71F6" w:rsidRDefault="00873BC4" w:rsidP="00873BC4">
      <w:pPr>
        <w:ind w:firstLine="422"/>
      </w:pPr>
      <w:r w:rsidRPr="00873BC4">
        <w:rPr>
          <w:rFonts w:hint="eastAsia"/>
          <w:b/>
          <w:bCs/>
        </w:rPr>
        <w:t>H7</w:t>
      </w:r>
      <w:r w:rsidRPr="00873BC4">
        <w:rPr>
          <w:rFonts w:hint="eastAsia"/>
          <w:b/>
          <w:bCs/>
        </w:rPr>
        <w:t>：</w:t>
      </w:r>
      <w:r>
        <w:rPr>
          <w:rFonts w:hint="eastAsia"/>
        </w:rPr>
        <w:t>清洁能源基地良好的业主项目群管理能力有助于</w:t>
      </w:r>
      <w:r w:rsidRPr="00761B3F">
        <w:rPr>
          <w:rFonts w:hint="eastAsia"/>
        </w:rPr>
        <w:t>提升各方间伙伴关系</w:t>
      </w:r>
      <w:r>
        <w:rPr>
          <w:rFonts w:hint="eastAsia"/>
        </w:rPr>
        <w:t>。</w:t>
      </w:r>
    </w:p>
    <w:p w14:paraId="1090625F" w14:textId="50770AB5" w:rsidR="00873BC4" w:rsidRDefault="00873BC4" w:rsidP="00873BC4">
      <w:pPr>
        <w:pStyle w:val="2"/>
      </w:pPr>
      <w:r w:rsidRPr="00873BC4">
        <w:rPr>
          <w:rFonts w:hint="eastAsia"/>
        </w:rPr>
        <w:lastRenderedPageBreak/>
        <w:t>清洁能源基地一体化管理输出因素</w:t>
      </w:r>
    </w:p>
    <w:p w14:paraId="6EE4F777" w14:textId="254EF9FA" w:rsidR="00873BC4" w:rsidRDefault="00873BC4" w:rsidP="00873BC4">
      <w:pPr>
        <w:pStyle w:val="3"/>
      </w:pPr>
      <w:r w:rsidRPr="00873BC4">
        <w:rPr>
          <w:rFonts w:hint="eastAsia"/>
        </w:rPr>
        <w:t>项目群实施</w:t>
      </w:r>
    </w:p>
    <w:p w14:paraId="533A70FE" w14:textId="4CE42EC9" w:rsidR="00873BC4" w:rsidRDefault="00873BC4" w:rsidP="00873BC4">
      <w:pPr>
        <w:ind w:firstLine="420"/>
      </w:pPr>
      <w:r w:rsidRPr="004F2A1B">
        <w:rPr>
          <w:rFonts w:hint="eastAsia"/>
        </w:rPr>
        <w:t>项目群实施</w:t>
      </w:r>
      <w:r>
        <w:rPr>
          <w:rFonts w:hint="eastAsia"/>
        </w:rPr>
        <w:t>涉及</w:t>
      </w:r>
      <w:r w:rsidRPr="004F2A1B">
        <w:rPr>
          <w:rFonts w:hint="eastAsia"/>
        </w:rPr>
        <w:t>清洁能源基地项目</w:t>
      </w:r>
      <w:r>
        <w:rPr>
          <w:rFonts w:hint="eastAsia"/>
        </w:rPr>
        <w:t>的</w:t>
      </w:r>
      <w:r w:rsidRPr="004F2A1B">
        <w:rPr>
          <w:rFonts w:hint="eastAsia"/>
        </w:rPr>
        <w:t>建设阶段，涵盖设计、采购与施工等主要内容</w:t>
      </w:r>
      <w:r>
        <w:rPr>
          <w:rFonts w:hint="eastAsia"/>
        </w:rPr>
        <w:t>。</w:t>
      </w:r>
      <w:r w:rsidRPr="007C7241">
        <w:rPr>
          <w:rFonts w:hint="eastAsia"/>
        </w:rPr>
        <w:t>清洁能源基地的实施水平受外部条件的</w:t>
      </w:r>
      <w:r>
        <w:rPr>
          <w:rFonts w:hint="eastAsia"/>
        </w:rPr>
        <w:t>直接</w:t>
      </w:r>
      <w:r w:rsidRPr="007C7241">
        <w:rPr>
          <w:rFonts w:hint="eastAsia"/>
        </w:rPr>
        <w:t>影响。自然环境是清洁能源基地</w:t>
      </w:r>
      <w:r>
        <w:rPr>
          <w:rFonts w:hint="eastAsia"/>
        </w:rPr>
        <w:t>实施</w:t>
      </w:r>
      <w:r w:rsidRPr="007C7241">
        <w:rPr>
          <w:rFonts w:hint="eastAsia"/>
        </w:rPr>
        <w:t>的基础条件，包括资源禀赋</w:t>
      </w:r>
      <w:r>
        <w:rPr>
          <w:rFonts w:hint="eastAsia"/>
        </w:rPr>
        <w:t>、</w:t>
      </w:r>
      <w:r w:rsidRPr="007C7241">
        <w:rPr>
          <w:rFonts w:hint="eastAsia"/>
        </w:rPr>
        <w:t>地形</w:t>
      </w:r>
      <w:r>
        <w:rPr>
          <w:rFonts w:hint="eastAsia"/>
        </w:rPr>
        <w:t>地质和气候条件等</w:t>
      </w:r>
      <w:r>
        <w:fldChar w:fldCharType="begin"/>
      </w:r>
      <w:r w:rsidR="00EB7246">
        <w:instrText xml:space="preserve"> ADDIN ZOTERO_ITEM CSL_CITATION {"citationID":"OUeu9UWc","properties":{"formattedCitation":"\\super [34]\\nosupersub{}","plainCitation":"[34]","noteIndex":0},"citationItems":[{"id":684,"uris":["http://zotero.org/users/13172592/items/ZYN4KCDV"],"itemData":{"id":684,"type":"article-journal","abstract":"The intermittent characteristic of a solar-alone or a wind-alone power generation system prevents the standalone renewable energy system from being fully reliable without suitable energy storage capability. In this study, the most traditional and mature storage technology, pumped hydro storage (PHS), is introduced to support the standalone microgrid hybrid solar-wind system. This paper explores a new solution for the challenging task about energy storage. A mathematical model of the hybrid system is developed and the operating principle is introduced. The proposed system is applied in a case study to power a remote island in Hong Kong, and its technical feasibility is then examined. The hour-by-hour simulation results indicate that the intermittent nature of the renewables can be compensated by introducing the PHS technology. Therefore, a reliable and environmentally friendly power supply can be provided. The results demonstrate that technically the PHS based renewable energy system is an ideal solution to achieve 100% energy autonomy in remote communities.","call-number":"1","container-title":"Renewable Energy","DOI":"10.1016/j.renene.2014.03.028","ISSN":"09601481","journalAbbreviation":"Renewable Energy","language":"en","page":"7-15","source":"8.7","title":"Technical feasibility study on a standalone hybrid solar-wind system with pumped hydro storage for a remote island in Hong Kong","volume":"69","author":[{"family":"Ma","given":"Tao"},{"family":"Yang","given":"Hongxing"},{"family":"Lu","given":"Lin"},{"family":"Peng","given":"Jinqing"}],"issued":{"date-parts":[["2014",9]]}}}],"schema":"https://github.com/citation-style-language/schema/raw/master/csl-citation.json"} </w:instrText>
      </w:r>
      <w:r>
        <w:fldChar w:fldCharType="separate"/>
      </w:r>
      <w:r w:rsidR="00EB7246" w:rsidRPr="00EB7246">
        <w:rPr>
          <w:rFonts w:cs="Times New Roman"/>
          <w:kern w:val="0"/>
          <w:vertAlign w:val="superscript"/>
        </w:rPr>
        <w:t>[34]</w:t>
      </w:r>
      <w:r>
        <w:fldChar w:fldCharType="end"/>
      </w:r>
      <w:r w:rsidRPr="007C7241">
        <w:rPr>
          <w:rFonts w:hint="eastAsia"/>
        </w:rPr>
        <w:t>。</w:t>
      </w:r>
      <w:r>
        <w:rPr>
          <w:rFonts w:hint="eastAsia"/>
        </w:rPr>
        <w:t>适宜</w:t>
      </w:r>
      <w:r>
        <w:t>的自然</w:t>
      </w:r>
      <w:r>
        <w:rPr>
          <w:rFonts w:hint="eastAsia"/>
        </w:rPr>
        <w:t>环境</w:t>
      </w:r>
      <w:r>
        <w:t>不仅有助于优化设计方案，提高资源利用效率，还能有效降低施工的技术难度和成本</w:t>
      </w:r>
      <w:r>
        <w:fldChar w:fldCharType="begin"/>
      </w:r>
      <w:r w:rsidR="00EB7246">
        <w:instrText xml:space="preserve"> ADDIN ZOTERO_ITEM CSL_CITATION {"citationID":"pTpDodya","properties":{"formattedCitation":"\\super [32,33]\\nosupersub{}","plainCitation":"[32,33]","noteIndex":0},"citationItems":[{"id":739,"uris":["http://zotero.org/users/13172592/items/M3QTEVZQ"],"itemData":{"id":739,"type":"article-journal","abstract":"In the context of global carbon reduction, many countries have established carbon–neutral commitments. With abundant wind–solar–hydro–geothermal resources, the development of renewable energy in the Qinghai–Tibet Plateau can meet the demand for carbon neutrality. Accordingly, this study aims to carry out an innovative and systematic assessment of renewable energy, considering the new pattern of multiple renewable energies (wind, solar, hydro, and geothermal energy) centralized co-development. A propagable analysis is conducted, based on two hypotheses, namely, considering resource conditions and taking plateau-specific practical constraints and energy storage into account. Resource concentration and synergy are further analyzed by a novel indicator and multiple scenarios are initiated to reduce the subjectivity, while various distance thresholds for substations with varying voltage levels are innovatively defined to optimize the assessment accuracy. Taking the Lhasa River Basin as the study area, results show that areas with suitable resources for two, three, and four types of renewable energy centralized co-development account for 41.3%, 32.7%, and 5.8% of the total area, respectively. After constraints considered, eligible areas for wind, photovoltaic, geothermal, and hydro power decline sharply to 6.0%, 22.3%, 13.5%, and 13.1% of the entire basin, with potentials of 4.91, 12.68, 10.77, and 0.97 GW. Under the highly suitable scenario, the proportions plummet to 0.2%, 1.6%, 0.6%, and 0.4%, with potentials of 0.12, 0.99, 0.29, and 0.02 GW, reflecting a high sensitivity to plateau-specific practical constraints. Wind power potential is the most sensitive to construction difficulty and investment reward among these resources, whereas hydropower potential has the strongest response to ecological protection. Results also show that more than a quarter of the renewable energy centrally developable areas have energy synergies, indicating the applicability of renewable energy centralized co-development.","call-number":"1","container-title":"Energy Conversion and Management","DOI":"10.1016/j.enconman.2022.115879","ISSN":"01968904","journalAbbreviation":"Energy Conversion and Management","language":"en","note":"rate: 5","page":"115879","source":"10.4","title":"Systematic potential analysis on renewable energy centralized co-development at high altitude: A case study in Qinghai-Tibet plateau","title-short":"Systematic potential analysis on renewable energy centralized co-development at high altitude","volume":"267","author":[{"family":"Qiu","given":"Lihua"},{"family":"He","given":"Li"},{"family":"Lu","given":"Hongwei"},{"family":"Liang","given":"Dongzhe"}],"issued":{"date-parts":[["2022",9]]}}},{"id":745,"uris":["http://zotero.org/users/13172592/items/JSFYLTMN"],"itemData":{"id":745,"type":"article-journal","abstract":"Multi-criteria decision making (MCDM) methods are becoming increasingly popular in solving energy selection problems because these problems involve multiple and often conﬂicting criteria. This paper presents comparative analysis of ranking renewable energy sources (RES) for electricity generation in Taiwan using four MCDM methods - WSM, VIKOR, TOPSIS, and ELECTRE. The Shannon entropy weight method is used to assess the importance of each criterion for the ranking of RES. After that, four MCDM methods are utilized for quantitative evaluation to rank all available RE alternatives. From the weights estimation results, eﬃciency is the ﬁrst priority in all evaluation criteria, followed by job creation, operation, and maintenance cost. The purpose of this study is to rank the priorities of various RES and propose recommendations for Taiwan's RE development. The ranking results show that hydro is the best alternative in Taiwan, followed by solar, wind, biomass and geothermal. Furthermore, sensitivity analysis of the weights was conducted considering the ranking results heavily depend on the criteria weight. The results of sensitivity analysis indicated that when ﬁnancial or technical aspects are focused upon, hydropower is the best RES because its technology is the most mature and the cost is the lowest in Taiwan. In addition, from an environmental perspective, wind energy is the best choice, and from the social perspective, solar PV is the best choice. The ﬁndings of this study can provide useful information to energy decision makers and serve as a reference for Taiwan's energy policy.","container-title":"Renewable and Sustainable Energy Reviews","DOI":"10.1016/j.rser.2018.05.007","ISSN":"13640321","journalAbbreviation":"Renewable and Sustainable Energy Reviews","language":"en","note":"rate: 3\nTLDR: Hydropower is the best RES in Taiwan because its technology is the most mature and the cost is the lowest in Taiwan, according to the results of comparative analysis of ranking renewable energy sources for electricity generation using four MCDM methods.","page":"883-896","source":"DOI.org (Crossref)","title":"Comparative analysis of MCDM methods for ranking renewable energy sources in Taiwan","volume":"92","author":[{"family":"Lee","given":"Hsing-Chen"},{"family":"Chang","given":"Ching-Ter"}],"issued":{"date-parts":[["2018",9]]}}}],"schema":"https://github.com/citation-style-language/schema/raw/master/csl-citation.json"} </w:instrText>
      </w:r>
      <w:r>
        <w:fldChar w:fldCharType="separate"/>
      </w:r>
      <w:r w:rsidR="00EB7246" w:rsidRPr="00EB7246">
        <w:rPr>
          <w:rFonts w:cs="Times New Roman"/>
          <w:kern w:val="0"/>
          <w:vertAlign w:val="superscript"/>
        </w:rPr>
        <w:t>[32,33]</w:t>
      </w:r>
      <w:r>
        <w:fldChar w:fldCharType="end"/>
      </w:r>
      <w:r w:rsidRPr="007C7241">
        <w:rPr>
          <w:rFonts w:hint="eastAsia"/>
        </w:rPr>
        <w:t>。征地移民是清洁能源基地</w:t>
      </w:r>
      <w:r>
        <w:rPr>
          <w:rFonts w:hint="eastAsia"/>
        </w:rPr>
        <w:t>顺利</w:t>
      </w:r>
      <w:r w:rsidRPr="007C7241">
        <w:rPr>
          <w:rFonts w:hint="eastAsia"/>
        </w:rPr>
        <w:t>实施的</w:t>
      </w:r>
      <w:r>
        <w:rPr>
          <w:rFonts w:hint="eastAsia"/>
        </w:rPr>
        <w:t>前提</w:t>
      </w:r>
      <w:r w:rsidRPr="007C7241">
        <w:rPr>
          <w:rFonts w:hint="eastAsia"/>
        </w:rPr>
        <w:t>条件</w:t>
      </w:r>
      <w:r>
        <w:fldChar w:fldCharType="begin"/>
      </w:r>
      <w:r w:rsidR="00EB7246">
        <w:instrText xml:space="preserve"> ADDIN ZOTERO_ITEM CSL_CITATION {"citationID":"Ch6hMezF","properties":{"formattedCitation":"\\super [36]\\nosupersub{}","plainCitation":"[36]","noteIndex":0},"citationItems":[{"id":3781,"uris":["http://zotero.org/users/13172592/items/FCEXP5AE"],"itemData":{"id":3781,"type":"article-journal","abstract":"This article examines the role of multilateral social and environmental safeguards in land acquisition for renewable energy (RE) development in Southeast Asia. We assessed the development of two large-scale wind projects in Indonesia and the Philippines through a qualitative comparative case study analysis. We find that the influence of safeguards is the product of two factors: the timing of multilateral funds in project development and the relative ease through which developers can acquire land through non-safeguard-compliant pathways. Our findings highlight the continued importance of land use policy and planning in mediating the social and environmental impacts of RE infrastructure.","call-number":"3","container-title":"Journal of Planning Education and Research","DOI":"10.1177/0739456X221147859","ISSN":"0739-456X","issue":"4","language":"en","note":"publisher: SAGE Publications Inc","page":"2056-2067","source":"2.8","title":"Land acquisition governance and its implications for renewable energy development in Indonesia and the Philippines","volume":"44","author":[{"family":"Kennedy","given":"Sean F."},{"family":"Qayyum","given":"Faizaan"}],"issued":{"date-parts":[["2024",12,1]]}}}],"schema":"https://github.com/citation-style-language/schema/raw/master/csl-citation.json"} </w:instrText>
      </w:r>
      <w:r>
        <w:fldChar w:fldCharType="separate"/>
      </w:r>
      <w:r w:rsidR="00EB7246" w:rsidRPr="00EB7246">
        <w:rPr>
          <w:rFonts w:cs="Times New Roman"/>
          <w:kern w:val="0"/>
          <w:vertAlign w:val="superscript"/>
        </w:rPr>
        <w:t>[36]</w:t>
      </w:r>
      <w:r>
        <w:fldChar w:fldCharType="end"/>
      </w:r>
      <w:r>
        <w:rPr>
          <w:rFonts w:hint="eastAsia"/>
        </w:rPr>
        <w:t>。顺利的</w:t>
      </w:r>
      <w:r w:rsidRPr="007C7241">
        <w:rPr>
          <w:rFonts w:hint="eastAsia"/>
        </w:rPr>
        <w:t>土地获取与移民安置</w:t>
      </w:r>
      <w:r>
        <w:t>能够减少社会矛盾，获得项目区域居民的理解与支持，保障施工进度</w:t>
      </w:r>
      <w:r>
        <w:fldChar w:fldCharType="begin"/>
      </w:r>
      <w:r w:rsidR="00EB7246">
        <w:instrText xml:space="preserve"> ADDIN ZOTERO_ITEM CSL_CITATION {"citationID":"iek8RT0K","properties":{"formattedCitation":"\\super [37]\\nosupersub{}","plainCitation":"[37]","noteIndex":0},"citationItems":[{"id":3779,"uris":["http://zotero.org/users/13172592/items/R3CZC9BE"],"itemData":{"id":3779,"type":"article-journal","abstract":"In Kenya, as well as in other parts of the global South, the drive to expand electricity production through large-scale renewable energy projects such as wind, solar and geothermal have been widely documented, along with land-related contestations emerging from within the affected communities. However, cases where local people consent to cede land to land investors have not yet received sufficient scholarly attention. Focusing on the Kipeto wind energy project in Kenya, this paper presents a counterpoint to the theoretical postulate of ‘accumulation by dispossession’ – to show how accumulation was possible without community dispossession of land. Grounded in empirical research, the paper argues, first, that land acquisition for wind energy development does not necessarily lead to dispossession if affected populations are compensated fairly, for example with better housing, jobs, money, and importantly are allowed to continue accessing land to sustain livelihoods. Second, the achievability of Kipeto wind energy project is largely due to the company's strategic approach to land consultation and negotiation with communities, which leads to wider social acceptance of the wind energy project. Nevertheless, some landowners have expressed their dissatisfaction concerning the financial compensation mechanisms. Thus, there is need for a longitudinal study to ascertain the extent to which the project developer and landowners keep to their promises as well as to understand the long-term impacts of land deals.","call-number":"2","container-title":"Energy Research &amp; Social Science","DOI":"10.1016/j.erss.2024.103530","ISSN":"2214-6296","journalAbbreviation":"Energy Research &amp; Social Science","page":"103530","source":"6.9","title":"Land acquisition, renewable energy development, and livelihood transformation in rural Kenya: The case of the Kipeto wind energy project","title-short":"Land acquisition, renewable energy development, and livelihood transformation in rural Kenya","volume":"112","author":[{"family":"Ndi","given":"Frankline A."}],"issued":{"date-parts":[["2024",6,1]]}}}],"schema":"https://github.com/citation-style-language/schema/raw/master/csl-citation.json"} </w:instrText>
      </w:r>
      <w:r>
        <w:fldChar w:fldCharType="separate"/>
      </w:r>
      <w:r w:rsidR="00EB7246" w:rsidRPr="00EB7246">
        <w:rPr>
          <w:rFonts w:cs="Times New Roman"/>
          <w:kern w:val="0"/>
          <w:vertAlign w:val="superscript"/>
        </w:rPr>
        <w:t>[37]</w:t>
      </w:r>
      <w:r>
        <w:fldChar w:fldCharType="end"/>
      </w:r>
      <w:r w:rsidRPr="007C7241">
        <w:rPr>
          <w:rFonts w:hint="eastAsia"/>
        </w:rPr>
        <w:t>。</w:t>
      </w:r>
      <w:r>
        <w:rPr>
          <w:rFonts w:hint="eastAsia"/>
        </w:rPr>
        <w:t>完善的</w:t>
      </w:r>
      <w:r w:rsidRPr="00873BC4">
        <w:rPr>
          <w:rStyle w:val="a3"/>
          <w:b w:val="0"/>
          <w:bCs w:val="0"/>
        </w:rPr>
        <w:t>配套基础设施</w:t>
      </w:r>
      <w:r>
        <w:t>是</w:t>
      </w:r>
      <w:r w:rsidRPr="007C7241">
        <w:rPr>
          <w:rFonts w:hint="eastAsia"/>
        </w:rPr>
        <w:t>清洁能源基地</w:t>
      </w:r>
      <w:r>
        <w:t>实施的重要支撑</w:t>
      </w:r>
      <w:r>
        <w:rPr>
          <w:rFonts w:hint="eastAsia"/>
        </w:rPr>
        <w:t>，例如便利的</w:t>
      </w:r>
      <w:r>
        <w:t>交通运输网络</w:t>
      </w:r>
      <w:r>
        <w:rPr>
          <w:rFonts w:hint="eastAsia"/>
        </w:rPr>
        <w:t>与</w:t>
      </w:r>
      <w:r>
        <w:t>通信设施</w:t>
      </w:r>
      <w:r>
        <w:rPr>
          <w:rFonts w:hint="eastAsia"/>
        </w:rPr>
        <w:t>能够提升施工</w:t>
      </w:r>
      <w:r w:rsidRPr="007C7241">
        <w:rPr>
          <w:rFonts w:hint="eastAsia"/>
        </w:rPr>
        <w:t>组织效率</w:t>
      </w:r>
      <w:r>
        <w:fldChar w:fldCharType="begin"/>
      </w:r>
      <w:r w:rsidR="00EB7246">
        <w:instrText xml:space="preserve"> ADDIN ZOTERO_ITEM CSL_CITATION {"citationID":"m7OIro3x","properties":{"formattedCitation":"\\super [32]\\nosupersub{}","plainCitation":"[32]","noteIndex":0},"citationItems":[{"id":739,"uris":["http://zotero.org/users/13172592/items/M3QTEVZQ"],"itemData":{"id":739,"type":"article-journal","abstract":"In the context of global carbon reduction, many countries have established carbon–neutral commitments. With abundant wind–solar–hydro–geothermal resources, the development of renewable energy in the Qinghai–Tibet Plateau can meet the demand for carbon neutrality. Accordingly, this study aims to carry out an innovative and systematic assessment of renewable energy, considering the new pattern of multiple renewable energies (wind, solar, hydro, and geothermal energy) centralized co-development. A propagable analysis is conducted, based on two hypotheses, namely, considering resource conditions and taking plateau-specific practical constraints and energy storage into account. Resource concentration and synergy are further analyzed by a novel indicator and multiple scenarios are initiated to reduce the subjectivity, while various distance thresholds for substations with varying voltage levels are innovatively defined to optimize the assessment accuracy. Taking the Lhasa River Basin as the study area, results show that areas with suitable resources for two, three, and four types of renewable energy centralized co-development account for 41.3%, 32.7%, and 5.8% of the total area, respectively. After constraints considered, eligible areas for wind, photovoltaic, geothermal, and hydro power decline sharply to 6.0%, 22.3%, 13.5%, and 13.1% of the entire basin, with potentials of 4.91, 12.68, 10.77, and 0.97 GW. Under the highly suitable scenario, the proportions plummet to 0.2%, 1.6%, 0.6%, and 0.4%, with potentials of 0.12, 0.99, 0.29, and 0.02 GW, reflecting a high sensitivity to plateau-specific practical constraints. Wind power potential is the most sensitive to construction difficulty and investment reward among these resources, whereas hydropower potential has the strongest response to ecological protection. Results also show that more than a quarter of the renewable energy centrally developable areas have energy synergies, indicating the applicability of renewable energy centralized co-development.","call-number":"1","container-title":"Energy Conversion and Management","DOI":"10.1016/j.enconman.2022.115879","ISSN":"01968904","journalAbbreviation":"Energy Conversion and Management","language":"en","note":"rate: 5","page":"115879","source":"10.4","title":"Systematic potential analysis on renewable energy centralized co-development at high altitude: A case study in Qinghai-Tibet plateau","title-short":"Systematic potential analysis on renewable energy centralized co-development at high altitude","volume":"267","author":[{"family":"Qiu","given":"Lihua"},{"family":"He","given":"Li"},{"family":"Lu","given":"Hongwei"},{"family":"Liang","given":"Dongzhe"}],"issued":{"date-parts":[["2022",9]]}}}],"schema":"https://github.com/citation-style-language/schema/raw/master/csl-citation.json"} </w:instrText>
      </w:r>
      <w:r>
        <w:fldChar w:fldCharType="separate"/>
      </w:r>
      <w:r w:rsidR="00EB7246" w:rsidRPr="00EB7246">
        <w:rPr>
          <w:rFonts w:cs="Times New Roman"/>
          <w:kern w:val="0"/>
          <w:vertAlign w:val="superscript"/>
        </w:rPr>
        <w:t>[32]</w:t>
      </w:r>
      <w:r>
        <w:fldChar w:fldCharType="end"/>
      </w:r>
      <w:r>
        <w:t>。</w:t>
      </w:r>
      <w:r>
        <w:rPr>
          <w:rFonts w:hint="eastAsia"/>
        </w:rPr>
        <w:t>基于此，提出假设</w:t>
      </w:r>
      <w:r>
        <w:rPr>
          <w:rFonts w:hint="eastAsia"/>
        </w:rPr>
        <w:t>8</w:t>
      </w:r>
      <w:r>
        <w:rPr>
          <w:rFonts w:hint="eastAsia"/>
        </w:rPr>
        <w:t>（</w:t>
      </w:r>
      <w:r>
        <w:rPr>
          <w:rFonts w:hint="eastAsia"/>
        </w:rPr>
        <w:t>H8</w:t>
      </w:r>
      <w:r>
        <w:rPr>
          <w:rFonts w:hint="eastAsia"/>
        </w:rPr>
        <w:t>）：</w:t>
      </w:r>
    </w:p>
    <w:p w14:paraId="235147AA" w14:textId="040DA069" w:rsidR="00873BC4" w:rsidRDefault="00873BC4" w:rsidP="00873BC4">
      <w:pPr>
        <w:ind w:firstLine="422"/>
      </w:pPr>
      <w:r w:rsidRPr="00873BC4">
        <w:rPr>
          <w:rFonts w:hint="eastAsia"/>
          <w:b/>
          <w:bCs/>
        </w:rPr>
        <w:t>H8</w:t>
      </w:r>
      <w:r w:rsidRPr="00873BC4">
        <w:rPr>
          <w:rFonts w:hint="eastAsia"/>
          <w:b/>
          <w:bCs/>
        </w:rPr>
        <w:t>：</w:t>
      </w:r>
      <w:r>
        <w:rPr>
          <w:rFonts w:hint="eastAsia"/>
        </w:rPr>
        <w:t>清洁能源基地适宜的外部条件能够提升项目群实施水平。</w:t>
      </w:r>
    </w:p>
    <w:p w14:paraId="3509895D" w14:textId="2C56251F" w:rsidR="00873BC4" w:rsidRDefault="00873BC4" w:rsidP="00873BC4">
      <w:pPr>
        <w:ind w:firstLine="420"/>
      </w:pPr>
      <w:r>
        <w:rPr>
          <w:rFonts w:hint="eastAsia"/>
        </w:rPr>
        <w:t>人力、材料、设备、信息、技术、知识等资源的及时供给与合理配置是清洁能源基地实施的基础</w:t>
      </w:r>
      <w:r>
        <w:fldChar w:fldCharType="begin"/>
      </w:r>
      <w:r w:rsidR="00E17813">
        <w:instrText xml:space="preserve"> ADDIN ZOTERO_ITEM CSL_CITATION {"citationID":"9zkNAs49","properties":{"formattedCitation":"\\super [3,55]\\nosupersub{}","plainCitation":"[3,55]","noteIndex":0},"citationItems":[{"id":3663,"uris":["http://zotero.org/users/13172592/items/KBFEHVJI"],"itemData":{"id":3663,"type":"article-journal","abstract":"Renewable energy is one of the most popular topics in utilization of the electric energy resources. There are various types of alternative energy, which can be used as electrical energy. However, the suitableness of the green energy in a certain country is depending on some criteria such as geographical location, the availability of energy and so on. In order to establish the renewable energy, a well-planned strategy and management must be acquired. The main objective of this paper is to analyse the causal relation of some important criteria of project planning and development of a wind energy project in Malaysia. By using a system dynamic approach, it is found that government policies, investment of renewable energy, energy demand, geographical location and fund management are the most important criteria that need to be considered among others. The diagram of causal relationship with reinforcing and balancing loop shows that the application of renewable energy in Malaysia is promising. In addition, the information of the criteria relationship is further investigated by using the stock flow diagram. From the diagram, the factors that affect project’s expenditure could be analysed. This is very important to a developing country where more budgets can be allocated for other facilities, cultures, infrastructure, science, and technology development. By utilise the renewable energy in Malaysia, the carbon dioxide emission can be reduced and contribution to a sustainable and long term alternative energy resources country.","container-title":"Renewable and Sustainable Energy Reviews","DOI":"10.1016/j.rser.2014.07.078","ISSN":"1364-0321","journalAbbreviation":"Renewable and Sustainable Energy Reviews","language":"en-US","page":"917-932","source":"ScienceDirect","title":"Renewable energy project: Project management, challenges and risk","title-short":"Renewable energy project","volume":"38","author":[{"family":"Goh","given":"H. H."},{"family":"Lee","given":"S. W."},{"family":"Chua","given":"Q. S."},{"family":"Goh","given":"K. C."},{"family":"Kok","given":"B. C."},{"family":"Teo","given":"K. T. K."}],"issued":{"date-parts":[["2014",10,1]]}}},{"id":2358,"uris":["http://zotero.org/users/13172592/items/E9Z93RH2"],"itemData":{"id":2358,"type":"article-journal","call-number":"4","container-title":"Journal of Asian Architecture and Building Engineering","DOI":"10.1080/13467581.2024.2329357","ISSN":"1346-7581, 1347-2852","journalAbbreviation":"Journal of Asian Architecture and Building Engineering","language":"en","page":"1-16","source":"1.3","title":"Effect of resource integration on organizational resilience of megaprojects: Role of dynamic capability and resource availability","title-short":"Effect of resource integration on organizational resilience of megaprojects","author":[{"family":"Wang","given":"Dedong"},{"family":"Zhao","given":"Xiaoru"}],"issued":{"date-parts":[["2024",3,17]]}}}],"schema":"https://github.com/citation-style-language/schema/raw/master/csl-citation.json"} </w:instrText>
      </w:r>
      <w:r>
        <w:fldChar w:fldCharType="separate"/>
      </w:r>
      <w:r w:rsidR="00E17813" w:rsidRPr="00E17813">
        <w:rPr>
          <w:rFonts w:cs="Times New Roman"/>
          <w:kern w:val="0"/>
          <w:vertAlign w:val="superscript"/>
        </w:rPr>
        <w:t>[3,55]</w:t>
      </w:r>
      <w:r>
        <w:fldChar w:fldCharType="end"/>
      </w:r>
      <w:r>
        <w:rPr>
          <w:rFonts w:hint="eastAsia"/>
        </w:rPr>
        <w:t>。</w:t>
      </w:r>
      <w:r w:rsidRPr="00351E0B">
        <w:rPr>
          <w:rFonts w:hint="eastAsia"/>
        </w:rPr>
        <w:t>资源及时供应能够确保设计、采购和施工</w:t>
      </w:r>
      <w:r>
        <w:rPr>
          <w:rFonts w:hint="eastAsia"/>
        </w:rPr>
        <w:t>环节</w:t>
      </w:r>
      <w:r w:rsidRPr="00351E0B">
        <w:rPr>
          <w:rFonts w:hint="eastAsia"/>
        </w:rPr>
        <w:t>按计划推进，避免因资源短缺造成</w:t>
      </w:r>
      <w:r>
        <w:rPr>
          <w:rFonts w:hint="eastAsia"/>
        </w:rPr>
        <w:t>工期延误</w:t>
      </w:r>
      <w:r w:rsidRPr="005C1F7F">
        <w:fldChar w:fldCharType="begin"/>
      </w:r>
      <w:r w:rsidR="00E17813">
        <w:instrText xml:space="preserve"> ADDIN ZOTERO_ITEM CSL_CITATION {"citationID":"1rbrFD6d","properties":{"formattedCitation":"\\super [3,61]\\nosupersub{}","plainCitation":"[3,61]","noteIndex":0},"citationItems":[{"id":3773,"uris":["http://zotero.org/users/13172592/items/8JFUZWNV"],"itemData":{"id":3773,"type":"article-journal","abstract":"Global awareness and commitment, in regards to climate change, access to water and renewable energy deployment has risen in the last decade. However, many countries are still locked in unsustainable practices, specifically in regards to energy, this results in damaging consequences not just for the country but the world. Case in point of the Dominican Republic (DR), an island with an immense renewable energy potential, a growing economy and the financial aid of many international entities. Regardless of all this, “the business as usual” decision for the energy strategies is based on fossil foil. As a result, thousands of people are still without energy, the infrastructure itself is unreliable, and the cost of fossil fuel is 6–8% of the country’s GDP. The country also suffers from blackouts, the expensive tariff and unstable energy grid. Therefore, this paper discusses and critically evaluates critical success factors (CSF) for implementing renewable energy strategies in the DR. For this purpose, an extensive literature review was done, along with 25 interviews with the key actors in the renewable energy market of the DR, that were analysed using content analysis and ISM method. These methods provided insight into 6 CSF. These CFS aid the stakeholder’s in the creation and growth of the RE market in the DR.","call-number":"1","container-title":"Renewable Energy","DOI":"10.1016/j.renene.2019.12.053","ISSN":"0960-1481","journalAbbreviation":"Renewable Energy","language":"en","page":"329-335","source":"9","title":"Evaluating critical success factors for implementing renewable energy strategies in the Dominican Republic","volume":"149","author":[{"family":"Donastorg","given":"Angelines"},{"family":"Renukappa","given":"Suresh"},{"family":"Suresh","given":"Subashini"}],"issued":{"date-parts":[["2020",4,1]]}}},{"id":3663,"uris":["http://zotero.org/users/13172592/items/KBFEHVJI"],"itemData":{"id":3663,"type":"article-journal","abstract":"Renewable energy is one of the most popular topics in utilization of the electric energy resources. There are various types of alternative energy, which can be used as electrical energy. However, the suitableness of the green energy in a certain country is depending on some criteria such as geographical location, the availability of energy and so on. In order to establish the renewable energy, a well-planned strategy and management must be acquired. The main objective of this paper is to analyse the causal relation of some important criteria of project planning and development of a wind energy project in Malaysia. By using a system dynamic approach, it is found that government policies, investment of renewable energy, energy demand, geographical location and fund management are the most important criteria that need to be considered among others. The diagram of causal relationship with reinforcing and balancing loop shows that the application of renewable energy in Malaysia is promising. In addition, the information of the criteria relationship is further investigated by using the stock flow diagram. From the diagram, the factors that affect project’s expenditure could be analysed. This is very important to a developing country where more budgets can be allocated for other facilities, cultures, infrastructure, science, and technology development. By utilise the renewable energy in Malaysia, the carbon dioxide emission can be reduced and contribution to a sustainable and long term alternative energy resources country.","container-title":"Renewable and Sustainable Energy Reviews","DOI":"10.1016/j.rser.2014.07.078","ISSN":"1364-0321","journalAbbreviation":"Renewable and Sustainable Energy Reviews","language":"en-US","page":"917-932","source":"ScienceDirect","title":"Renewable energy project: Project management, challenges and risk","title-short":"Renewable energy project","volume":"38","author":[{"family":"Goh","given":"H. H."},{"family":"Lee","given":"S. W."},{"family":"Chua","given":"Q. S."},{"family":"Goh","given":"K. C."},{"family":"Kok","given":"B. C."},{"family":"Teo","given":"K. T. K."}],"issued":{"date-parts":[["2014",10,1]]}}}],"schema":"https://github.com/citation-style-language/schema/raw/master/csl-citation.json"} </w:instrText>
      </w:r>
      <w:r w:rsidRPr="005C1F7F">
        <w:fldChar w:fldCharType="separate"/>
      </w:r>
      <w:r w:rsidR="00E17813" w:rsidRPr="00E17813">
        <w:rPr>
          <w:rFonts w:cs="Times New Roman"/>
          <w:kern w:val="0"/>
          <w:vertAlign w:val="superscript"/>
        </w:rPr>
        <w:t>[3,61]</w:t>
      </w:r>
      <w:r w:rsidRPr="005C1F7F">
        <w:fldChar w:fldCharType="end"/>
      </w:r>
      <w:r w:rsidRPr="00351E0B">
        <w:rPr>
          <w:rFonts w:hint="eastAsia"/>
        </w:rPr>
        <w:t>。</w:t>
      </w:r>
      <w:r>
        <w:rPr>
          <w:rFonts w:hint="eastAsia"/>
        </w:rPr>
        <w:t>资源的</w:t>
      </w:r>
      <w:r w:rsidRPr="00351E0B">
        <w:rPr>
          <w:rFonts w:hint="eastAsia"/>
        </w:rPr>
        <w:t>敏捷调度</w:t>
      </w:r>
      <w:r>
        <w:rPr>
          <w:rFonts w:hint="eastAsia"/>
        </w:rPr>
        <w:t>能够</w:t>
      </w:r>
      <w:r w:rsidRPr="00351E0B">
        <w:rPr>
          <w:rFonts w:hint="eastAsia"/>
        </w:rPr>
        <w:t>快速响应</w:t>
      </w:r>
      <w:r>
        <w:rPr>
          <w:rFonts w:hint="eastAsia"/>
        </w:rPr>
        <w:t>清洁能源基地开发环境的动态变化</w:t>
      </w:r>
      <w:r w:rsidRPr="00351E0B">
        <w:rPr>
          <w:rFonts w:hint="eastAsia"/>
        </w:rPr>
        <w:t>，</w:t>
      </w:r>
      <w:r>
        <w:rPr>
          <w:rFonts w:hint="eastAsia"/>
        </w:rPr>
        <w:t>及时辨识并应对风险，保证清洁能源基地实施的进度与质量</w:t>
      </w:r>
      <w:r>
        <w:fldChar w:fldCharType="begin"/>
      </w:r>
      <w:r w:rsidR="00E17813">
        <w:instrText xml:space="preserve"> ADDIN ZOTERO_ITEM CSL_CITATION {"citationID":"a2gf3nvtap2","properties":{"formattedCitation":"\\super [55,83]\\nosupersub{}","plainCitation":"[55,83]","noteIndex":0},"citationItems":[{"id":2358,"uris":["http://zotero.org/users/13172592/items/E9Z93RH2"],"itemData":{"id":2358,"type":"article-journal","call-number":"4","container-title":"Journal of Asian Architecture and Building Engineering","DOI":"10.1080/13467581.2024.2329357","ISSN":"1346-7581, 1347-2852","journalAbbreviation":"Journal of Asian Architecture and Building Engineering","language":"en","page":"1-16","source":"1.3","title":"Effect of resource integration on organizational resilience of megaprojects: Role of dynamic capability and resource availability","title-short":"Effect of resource integration on organizational resilience of megaprojects","author":[{"family":"Wang","given":"Dedong"},{"family":"Zhao","given":"Xiaoru"}],"issued":{"date-parts":[["2024",3,17]]}}},{"id":2359,"uris":["http://zotero.org/users/13172592/items/H5TTPQC4"],"itemData":{"id":2359,"type":"article-journal","abstract":"Purpose – Currently, many studies have shown an increasing interest in owner-dynamic capabilities (ODCs). Existing studies mainly focus on the dynamic capability basis and capability development within the owner organization, whereas they rarely analyze the capability mobilization within the network of participants in megaprojects. Therefore, this study aims to explain the interaction and evolution of the mobilization strategies of ODCs and the cooperative strategies of other participants.","container-title":"Engineering, Construction and Architectural Management","DOI":"10.1108/ECAM-04-2023-0323","ISSN":"0969-9988","issue":"3","journalAbbreviation":"ECAM","language":"en","license":"https://www.emerald.com/insight/site-policies","page":"1478-1498","source":"DOI.org (Crossref)","title":"How to mobilize owner-dynamic capabilities in megaprojects? A tripartite evolutionary game approach","title-short":"How to mobilize owner-dynamic capabilities in megaprojects?","volume":"32","author":[{"family":"Tian","given":"Zidan"},{"family":"He","given":"Qinghua"},{"family":"Wang","given":"Ting"}],"issued":{"date-parts":[["2023"]]}}}],"schema":"https://github.com/citation-style-language/schema/raw/master/csl-citation.json"} </w:instrText>
      </w:r>
      <w:r>
        <w:fldChar w:fldCharType="separate"/>
      </w:r>
      <w:r w:rsidR="00E17813" w:rsidRPr="00E17813">
        <w:rPr>
          <w:rFonts w:cs="Times New Roman"/>
          <w:kern w:val="0"/>
          <w:vertAlign w:val="superscript"/>
        </w:rPr>
        <w:t>[55,83]</w:t>
      </w:r>
      <w:r>
        <w:fldChar w:fldCharType="end"/>
      </w:r>
      <w:r w:rsidRPr="00351E0B">
        <w:rPr>
          <w:rFonts w:hint="eastAsia"/>
        </w:rPr>
        <w:t>。设计</w:t>
      </w:r>
      <w:r>
        <w:rPr>
          <w:rFonts w:hint="eastAsia"/>
        </w:rPr>
        <w:t>、</w:t>
      </w:r>
      <w:r w:rsidRPr="00351E0B">
        <w:rPr>
          <w:rFonts w:hint="eastAsia"/>
        </w:rPr>
        <w:t>采购</w:t>
      </w:r>
      <w:r>
        <w:rPr>
          <w:rFonts w:hint="eastAsia"/>
        </w:rPr>
        <w:t>、</w:t>
      </w:r>
      <w:r w:rsidRPr="00351E0B">
        <w:rPr>
          <w:rFonts w:hint="eastAsia"/>
        </w:rPr>
        <w:t>施工</w:t>
      </w:r>
      <w:r>
        <w:rPr>
          <w:rFonts w:hint="eastAsia"/>
        </w:rPr>
        <w:t>、运营环节间的</w:t>
      </w:r>
      <w:r w:rsidRPr="00351E0B">
        <w:rPr>
          <w:rFonts w:hint="eastAsia"/>
        </w:rPr>
        <w:t>信息</w:t>
      </w:r>
      <w:r>
        <w:rPr>
          <w:rFonts w:hint="eastAsia"/>
        </w:rPr>
        <w:t>及时共享则有利于实现各环节间的顺畅衔接</w:t>
      </w:r>
      <w:r>
        <w:fldChar w:fldCharType="begin"/>
      </w:r>
      <w:r w:rsidR="00E17813">
        <w:instrText xml:space="preserve"> ADDIN ZOTERO_ITEM CSL_CITATION {"citationID":"a66vvi5jje","properties":{"formattedCitation":"\\super [73,84]\\nosupersub{}","plainCitation":"[73,84]","noteIndex":0},"citationItems":[{"id":3242,"uris":["http://zotero.org/users/13172592/items/IS5FB2RH"],"itemData":{"id":3242,"type":"article-journal","abstract":"Trust and power are considered to be two necessary mechanisms for promoting cooperation among construction partners. In this paper, trust is regarded as a mediator between power and cooperative performance. A model of the relationship between trust and power is developed and tested using the results of an empirical study based on a sample of Chinese contractors. The results show that an owner's expert power can inﬂuence a contractor's cognition- and affect-based trust in the owner and that coercive power has little direct impact on the formation of trust. However, coercive power is found to moderate the relationship between expert power and cognition-based trust, in that the relationship is more positive when the level of coercive power is lower. Moreover, affect-based trust has a signiﬁcantly greater positive inﬂuence on cooperative performance than cognition-based trust. These ﬁndings are interpreted in light of Chinese culture, and provide some suggestions for how owners can exercise power to foster cooperation with their contractors.","call-number":"1","container-title":"International Journal of Project Management","DOI":"10.1016/j.ijproman.2012.10.008","ISSN":"02637863","issue":"4","journalAbbreviation":"International Journal of Project Management","language":"en","license":"https://www.elsevier.com/tdm/userlicense/1.0/","page":"522-531","source":"7.4","title":"The influence of owner power in fostering contractor cooperation: Evidence from China","title-short":"The influence of owner power in fostering contractor cooperation","volume":"31","author":[{"family":"Lu","given":"Shaokai"},{"family":"Hao","given":"Gang"}],"issued":{"date-parts":[["2013",5]]}}},{"id":1641,"uris":["http://zotero.org/users/13172592/items/93NZ4BEB"],"itemData":{"id":1641,"type":"article-journal","abstract":"The combination of the economic pressures, maturity and limitations of project management and the dynamic nature of the construction industry clients’ requirements has triggered the need for the adoption and implementation of programme management as a de facto means of aligning, coordinating and managing a portfolio of construction projects to deliver beneﬁts that would not be achievable if the projects were managed independently. Despite the beneﬁts achievable in the practice of programme management, the awareness and understanding of its practice in the construction industry remains vague as a result of a lack of clarity and inconsistencies associated with its deﬁnitions. To fully understand the core essence of programme management, it is imperative that its quintessential deﬁnition, practice and context are clearly understood and documented. This research is based on a pragmatic synthesis of literature review and industrial questionnaire survey which establishes the relationship, similarities and diﬀerences between programme management and project management and subsequently draws comparisons of the practices relevant to programmes between programme and non-programme organisations. The research further highlights the implications of unawareness and lack of understanding that can aﬀect the eﬀective implementation and practice of programme management in the UK construction environment.","call-number":"1","container-title":"International Journal of Project Management","DOI":"10.1016/j.ijproman.2009.02.005","ISSN":"02637863","issue":"7","journalAbbreviation":"International Journal of Project Management","language":"en","license":"https://www.elsevier.com/tdm/userlicense/1.0/","page":"703-716","source":"8","title":"Construction programme management theory and practice: Contextual and pragmatic approach","title-short":"Construction programme management theory and practice","volume":"27","author":[{"family":"Shehu","given":"Zayyana"},{"family":"Akintoye","given":"Akintola"}],"issued":{"date-parts":[["2009",10]]}}}],"schema":"https://github.com/citation-style-language/schema/raw/master/csl-citation.json"} </w:instrText>
      </w:r>
      <w:r>
        <w:fldChar w:fldCharType="separate"/>
      </w:r>
      <w:r w:rsidR="00E17813" w:rsidRPr="00E17813">
        <w:rPr>
          <w:rFonts w:cs="Times New Roman"/>
          <w:kern w:val="0"/>
          <w:vertAlign w:val="superscript"/>
        </w:rPr>
        <w:t>[73,84]</w:t>
      </w:r>
      <w:r>
        <w:fldChar w:fldCharType="end"/>
      </w:r>
      <w:r w:rsidRPr="00351E0B">
        <w:rPr>
          <w:rFonts w:hint="eastAsia"/>
        </w:rPr>
        <w:t>。</w:t>
      </w:r>
      <w:r>
        <w:rPr>
          <w:rFonts w:hint="eastAsia"/>
        </w:rPr>
        <w:t>获取</w:t>
      </w:r>
      <w:r w:rsidRPr="00351E0B">
        <w:rPr>
          <w:rFonts w:hint="eastAsia"/>
        </w:rPr>
        <w:t>外部技术支持</w:t>
      </w:r>
      <w:r>
        <w:rPr>
          <w:rFonts w:hint="eastAsia"/>
        </w:rPr>
        <w:t>能够协助解决清洁能源基地实施过程中遇到的技术与管理难题，从而提高实施水平</w:t>
      </w:r>
      <w:r>
        <w:fldChar w:fldCharType="begin"/>
      </w:r>
      <w:r w:rsidR="00EB7246">
        <w:instrText xml:space="preserve"> ADDIN ZOTERO_ITEM CSL_CITATION {"citationID":"5eHwsq2Q","properties":{"formattedCitation":"\\super [38]\\nosupersub{}","plainCitation":"[38]","noteIndex":0},"citationItems":[{"id":3050,"uris":["http://zotero.org/users/13172592/items/GRM9JMJ9"],"itemData":{"id":3050,"type":"article-journal","abstract":"With increasing worldwide energy demand, many energy-related issues are growing, including global warming, energy sustainability, and environmental pollution. These challenges force nations to actively endorse renewable energy development policies. As a result, numerous renewable energy projects are executed around the globe, which are confronting various hurdles, causing failure for many of the current projects. This study, therefore, aims to suggest that community participation in planning and decisionmaking is an imperative mediator through which government support (GS) and organizational innovativeness (OI) can positively affect renewable project success. Data was collected through a survey from 650 respondents of the renewable energy projects in Pakistan, and hypotheses were proved by employing structural equation modeling (SEM). The ﬁndings show that GS and OI have a signiﬁcant positive impact on the CP and project success. Moreover, CP was realized to partially mediates these relationships. It is expected that the ﬁndings present guidelines for the government authorities so that they endeavor and make better policies for involving the community as a mediator in project planning and decision making for renewable energy projects.","call-number":"1","container-title":"Energy","DOI":"10.1016/j.energy.2021.122172","ISSN":"03605442","journalAbbreviation":"Energy","language":"en","page":"122172","source":"9","title":"The influence of government support, organizational innovativeness and community participation in renewable energy project success: A case of Pakistan","title-short":"The influence of government support, organizational innovativeness and community participation in renewable energy project success","volume":"239","author":[{"family":"Hussain","given":"Shahid"},{"family":"Xuetong","given":"Wang"},{"family":"Maqbool","given":"Rashid"},{"family":"Hussain","given":"Mustansar"},{"family":"Shahnawaz","given":"Muhammad"}],"issued":{"date-parts":[["2022",1]]}}}],"schema":"https://github.com/citation-style-language/schema/raw/master/csl-citation.json"} </w:instrText>
      </w:r>
      <w:r>
        <w:fldChar w:fldCharType="separate"/>
      </w:r>
      <w:r w:rsidR="00EB7246" w:rsidRPr="00EB7246">
        <w:rPr>
          <w:rFonts w:cs="Times New Roman"/>
          <w:kern w:val="0"/>
          <w:vertAlign w:val="superscript"/>
        </w:rPr>
        <w:t>[38]</w:t>
      </w:r>
      <w:r>
        <w:fldChar w:fldCharType="end"/>
      </w:r>
      <w:r>
        <w:rPr>
          <w:rFonts w:hint="eastAsia"/>
        </w:rPr>
        <w:t>。此外，清洁能源基地各子项目间经验与知识的共享，能够推动总体实施水平的持续提升</w:t>
      </w:r>
      <w:r>
        <w:fldChar w:fldCharType="begin"/>
      </w:r>
      <w:r w:rsidR="00E17813">
        <w:instrText xml:space="preserve"> ADDIN ZOTERO_ITEM CSL_CITATION {"citationID":"a2c4frkffv4","properties":{"formattedCitation":"\\super [73]\\nosupersub{}","plainCitation":"[73]","noteIndex":0},"citationItems":[{"id":1641,"uris":["http://zotero.org/users/13172592/items/93NZ4BEB"],"itemData":{"id":1641,"type":"article-journal","abstract":"The combination of the economic pressures, maturity and limitations of project management and the dynamic nature of the construction industry clients’ requirements has triggered the need for the adoption and implementation of programme management as a de facto means of aligning, coordinating and managing a portfolio of construction projects to deliver beneﬁts that would not be achievable if the projects were managed independently. Despite the beneﬁts achievable in the practice of programme management, the awareness and understanding of its practice in the construction industry remains vague as a result of a lack of clarity and inconsistencies associated with its deﬁnitions. To fully understand the core essence of programme management, it is imperative that its quintessential deﬁnition, practice and context are clearly understood and documented. This research is based on a pragmatic synthesis of literature review and industrial questionnaire survey which establishes the relationship, similarities and diﬀerences between programme management and project management and subsequently draws comparisons of the practices relevant to programmes between programme and non-programme organisations. The research further highlights the implications of unawareness and lack of understanding that can aﬀect the eﬀective implementation and practice of programme management in the UK construction environment.","call-number":"1","container-title":"International Journal of Project Management","DOI":"10.1016/j.ijproman.2009.02.005","ISSN":"02637863","issue":"7","journalAbbreviation":"International Journal of Project Management","language":"en","license":"https://www.elsevier.com/tdm/userlicense/1.0/","page":"703-716","source":"8","title":"Construction programme management theory and practice: Contextual and pragmatic approach","title-short":"Construction programme management theory and practice","volume":"27","author":[{"family":"Shehu","given":"Zayyana"},{"family":"Akintoye","given":"Akintola"}],"issued":{"date-parts":[["2009",10]]}}}],"schema":"https://github.com/citation-style-language/schema/raw/master/csl-citation.json"} </w:instrText>
      </w:r>
      <w:r>
        <w:fldChar w:fldCharType="separate"/>
      </w:r>
      <w:r w:rsidR="00E17813" w:rsidRPr="00E17813">
        <w:rPr>
          <w:rFonts w:cs="Times New Roman"/>
          <w:kern w:val="0"/>
          <w:vertAlign w:val="superscript"/>
        </w:rPr>
        <w:t>[73]</w:t>
      </w:r>
      <w:r>
        <w:fldChar w:fldCharType="end"/>
      </w:r>
      <w:r>
        <w:rPr>
          <w:rFonts w:hint="eastAsia"/>
        </w:rPr>
        <w:t>。基于此，提出假设</w:t>
      </w:r>
      <w:r>
        <w:rPr>
          <w:rFonts w:hint="eastAsia"/>
        </w:rPr>
        <w:t>9</w:t>
      </w:r>
      <w:r>
        <w:rPr>
          <w:rFonts w:hint="eastAsia"/>
        </w:rPr>
        <w:t>（</w:t>
      </w:r>
      <w:r>
        <w:rPr>
          <w:rFonts w:hint="eastAsia"/>
        </w:rPr>
        <w:t>H9</w:t>
      </w:r>
      <w:r>
        <w:rPr>
          <w:rFonts w:hint="eastAsia"/>
        </w:rPr>
        <w:t>）：</w:t>
      </w:r>
    </w:p>
    <w:p w14:paraId="49E7785F" w14:textId="77777777" w:rsidR="00873BC4" w:rsidRPr="00531A78" w:rsidRDefault="00873BC4" w:rsidP="00873BC4">
      <w:pPr>
        <w:ind w:firstLine="422"/>
      </w:pPr>
      <w:r w:rsidRPr="00873BC4">
        <w:rPr>
          <w:rFonts w:hint="eastAsia"/>
          <w:b/>
          <w:bCs/>
        </w:rPr>
        <w:t>H9</w:t>
      </w:r>
      <w:r w:rsidRPr="00873BC4">
        <w:rPr>
          <w:rFonts w:hint="eastAsia"/>
          <w:b/>
          <w:bCs/>
        </w:rPr>
        <w:t>：</w:t>
      </w:r>
      <w:r>
        <w:rPr>
          <w:rFonts w:hint="eastAsia"/>
        </w:rPr>
        <w:t>清洁能源基地合理的资源配置能够提升项目群实施水平。</w:t>
      </w:r>
    </w:p>
    <w:p w14:paraId="5001A835" w14:textId="7E39664B" w:rsidR="00873BC4" w:rsidRDefault="00873BC4" w:rsidP="00873BC4">
      <w:pPr>
        <w:ind w:firstLine="420"/>
      </w:pPr>
      <w:r w:rsidRPr="007C7241">
        <w:rPr>
          <w:rFonts w:hint="eastAsia"/>
        </w:rPr>
        <w:t>清洁能源基地</w:t>
      </w:r>
      <w:r>
        <w:rPr>
          <w:rFonts w:hint="eastAsia"/>
        </w:rPr>
        <w:t>的顺利</w:t>
      </w:r>
      <w:r w:rsidRPr="007C7241">
        <w:rPr>
          <w:rFonts w:hint="eastAsia"/>
        </w:rPr>
        <w:t>实施</w:t>
      </w:r>
      <w:r>
        <w:rPr>
          <w:rFonts w:hint="eastAsia"/>
        </w:rPr>
        <w:t>需要利益相关方的协同合作</w:t>
      </w:r>
      <w:r>
        <w:fldChar w:fldCharType="begin"/>
      </w:r>
      <w:r w:rsidR="00E17813">
        <w:instrText xml:space="preserve"> ADDIN ZOTERO_ITEM CSL_CITATION {"citationID":"TDWkNQgw","properties":{"formattedCitation":"\\super [46]\\nosupersub{}","plainCitation":"[46]","noteIndex":0},"citationItems":[{"id":2584,"uris":["http://zotero.org/users/13172592/items/LUC3WH29","http://zotero.org/users/13172592/items/SB8X9A3C"],"itemData":{"id":2584,"type":"article-journal","archive_location":"WOS:000235671300002","call-number":"2","container-title":"Journal of Construction Engineering and Management","DOI":"10.1061/(ASCE)0733-9364(2006)132:3(217)","ISSN":"0733-9364","issue":"3","language":"en","page":"217-229","source":"5.1","title":"Partnering mechanism in construction: An empirical study on the Chinese construction industry","volume":"132","author":[{"family":"Tang","given":"WZ"},{"family":"Duffield","given":"CF"},{"family":"Young","given":"DM"}],"issued":{"date-parts":[["2006",3]]}}}],"schema":"https://github.com/citation-style-language/schema/raw/master/csl-citation.json"} </w:instrText>
      </w:r>
      <w:r>
        <w:fldChar w:fldCharType="separate"/>
      </w:r>
      <w:r w:rsidR="00E17813" w:rsidRPr="00E17813">
        <w:rPr>
          <w:rFonts w:cs="Times New Roman"/>
          <w:kern w:val="0"/>
          <w:vertAlign w:val="superscript"/>
        </w:rPr>
        <w:t>[46]</w:t>
      </w:r>
      <w:r>
        <w:fldChar w:fldCharType="end"/>
      </w:r>
      <w:r>
        <w:rPr>
          <w:rFonts w:hint="eastAsia"/>
        </w:rPr>
        <w:t>。利益相关方间构建良好的</w:t>
      </w:r>
      <w:r>
        <w:t>伙伴关系</w:t>
      </w:r>
      <w:r>
        <w:rPr>
          <w:rFonts w:hint="eastAsia"/>
        </w:rPr>
        <w:t>能够促进各方间信息交流与反馈，提高沟通与协作效率，既能够促使设计方案满足</w:t>
      </w:r>
      <w:r>
        <w:t>各方</w:t>
      </w:r>
      <w:r>
        <w:rPr>
          <w:rFonts w:hint="eastAsia"/>
        </w:rPr>
        <w:t>功能需求，也有助于推动设计方案根据各方反馈不断优化</w:t>
      </w:r>
      <w:r>
        <w:fldChar w:fldCharType="begin"/>
      </w:r>
      <w:r w:rsidR="00E17813">
        <w:instrText xml:space="preserve"> ADDIN ZOTERO_ITEM CSL_CITATION {"citationID":"aq5cctbccr","properties":{"formattedCitation":"\\super [78]\\nosupersub{}","plainCitation":"[78]","noteIndex":0},"citationItems":[{"id":4096,"uris":["http://zotero.org/users/13172592/items/BLPYXAW5","http://zotero.org/users/13172592/items/QRNWAFXT"],"itemData":{"id":4096,"type":"article-journal","abstract":"Hydropower, as a renewable energy resource, has become an important way to ﬁt for Chinese long-term energy policy of energy transformation. Engineering–procurement–construction (EPC) has been increasingly adopted for improving hydropower project delivery efﬁciency in the utilization of water resources and generation of clean energy, where design plays a critical role in project success. Existing studies advocate the need to use partnering for better solutions to designs in EPC hydropower projects. However, there is a lack of a theoretical framework to systematically address design-related issues considering different participants’ interactions. This study coherently examined the causal relationships among partnering, design management, design capability, and EPC hydropower project performance by establishing and validating a conceptual model, with the support of data collected from a large-scale EPC hydropower project. Path analysis reveals that partnering can directly promote design management and design capability and exert an effect on design capability through enhancing design management, thereby achieving better hydropower project outcomes. This study</w:instrText>
      </w:r>
      <w:r w:rsidR="00E17813">
        <w:rPr>
          <w:rFonts w:hint="eastAsia"/>
        </w:rPr>
        <w:instrText>’</w:instrText>
      </w:r>
      <w:r w:rsidR="00E17813">
        <w:instrText xml:space="preserve">s contribution lies in that it theoretically builds the links between intraand inter-organizational design-related activities by systematically mapping EPC hydropower project performance on partnering, design management, and design capability. These ﬁndings also suggest broad practical strategies for participants to optimally integrate their complementary resources into designs to achieve superior hydropower project performance.","call-number":"3","container-title":"Water","DOI":"10.3390/w13233410","ISSN":"2073-4441","issue":"23","journalAbbreviation":"Water","language":"en","license":"https://creativecommons.org/licenses/by/4.0/","page":"3410","source":"3","title":"Improving design by partnering in engineering–procurement–construction (EPC) hydropower projects: A case study of a large-scale hydropower project in China","title-short":"Improving design by partnering in engineering–procurement–construction (EPC) hydropower projects","volume":"13","author":[{"family":"Liu","given":"Yang"},{"family":"Tang","given":"Wenzhe"},{"family":"Duffield","given":"Colin F."},{"family":"Hui","given":"Felix Kin Peng"},{"family":"Zhang","given":"Lihai"},{"family":"Zhang","given":"Xuteng"},{"family":"Kang","given":"Yanling"}],"issued":{"date-parts":[["2021",12,2]]}}}],"schema":"https://github.com/citation-style-language/schema/raw/master/csl-citation.json"} </w:instrText>
      </w:r>
      <w:r>
        <w:fldChar w:fldCharType="separate"/>
      </w:r>
      <w:r w:rsidR="00E17813" w:rsidRPr="00E17813">
        <w:rPr>
          <w:rFonts w:cs="Times New Roman"/>
          <w:kern w:val="0"/>
          <w:vertAlign w:val="superscript"/>
        </w:rPr>
        <w:t>[78]</w:t>
      </w:r>
      <w:r>
        <w:fldChar w:fldCharType="end"/>
      </w:r>
      <w:r>
        <w:rPr>
          <w:rFonts w:hint="eastAsia"/>
        </w:rPr>
        <w:t>。</w:t>
      </w:r>
      <w:r>
        <w:t>在采购环节，良好的伙伴关系有助于实现供应链</w:t>
      </w:r>
      <w:r>
        <w:rPr>
          <w:rFonts w:hint="eastAsia"/>
        </w:rPr>
        <w:t>一体化管理</w:t>
      </w:r>
      <w:r>
        <w:t>，提升设备与材料的交付效率和成本控制水平</w:t>
      </w:r>
      <w:r>
        <w:fldChar w:fldCharType="begin"/>
      </w:r>
      <w:r w:rsidR="00E17813">
        <w:instrText xml:space="preserve"> ADDIN ZOTERO_ITEM CSL_CITATION {"citationID":"aolq309pfo","properties":{"formattedCitation":"\\super [85,86]\\nosupersub{}","plainCitation":"[85,86]","noteIndex":0},"citationItems":[{"id":4114,"uris":["http://zotero.org/users/13172592/items/6URNWYTI"],"itemData":{"id":4114,"type":"article-journal","abstract":"The purpose of this paper is to explore the challenges facing companies that operate within complex supply networks and the strategies they use to manage such complex supply networks.,The paper uses mixed methods by combining in-depth case studies with an executive forum with those of senior industry stakeholders. The two in-depth supply network case studies were carried out through multiple interviews with focal (or ‘developer’) firms that supply energy through offshore wind power and key suppliers such as wind turbine manufacturers.,The findings show the challenges the offshore wind power industry faces because of complex supply networks, including attempts by several actors to exert their power and control. Despite the networks facing similar complexities and challenges, two distinctly different strategies for orchestrating and governing supply networks are uncovered: one strategy resembles an interventionist strategy, while the other is based on delegation.,Based on the findings, the authors identify and develop a classification of complex supply network divided into intervention and delegation strategies, thereby adding to existing research on ways to manage complex supply networks.,The authors identify strategies for focal firms for managing in complex supply networks, based on control and intervention or coordination and delegation.,Existing research on supply network strategies has largely focused on non-complex contexts. This paper draws from complex adaptive systems and organisational behaviour perspectives to contribute original insights into supply network strategies in complex supply networks.","archive_location":"world","container-title":"Supply Chain Management: An International Journal","DOI":"10.1108/SCM-11-2018-0410","ISSN":"1359-8546","issue":"6","language":"en","note":"publisher: Emerald Publishing Limited","page":"872-886","source":"www.emerald.com","title":"Strategies for complex supply networks: Findings from the offshore wind power industry","title-short":"Strategies for complex supply networks","volume":"24","author":[{"family":"Johnsen","given":"Thomas E."},{"family":"Mikkelsen","given":"Ole Stegmann"},{"family":"Wong","given":"Chee Yew"}],"issued":{"date-parts":[["2019",10</w:instrText>
      </w:r>
      <w:r w:rsidR="00E17813">
        <w:rPr>
          <w:rFonts w:hint="eastAsia"/>
        </w:rPr>
        <w:instrText>,11]]}},"label":"page"},{"id":4111,"uris":["http://zotero.org/users/13172592/items/5DNEFWUW"],"itemData":{"id":4111,"type":"thesis","event-place":"</w:instrText>
      </w:r>
      <w:r w:rsidR="00E17813">
        <w:rPr>
          <w:rFonts w:hint="eastAsia"/>
        </w:rPr>
        <w:instrText>北京</w:instrText>
      </w:r>
      <w:r w:rsidR="00E17813">
        <w:rPr>
          <w:rFonts w:hint="eastAsia"/>
        </w:rPr>
        <w:instrText>","publisher":"</w:instrText>
      </w:r>
      <w:r w:rsidR="00E17813">
        <w:rPr>
          <w:rFonts w:hint="eastAsia"/>
        </w:rPr>
        <w:instrText>清华大学</w:instrText>
      </w:r>
      <w:r w:rsidR="00E17813">
        <w:rPr>
          <w:rFonts w:hint="eastAsia"/>
        </w:rPr>
        <w:instrText>","publisher-place":"</w:instrText>
      </w:r>
      <w:r w:rsidR="00E17813">
        <w:rPr>
          <w:rFonts w:hint="eastAsia"/>
        </w:rPr>
        <w:instrText>北京</w:instrText>
      </w:r>
      <w:r w:rsidR="00E17813">
        <w:rPr>
          <w:rFonts w:hint="eastAsia"/>
        </w:rPr>
        <w:instrText>","title":"</w:instrText>
      </w:r>
      <w:r w:rsidR="00E17813">
        <w:rPr>
          <w:rFonts w:hint="eastAsia"/>
        </w:rPr>
        <w:instrText>基于供应链一体化的国际工程</w:instrText>
      </w:r>
      <w:r w:rsidR="00E17813">
        <w:rPr>
          <w:rFonts w:hint="eastAsia"/>
        </w:rPr>
        <w:instrText>EPC</w:instrText>
      </w:r>
      <w:r w:rsidR="00E17813">
        <w:rPr>
          <w:rFonts w:hint="eastAsia"/>
        </w:rPr>
        <w:instrText>项目采购管理研究</w:instrText>
      </w:r>
      <w:r w:rsidR="00E17813">
        <w:rPr>
          <w:rFonts w:hint="eastAsia"/>
        </w:rPr>
        <w:instrText>","author":[{"literal":"</w:instrText>
      </w:r>
      <w:r w:rsidR="00E17813">
        <w:rPr>
          <w:rFonts w:hint="eastAsia"/>
        </w:rPr>
        <w:instrText>王姝力</w:instrText>
      </w:r>
      <w:r w:rsidR="00E17813">
        <w:rPr>
          <w:rFonts w:hint="eastAsia"/>
        </w:rPr>
        <w:instrText>"}</w:instrText>
      </w:r>
      <w:r w:rsidR="00E17813">
        <w:instrText xml:space="preserve">],"issued":{"date-parts":[["2016"]]}},"label":"page"}],"schema":"https://github.com/citation-style-language/schema/raw/master/csl-citation.json"} </w:instrText>
      </w:r>
      <w:r>
        <w:fldChar w:fldCharType="separate"/>
      </w:r>
      <w:r w:rsidR="00E17813" w:rsidRPr="00E17813">
        <w:rPr>
          <w:rFonts w:cs="Times New Roman"/>
          <w:kern w:val="0"/>
          <w:vertAlign w:val="superscript"/>
        </w:rPr>
        <w:t>[85</w:t>
      </w:r>
      <w:r w:rsidR="00A60991">
        <w:rPr>
          <w:rFonts w:cs="Times New Roman" w:hint="eastAsia"/>
          <w:kern w:val="0"/>
          <w:vertAlign w:val="superscript"/>
        </w:rPr>
        <w:t>-</w:t>
      </w:r>
      <w:r w:rsidR="00E17813" w:rsidRPr="00E17813">
        <w:rPr>
          <w:rFonts w:cs="Times New Roman"/>
          <w:kern w:val="0"/>
          <w:vertAlign w:val="superscript"/>
        </w:rPr>
        <w:t>86]</w:t>
      </w:r>
      <w:r>
        <w:fldChar w:fldCharType="end"/>
      </w:r>
      <w:r>
        <w:t>。在施工环节，伙伴关系</w:t>
      </w:r>
      <w:r>
        <w:rPr>
          <w:rFonts w:hint="eastAsia"/>
        </w:rPr>
        <w:t>一方面有利于与当地居民构建相互信任、理解的合作关系，从而顺利推进征地移民工作</w:t>
      </w:r>
      <w:r w:rsidRPr="003769D0">
        <w:rPr>
          <w:highlight w:val="yellow"/>
        </w:rPr>
        <w:fldChar w:fldCharType="begin"/>
      </w:r>
      <w:r w:rsidR="00EB7246">
        <w:rPr>
          <w:highlight w:val="yellow"/>
        </w:rPr>
        <w:instrText xml:space="preserve"> ADDIN ZOTERO_ITEM CSL_CITATION {"citationID":"a1gup0e65gm","properties":{"formattedCitation":"\\super [4,38]\\nosupersub{}","plainCitation":"[4,38]","noteIndex":0},"citationItems":[{"id":3050,"uris":["http://zotero.org/users/13172592/items/GRM9JMJ9"],"itemData":{"id":3050,"type":"article-journal","abstract":"With increasing worldwide energy demand, many energy-related issues are growing, including global warming, energy sustainability, and environmental pollution. These challenges force nations to actively endorse renewable energy development policies. As a result, numerous renewable energy projects are executed around the globe, which are confronting various hurdles, causing failure for many of the current projects. This study, therefore, aims to suggest that community participation in planning and decisionmaking is an imperative mediator through which government support (GS) and organizational innovativeness (OI) can positively affect renewable project success. Data was collected through a survey from 650 respondents of the renewable energy projects in Pakistan, and hypotheses were proved by employing structural equation modeling (SEM). The ﬁndings show that GS and OI have a signiﬁcant positive impact on the CP and project success. Moreover, CP was realized to partially mediates these relationships. It is expected that the ﬁndings present guidelines for the government authorities so that they endeavor and make better policies for involving the community as a mediator in project planning and decision making for renewable energy projects.","call-number":"1","container-title":"Energy","DOI":"10.1016/j.energy.2021.122172","ISSN":"03605442","journalAbbreviation":"Energy","language":"en","page":"122172","source":"9","title":"The influence of government support, organizational innovativeness and community participation in renewable energy project success: A case of Pakistan","title-short":"The influence of government support, organizational innovativeness and community participation in renewable energy project success","volume":"239","author":[{"family":"Hussain","given":"Shahid"},{"family":"Xuetong","given":"Wang"},{"family":"Maqbool","given":"Rashid"},{"family":"Hussain","given":"Mustansar"},{"family":"Shahnawaz","given":"Muhammad"}],"issued":{"date-parts":[["2022",1]]}}},{"id":3701,"uris":["http://zotero.org/users/13172592/items/DIB9DINA"],"itemData":{"id":3701,"type":"article-journal","abstract":"The future of electriﬁcation of Africa lies within off-grid generation via renewable energy (RE). Although many RE projects have started across the Sub-Sahara, especially public projects are seldom successful. This study engages directly (ethnographically) with the local communities beneﬁtting or expected to beneﬁt from the projects, the implementing organizations and government.","call-number":"1","container-title":"Renewable Energy","DOI":"10.1016/j.renene.2016.10.037","ISSN":"09601481","journalAbbreviation":"Renewable Energy","language":"en","page":"234-240","source":"9","title":"The empirical reality &amp; sustainable management failures of renewable energy projects in Sub-Saharan Africa (part 1 of 2)","volume":"102","author":[{"family":"Ikejemba","given":"Eugene C.X."},{"family":"Mpuan","given":"Peter B."},{"family":"Schuur","given":"Peter C."},{"family":"Van Hillegersberg","given":"Jos"}],"issued":{"date-parts":[["2017",3]]}}}],"schema":"https://github.com/citation-style-language/schema/raw/master/csl-citation.json"} </w:instrText>
      </w:r>
      <w:r w:rsidRPr="003769D0">
        <w:rPr>
          <w:highlight w:val="yellow"/>
        </w:rPr>
        <w:fldChar w:fldCharType="separate"/>
      </w:r>
      <w:r w:rsidR="00EB7246" w:rsidRPr="00EB7246">
        <w:rPr>
          <w:rFonts w:cs="Times New Roman"/>
          <w:kern w:val="0"/>
          <w:vertAlign w:val="superscript"/>
        </w:rPr>
        <w:t>[4,38]</w:t>
      </w:r>
      <w:r w:rsidRPr="003769D0">
        <w:rPr>
          <w:highlight w:val="yellow"/>
        </w:rPr>
        <w:fldChar w:fldCharType="end"/>
      </w:r>
      <w:r>
        <w:rPr>
          <w:rFonts w:hint="eastAsia"/>
        </w:rPr>
        <w:t>；另一方面则能够提升</w:t>
      </w:r>
      <w:r w:rsidRPr="007C7241">
        <w:rPr>
          <w:rFonts w:hint="eastAsia"/>
        </w:rPr>
        <w:t>清洁能源基地</w:t>
      </w:r>
      <w:r>
        <w:rPr>
          <w:rFonts w:hint="eastAsia"/>
        </w:rPr>
        <w:t>各子项目的一体化施工</w:t>
      </w:r>
      <w:r>
        <w:t>组织</w:t>
      </w:r>
      <w:r>
        <w:rPr>
          <w:rFonts w:hint="eastAsia"/>
        </w:rPr>
        <w:t>设计水平</w:t>
      </w:r>
      <w:r>
        <w:t>，</w:t>
      </w:r>
      <w:r>
        <w:rPr>
          <w:rFonts w:hint="eastAsia"/>
        </w:rPr>
        <w:t>减少施工冲突，以提升</w:t>
      </w:r>
      <w:r>
        <w:t>进度、质量与安全</w:t>
      </w:r>
      <w:r>
        <w:rPr>
          <w:rFonts w:hint="eastAsia"/>
        </w:rPr>
        <w:t>管理水平</w:t>
      </w:r>
      <w:r>
        <w:fldChar w:fldCharType="begin"/>
      </w:r>
      <w:r w:rsidR="00E17813">
        <w:instrText xml:space="preserve"> ADDIN ZOTERO_ITEM CSL_CITATION {"citationID":"alhto23bk5","properties":{"formattedCitation":"\\super [77,87]\\nosupersub{}","plainCitation":"[77,87]","noteIndex":0},"citationItems":[{"id":168,"uris":["http://zotero.org/users/13172592/items/YXXHHZPX"],"itemData":{"id":168,"type":"article-journal","abstract":"The engineer–procure–construct (EPC) approach has been increasingly adopted in international markets, in which contractors need to have adequate capabilities in effectively dealing with a wide range of risks in a complex environment that consists of various stakeholders. Many researchers have embraced the strategy of partnering to integrate diverse project delivery activities by meeting the needs of all project participants. However, limited research has addressed the cause–effect relationships among partnering, risk management, and organizational capability on how performance improvements can be generated from them on a holistic view. This study systematically investigates the causal relationships among these themes by establishing and testing a conceptual model. With the support of data collected from Chinese contractors with experience in delivering EPC projects by questionnaire, interview, and a case study, the results provide empirical evidences on contractors' partnering application degree, strength, and weakness of organizational capabilities, overall picture of risk management, and project performance level, which form a sound basis for contractors' decision making during project implementation. This study further reveals that partnering can not only directly facilitate organizational capability and risk management but also exert its inﬂuence on risk management through enhanced organizational capability, thereby improving project performance. The above insights suggest research and practical emphases on combining risk management with partnering principles to assist in both intra- and inter-organizational activities, and contractors' appropriate linking with involved stakeholders to obtain necessary resources and effectively transfer them for successfully delivering international EPC projects.","container-title":"International Journal of Project Management","DOI":"10.1016/j.ijproman.2015.09.003","ISSN":"02637863","issue":"1","journalAbbreviation":"International Journal of Project Management","language":"en","page":"30-43","source":"DOI.org (Crossref)","title":"Enhancing engineer–procure–construct project performance by partnering in international markets: Perspective from Chinese construction companies","title-short":"Enhancing engineer–procure–construct project performance by partnering in international markets","volume":"34","author":[{"family":"Du","given":"Lei"},{"family":"Tang","given":"Wenzhe"},{"family":"Liu","given":"Chunna"},{"family":"Wang","given":"Shuli"},{"family":"Wang","given":"Tengfei"},{"family":"Shen","given":"Wenxin"},{"family":"Huang","given":"Min"},{"family":"Zhou","given":"Yongzhi"}],"issued":{"date-parts":[["2016",1]]}}},{"id":2561,"uris":["http://zotero.org/users/13172592/items/QQSV7RKS"],"itemData":{"id":2561,"type":"article-journal","abstract":"The engineering-procurement-construction (EPC) method is gaining more acceptance worldwide as a project delivery strategy due to the construction efficiencies gained through making one organization responsible for integration of the processes of design, procurement, and construction. Such EPC projects are not without their difficulties-for example, the time pressures frequently brought by overlapping design, procurement, and construction increase uncertainty and complexity in managing the multiple interfaces between different interacting stakeholders. This paper aims to quantitatively and systematically examine how trust, openness, and communication interrelate to improve interface management performance in international EPC projects. A conceptual model is developed and tested with data collected from a questionnaire survey and interviews. The path analysis demonstrates that trust not only can be directly conducive to interface management but also has a positive impact on interface management through enhanced interorganizational openness and communication. Social network analysis visualizes contractors' industrial relations and reveals different impacts of stakeholders in trust and interface networks of international EPC contractors. This study advances previous research by developing a systematic framework on the basis of trust for understanding and promoting interface management. Understanding the in-depth underlying interrelations of trust, openness, and communication can contribute to improving alignment between stakeholders and to appropriately applying interface management in practice. (C) 2017 American Society of Civil Engineers.","archive_location":"WOS:000416654400003","call-number":"2","container-title":"Journal of Construction Engineering and Management","DOI":"10.1061/(ASCE)CO.1943-7862.0001351","ISSN":"0733-9364","issue":"9","language":"en","page":"04017061","source":"5.1","title":"Enhancing trust-based interface management in international engineering-procurement-construction projects","volume":"143","author":[{"family":"Shen","given":"WX"},{"family":"Tang","given":"WZ"},{"family":"Wang","given":"SL"},{"family":"Duffield","given":"CF"},{"family":"Hui","given":"FKP"},{"family":"You","given":"RC"}],"issued":{"date-parts":[["2017"]]}}}],"schema":"https://github.com/citation-style-language/schema/raw/master/csl-citation.json"} </w:instrText>
      </w:r>
      <w:r>
        <w:fldChar w:fldCharType="separate"/>
      </w:r>
      <w:r w:rsidR="00E17813" w:rsidRPr="00E17813">
        <w:rPr>
          <w:rFonts w:cs="Times New Roman"/>
          <w:kern w:val="0"/>
          <w:vertAlign w:val="superscript"/>
        </w:rPr>
        <w:t>[77,87]</w:t>
      </w:r>
      <w:r>
        <w:fldChar w:fldCharType="end"/>
      </w:r>
      <w:r>
        <w:t>。</w:t>
      </w:r>
      <w:r>
        <w:rPr>
          <w:rFonts w:hint="eastAsia"/>
        </w:rPr>
        <w:t>基于此，提出假设</w:t>
      </w:r>
      <w:r>
        <w:rPr>
          <w:rFonts w:hint="eastAsia"/>
        </w:rPr>
        <w:t>10</w:t>
      </w:r>
      <w:r>
        <w:rPr>
          <w:rFonts w:hint="eastAsia"/>
        </w:rPr>
        <w:t>（</w:t>
      </w:r>
      <w:r>
        <w:rPr>
          <w:rFonts w:hint="eastAsia"/>
        </w:rPr>
        <w:t>H10</w:t>
      </w:r>
      <w:r>
        <w:rPr>
          <w:rFonts w:hint="eastAsia"/>
        </w:rPr>
        <w:t>）：</w:t>
      </w:r>
    </w:p>
    <w:p w14:paraId="6A9ECEF8" w14:textId="77777777" w:rsidR="00873BC4" w:rsidRPr="006D2BF0" w:rsidRDefault="00873BC4" w:rsidP="00873BC4">
      <w:pPr>
        <w:ind w:firstLine="422"/>
      </w:pPr>
      <w:r w:rsidRPr="00873BC4">
        <w:rPr>
          <w:rFonts w:hint="eastAsia"/>
          <w:b/>
          <w:bCs/>
        </w:rPr>
        <w:t>H10</w:t>
      </w:r>
      <w:r w:rsidRPr="00873BC4">
        <w:rPr>
          <w:rFonts w:hint="eastAsia"/>
          <w:b/>
          <w:bCs/>
        </w:rPr>
        <w:t>：</w:t>
      </w:r>
      <w:r>
        <w:rPr>
          <w:rFonts w:hint="eastAsia"/>
        </w:rPr>
        <w:t>清洁能源基地各方间良好的伙伴关系能够提升项目群实施水平。</w:t>
      </w:r>
    </w:p>
    <w:p w14:paraId="10DB0D8C" w14:textId="33F68FC1" w:rsidR="00873BC4" w:rsidRDefault="00873BC4" w:rsidP="00873BC4">
      <w:pPr>
        <w:pStyle w:val="3"/>
      </w:pPr>
      <w:bookmarkStart w:id="2" w:name="_Toc198492778"/>
      <w:r>
        <w:rPr>
          <w:rFonts w:hint="eastAsia"/>
        </w:rPr>
        <w:t>项目群运营</w:t>
      </w:r>
      <w:bookmarkEnd w:id="2"/>
    </w:p>
    <w:p w14:paraId="2D80EB75" w14:textId="4AAF5BDF" w:rsidR="00873BC4" w:rsidRDefault="00873BC4" w:rsidP="00C82022">
      <w:pPr>
        <w:ind w:firstLine="420"/>
        <w:rPr>
          <w:b/>
          <w:bCs/>
        </w:rPr>
      </w:pPr>
      <w:r w:rsidRPr="00270FBE">
        <w:rPr>
          <w:rFonts w:hint="eastAsia"/>
        </w:rPr>
        <w:t>项目群运营</w:t>
      </w:r>
      <w:r>
        <w:rPr>
          <w:rFonts w:hint="eastAsia"/>
        </w:rPr>
        <w:t>关注清洁能源基地</w:t>
      </w:r>
      <w:r w:rsidRPr="00270FBE">
        <w:rPr>
          <w:rFonts w:hint="eastAsia"/>
        </w:rPr>
        <w:t>的安全稳定运行与多能互补，</w:t>
      </w:r>
      <w:r>
        <w:rPr>
          <w:rFonts w:hint="eastAsia"/>
        </w:rPr>
        <w:t>旨在反映</w:t>
      </w:r>
      <w:r w:rsidRPr="00270FBE">
        <w:rPr>
          <w:rFonts w:hint="eastAsia"/>
        </w:rPr>
        <w:t>运营期的系统调度能力与收益保障水平。</w:t>
      </w:r>
    </w:p>
    <w:p w14:paraId="33470991" w14:textId="1C2AF41A" w:rsidR="00873BC4" w:rsidRDefault="00873BC4" w:rsidP="00873BC4">
      <w:pPr>
        <w:ind w:firstLine="420"/>
      </w:pPr>
      <w:r>
        <w:rPr>
          <w:rFonts w:hint="eastAsia"/>
        </w:rPr>
        <w:t>业主直接参与清洁能源基地运营，其项目群管理能力与清洁能源基地运营水平密切相关。首先，业主通过推动利益相关方间的沟通协作，可以确保各方在多能互补、并网运行及市场交易等环节紧密协作</w:t>
      </w:r>
      <w:r>
        <w:fldChar w:fldCharType="begin"/>
      </w:r>
      <w:r w:rsidR="00E17813">
        <w:instrText xml:space="preserve"> ADDIN ZOTERO_ITEM CSL_CITATION {"citationID":"a974dpdsg1","properties":{"formattedCitation":"\\super [82]\\nosupersub{}","plainCitation":"[82]","noteIndex":0},"citationItems":[{"id":2567,"uris":["http://zotero.org/users/13172592/items/ZTQJ2U5I"],"itemData":{"id":2567,"type":"article-journal","abstract":"Hydropower development involves managing a network of diverse stakeholders. Owners play a critical part in effectively cooperating and establishing inter-organizational linking with stakeholders to achieve multiple project objectives. According to the data which is from the construction industry of hydropower in China, the research aims to investigate the causal relationships between cooperation with stakeholders and inter-organizational linking systematically, together with their impacts on the owners' social capital by developing and testing a conceptual model. Path analysis confirms that cooperation with stakeholders cannot only directly improve owners' social capital but also exert its influence on social capital through enhancement of inter-organizational linking, thereby improving project performance and winning external supports for owners' long-term development. Social network analysis shows that, from the perspective of owners, project stakeholders are clearly grouped into four clusters related to project feasibility, implementation, procurement and resettlement of migrants. These clusters reflect stakeholder's different roles and connections with each other in hydropower development. Understanding the above in-depth underlying relationships is fundamental for improving multi-organizational dynamics research to a state of the art, and help project participants to appropriately adopt cooperative strategies for maximizing the effectiveness of each stakeholder's resources. (C) 2018 Elsevier Ltd. All rights reserved.","archive_location":"WOS:000449892900028","call-number":"1","container-title":"Renewable Energy","DOI":"10.1016/j.renene.2018.07.137","ISSN":"0960-1481","language":"en","page":"326-334","source":"8.7","title":"Understanding the social network of stakeholders in hydropower project development: An owners' view","volume":"132","author":[{"family":"Wang","given":"SL"},{"family":"Shen","given":"WX"},{"family":"Tang","given":"WZ"},{"family":"Wang","given":"YH"},{"family":"Duffield","given":"CF"},{"family":"Hui","given":"FKP"}],"issued":{"date-parts":[["2019",3]]}}}],"schema":"https://github.com/citation-style-language/schema/raw/master/csl-citation.json"} </w:instrText>
      </w:r>
      <w:r>
        <w:fldChar w:fldCharType="separate"/>
      </w:r>
      <w:r w:rsidR="00E17813" w:rsidRPr="00E17813">
        <w:rPr>
          <w:rFonts w:cs="Times New Roman"/>
          <w:kern w:val="0"/>
          <w:vertAlign w:val="superscript"/>
        </w:rPr>
        <w:t>[82]</w:t>
      </w:r>
      <w:r>
        <w:fldChar w:fldCharType="end"/>
      </w:r>
      <w:r>
        <w:rPr>
          <w:rFonts w:hint="eastAsia"/>
        </w:rPr>
        <w:t>。其次，业主通过应用物联网、大数据和人工智能等信息技术手段，可以实现对水风光储项目群实时运行状态的精准监测和调控</w:t>
      </w:r>
      <w:r>
        <w:fldChar w:fldCharType="begin"/>
      </w:r>
      <w:r w:rsidR="00E17813">
        <w:instrText xml:space="preserve"> ADDIN ZOTERO_ITEM CSL_CITATION {"citationID":"a8kpt7hp9b","properties":{"formattedCitation":"\\super [88]\\nosupersub{}","plainCitation":"[88]","noteIndex":0},"citationItems":[{"id":4131,"uris":["http://zotero.org/users/13172592/items/LMK8RV7L"],"itemData":{"id":4131,"type":"article-journal","abstract":"The global energy sector is currently undergoing a transformative shift mainly driven by the ongoing and increasing demand for clean, sustainable, and reliable energy solutions. However, integrating renewable energy sources (RES), such as wind, solar, and hydropower, introduces major challenges due to the intermittent and variable nature of RES, affecting grid stability and reliability. Hybrid energy storage systems (HESS), which combine multiple energy storage devices (ESDs), present a promising solution by leveraging the complementary strengths of each technology involved. This comprehensive review examines recent advancements in grid-connected HESS, focusing on their components, design considerations, control strategies, and applications. It provides a detailed analysis of technological progress in various ESDs and the critical role of power conversion, control, energy management, and cooling systems in optimizing HESS performance. Highlighting case studies of some notable and successful HESS implementations across the globe, we illustrate practical applications and identify the benefits and challenges encountered. By addressing these challenges, HESS can significantly enhance the efficiency and reliability of RES, supporting the shift towards a sustainable and resilient energy infrastructure. The paper concludes by identifying future research directions, highlighting the development of intelligent control systems, sustainable materials, and efficient recycling processes to ensure the widespread adoption and long-term viability of HESS.","container-title":"Sustainable Energy Research","DOI":"10.1186/s40807-024-00120-4","ISSN":"2731-9237","issue":"1","journalAbbreviation":"Sustainable Energy res.","language":"en","license":"2024 This is a U.S. Government work and not under copyright protection in the US; foreign copyright protection may apply","note":"number: 1\npublisher: SpringerOpen","page":"1-23","source":"link.springer.com","title":"Advancements in hybrid energy storage systems for enhancing renewable energy-to-grid integration","volume":"11","author":[{"family":"Adeyinka","given":"Adekanmi Miracle"},{"family":"Esan","given":"Oladapo Christopher"},{"family":"Ijaola","given":"Ahmed Olanrewaju"},{"family":"Farayibi","given":"Peter Kayode"}],"issued":{"date-parts":[["2024",12]]}}}],"schema":"https://github.com/citation-style-language/schema/raw/master/csl-citation.json"} </w:instrText>
      </w:r>
      <w:r>
        <w:fldChar w:fldCharType="separate"/>
      </w:r>
      <w:r w:rsidR="00E17813" w:rsidRPr="00E17813">
        <w:rPr>
          <w:rFonts w:cs="Times New Roman"/>
          <w:kern w:val="0"/>
          <w:vertAlign w:val="superscript"/>
        </w:rPr>
        <w:t>[88]</w:t>
      </w:r>
      <w:r>
        <w:fldChar w:fldCharType="end"/>
      </w:r>
      <w:r>
        <w:rPr>
          <w:rFonts w:hint="eastAsia"/>
        </w:rPr>
        <w:t>。清洁能源基地运营面临政策环境变动、清洁能源出力不稳定、负荷波动等不确定性，业主的动态管理能力能够及时感知其动态变化，并对运行机制、电力市场交易策略做出调整</w:t>
      </w:r>
      <w:r>
        <w:fldChar w:fldCharType="begin"/>
      </w:r>
      <w:r w:rsidR="00E17813">
        <w:instrText xml:space="preserve"> ADDIN ZOTERO_ITEM CSL_CITATION {"citationID":"aga5nh38jb","properties":{"formattedCitation":"\\super [47,83]\\nosupersub{}","plainCitation":"[47,83]","noteIndex":0},"citationItems":[{"id":2359,"uris":["http://zotero.org/users/13172592/items/H5TTPQC4"],"itemData":{"id":2359,"type":"article-journal","abstract":"Purpose – Currently, many studies have shown an increasing interest in owner-dynamic capabilities (ODCs). Existing studies mainly focus on the dynamic capability basis and capability development within the owner organization, whereas they rarely analyze the capability mobilization within the network of participants in megaprojects. Therefore, this study aims to explain the interaction and evolution of the mobilization strategies of ODCs and the cooperative strategies of other participants.","container-title":"Engineering, Construction and Architectural Management","DOI":"10.1108/ECAM-04-2023-0323","ISSN":"0969-9988","issue":"3","journalAbbreviation":"ECAM","language":"en","license":"https://www.emerald.com/insight/site-policies","page":"1478-1498","source":"DOI.org (Crossref)","title":"How to mobilize owner-dynamic capabilities in megaprojects? A tripartite evolutionary game approach","title-short":"How to mobilize owner-dynamic capabilities in megaprojects?","volume":"32","author":[{"family":"Tian","given":"Zidan"},{"family":"He","given":"Qinghua"},{"family":"Wang","given":"Ting"}],"issued":{"date-parts":[["2023"]]}}},{"id":2700,"uris":["http://zotero.org/users/13172592/items/UYEBYSJ7"],"itemData":{"id":2700,"type":"article-journal","abstract":"AbstractExisting studies tend to agree that there are links between owners’ capabilities and\nproject performance. However, limited research has systematically addressed the relationships\namong the multiple facets of organizational capabilities and project ...","archive_location":"world","call-number":"2","container-title":"Journal of Construction Engineering and Management","DOI":"10.1061/(ASCE)CO.1943-7862.0000694","ISSN":"1943-7862","issue":"9","language":"en","license":"© 2013 American Society of Civil Engineers","note":"publisher: American Society of Civil Engineers","page":"1168-1178","source":"4.1","title":"Relationship between owners’ capabilities and project performance on development of hydropower projects in China","volume":"139","author":[{"family":"Wang","given":"Shuli"},{"family":"Tang","given":"Wenzhe"},{"family":"Li","given":"Yuxuan"}],"issued":{"date-parts":[["2013",9,1]]}}}],"schema":"https://github.com/citation-style-language/schema/raw/master/csl-citation.json"} </w:instrText>
      </w:r>
      <w:r>
        <w:fldChar w:fldCharType="separate"/>
      </w:r>
      <w:r w:rsidR="00E17813" w:rsidRPr="00E17813">
        <w:rPr>
          <w:rFonts w:cs="Times New Roman"/>
          <w:kern w:val="0"/>
          <w:vertAlign w:val="superscript"/>
        </w:rPr>
        <w:t>[47,83]</w:t>
      </w:r>
      <w:r>
        <w:fldChar w:fldCharType="end"/>
      </w:r>
      <w:r>
        <w:rPr>
          <w:rFonts w:hint="eastAsia"/>
        </w:rPr>
        <w:t>；此外，也有助于</w:t>
      </w:r>
      <w:r>
        <w:t>引入</w:t>
      </w:r>
      <w:r>
        <w:rPr>
          <w:rFonts w:hint="eastAsia"/>
        </w:rPr>
        <w:t>前沿技术，开展技术创新，以提升清洁能源基地运营的稳定性、安全性与抗风险能力</w:t>
      </w:r>
      <w:r>
        <w:fldChar w:fldCharType="begin"/>
      </w:r>
      <w:r w:rsidR="00E17813">
        <w:instrText xml:space="preserve"> ADDIN ZOTERO_ITEM CSL_CITATION {"citationID":"aur4h0e17q","properties":{"formattedCitation":"\\super [53,89]\\nosupersub{}","plainCitation":"[53,89]","noteIndex":0},"citationItems":[{"id":3803,"uris":["http://zotero.org/users/13172592/items/YTLSDMGW"],"i</w:instrText>
      </w:r>
      <w:r w:rsidR="00E17813">
        <w:rPr>
          <w:rFonts w:hint="eastAsia"/>
        </w:rPr>
        <w:instrText>temData":{"id":3803,"type":"thesis","event-place":"</w:instrText>
      </w:r>
      <w:r w:rsidR="00E17813">
        <w:rPr>
          <w:rFonts w:hint="eastAsia"/>
        </w:rPr>
        <w:instrText>北京</w:instrText>
      </w:r>
      <w:r w:rsidR="00E17813">
        <w:rPr>
          <w:rFonts w:hint="eastAsia"/>
        </w:rPr>
        <w:instrText>","publisher":"</w:instrText>
      </w:r>
      <w:r w:rsidR="00E17813">
        <w:rPr>
          <w:rFonts w:hint="eastAsia"/>
        </w:rPr>
        <w:instrText>清华大学</w:instrText>
      </w:r>
      <w:r w:rsidR="00E17813">
        <w:rPr>
          <w:rFonts w:hint="eastAsia"/>
        </w:rPr>
        <w:instrText>","publisher-place":"</w:instrText>
      </w:r>
      <w:r w:rsidR="00E17813">
        <w:rPr>
          <w:rFonts w:hint="eastAsia"/>
        </w:rPr>
        <w:instrText>北京</w:instrText>
      </w:r>
      <w:r w:rsidR="00E17813">
        <w:rPr>
          <w:rFonts w:hint="eastAsia"/>
        </w:rPr>
        <w:instrText>","title":"</w:instrText>
      </w:r>
      <w:r w:rsidR="00E17813">
        <w:rPr>
          <w:rFonts w:hint="eastAsia"/>
        </w:rPr>
        <w:instrText>价值共创视角下水利水电工程设计管理研究</w:instrText>
      </w:r>
      <w:r w:rsidR="00E17813">
        <w:rPr>
          <w:rFonts w:hint="eastAsia"/>
        </w:rPr>
        <w:instrText>","author":[{"family":"</w:instrText>
      </w:r>
      <w:r w:rsidR="00E17813">
        <w:rPr>
          <w:rFonts w:hint="eastAsia"/>
        </w:rPr>
        <w:instrText>刘</w:instrText>
      </w:r>
      <w:r w:rsidR="00E17813">
        <w:rPr>
          <w:rFonts w:hint="eastAsia"/>
        </w:rPr>
        <w:instrText>","given":"</w:instrText>
      </w:r>
      <w:r w:rsidR="00E17813">
        <w:rPr>
          <w:rFonts w:hint="eastAsia"/>
        </w:rPr>
        <w:instrText>扬</w:instrText>
      </w:r>
      <w:r w:rsidR="00E17813">
        <w:rPr>
          <w:rFonts w:hint="eastAsia"/>
        </w:rPr>
        <w:instrText>"}],"issued":{"date-parts":[["2023"]]}}},{"id":3640,"uris":["http://zotero.org/users/13172592/items/SEDG4LIJ"],"itemData":{"id":3640,"type":"thesis","event-place":"</w:instrText>
      </w:r>
      <w:r w:rsidR="00E17813">
        <w:rPr>
          <w:rFonts w:hint="eastAsia"/>
        </w:rPr>
        <w:instrText>北京</w:instrText>
      </w:r>
      <w:r w:rsidR="00E17813">
        <w:rPr>
          <w:rFonts w:hint="eastAsia"/>
        </w:rPr>
        <w:instrText>","publisher":"</w:instrText>
      </w:r>
      <w:r w:rsidR="00E17813">
        <w:rPr>
          <w:rFonts w:hint="eastAsia"/>
        </w:rPr>
        <w:instrText>清华大学</w:instrText>
      </w:r>
      <w:r w:rsidR="00E17813">
        <w:rPr>
          <w:rFonts w:hint="eastAsia"/>
        </w:rPr>
        <w:instrText>","publisher-place":"</w:instrText>
      </w:r>
      <w:r w:rsidR="00E17813">
        <w:rPr>
          <w:rFonts w:hint="eastAsia"/>
        </w:rPr>
        <w:instrText>北京</w:instrText>
      </w:r>
      <w:r w:rsidR="00E17813">
        <w:rPr>
          <w:rFonts w:hint="eastAsia"/>
        </w:rPr>
        <w:instrText>","title":"</w:instrText>
      </w:r>
      <w:r w:rsidR="00E17813">
        <w:rPr>
          <w:rFonts w:hint="eastAsia"/>
        </w:rPr>
        <w:instrText>工程建设企业创新机理研究</w:instrText>
      </w:r>
      <w:r w:rsidR="00E17813">
        <w:rPr>
          <w:rFonts w:hint="eastAsia"/>
        </w:rPr>
        <w:instrText>","author":[{"family":"</w:instrText>
      </w:r>
      <w:r w:rsidR="00E17813">
        <w:rPr>
          <w:rFonts w:hint="eastAsia"/>
        </w:rPr>
        <w:instrText>张</w:instrText>
      </w:r>
      <w:r w:rsidR="00E17813">
        <w:rPr>
          <w:rFonts w:hint="eastAsia"/>
        </w:rPr>
        <w:instrText>","given":"</w:instrText>
      </w:r>
      <w:r w:rsidR="00E17813">
        <w:rPr>
          <w:rFonts w:hint="eastAsia"/>
        </w:rPr>
        <w:instrText>旭腾</w:instrText>
      </w:r>
      <w:r w:rsidR="00E17813">
        <w:rPr>
          <w:rFonts w:hint="eastAsia"/>
        </w:rPr>
        <w:instrText>"}],"issued":{"date-parts":[["2022"]]}}}],"schema":"https://github.com/citation-s</w:instrText>
      </w:r>
      <w:r w:rsidR="00E17813">
        <w:instrText xml:space="preserve">tyle-language/schema/raw/master/csl-citation.json"} </w:instrText>
      </w:r>
      <w:r>
        <w:fldChar w:fldCharType="separate"/>
      </w:r>
      <w:r w:rsidR="00E17813" w:rsidRPr="00E17813">
        <w:rPr>
          <w:rFonts w:cs="Times New Roman"/>
          <w:kern w:val="0"/>
          <w:vertAlign w:val="superscript"/>
        </w:rPr>
        <w:t>[53,89]</w:t>
      </w:r>
      <w:r>
        <w:fldChar w:fldCharType="end"/>
      </w:r>
      <w:r>
        <w:rPr>
          <w:rFonts w:hint="eastAsia"/>
        </w:rPr>
        <w:t>。基于此，提出假设</w:t>
      </w:r>
      <w:r>
        <w:rPr>
          <w:rFonts w:hint="eastAsia"/>
        </w:rPr>
        <w:t>11</w:t>
      </w:r>
      <w:r>
        <w:rPr>
          <w:rFonts w:hint="eastAsia"/>
        </w:rPr>
        <w:t>（</w:t>
      </w:r>
      <w:r>
        <w:rPr>
          <w:rFonts w:hint="eastAsia"/>
        </w:rPr>
        <w:t>H11</w:t>
      </w:r>
      <w:r>
        <w:rPr>
          <w:rFonts w:hint="eastAsia"/>
        </w:rPr>
        <w:t>）：</w:t>
      </w:r>
    </w:p>
    <w:p w14:paraId="4746DA57" w14:textId="77777777" w:rsidR="00873BC4" w:rsidRPr="00140912" w:rsidRDefault="00873BC4" w:rsidP="00873BC4">
      <w:pPr>
        <w:ind w:firstLine="422"/>
      </w:pPr>
      <w:r w:rsidRPr="00873BC4">
        <w:rPr>
          <w:rFonts w:hint="eastAsia"/>
          <w:b/>
          <w:bCs/>
        </w:rPr>
        <w:t>H11</w:t>
      </w:r>
      <w:r w:rsidRPr="00873BC4">
        <w:rPr>
          <w:rFonts w:hint="eastAsia"/>
          <w:b/>
          <w:bCs/>
        </w:rPr>
        <w:t>：</w:t>
      </w:r>
      <w:r>
        <w:rPr>
          <w:rFonts w:hint="eastAsia"/>
        </w:rPr>
        <w:t>清洁能源基地良好的业主项目群管理能力能够提升项目群运营水平。</w:t>
      </w:r>
    </w:p>
    <w:p w14:paraId="04330D35" w14:textId="4FCC1CE9" w:rsidR="00873BC4" w:rsidRDefault="00873BC4" w:rsidP="00873BC4">
      <w:pPr>
        <w:ind w:firstLine="420"/>
      </w:pPr>
      <w:r>
        <w:t>人力、材料、资金和设备的及时供应是</w:t>
      </w:r>
      <w:r>
        <w:rPr>
          <w:rFonts w:hint="eastAsia"/>
        </w:rPr>
        <w:t>电站</w:t>
      </w:r>
      <w:r>
        <w:t>安全稳定运行的基本保障</w:t>
      </w:r>
      <w:r>
        <w:rPr>
          <w:rFonts w:hint="eastAsia"/>
        </w:rPr>
        <w:t>。例如，专业的运营与检修人员能够保障</w:t>
      </w:r>
      <w:r>
        <w:t>电站</w:t>
      </w:r>
      <w:r>
        <w:rPr>
          <w:rFonts w:hint="eastAsia"/>
        </w:rPr>
        <w:t>的</w:t>
      </w:r>
      <w:r>
        <w:t>日常运维，高质量的设备有助于提升系统可靠性。</w:t>
      </w:r>
      <w:r>
        <w:rPr>
          <w:rFonts w:hint="eastAsia"/>
        </w:rPr>
        <w:t>及时供应高质量的水轮机、</w:t>
      </w:r>
      <w:r w:rsidRPr="003525D8">
        <w:rPr>
          <w:rFonts w:hint="eastAsia"/>
        </w:rPr>
        <w:t>光伏组件、风机</w:t>
      </w:r>
      <w:r>
        <w:rPr>
          <w:rFonts w:hint="eastAsia"/>
        </w:rPr>
        <w:t>等设备，也是多能互补系统建立的基础。</w:t>
      </w:r>
      <w:r w:rsidRPr="00680A25">
        <w:rPr>
          <w:rFonts w:hint="eastAsia"/>
        </w:rPr>
        <w:t>运营过程中</w:t>
      </w:r>
      <w:r>
        <w:rPr>
          <w:rFonts w:hint="eastAsia"/>
        </w:rPr>
        <w:t>，</w:t>
      </w:r>
      <w:r w:rsidRPr="00680A25">
        <w:rPr>
          <w:rFonts w:hint="eastAsia"/>
        </w:rPr>
        <w:t>及时获取</w:t>
      </w:r>
      <w:r>
        <w:rPr>
          <w:rFonts w:hint="eastAsia"/>
        </w:rPr>
        <w:t>并共享</w:t>
      </w:r>
      <w:r w:rsidRPr="00680A25">
        <w:rPr>
          <w:rFonts w:hint="eastAsia"/>
        </w:rPr>
        <w:t>负荷信息及各电站出力信息</w:t>
      </w:r>
      <w:r>
        <w:rPr>
          <w:rFonts w:hint="eastAsia"/>
        </w:rPr>
        <w:t>，对优化调度策略、实现源网荷储一体化至关重要</w:t>
      </w:r>
      <w:r>
        <w:fldChar w:fldCharType="begin"/>
      </w:r>
      <w:r w:rsidR="00E17813">
        <w:instrText xml:space="preserve"> ADDIN ZOTERO_ITEM CSL_CITATION {"citationID":"vbU4Y8mQ","properties":{"formattedCitation":"\\super [90]\\nosupersub{}","plainCitation":"[90]","noteIndex":0},"citationItems":[{"id":3336,"uris":["http://zotero.org/users/13172592/items/MVH4U9UB"],"itemData":{"id":3336,"type":"article-journal","abstract":"In the past two decades, clean energy such as hydro, wind, and solar power has achieved signiﬁcant development under the “green recovery” global goal, and it may become the key method for countries to realize a low-carbon energy system. Here, the development of renewable energy power generation, the typical hydro-wind-photovoltaic complementary practical project, is summarized, and some key problems in complementary systems such as the description and prediction of the power generation law in large-scale stations, risk management, and coordinated operation are analyzed. In terms of these problems, this paper systematically summarizes the research methods and characteristics of a hydro-wind-solar hybrid system and expounds upon the technical realization process from the prediction and description of wind and solar power station cluster output, the risks brought about by large-scale renewable energy grid-connected operation, and the long-term and short-term coordination modeling and resolution thoughts on the hydro-wind-solar hybrid system in cluster mode. Finally, based on the aforementioned analysis, the existing research gaps are discussed from the standpoints of generation forecast, risk management, and cluster scheduling, and the future work outlook is presented accordingly. A hybrid system that combines hydro, wind, and solar energy is emerging as a way to make up for each other’s shortcomings and will be a fruitful area of study in the future.","call-number":"4","container-title":"Energies","DOI":"10.3390/en15228747","ISSN":"1996-1073","issue":"22","journalAbbreviation":"Energies","language":"en","license":"https://creativecommons.org/licenses/by/4.0/","page":"8747","source":"3","title":"Power generation scheduling for a hydro-wind-solar hybrid system: A systematic survey and prospect","title-short":"Power generation scheduling for a hydro-wind-solar hybrid system","volume":"15","author":[{"family":"Chen","given":"Chaoyang"},{"family":"Liu","given":"Hualing"},{"family":"Xiao","given":"Yong"},{"family":"Zhu","given":"Fagen"},{"family":"Ding","given":"Li"},{"family":"Yang","given":"Fuwen"}],"issued":{"date-parts":[["2022",11,21]]}}}],"schema":"https://github.com/citation-style-language/schema/raw/master/csl-citation.json"} </w:instrText>
      </w:r>
      <w:r>
        <w:fldChar w:fldCharType="separate"/>
      </w:r>
      <w:r w:rsidR="00E17813" w:rsidRPr="00E17813">
        <w:rPr>
          <w:rFonts w:cs="Times New Roman"/>
          <w:kern w:val="0"/>
          <w:vertAlign w:val="superscript"/>
        </w:rPr>
        <w:t>[90]</w:t>
      </w:r>
      <w:r>
        <w:fldChar w:fldCharType="end"/>
      </w:r>
      <w:r w:rsidRPr="00680A25">
        <w:rPr>
          <w:rFonts w:hint="eastAsia"/>
        </w:rPr>
        <w:t>。</w:t>
      </w:r>
      <w:r>
        <w:rPr>
          <w:rFonts w:hint="eastAsia"/>
        </w:rPr>
        <w:t>风、光出力的不稳定性是目前清洁能源基地运行、并网所面临的重大挑战</w:t>
      </w:r>
      <w:r>
        <w:fldChar w:fldCharType="begin"/>
      </w:r>
      <w:r w:rsidR="00E17813">
        <w:instrText xml:space="preserve"> ADDIN ZOTERO_ITEM CSL_CITATION {"citationID":"a268m3f6u7q","properties":{"formattedCitation":"\\super [91]\\nosupersub{}","plainCitation":"[91]","noteIndex":0},"citationItems":[{"id":2208,"uris":["http://zotero.org/users/13172592/items/MJALXRQ9"],"itemDa</w:instrText>
      </w:r>
      <w:r w:rsidR="00E17813">
        <w:rPr>
          <w:rFonts w:hint="eastAsia"/>
        </w:rPr>
        <w:instrText>ta":{"id":2208,"type":"article-journal","abstract":"</w:instrText>
      </w:r>
      <w:r w:rsidR="00E17813">
        <w:rPr>
          <w:rFonts w:hint="eastAsia"/>
        </w:rPr>
        <w:instrText>高比例可再生能源并网将改变电力系统的形态</w:instrText>
      </w:r>
      <w:r w:rsidR="00E17813">
        <w:rPr>
          <w:rFonts w:hint="eastAsia"/>
        </w:rPr>
        <w:instrText>,</w:instrText>
      </w:r>
      <w:r w:rsidR="00E17813">
        <w:rPr>
          <w:rFonts w:hint="eastAsia"/>
        </w:rPr>
        <w:instrText>为电力系统稳定控制、调度运行和规划决策等领域带来重大变革。文中基于不同可再生能源渗透率水平下系统的发展特点</w:instrText>
      </w:r>
      <w:r w:rsidR="00E17813">
        <w:rPr>
          <w:rFonts w:hint="eastAsia"/>
        </w:rPr>
        <w:instrText>,</w:instrText>
      </w:r>
      <w:r w:rsidR="00E17813">
        <w:rPr>
          <w:rFonts w:hint="eastAsia"/>
        </w:rPr>
        <w:instrText>将未来电力系统迈向高比例可再生能源的过程分为三大阶段并总结了各个阶段的特征。结合这一领域的研究成果</w:instrText>
      </w:r>
      <w:r w:rsidR="00E17813">
        <w:rPr>
          <w:rFonts w:hint="eastAsia"/>
        </w:rPr>
        <w:instrText>,</w:instrText>
      </w:r>
      <w:r w:rsidR="00E17813">
        <w:rPr>
          <w:rFonts w:hint="eastAsia"/>
        </w:rPr>
        <w:instrText>全面解析了高比例可再生能源电力系统发展过程中将出现的挑战</w:instrText>
      </w:r>
      <w:r w:rsidR="00E17813">
        <w:rPr>
          <w:rFonts w:hint="eastAsia"/>
        </w:rPr>
        <w:instrText>,</w:instrText>
      </w:r>
      <w:r w:rsidR="00E17813">
        <w:rPr>
          <w:rFonts w:hint="eastAsia"/>
        </w:rPr>
        <w:instrText>分析了电力系统消纳高比例可再生能源的一系列技术解决方案</w:instrText>
      </w:r>
      <w:r w:rsidR="00E17813">
        <w:rPr>
          <w:rFonts w:hint="eastAsia"/>
        </w:rPr>
        <w:instrText>,</w:instrText>
      </w:r>
      <w:r w:rsidR="00E17813">
        <w:rPr>
          <w:rFonts w:hint="eastAsia"/>
        </w:rPr>
        <w:instrText>对各项技术的基本原理、经济成本与发展前景进行了分析和比较。研究表明</w:instrText>
      </w:r>
      <w:r w:rsidR="00E17813">
        <w:rPr>
          <w:rFonts w:hint="eastAsia"/>
        </w:rPr>
        <w:instrText>,</w:instrText>
      </w:r>
      <w:r w:rsidR="00E17813">
        <w:rPr>
          <w:rFonts w:hint="eastAsia"/>
        </w:rPr>
        <w:instrText>高比例可再生能源并网将面临一系列技术挑战</w:instrText>
      </w:r>
      <w:r w:rsidR="00E17813">
        <w:rPr>
          <w:rFonts w:hint="eastAsia"/>
        </w:rPr>
        <w:instrText>,</w:instrText>
      </w:r>
      <w:r w:rsidR="00E17813">
        <w:rPr>
          <w:rFonts w:hint="eastAsia"/>
        </w:rPr>
        <w:instrText>而每项关键技术仅能解决其中一部分问题。这些技术在未来高比例可再生能源电力系统中的应用不仅取决于其技术有效性</w:instrText>
      </w:r>
      <w:r w:rsidR="00E17813">
        <w:rPr>
          <w:rFonts w:hint="eastAsia"/>
        </w:rPr>
        <w:instrText>,</w:instrText>
      </w:r>
      <w:r w:rsidR="00E17813">
        <w:rPr>
          <w:rFonts w:hint="eastAsia"/>
        </w:rPr>
        <w:instrText>还取决于其经济性以及与其他技术的互补性。中国未来实现高比例可再生能源电力系统的形态与发展路径取决于各项关键技术的相对发展步伐及其耦合影响。</w:instrText>
      </w:r>
      <w:r w:rsidR="00E17813">
        <w:rPr>
          <w:rFonts w:hint="eastAsia"/>
        </w:rPr>
        <w:instrText>","archive_location":"CNKI","container-title":"</w:instrText>
      </w:r>
      <w:r w:rsidR="00E17813">
        <w:rPr>
          <w:rFonts w:hint="eastAsia"/>
        </w:rPr>
        <w:instrText>电力系统自动化</w:instrText>
      </w:r>
      <w:r w:rsidR="00E17813">
        <w:rPr>
          <w:rFonts w:hint="eastAsia"/>
        </w:rPr>
        <w:instrText>","issue":"9","note":"ISBN: 1000-1026","page":"171-191","title":"</w:instrText>
      </w:r>
      <w:r w:rsidR="00E17813">
        <w:rPr>
          <w:rFonts w:hint="eastAsia"/>
        </w:rPr>
        <w:instrText>高比例可再生能源电力系统关键技术及发展挑战</w:instrText>
      </w:r>
      <w:r w:rsidR="00E17813">
        <w:rPr>
          <w:rFonts w:hint="eastAsia"/>
        </w:rPr>
        <w:instrText>","volume":"45","author":[{"family":"</w:instrText>
      </w:r>
      <w:r w:rsidR="00E17813">
        <w:rPr>
          <w:rFonts w:hint="eastAsia"/>
        </w:rPr>
        <w:instrText>卓振宇</w:instrText>
      </w:r>
      <w:r w:rsidR="00E17813">
        <w:rPr>
          <w:rFonts w:hint="eastAsia"/>
        </w:rPr>
        <w:instrText>","given":""},{"family":"</w:instrText>
      </w:r>
      <w:r w:rsidR="00E17813">
        <w:rPr>
          <w:rFonts w:hint="eastAsia"/>
        </w:rPr>
        <w:instrText>张宁</w:instrText>
      </w:r>
      <w:r w:rsidR="00E17813">
        <w:rPr>
          <w:rFonts w:hint="eastAsia"/>
        </w:rPr>
        <w:instrText>","given":""},{"family":"</w:instrText>
      </w:r>
      <w:r w:rsidR="00E17813">
        <w:rPr>
          <w:rFonts w:hint="eastAsia"/>
        </w:rPr>
        <w:instrText>谢小荣</w:instrText>
      </w:r>
      <w:r w:rsidR="00E17813">
        <w:rPr>
          <w:rFonts w:hint="eastAsia"/>
        </w:rPr>
        <w:instrText>","given":""},{"family":"</w:instrText>
      </w:r>
      <w:r w:rsidR="00E17813">
        <w:rPr>
          <w:rFonts w:hint="eastAsia"/>
        </w:rPr>
        <w:instrText>李浩志</w:instrText>
      </w:r>
      <w:r w:rsidR="00E17813">
        <w:rPr>
          <w:rFonts w:hint="eastAsia"/>
        </w:rPr>
        <w:instrText>","given":""},{"family":"</w:instrText>
      </w:r>
      <w:r w:rsidR="00E17813">
        <w:rPr>
          <w:rFonts w:hint="eastAsia"/>
        </w:rPr>
        <w:instrText>康重庆</w:instrText>
      </w:r>
      <w:r w:rsidR="00E17813">
        <w:rPr>
          <w:rFonts w:hint="eastAsia"/>
        </w:rPr>
        <w:instrText>","given":""}],"issued":{"date-parts":[["2021"]]}}}],"schema":</w:instrText>
      </w:r>
      <w:r w:rsidR="00E17813">
        <w:instrText xml:space="preserve">"https://github.com/citation-style-language/schema/raw/master/csl-citation.json"} </w:instrText>
      </w:r>
      <w:r>
        <w:fldChar w:fldCharType="separate"/>
      </w:r>
      <w:r w:rsidR="00E17813" w:rsidRPr="00E17813">
        <w:rPr>
          <w:rFonts w:cs="Times New Roman"/>
          <w:kern w:val="0"/>
          <w:vertAlign w:val="superscript"/>
        </w:rPr>
        <w:t>[91]</w:t>
      </w:r>
      <w:r>
        <w:fldChar w:fldCharType="end"/>
      </w:r>
      <w:r>
        <w:rPr>
          <w:rFonts w:hint="eastAsia"/>
        </w:rPr>
        <w:t>。</w:t>
      </w:r>
      <w:r>
        <w:t>通过引入外部</w:t>
      </w:r>
      <w:r>
        <w:rPr>
          <w:rFonts w:hint="eastAsia"/>
        </w:rPr>
        <w:t>专家，</w:t>
      </w:r>
      <w:r>
        <w:t>对多能互补及智慧电网建设</w:t>
      </w:r>
      <w:r>
        <w:rPr>
          <w:rFonts w:hint="eastAsia"/>
        </w:rPr>
        <w:t>提供</w:t>
      </w:r>
      <w:r>
        <w:t>技术支持</w:t>
      </w:r>
      <w:r>
        <w:rPr>
          <w:rFonts w:hint="eastAsia"/>
        </w:rPr>
        <w:t>，有助于实现</w:t>
      </w:r>
      <w:r>
        <w:t>清洁能源基地</w:t>
      </w:r>
      <w:r>
        <w:rPr>
          <w:rFonts w:hint="eastAsia"/>
        </w:rPr>
        <w:t>的</w:t>
      </w:r>
      <w:r>
        <w:t>智能化运营</w:t>
      </w:r>
      <w:r>
        <w:fldChar w:fldCharType="begin"/>
      </w:r>
      <w:r w:rsidR="00EB7246">
        <w:instrText xml:space="preserve"> ADDIN ZOTERO_ITEM CSL_CITATION {"citationID":"fLTglKCq","properties":{"formattedCitation":"\\super [38]\\nosupersub{}","plainCitation":"[38]","noteIndex":0},"citationItems":[{"id":3050,"uris":["http://zotero.org/users/13172592/items/GRM9JMJ9"],"itemData":{"id":3050,"type":"article-journal","abstract":"With increasing worldwide energy demand, many energy-related issues are growing, including global warming, energy sustainability, and environmental pollution. These challenges force nations to actively endorse renewable energy development policies. As a result, numerous renewable energy projects are executed around the globe, which are confronting various hurdles, causing failure for many of the current projects. This study, therefore, aims to suggest that community participation in planning and decisionmaking is an imperative mediator through which government support (GS) and organizational innovativeness (OI) can positively affect renewable project success. Data was collected through a survey from 650 respondents of the renewable energy projects in Pakistan, and hypotheses were proved by employing structural equation modeling (SEM). The ﬁndings show that GS and OI have a signiﬁcant positive impact on the CP and project success. Moreover, CP was realized to partially mediates these relationships. It is expected that the ﬁndings present guidelines for the government authorities so that they endeavor and make better policies for involving the community as a mediator in project planning and decision making for renewable energy projects.","call-number":"1","container-title":"Energy","DOI":"10.1016/j.energy.2021.122172","ISSN":"03605442","journalAbbreviation":"Energy","language":"en","page":"122172","source":"9","title":"The influence of government support, organizational innovativeness and community participation in renewable energy project success: A case of Pakistan","title-short":"The influence of government support, organizational innovativeness and community participation in renewable energy project success","volume":"239","author":[{"family":"Hussain","given":"Shahid"},{"family":"Xuetong","given":"Wang"},{"family":"Maqbool","given":"Rashid"},{"family":"Hussain","given":"Mustansar"},{"family":"Shahnawaz","given":"Muhammad"}],"issued":{"date-parts":[["2022",1]]}}}],"schema":"https://github.com/citation-style-language/schema/raw/master/csl-citation.json"} </w:instrText>
      </w:r>
      <w:r>
        <w:fldChar w:fldCharType="separate"/>
      </w:r>
      <w:r w:rsidR="00EB7246" w:rsidRPr="00EB7246">
        <w:rPr>
          <w:rFonts w:cs="Times New Roman"/>
          <w:kern w:val="0"/>
          <w:vertAlign w:val="superscript"/>
        </w:rPr>
        <w:t>[38]</w:t>
      </w:r>
      <w:r>
        <w:fldChar w:fldCharType="end"/>
      </w:r>
      <w:r>
        <w:rPr>
          <w:rFonts w:hint="eastAsia"/>
        </w:rPr>
        <w:t>。基于此，提出假设</w:t>
      </w:r>
      <w:r>
        <w:rPr>
          <w:rFonts w:hint="eastAsia"/>
        </w:rPr>
        <w:t>12</w:t>
      </w:r>
      <w:r>
        <w:rPr>
          <w:rFonts w:hint="eastAsia"/>
        </w:rPr>
        <w:t>（</w:t>
      </w:r>
      <w:r>
        <w:rPr>
          <w:rFonts w:hint="eastAsia"/>
        </w:rPr>
        <w:t>H12</w:t>
      </w:r>
      <w:r>
        <w:rPr>
          <w:rFonts w:hint="eastAsia"/>
        </w:rPr>
        <w:t>）：</w:t>
      </w:r>
    </w:p>
    <w:p w14:paraId="358E5650" w14:textId="77777777" w:rsidR="00873BC4" w:rsidRPr="006D2BF0" w:rsidRDefault="00873BC4" w:rsidP="00873BC4">
      <w:pPr>
        <w:ind w:firstLine="422"/>
      </w:pPr>
      <w:r w:rsidRPr="00873BC4">
        <w:rPr>
          <w:rFonts w:hint="eastAsia"/>
          <w:b/>
          <w:bCs/>
        </w:rPr>
        <w:t>H12</w:t>
      </w:r>
      <w:r w:rsidRPr="00873BC4">
        <w:rPr>
          <w:rFonts w:hint="eastAsia"/>
          <w:b/>
          <w:bCs/>
        </w:rPr>
        <w:t>：</w:t>
      </w:r>
      <w:r>
        <w:rPr>
          <w:rFonts w:hint="eastAsia"/>
        </w:rPr>
        <w:t>清洁能源基地合理的资源配置能够提升项目群运营水平。</w:t>
      </w:r>
    </w:p>
    <w:p w14:paraId="30920D69" w14:textId="43373D7B" w:rsidR="00873BC4" w:rsidRDefault="00873BC4" w:rsidP="00873BC4">
      <w:pPr>
        <w:ind w:firstLine="420"/>
      </w:pPr>
      <w:r>
        <w:t>清洁能源基地的运营涉及</w:t>
      </w:r>
      <w:r>
        <w:rPr>
          <w:rFonts w:hint="eastAsia"/>
        </w:rPr>
        <w:t>各子项目的运行单位、</w:t>
      </w:r>
      <w:r>
        <w:t>政府部门、电网公司、用电户等多个利益相关方</w:t>
      </w:r>
      <w:r>
        <w:fldChar w:fldCharType="begin"/>
      </w:r>
      <w:r w:rsidR="00E17813">
        <w:instrText xml:space="preserve"> ADDIN ZOTERO_ITEM CSL_CITATION {"citationID":"a56hleo5gj","properties":{"formattedCitation":"\\super [82,92]\\nosupersub{}","plainCitation":"[82,92]","noteIndex":0},"citationItems":[{"id":4120,"uris":["http://zotero.org/users/13172592/items/7D9MT7KX"],"itemData":{"id":4120,"type":"article-journal","abstract":"Public opposition is one of the main political, and less predictable, risks of large-scale energy infrastructure projects. External stakeholder management has become indispensable to the governance of risk in such projects. We integrate insights on public engagement from policy and planning studies with the field of project management to contribute to the governance of risk. We present Q methodology as a congruent method for stakeholder analysis that allows for anticipation of unforeseen stakeholder issues or concerns and to kick-off a participatory procedure with external stakeholders. We present an illustration of Q methodology results of a Dutch shale gas exploration project. If used in the stakeholder management process, this method can help reveal perspectives beneficial for both the governance of risks and the identification of opportunities to create socially valued, successful projects.","call-number":"1","container-title":"International Journal of Project Management","DOI":"10.1016/j.ijproman.2016.01.003","ISSN":"0263-7863","issue":"7","journalAbbreviation":"International Journal of Project Management","language":"en","page":"1347-1359","source":"7.4","title":"Stakeholder engagement in large-scale energy infrastructure projects: Revealing perspectives using Q methodology","title-short":"Stakeholder engagement in large-scale energy infrastructure projects","volume":"34","author":[{"family":"Cuppen","given":"Eefje"},{"family":"Bosch-Rekveldt","given":"Marian G. C."},{"family":"Pikaar","given":"Ewout"},{"family":"Mehos","given":"Donna C."}],"issued":{"date-parts":[["2016",10,1]]}}},{"id":2567,"uris":["http://zotero.org/users/13172592/items/ZTQJ2U5I"],"itemData":{"id":2567,"type":"article-journal","abstract":"Hydropower development involves managing a network of diverse stakeholders. Owners play a critical part in effectively cooperating and establishing inter-organizational linking with stakeholders to achieve multiple project objectives. According to the data which is from the construction industry of hydropower in China, the research aims to investigate the causal relationships between cooperation with stakeholders and inter-organizational linking systematically, together with their impacts on the owners' social capital by developing and testing a conceptual model. Path analysis confirms that cooperation with stakeholders cannot only directly improve owners' social capital but also exert its influence on social capital through enhancement of inter-organizational linking, thereby improving project performance and winning external supports for owners' long-term development. Social network analysis shows that, from the perspective of owners, project stakeholders are clearly grouped into four clusters related to project feasibility, implementation, procurement and resettlement of migrants. These clusters reflect stakeholder's different roles and connections with each other in hydropower development. Understanding the above in-depth underlying relationships is fundamental for improving multi-organizational dynamics research to a state of the art, and help project participants to appropriately adopt cooperative strategies for maximizing the effectiveness of each stakeholder's resources. (C) 2018 Elsevier Ltd. All rights reserved.","archive_location":"WOS:000449892900028","call-number":"1","container-title":"Renewable Energy","DOI":"10.1016/j.renene.2018.07.137","ISSN":"0960-1481","language":"en","page":"326-334","source":"8.7","title":"Understanding the social network of stakeholders in hydropower project development: An owners' view","volume":"132","author":[{"family":"Wang","given":"SL"},{"family":"Shen","given":"WX"},{"family":"Tang","given":"WZ"},{"family":"Wang","given":"YH"},{"family":"Duffield","given":"CF"},{"family":"Hui","given":"FKP"}],"issued":{"date-parts":[["2019",3]]}}}],"schema":"https://github.com/citation-style-language/schema/raw/master/csl-citation.json"} </w:instrText>
      </w:r>
      <w:r>
        <w:fldChar w:fldCharType="separate"/>
      </w:r>
      <w:r w:rsidR="00E17813" w:rsidRPr="00E17813">
        <w:rPr>
          <w:rFonts w:cs="Times New Roman"/>
          <w:kern w:val="0"/>
          <w:vertAlign w:val="superscript"/>
        </w:rPr>
        <w:t>[82,92]</w:t>
      </w:r>
      <w:r>
        <w:fldChar w:fldCharType="end"/>
      </w:r>
      <w:r>
        <w:t>。建立</w:t>
      </w:r>
      <w:r>
        <w:rPr>
          <w:rFonts w:hint="eastAsia"/>
        </w:rPr>
        <w:t>各方间</w:t>
      </w:r>
      <w:r>
        <w:t>良好的伙伴关系，</w:t>
      </w:r>
      <w:r>
        <w:rPr>
          <w:rFonts w:hint="eastAsia"/>
        </w:rPr>
        <w:t>有助于各方间高效协作</w:t>
      </w:r>
      <w:r>
        <w:t>，</w:t>
      </w:r>
      <w:r>
        <w:rPr>
          <w:rFonts w:hint="eastAsia"/>
        </w:rPr>
        <w:t>从而</w:t>
      </w:r>
      <w:r>
        <w:t>提升基地的整体运营效果。</w:t>
      </w:r>
      <w:r>
        <w:rPr>
          <w:rFonts w:hint="eastAsia"/>
        </w:rPr>
        <w:t>首先，</w:t>
      </w:r>
      <w:r>
        <w:t>信任是建立良好合作关系的基础</w:t>
      </w:r>
      <w:r>
        <w:rPr>
          <w:rFonts w:hint="eastAsia"/>
        </w:rPr>
        <w:t>，各</w:t>
      </w:r>
      <w:r>
        <w:t>方</w:t>
      </w:r>
      <w:r>
        <w:rPr>
          <w:rFonts w:hint="eastAsia"/>
        </w:rPr>
        <w:t>间建立良好的伙伴关系，能够提升沟通效率，统一发电目标，保障电站的发电能力</w:t>
      </w:r>
      <w:r>
        <w:fldChar w:fldCharType="begin"/>
      </w:r>
      <w:r w:rsidR="00E17813">
        <w:instrText xml:space="preserve"> ADDIN ZOTERO_ITEM CSL_CITATION {"citationID":"a37am2pinn","properties":{"formattedCitation":"\\super [93,94]\\nosupersub{}","plainCitation":"[93,94]","noteIndex":0},"citationItems":[{"id":4128,"uris":["http://zotero.org/users/13172592/items/T36CMHGA"],"itemData":{"id":4128,"type":"paper-conference","abstract":"Operations management processes are embedded throughout and across business and society, becoming attention-seeking when there is a malfunction or breakdown. Over time they have become increasingly sophisticated and essential to economic success through value chains,...","container-title":"Advances in Manufacturing Processes, Intelligent Methods and Systems in Production Engineering","DOI":"10.1007/978-3-030-90532-3_54","event-place":"Switzerland","event-title":"Global Congress on Manufacturing and Management","ISBN":"978-3-030-90532-3","language":"en","note":"ISSN: 2367-3389","page":"714-728","publisher":"Springer, Cham","publisher-place":"Switzerland","source":"link.springer.com","title":"Operations management processes in the continuous production of renewable energy: The basic social process of proficient amalgamating","title-short":"Operations management processes in the continuous production of renewable energy","URL":"https://link.springer.com/chapter/10.1007/978-3-030-90532-3_54","volume":"335","author":[{"family":"Green","given":"Jan"},{"family":"Mcmillan","given":"Alison"}],"accessed":{"date-parts":[["2025",1,30]]},"issued":{"date-parts":[["2022"]]}},"label":"page"},{"id":4126,"uris":["http://zotero.org/users/13172592/items/CLPMUEZB"],"itemData":{"id":4126,"type":"article-journal","abstract":"Managing the consumer’s knowledge is a factor that is difficult to measure and not easy to achieve, but it is the basis for building trust in energy sources, including alternative ones. Social and ecological attitudes, as well as the economic situation, force consumers to acquire knowledge and shape their views and knowledge about household energy management. The aim of this article was to analyze the level of knowledge of household managers and determine the level of trust in alternative energy sources. To achieve this goal, previous research and reports were analyzed, and a proprietary quantitative and qualitative research was carried out. In connection with the conducted research, it was found that a very important factor is trust, influencing the perception of energy sources, and the knowledge gained allows for proper management of household energy, thus reducing costs. Research has shown that the trust of people managing energy in households is influenced by trust in renewable energy sources, which consists of knowledge, i.e., the level of social awareness and the willingness to acquire and expand one’s knowledge in this field. In all of the countries surveyed, the degree of trust is adequate, but it is directly proportional to the amount of knowledge and readiness to learn new things in this field.","call-number":"4","container-title":"Energies","DOI":"10.3390/en15041566","ISSN":"1996-1073","issue":"4","language":"en","license":"http://creativecommons.org/licenses/by/3.0/","note":"number: 4\npublisher: Multidisciplinary Digital Publishing Institute","page":"1566","source":"3","title":"Trust in renewable energy as part of energy-saving knowledge","volume":"15","author":[{"family":"Żywiołek","given":"Justyna"},{"family":"Rosak-Szyrocka","given":"Joanna"},{"family":"Khan","given":"Muhammad Asghar"},{"family":"Sharif","given":"Arshian"}],"issued":{"date-parts":[["2022",1]]}},"label":"page"}],"schema":"https://github.com/citation-style-language/schema/raw/master/csl-citation.json"} </w:instrText>
      </w:r>
      <w:r>
        <w:fldChar w:fldCharType="separate"/>
      </w:r>
      <w:r w:rsidR="00E17813" w:rsidRPr="00E17813">
        <w:rPr>
          <w:rFonts w:cs="Times New Roman"/>
          <w:kern w:val="0"/>
          <w:vertAlign w:val="superscript"/>
        </w:rPr>
        <w:t>[93</w:t>
      </w:r>
      <w:r w:rsidR="00CA2FF6">
        <w:rPr>
          <w:rFonts w:cs="Times New Roman" w:hint="eastAsia"/>
          <w:kern w:val="0"/>
          <w:vertAlign w:val="superscript"/>
        </w:rPr>
        <w:t>-</w:t>
      </w:r>
      <w:r w:rsidR="00E17813" w:rsidRPr="00E17813">
        <w:rPr>
          <w:rFonts w:cs="Times New Roman"/>
          <w:kern w:val="0"/>
          <w:vertAlign w:val="superscript"/>
        </w:rPr>
        <w:t>94]</w:t>
      </w:r>
      <w:r>
        <w:fldChar w:fldCharType="end"/>
      </w:r>
      <w:r>
        <w:rPr>
          <w:rFonts w:hint="eastAsia"/>
        </w:rPr>
        <w:t>。其次，良好的伙伴关系</w:t>
      </w:r>
      <w:r>
        <w:rPr>
          <w:rFonts w:hint="eastAsia"/>
        </w:rPr>
        <w:lastRenderedPageBreak/>
        <w:t>能够推动各电站运行单位进行高效沟通，从而提高各电站对基地统一调度的反馈速度，有助于</w:t>
      </w:r>
      <w:r>
        <w:t>实现水、风、光、储项目群之间的多能互补</w:t>
      </w:r>
      <w:r>
        <w:fldChar w:fldCharType="begin"/>
      </w:r>
      <w:r w:rsidR="00E17813">
        <w:instrText xml:space="preserve"> ADDIN ZOTERO_ITEM CSL_CITATION {"citationID":"afce3r3mpe","properties":{"formattedCitation":"\\super [90]\\nosupersub{}","plainCitation":"[90]","noteIndex":0},"citationItems":[{"id":3336,"uris":["http://zotero.org/users/13172592/items/MVH4U9UB"],"itemData":{"id":3336,"type":"article-journal","abstract":"In the past two decades, clean energy such as hydro, wind, and solar power has achieved signiﬁcant development under the “green recovery” global goal, and it may become the key method for countries to realize a low-carbon energy system. Here, the development of renewable energy power generation, the typical hydro-wind-photovoltaic complementary practical project, is summarized, and some key problems in complementary systems such as the description and prediction of the power generation law in large-scale stations, risk management, and coordinated operation are analyzed. In terms of these problems, this paper systematically summarizes the research methods and characteristics of a hydro-wind-solar hybrid system and expounds upon the technical realization process from the prediction and description of wind and solar power station cluster output, the risks brought about by large-scale renewable energy grid-connected operation, and the long-term and short-term coordination modeling and resolution thoughts on the hydro-wind-solar hybrid system in cluster mode. Finally, based on the aforementioned analysis, the existing research gaps are discussed from the standpoints of generation forecast, risk management, and cluster scheduling, and the future work outlook is presented accordingly. A hybrid system that combines hydro, wind, and solar energy is emerging as a way to make up for each other’s shortcomings and will be a fruitful area of study in the future.","call-number":"4","container-title":"Energies","DOI":"10.3390/en15228747","ISSN":"1996-1073","issue":"22","journalAbbreviation":"Energies","language":"en","license":"https://creativecommons.org/licenses/by/4.0/","page":"8747","source":"3","title":"Power generation scheduling for a hydro-wind-solar hybrid system: A systematic survey and prospect","title-short":"Power generation scheduling for a hydro-wind-solar hybrid system","volume":"15","author":[{"family":"Chen","given":"Chaoyang"},{"family":"Liu","given":"Hualing"},{"family":"Xiao","given":"Yong"},{"family":"Zhu","given":"Fagen"},{"family":"Ding","given":"Li"},{"family":"Yang","given":"Fuwen"}],"issued":{"date-parts":[["2022",11,21]]}}}],"schema":"https://github.com/citation-style-language/schema/raw/master/csl-citation.json"} </w:instrText>
      </w:r>
      <w:r>
        <w:fldChar w:fldCharType="separate"/>
      </w:r>
      <w:r w:rsidR="00E17813" w:rsidRPr="00E17813">
        <w:rPr>
          <w:rFonts w:cs="Times New Roman"/>
          <w:kern w:val="0"/>
          <w:vertAlign w:val="superscript"/>
        </w:rPr>
        <w:t>[90]</w:t>
      </w:r>
      <w:r>
        <w:fldChar w:fldCharType="end"/>
      </w:r>
      <w:r>
        <w:t>。</w:t>
      </w:r>
      <w:r>
        <w:rPr>
          <w:rFonts w:hint="eastAsia"/>
        </w:rPr>
        <w:t>第三，各方协作也有助于</w:t>
      </w:r>
      <w:r>
        <w:t>建立</w:t>
      </w:r>
      <w:r>
        <w:rPr>
          <w:rFonts w:hint="eastAsia"/>
        </w:rPr>
        <w:t>一体化的信息管理</w:t>
      </w:r>
      <w:r>
        <w:t>平台，</w:t>
      </w:r>
      <w:r>
        <w:rPr>
          <w:rFonts w:hint="eastAsia"/>
        </w:rPr>
        <w:t>以实现</w:t>
      </w:r>
      <w:r>
        <w:t>清洁能源基地运行策略</w:t>
      </w:r>
      <w:r>
        <w:rPr>
          <w:rFonts w:hint="eastAsia"/>
        </w:rPr>
        <w:t>的</w:t>
      </w:r>
      <w:r>
        <w:t>动态调整</w:t>
      </w:r>
      <w:r>
        <w:fldChar w:fldCharType="begin"/>
      </w:r>
      <w:r w:rsidR="00EB7246">
        <w:instrText xml:space="preserve"> ADDIN ZOTERO_ITEM CSL_CITATION {"citationID":"att27h4qv1","properties":{"formattedCitation":"\\super [42]\\nosupersub{}","plainCitation":"[42]","noteIndex":0},"citationItems":[{"id":3782,"uris":["http://zotero.org/users/13172592/items/ZSPGCAZW"],"itemData":{"id":3782,"type":"article-journal","abstract":"Renewable energy technology innovation (RETI) has become a key factor in mitigating climate change and promoting sustainable development of the world economy, but there is no literature on the effect of information and communication technology (ICT) on RETI and its impact mechanism. This paper measures RETI using panel data for 70 countries from 2005 to 2019 based on the combination of diffusion and depreciation effects of technological innovation and systematically examines the direct and mediating mechanisms of ICT's effect on RETI. The results show that ICT significantly contributes to RETI and even holds after addressing endogeneity, replacing the explanatory or explanatory variables, excluding extreme values, and excluding the effects of the financial crisis. The results of the transmission mechanism analysis indicate that ICT affects RETI through human capital accumulation, financial development, and information disclosure, meaning that human capital, financial development, and information disclosure are important mediating transmission mechanisms. The results of heterogeneity analysis note significant economic organizational heterogeneity and innovation environment heterogeneity of ICT to RETI. Specifically, in IEA and OECD member nations as well as in the high renewable energy consumption and high R&amp;D investment groups, the contribution effect of ICT on RETI is more significant.","call-number":"1","container-title":"Renewable Energy","DOI":"10.1016/j.renene.2022.10.015","ISSN":"0960-1481","journalAbbreviation":"Renewable Energy","language":"en","page":"546-557","source":"9","title":"How does information and communication technology affect renewable energy technology innovation? International evidence","title-short":"How does information and communication technology affect renewable energy technology innovation?","volume":"200","author":[{"family":"Lee","given":"Chien-Chiang"},{"family":"He","given":"Zhi-Wen"},{"family":"Xiao","given":"Fu"}],"issued":{"date-parts":[["2022",11,1]]}}}],"schema":"https://github.com/citation-style-language/schema/raw/master/csl-citation.json"} </w:instrText>
      </w:r>
      <w:r>
        <w:fldChar w:fldCharType="separate"/>
      </w:r>
      <w:r w:rsidR="00EB7246" w:rsidRPr="00EB7246">
        <w:rPr>
          <w:rFonts w:cs="Times New Roman"/>
          <w:kern w:val="0"/>
          <w:vertAlign w:val="superscript"/>
        </w:rPr>
        <w:t>[42]</w:t>
      </w:r>
      <w:r>
        <w:fldChar w:fldCharType="end"/>
      </w:r>
      <w:r>
        <w:rPr>
          <w:rFonts w:hint="eastAsia"/>
        </w:rPr>
        <w:t>。最后</w:t>
      </w:r>
      <w:r>
        <w:t>，</w:t>
      </w:r>
      <w:r>
        <w:rPr>
          <w:rFonts w:hint="eastAsia"/>
        </w:rPr>
        <w:t>与</w:t>
      </w:r>
      <w:r>
        <w:t>电网公司</w:t>
      </w:r>
      <w:r>
        <w:rPr>
          <w:rFonts w:hint="eastAsia"/>
        </w:rPr>
        <w:t>构建良好的伙伴关系有利于充分了解当地的电网设施，保障输送通道条件，以支撑清洁能源基地</w:t>
      </w:r>
      <w:r>
        <w:t>并网</w:t>
      </w:r>
      <w:r>
        <w:fldChar w:fldCharType="begin"/>
      </w:r>
      <w:r w:rsidR="00E17813">
        <w:instrText xml:space="preserve"> ADDIN ZOTERO_ITEM CSL_CITATION {"citationID":"ap750npk8c","properties":{"formattedCitation":"\\super [95,96]\\nosupersub{}","plainCitation":"[95,96]","noteIndex":0},"citationItems":[{"id":3314,"uris":["http://zotero.org/users/13172592/items/VWQTYXM5"],"i</w:instrText>
      </w:r>
      <w:r w:rsidR="00E17813">
        <w:rPr>
          <w:rFonts w:hint="eastAsia"/>
        </w:rPr>
        <w:instrText>temData":{"id":3314,"type":"article-journal","abstract":"</w:instrText>
      </w:r>
      <w:r w:rsidR="00E17813">
        <w:rPr>
          <w:rFonts w:hint="eastAsia"/>
        </w:rPr>
        <w:instrText>未来高比例可再生能源的时空分布特性将给电力系统规划带来前所未有的挑战</w:instrText>
      </w:r>
      <w:r w:rsidR="00E17813">
        <w:rPr>
          <w:rFonts w:hint="eastAsia"/>
        </w:rPr>
        <w:instrText>,</w:instrText>
      </w:r>
      <w:r w:rsidR="00E17813">
        <w:rPr>
          <w:rFonts w:hint="eastAsia"/>
        </w:rPr>
        <w:instrText>电力系统基本形态与运行特性将发生根本性变化。文中在调研国内外研究现状的基础上</w:instrText>
      </w:r>
      <w:r w:rsidR="00E17813">
        <w:rPr>
          <w:rFonts w:hint="eastAsia"/>
        </w:rPr>
        <w:instrText>,</w:instrText>
      </w:r>
      <w:r w:rsidR="00E17813">
        <w:rPr>
          <w:rFonts w:hint="eastAsia"/>
        </w:rPr>
        <w:instrText>阐述了高比例可再生能源并网的输电网规划面临的科学问题</w:instrText>
      </w:r>
      <w:r w:rsidR="00E17813">
        <w:rPr>
          <w:rFonts w:hint="eastAsia"/>
        </w:rPr>
        <w:instrText>,</w:instrText>
      </w:r>
      <w:r w:rsidR="00E17813">
        <w:rPr>
          <w:rFonts w:hint="eastAsia"/>
        </w:rPr>
        <w:instrText>分别从网源协同规划、输电网柔性规划、与配电网协同的输电网规划、输电规划方案综合评价与决策方法四个方面</w:instrText>
      </w:r>
      <w:r w:rsidR="00E17813">
        <w:rPr>
          <w:rFonts w:hint="eastAsia"/>
        </w:rPr>
        <w:instrText>,</w:instrText>
      </w:r>
      <w:r w:rsidR="00E17813">
        <w:rPr>
          <w:rFonts w:hint="eastAsia"/>
        </w:rPr>
        <w:instrText>提出了考虑高比例可再生能源并网的输电网规划的研究思路与框架。最后</w:instrText>
      </w:r>
      <w:r w:rsidR="00E17813">
        <w:rPr>
          <w:rFonts w:hint="eastAsia"/>
        </w:rPr>
        <w:instrText>,</w:instrText>
      </w:r>
      <w:r w:rsidR="00E17813">
        <w:rPr>
          <w:rFonts w:hint="eastAsia"/>
        </w:rPr>
        <w:instrText>对未来高比例可再生能源并网的输电网规划进行了展望与总结。</w:instrText>
      </w:r>
      <w:r w:rsidR="00E17813">
        <w:rPr>
          <w:rFonts w:hint="eastAsia"/>
        </w:rPr>
        <w:instrText>","container-title":"</w:instrText>
      </w:r>
      <w:r w:rsidR="00E17813">
        <w:rPr>
          <w:rFonts w:hint="eastAsia"/>
        </w:rPr>
        <w:instrText>电力系统自动化</w:instrText>
      </w:r>
      <w:r w:rsidR="00E17813">
        <w:rPr>
          <w:rFonts w:hint="eastAsia"/>
        </w:rPr>
        <w:instrText>","ISSN":"1000-1026","issue":"9","language":"zh-CN","page":"19-27","source":"CNKI","title":"</w:instrText>
      </w:r>
      <w:r w:rsidR="00E17813">
        <w:rPr>
          <w:rFonts w:hint="eastAsia"/>
        </w:rPr>
        <w:instrText>考虑高比例可再生能源的交直流输电网规划挑战与展望</w:instrText>
      </w:r>
      <w:r w:rsidR="00E17813">
        <w:rPr>
          <w:rFonts w:hint="eastAsia"/>
        </w:rPr>
        <w:instrText>","volume":"41","author":[{"family":"</w:instrText>
      </w:r>
      <w:r w:rsidR="00E17813">
        <w:rPr>
          <w:rFonts w:hint="eastAsia"/>
        </w:rPr>
        <w:instrText>程</w:instrText>
      </w:r>
      <w:r w:rsidR="00E17813">
        <w:rPr>
          <w:rFonts w:hint="eastAsia"/>
        </w:rPr>
        <w:instrText>","given":"</w:instrText>
      </w:r>
      <w:r w:rsidR="00E17813">
        <w:rPr>
          <w:rFonts w:hint="eastAsia"/>
        </w:rPr>
        <w:instrText>浩忠</w:instrText>
      </w:r>
      <w:r w:rsidR="00E17813">
        <w:rPr>
          <w:rFonts w:hint="eastAsia"/>
        </w:rPr>
        <w:instrText>"},{"family":"</w:instrText>
      </w:r>
      <w:r w:rsidR="00E17813">
        <w:rPr>
          <w:rFonts w:hint="eastAsia"/>
        </w:rPr>
        <w:instrText>李</w:instrText>
      </w:r>
      <w:r w:rsidR="00E17813">
        <w:rPr>
          <w:rFonts w:hint="eastAsia"/>
        </w:rPr>
        <w:instrText>","given":"</w:instrText>
      </w:r>
      <w:r w:rsidR="00E17813">
        <w:rPr>
          <w:rFonts w:hint="eastAsia"/>
        </w:rPr>
        <w:instrText>隽</w:instrText>
      </w:r>
      <w:r w:rsidR="00E17813">
        <w:rPr>
          <w:rFonts w:hint="eastAsia"/>
        </w:rPr>
        <w:instrText>"},{"family":"</w:instrText>
      </w:r>
      <w:r w:rsidR="00E17813">
        <w:rPr>
          <w:rFonts w:hint="eastAsia"/>
        </w:rPr>
        <w:instrText>吴</w:instrText>
      </w:r>
      <w:r w:rsidR="00E17813">
        <w:rPr>
          <w:rFonts w:hint="eastAsia"/>
        </w:rPr>
        <w:instrText>","given":"</w:instrText>
      </w:r>
      <w:r w:rsidR="00E17813">
        <w:rPr>
          <w:rFonts w:hint="eastAsia"/>
        </w:rPr>
        <w:instrText>耀武</w:instrText>
      </w:r>
      <w:r w:rsidR="00E17813">
        <w:rPr>
          <w:rFonts w:hint="eastAsia"/>
        </w:rPr>
        <w:instrText>"},{"family":"</w:instrText>
      </w:r>
      <w:r w:rsidR="00E17813">
        <w:rPr>
          <w:rFonts w:hint="eastAsia"/>
        </w:rPr>
        <w:instrText>陈</w:instrText>
      </w:r>
      <w:r w:rsidR="00E17813">
        <w:rPr>
          <w:rFonts w:hint="eastAsia"/>
        </w:rPr>
        <w:instrText>","given":"</w:instrText>
      </w:r>
      <w:r w:rsidR="00E17813">
        <w:rPr>
          <w:rFonts w:hint="eastAsia"/>
        </w:rPr>
        <w:instrText>皓勇</w:instrText>
      </w:r>
      <w:r w:rsidR="00E17813">
        <w:rPr>
          <w:rFonts w:hint="eastAsia"/>
        </w:rPr>
        <w:instrText>"},{"family":"</w:instrText>
      </w:r>
      <w:r w:rsidR="00E17813">
        <w:rPr>
          <w:rFonts w:hint="eastAsia"/>
        </w:rPr>
        <w:instrText>张</w:instrText>
      </w:r>
      <w:r w:rsidR="00E17813">
        <w:rPr>
          <w:rFonts w:hint="eastAsia"/>
        </w:rPr>
        <w:instrText>","given":"</w:instrText>
      </w:r>
      <w:r w:rsidR="00E17813">
        <w:rPr>
          <w:rFonts w:hint="eastAsia"/>
        </w:rPr>
        <w:instrText>宁</w:instrText>
      </w:r>
      <w:r w:rsidR="00E17813">
        <w:rPr>
          <w:rFonts w:hint="eastAsia"/>
        </w:rPr>
        <w:instrText>"},{"family":"</w:instrText>
      </w:r>
      <w:r w:rsidR="00E17813">
        <w:rPr>
          <w:rFonts w:hint="eastAsia"/>
        </w:rPr>
        <w:instrText>柳</w:instrText>
      </w:r>
      <w:r w:rsidR="00E17813">
        <w:rPr>
          <w:rFonts w:hint="eastAsia"/>
        </w:rPr>
        <w:instrText>","given":"</w:instrText>
      </w:r>
      <w:r w:rsidR="00E17813">
        <w:rPr>
          <w:rFonts w:hint="eastAsia"/>
        </w:rPr>
        <w:instrText>璐</w:instrText>
      </w:r>
      <w:r w:rsidR="00E17813">
        <w:rPr>
          <w:rFonts w:hint="eastAsia"/>
        </w:rPr>
        <w:instrText>"}],"issued":{"date-parts":[["2017"]]}}},{"id":1950,"uris":["http://zotero.org/users/13172592/items/43GH3IKE"],"itemData":{"id":1950,"type":"article-journal","abstract":"</w:instrText>
      </w:r>
      <w:r w:rsidR="00E17813">
        <w:rPr>
          <w:rFonts w:hint="eastAsia"/>
        </w:rPr>
        <w:instrText>深入推进电网企业主辅分离是中国新一轮电力体制改革的一项重要内容。基于电网企业主辅业纵向一体化的特征事实</w:instrText>
      </w:r>
      <w:r w:rsidR="00E17813">
        <w:rPr>
          <w:rFonts w:hint="eastAsia"/>
        </w:rPr>
        <w:instrText>,</w:instrText>
      </w:r>
      <w:r w:rsidR="00E17813">
        <w:rPr>
          <w:rFonts w:hint="eastAsia"/>
        </w:rPr>
        <w:instrText>本文构建理论模型论证了电网企业主辅分离与成本效率的关系</w:instrText>
      </w:r>
      <w:r w:rsidR="00E17813">
        <w:rPr>
          <w:rFonts w:hint="eastAsia"/>
        </w:rPr>
        <w:instrText>,</w:instrText>
      </w:r>
      <w:r w:rsidR="00E17813">
        <w:rPr>
          <w:rFonts w:hint="eastAsia"/>
        </w:rPr>
        <w:instrText>并尝试利用</w:instrText>
      </w:r>
      <w:r w:rsidR="00E17813">
        <w:rPr>
          <w:rFonts w:hint="eastAsia"/>
        </w:rPr>
        <w:instrText>16</w:instrText>
      </w:r>
      <w:r w:rsidR="00E17813">
        <w:rPr>
          <w:rFonts w:hint="eastAsia"/>
        </w:rPr>
        <w:instrText>家世界主要电网企业</w:instrText>
      </w:r>
      <w:r w:rsidR="00E17813">
        <w:rPr>
          <w:rFonts w:hint="eastAsia"/>
        </w:rPr>
        <w:instrText>2008</w:instrText>
      </w:r>
      <w:r w:rsidR="00E17813">
        <w:rPr>
          <w:rFonts w:hint="eastAsia"/>
        </w:rPr>
        <w:instrText>—</w:instrText>
      </w:r>
      <w:r w:rsidR="00E17813">
        <w:rPr>
          <w:rFonts w:hint="eastAsia"/>
        </w:rPr>
        <w:instrText>2018</w:instrText>
      </w:r>
      <w:r w:rsidR="00E17813">
        <w:rPr>
          <w:rFonts w:hint="eastAsia"/>
        </w:rPr>
        <w:instrText>年数据进行实证检验。研究表明</w:instrText>
      </w:r>
      <w:r w:rsidR="00E17813">
        <w:rPr>
          <w:rFonts w:hint="eastAsia"/>
        </w:rPr>
        <w:instrText>:(1)</w:instrText>
      </w:r>
      <w:r w:rsidR="00E17813">
        <w:rPr>
          <w:rFonts w:hint="eastAsia"/>
        </w:rPr>
        <w:instrText>电网企业将主业垄断势力延伸至相关竞争性辅业领域</w:instrText>
      </w:r>
      <w:r w:rsidR="00E17813">
        <w:rPr>
          <w:rFonts w:hint="eastAsia"/>
        </w:rPr>
        <w:instrText>,</w:instrText>
      </w:r>
      <w:r w:rsidR="00E17813">
        <w:rPr>
          <w:rFonts w:hint="eastAsia"/>
        </w:rPr>
        <w:instrText>实施多种纵向一体化策略行为损害了公平竞争机制</w:instrText>
      </w:r>
      <w:r w:rsidR="00E17813">
        <w:rPr>
          <w:rFonts w:hint="eastAsia"/>
        </w:rPr>
        <w:instrText>,</w:instrText>
      </w:r>
      <w:r w:rsidR="00E17813">
        <w:rPr>
          <w:rFonts w:hint="eastAsia"/>
        </w:rPr>
        <w:instrText>降低了企业成本效率。</w:instrText>
      </w:r>
      <w:r w:rsidR="00E17813">
        <w:rPr>
          <w:rFonts w:hint="eastAsia"/>
        </w:rPr>
        <w:instrText>(2)</w:instrText>
      </w:r>
      <w:r w:rsidR="00E17813">
        <w:rPr>
          <w:rFonts w:hint="eastAsia"/>
        </w:rPr>
        <w:instrText>在现有输配电定价模式下</w:instrText>
      </w:r>
      <w:r w:rsidR="00E17813">
        <w:rPr>
          <w:rFonts w:hint="eastAsia"/>
        </w:rPr>
        <w:instrText>,</w:instrText>
      </w:r>
      <w:r w:rsidR="00E17813">
        <w:rPr>
          <w:rFonts w:hint="eastAsia"/>
        </w:rPr>
        <w:instrText>电网企业主辅一体化不仅会使得自然垄断环节产生</w:instrText>
      </w:r>
      <w:r w:rsidR="00E17813">
        <w:rPr>
          <w:rFonts w:hint="eastAsia"/>
        </w:rPr>
        <w:instrText>A-J</w:instrText>
      </w:r>
      <w:r w:rsidR="00E17813">
        <w:rPr>
          <w:rFonts w:hint="eastAsia"/>
        </w:rPr>
        <w:instrText>效应</w:instrText>
      </w:r>
      <w:r w:rsidR="00E17813">
        <w:rPr>
          <w:rFonts w:hint="eastAsia"/>
        </w:rPr>
        <w:instrText>,</w:instrText>
      </w:r>
      <w:r w:rsidR="00E17813">
        <w:rPr>
          <w:rFonts w:hint="eastAsia"/>
        </w:rPr>
        <w:instrText>而且在竞争性辅业领域还会形成要素扭曲效应。从数值模拟结果看</w:instrText>
      </w:r>
      <w:r w:rsidR="00E17813">
        <w:rPr>
          <w:rFonts w:hint="eastAsia"/>
        </w:rPr>
        <w:instrText>,</w:instrText>
      </w:r>
      <w:r w:rsidR="00E17813">
        <w:rPr>
          <w:rFonts w:hint="eastAsia"/>
        </w:rPr>
        <w:instrText>主辅分离将缓解要素边际扭曲程度。</w:instrText>
      </w:r>
      <w:r w:rsidR="00E17813">
        <w:rPr>
          <w:rFonts w:hint="eastAsia"/>
        </w:rPr>
        <w:instrText>(3)</w:instrText>
      </w:r>
      <w:r w:rsidR="00E17813">
        <w:rPr>
          <w:rFonts w:hint="eastAsia"/>
        </w:rPr>
        <w:instrText>从实证结果看</w:instrText>
      </w:r>
      <w:r w:rsidR="00E17813">
        <w:rPr>
          <w:rFonts w:hint="eastAsia"/>
        </w:rPr>
        <w:instrText>,</w:instrText>
      </w:r>
      <w:r w:rsidR="00E17813">
        <w:rPr>
          <w:rFonts w:hint="eastAsia"/>
        </w:rPr>
        <w:instrText>国家电网有限公司和中国南方电网公司分别以</w:instrText>
      </w:r>
      <w:r w:rsidR="00E17813">
        <w:rPr>
          <w:rFonts w:hint="eastAsia"/>
        </w:rPr>
        <w:instrText>0.61</w:instrText>
      </w:r>
      <w:r w:rsidR="00E17813">
        <w:rPr>
          <w:rFonts w:hint="eastAsia"/>
        </w:rPr>
        <w:instrText>和</w:instrText>
      </w:r>
      <w:r w:rsidR="00E17813">
        <w:rPr>
          <w:rFonts w:hint="eastAsia"/>
        </w:rPr>
        <w:instrText>0.44</w:instrText>
      </w:r>
      <w:r w:rsidR="00E17813">
        <w:rPr>
          <w:rFonts w:hint="eastAsia"/>
        </w:rPr>
        <w:instrText>的成本效率值</w:instrText>
      </w:r>
      <w:r w:rsidR="00E17813">
        <w:rPr>
          <w:rFonts w:hint="eastAsia"/>
        </w:rPr>
        <w:instrText>,</w:instrText>
      </w:r>
      <w:r w:rsidR="00E17813">
        <w:rPr>
          <w:rFonts w:hint="eastAsia"/>
        </w:rPr>
        <w:instrText>位列样本企业第</w:instrText>
      </w:r>
      <w:r w:rsidR="00E17813">
        <w:rPr>
          <w:rFonts w:hint="eastAsia"/>
        </w:rPr>
        <w:instrText>11</w:instrText>
      </w:r>
      <w:r w:rsidR="00E17813">
        <w:rPr>
          <w:rFonts w:hint="eastAsia"/>
        </w:rPr>
        <w:instrText>位和第</w:instrText>
      </w:r>
      <w:r w:rsidR="00E17813">
        <w:rPr>
          <w:rFonts w:hint="eastAsia"/>
        </w:rPr>
        <w:instrText>15</w:instrText>
      </w:r>
      <w:r w:rsidR="00E17813">
        <w:rPr>
          <w:rFonts w:hint="eastAsia"/>
        </w:rPr>
        <w:instrText>位</w:instrText>
      </w:r>
      <w:r w:rsidR="00E17813">
        <w:rPr>
          <w:rFonts w:hint="eastAsia"/>
        </w:rPr>
        <w:instrText>,</w:instrText>
      </w:r>
      <w:r w:rsidR="00E17813">
        <w:rPr>
          <w:rFonts w:hint="eastAsia"/>
        </w:rPr>
        <w:instrText>与其他主辅分离程度较高</w:instrText>
      </w:r>
      <w:r w:rsidR="00E17813">
        <w:rPr>
          <w:rFonts w:hint="eastAsia"/>
        </w:rPr>
        <w:instrText>(</w:instrText>
      </w:r>
      <w:r w:rsidR="00E17813">
        <w:rPr>
          <w:rFonts w:hint="eastAsia"/>
        </w:rPr>
        <w:instrText>成本效率较高</w:instrText>
      </w:r>
      <w:r w:rsidR="00E17813">
        <w:rPr>
          <w:rFonts w:hint="eastAsia"/>
        </w:rPr>
        <w:instrText>)</w:instrText>
      </w:r>
      <w:r w:rsidR="00E17813">
        <w:rPr>
          <w:rFonts w:hint="eastAsia"/>
        </w:rPr>
        <w:instrText>的电网企业相比</w:instrText>
      </w:r>
      <w:r w:rsidR="00E17813">
        <w:rPr>
          <w:rFonts w:hint="eastAsia"/>
        </w:rPr>
        <w:instrText>,</w:instrText>
      </w:r>
      <w:r w:rsidR="00E17813">
        <w:rPr>
          <w:rFonts w:hint="eastAsia"/>
        </w:rPr>
        <w:instrText>存在较大的效率提升空间</w:instrText>
      </w:r>
      <w:r w:rsidR="00E17813">
        <w:rPr>
          <w:rFonts w:hint="eastAsia"/>
        </w:rPr>
        <w:instrText>,</w:instrText>
      </w:r>
      <w:r w:rsidR="00E17813">
        <w:rPr>
          <w:rFonts w:hint="eastAsia"/>
        </w:rPr>
        <w:instrText>并验证了提出的理论假说。本文认为政府应多维度推进电网企业主辅分离改革</w:instrText>
      </w:r>
      <w:r w:rsidR="00E17813">
        <w:rPr>
          <w:rFonts w:hint="eastAsia"/>
        </w:rPr>
        <w:instrText>,</w:instrText>
      </w:r>
      <w:r w:rsidR="00E17813">
        <w:rPr>
          <w:rFonts w:hint="eastAsia"/>
        </w:rPr>
        <w:instrText>形成有效竞争格局和可持续的降本增效机制。同时</w:instrText>
      </w:r>
      <w:r w:rsidR="00E17813">
        <w:rPr>
          <w:rFonts w:hint="eastAsia"/>
        </w:rPr>
        <w:instrText>,</w:instrText>
      </w:r>
      <w:r w:rsidR="00E17813">
        <w:rPr>
          <w:rFonts w:hint="eastAsia"/>
        </w:rPr>
        <w:instrText>研究结论将为分析电网企业纵向一体化反竞争效应和成本效率测算提供理论和实证依据</w:instrText>
      </w:r>
      <w:r w:rsidR="00E17813">
        <w:rPr>
          <w:rFonts w:hint="eastAsia"/>
        </w:rPr>
        <w:instrText>,</w:instrText>
      </w:r>
      <w:r w:rsidR="00E17813">
        <w:rPr>
          <w:rFonts w:hint="eastAsia"/>
        </w:rPr>
        <w:instrText>并为政府有关部门推进电网企业主辅分离改革</w:instrText>
      </w:r>
      <w:r w:rsidR="00E17813">
        <w:rPr>
          <w:rFonts w:hint="eastAsia"/>
        </w:rPr>
        <w:instrText>,</w:instrText>
      </w:r>
      <w:r w:rsidR="00E17813">
        <w:rPr>
          <w:rFonts w:hint="eastAsia"/>
        </w:rPr>
        <w:instrText>做强做优做大电网企业主业</w:instrText>
      </w:r>
      <w:r w:rsidR="00E17813">
        <w:rPr>
          <w:rFonts w:hint="eastAsia"/>
        </w:rPr>
        <w:instrText>,</w:instrText>
      </w:r>
      <w:r w:rsidR="00E17813">
        <w:rPr>
          <w:rFonts w:hint="eastAsia"/>
        </w:rPr>
        <w:instrText>同时促进电力行业竞争性环节市场化改革提供决策参考。</w:instrText>
      </w:r>
      <w:r w:rsidR="00E17813">
        <w:rPr>
          <w:rFonts w:hint="eastAsia"/>
        </w:rPr>
        <w:instrText>","container-title":"</w:instrText>
      </w:r>
      <w:r w:rsidR="00E17813">
        <w:rPr>
          <w:rFonts w:hint="eastAsia"/>
        </w:rPr>
        <w:instrText>中国工业经济</w:instrText>
      </w:r>
      <w:r w:rsidR="00E17813">
        <w:rPr>
          <w:rFonts w:hint="eastAsia"/>
        </w:rPr>
        <w:instrText>","DOI":"10.19581/j.cnki.ciejournal.2021.03.011","ISSN":"1006-480X","issue":"3","page":"42-60","title":"</w:instrText>
      </w:r>
      <w:r w:rsidR="00E17813">
        <w:rPr>
          <w:rFonts w:hint="eastAsia"/>
        </w:rPr>
        <w:instrText>电网企业纵向一体化、成本效率与主辅分离改革</w:instrText>
      </w:r>
      <w:r w:rsidR="00E17813">
        <w:rPr>
          <w:rFonts w:hint="eastAsia"/>
        </w:rPr>
        <w:instrText>","author":[{"family":"</w:instrText>
      </w:r>
      <w:r w:rsidR="00E17813">
        <w:rPr>
          <w:rFonts w:hint="eastAsia"/>
        </w:rPr>
        <w:instrText>王俊豪</w:instrText>
      </w:r>
      <w:r w:rsidR="00E17813">
        <w:rPr>
          <w:rFonts w:hint="eastAsia"/>
        </w:rPr>
        <w:instrText>","given":""},{"family":"</w:instrText>
      </w:r>
      <w:r w:rsidR="00E17813">
        <w:rPr>
          <w:rFonts w:hint="eastAsia"/>
        </w:rPr>
        <w:instrText>金暄暄</w:instrText>
      </w:r>
      <w:r w:rsidR="00E17813">
        <w:rPr>
          <w:rFonts w:hint="eastAsia"/>
        </w:rPr>
        <w:instrText>","given":""},{"family":"</w:instrText>
      </w:r>
      <w:r w:rsidR="00E17813">
        <w:rPr>
          <w:rFonts w:hint="eastAsia"/>
        </w:rPr>
        <w:instrText>刘相锋</w:instrText>
      </w:r>
      <w:r w:rsidR="00E17813">
        <w:rPr>
          <w:rFonts w:hint="eastAsia"/>
        </w:rPr>
        <w:instrText xml:space="preserve">","given":""}],"issued":{"date-parts":[["2021"]]}}}],"schema":"https://github.com/citation-style-language/schema/raw/master/csl-citation.json"} </w:instrText>
      </w:r>
      <w:r>
        <w:fldChar w:fldCharType="separate"/>
      </w:r>
      <w:r w:rsidR="00E17813" w:rsidRPr="00E17813">
        <w:rPr>
          <w:rFonts w:cs="Times New Roman"/>
          <w:kern w:val="0"/>
          <w:vertAlign w:val="superscript"/>
        </w:rPr>
        <w:t>[95</w:t>
      </w:r>
      <w:r w:rsidR="00CA2FF6">
        <w:rPr>
          <w:rFonts w:cs="Times New Roman" w:hint="eastAsia"/>
          <w:kern w:val="0"/>
          <w:vertAlign w:val="superscript"/>
        </w:rPr>
        <w:t>-</w:t>
      </w:r>
      <w:r w:rsidR="00E17813" w:rsidRPr="00E17813">
        <w:rPr>
          <w:rFonts w:cs="Times New Roman"/>
          <w:kern w:val="0"/>
          <w:vertAlign w:val="superscript"/>
        </w:rPr>
        <w:t>96]</w:t>
      </w:r>
      <w:r>
        <w:fldChar w:fldCharType="end"/>
      </w:r>
      <w:r>
        <w:t>。</w:t>
      </w:r>
      <w:r>
        <w:rPr>
          <w:rFonts w:hint="eastAsia"/>
        </w:rPr>
        <w:t>基于此，提出假设</w:t>
      </w:r>
      <w:r>
        <w:rPr>
          <w:rFonts w:hint="eastAsia"/>
        </w:rPr>
        <w:t>13</w:t>
      </w:r>
      <w:r>
        <w:rPr>
          <w:rFonts w:hint="eastAsia"/>
        </w:rPr>
        <w:t>（</w:t>
      </w:r>
      <w:r>
        <w:rPr>
          <w:rFonts w:hint="eastAsia"/>
        </w:rPr>
        <w:t>H13</w:t>
      </w:r>
      <w:r>
        <w:rPr>
          <w:rFonts w:hint="eastAsia"/>
        </w:rPr>
        <w:t>）：</w:t>
      </w:r>
    </w:p>
    <w:p w14:paraId="6E194085" w14:textId="77777777" w:rsidR="00873BC4" w:rsidRPr="006D2BF0" w:rsidRDefault="00873BC4" w:rsidP="00873BC4">
      <w:pPr>
        <w:ind w:firstLine="422"/>
      </w:pPr>
      <w:r w:rsidRPr="00873BC4">
        <w:rPr>
          <w:rFonts w:hint="eastAsia"/>
          <w:b/>
          <w:bCs/>
        </w:rPr>
        <w:t>H13</w:t>
      </w:r>
      <w:r w:rsidRPr="00873BC4">
        <w:rPr>
          <w:rFonts w:hint="eastAsia"/>
          <w:b/>
          <w:bCs/>
        </w:rPr>
        <w:t>：</w:t>
      </w:r>
      <w:r>
        <w:rPr>
          <w:rFonts w:hint="eastAsia"/>
        </w:rPr>
        <w:t>清洁能源基地各方间良好的伙伴关系能够提升项目群运营水平。</w:t>
      </w:r>
    </w:p>
    <w:p w14:paraId="575074E7" w14:textId="5FB5E1BB" w:rsidR="00873BC4" w:rsidRDefault="00873BC4" w:rsidP="00873BC4">
      <w:pPr>
        <w:pStyle w:val="3"/>
      </w:pPr>
      <w:bookmarkStart w:id="3" w:name="_Toc198492779"/>
      <w:r>
        <w:rPr>
          <w:rFonts w:hint="eastAsia"/>
        </w:rPr>
        <w:t>项目群绩效</w:t>
      </w:r>
      <w:bookmarkEnd w:id="3"/>
    </w:p>
    <w:p w14:paraId="20EFABFD" w14:textId="2D1A01E5" w:rsidR="00873BC4" w:rsidRDefault="00873BC4" w:rsidP="00873BC4">
      <w:pPr>
        <w:ind w:firstLine="420"/>
      </w:pPr>
      <w:r w:rsidRPr="00160883">
        <w:rPr>
          <w:rFonts w:hint="eastAsia"/>
        </w:rPr>
        <w:t>项目群绩效能够反映项目群价值，为项目群管理</w:t>
      </w:r>
      <w:r>
        <w:rPr>
          <w:rFonts w:hint="eastAsia"/>
        </w:rPr>
        <w:t>及其优化</w:t>
      </w:r>
      <w:r w:rsidRPr="00160883">
        <w:rPr>
          <w:rFonts w:hint="eastAsia"/>
        </w:rPr>
        <w:t>提供明确目标</w:t>
      </w:r>
      <w:r>
        <w:fldChar w:fldCharType="begin"/>
      </w:r>
      <w:r w:rsidR="00E17813">
        <w:instrText xml:space="preserve"> ADDIN ZOTERO_ITEM CSL_CITATION {"citationID":"UVzBrtDE","properties":{"formattedCitation":"\\super [19,64]\\nosupersub{}","plainCitation":"[19,64]","noteIndex":0},"citationItems":[{"id":1845,"uris":["http://zotero.org/users/13172592/items/5BSA373E"],"itemData":{"id":1845,"type":"article-journal","abstract":"The emergence of construction megaprojects has become a global phenomenon over the last two decades as a result of rapid urbanization. Program management has been increasingly promoted as a vital approach for ensuring megaproject success through the coordinated management of the dispensed execution of a program at the organizational level. Nevertheless, practicing this method in construction megaprojects is a continual improvement process that requires relevant guidelines and tools. This study proposes an innovative tool to evaluate a structured program organization in conjunction with the fuzzy synthetic evaluation method. Based on determinants of program organization identified from a Delphi survey previously conducted by authors regarding the Shanghai Expo construction, combined with results of further Delphi surveys for the same project, the use of this new evaluation approach in the case project is illustrated stepby-step. With this tool, clients can better utilize the program management approach in their organizational design and improvement, and the organizational effectiveness for delivering megaprojects can be improved constantly. DOI: 10.1061/(ASCE)ME.1943-5479.0000432. © 2016 American Society of Civil Engineers.","call-number":"1","container-title":"Journal of Management in Engineering","DOI":"10.1061/(ASCE)ME.1943-5479.0000432","ISSN":"0742-597X, 1943-5479","issue":"4","journalAbbreviation":"J. Manage. Eng.","language":"en","page":"05016007","source":"7.4","title":"Developing a program organization performance index for delivering construction megaprojects in China: Fuzzy synthetic evaluation analysis","title-short":"Developing a Program Organization Performance Index for Delivering Construction Megaprojects in China","volume":"32","author":[{"family":"Hu","given":"Yi"},{"family":"Chan","given":"Albert P. C."},{"family":"Le","given":"Yun"},{"family":"Xu","given":"Yelin"},{"family":"Shan","given":"Ming"}],"issued":{"date-parts":[["2016",7]]}},"label":"page"},{"id":1851,"uris":["http://zotero.org/users/13172592/items/BJPXB6VR"],"itemData":{"id":1851,"type":"article-journal","abstract":"In recent years, the construction sector has been increasingly inclined toward using systematic program management approaches. Despite acknowledging the crucial impact of PgMO on program management success, the existing literature lacks sufﬁcient research on the areas where this ofﬁce can provide support for success in the construction sector. This article aims to identify the critical success factors and PgMO areas that contribute to program success in the construction sector. To address the research questions and goals, standardized interviews were conducted with 49 PgMO members from 14 organizations implementing construction programs. Based on the literature and statistical analysis, ten critical success factors (CSFs) for construction programs were identiﬁed. However, the signiﬁcance of these CSFs may vary depending on the context of the construction sector. Furthermore, statistical analysis revealed ﬁve areas where PgMO can support program success: maintaining program governance, program initiation, program planning and budgeting, stakeholder and relationship management, and requirements and knowledge management resulting from program implementation. Managers are advised to take action in all the identiﬁed areas of PgMO to increase the likelihood of achieving program success. They should also pay attention to weaker areas and strengthen them as part of best practices.","call-number":"3","container-title":"Buildings","DOI":"10.3390/buildings13051336","ISSN":"2075-5309","issue":"5","journalAbbreviation":"Buildings","language":"en","license":"https://creativecommons.org/licenses/by/4.0/","page":"1336","source":"3.8","title":"Factors and areas of PgMO supporting the success of the program management in the construction sector","volume":"13","author":[{"family":"Trzeciak","given":"Mateusz"}],"issued":{"date-parts":[["2023",5,20]]}},"label":"page"}],"schema":"https://github.com/citation-style-language/schema/raw/master/csl-citation.json"} </w:instrText>
      </w:r>
      <w:r>
        <w:fldChar w:fldCharType="separate"/>
      </w:r>
      <w:r w:rsidR="00E17813" w:rsidRPr="00E17813">
        <w:rPr>
          <w:rFonts w:cs="Times New Roman"/>
          <w:kern w:val="0"/>
          <w:vertAlign w:val="superscript"/>
        </w:rPr>
        <w:t>[19,64]</w:t>
      </w:r>
      <w:r>
        <w:fldChar w:fldCharType="end"/>
      </w:r>
      <w:r>
        <w:rPr>
          <w:rFonts w:hint="eastAsia"/>
        </w:rPr>
        <w:t>。良好的</w:t>
      </w:r>
      <w:r>
        <w:t>清洁能源基地实施水平</w:t>
      </w:r>
      <w:r>
        <w:rPr>
          <w:rFonts w:hint="eastAsia"/>
        </w:rPr>
        <w:t>是</w:t>
      </w:r>
      <w:r>
        <w:t>清洁能源基地</w:t>
      </w:r>
      <w:r>
        <w:rPr>
          <w:rFonts w:hint="eastAsia"/>
        </w:rPr>
        <w:t>绩效的重要保障</w:t>
      </w:r>
      <w:r>
        <w:fldChar w:fldCharType="begin"/>
      </w:r>
      <w:r w:rsidR="00E17813">
        <w:instrText xml:space="preserve"> ADDIN ZOTERO_ITEM CSL_CITATION {"citationID":"a1fdk0n5ccp","properties":{"formattedCitation":"\\super [75]\\nosupersub{}","plainCitation":"[75]","noteIndex":0},"citationItems":[{"id":2995,"uris":["http://zotero.org/users/13172592/items/W9LENCGE"],"itemDa</w:instrText>
      </w:r>
      <w:r w:rsidR="00E17813">
        <w:rPr>
          <w:rFonts w:hint="eastAsia"/>
        </w:rPr>
        <w:instrText>ta":{"id":2995,"type":"thesis","event-place":"</w:instrText>
      </w:r>
      <w:r w:rsidR="00E17813">
        <w:rPr>
          <w:rFonts w:hint="eastAsia"/>
        </w:rPr>
        <w:instrText>北京</w:instrText>
      </w:r>
      <w:r w:rsidR="00E17813">
        <w:rPr>
          <w:rFonts w:hint="eastAsia"/>
        </w:rPr>
        <w:instrText>","language":"en-US","publisher":"</w:instrText>
      </w:r>
      <w:r w:rsidR="00E17813">
        <w:rPr>
          <w:rFonts w:hint="eastAsia"/>
        </w:rPr>
        <w:instrText>清华大学</w:instrText>
      </w:r>
      <w:r w:rsidR="00E17813">
        <w:rPr>
          <w:rFonts w:hint="eastAsia"/>
        </w:rPr>
        <w:instrText>","publisher-place":"</w:instrText>
      </w:r>
      <w:r w:rsidR="00E17813">
        <w:rPr>
          <w:rFonts w:hint="eastAsia"/>
        </w:rPr>
        <w:instrText>北京</w:instrText>
      </w:r>
      <w:r w:rsidR="00E17813">
        <w:rPr>
          <w:rFonts w:hint="eastAsia"/>
        </w:rPr>
        <w:instrText>","title":"</w:instrText>
      </w:r>
      <w:r w:rsidR="00E17813">
        <w:rPr>
          <w:rFonts w:hint="eastAsia"/>
        </w:rPr>
        <w:instrText>清洁能源项目风险管理研究</w:instrText>
      </w:r>
      <w:r w:rsidR="00E17813">
        <w:rPr>
          <w:rFonts w:hint="eastAsia"/>
        </w:rPr>
        <w:instrText>","author":[{"family":"</w:instrText>
      </w:r>
      <w:r w:rsidR="00E17813">
        <w:rPr>
          <w:rFonts w:hint="eastAsia"/>
        </w:rPr>
        <w:instrText>娄长圣</w:instrText>
      </w:r>
      <w:r w:rsidR="00E17813">
        <w:rPr>
          <w:rFonts w:hint="eastAsia"/>
        </w:rPr>
        <w:instrText>","given":""}],"issued":{"date-parts":[["2024"]]}}}],"schema":"https://github.com/citation-style-</w:instrText>
      </w:r>
      <w:r w:rsidR="00E17813">
        <w:instrText xml:space="preserve">language/schema/raw/master/csl-citation.json"} </w:instrText>
      </w:r>
      <w:r>
        <w:fldChar w:fldCharType="separate"/>
      </w:r>
      <w:r w:rsidR="00E17813" w:rsidRPr="00E17813">
        <w:rPr>
          <w:rFonts w:cs="Times New Roman"/>
          <w:kern w:val="0"/>
          <w:vertAlign w:val="superscript"/>
        </w:rPr>
        <w:t>[75]</w:t>
      </w:r>
      <w:r>
        <w:fldChar w:fldCharType="end"/>
      </w:r>
      <w:r>
        <w:rPr>
          <w:rFonts w:hint="eastAsia"/>
        </w:rPr>
        <w:t>。确保</w:t>
      </w:r>
      <w:r>
        <w:t>设计方案</w:t>
      </w:r>
      <w:r>
        <w:rPr>
          <w:rFonts w:hint="eastAsia"/>
        </w:rPr>
        <w:t>的经济技术可行性，并保证材料、设备及时供应，能够降低施工风险，确保</w:t>
      </w:r>
      <w:r>
        <w:t>清洁能源基地</w:t>
      </w:r>
      <w:r>
        <w:rPr>
          <w:rFonts w:hint="eastAsia"/>
        </w:rPr>
        <w:t>开发进度</w:t>
      </w:r>
      <w:r>
        <w:fldChar w:fldCharType="begin"/>
      </w:r>
      <w:r w:rsidR="00E17813">
        <w:instrText xml:space="preserve"> ADDIN ZOTERO_ITEM CSL_CITATION {"citationID":"a1mjss236tm","properties":{"formattedCitation":"\\super [97]\\nosupersub{}","plainCitation":"[97]","noteIndex":0},"citationItems":[{"id":3275,"uris":["http://zotero.org/users/13172592/items/REEB4WCA"],"itemData":{"id":3275,"type":"article-journal","abstract":"Design management is one of the most important construction project stages. Identifying the factors that impact a project’s performance is crucial for the overall success of construction projects. This research contributes to the body of knowledge by examining value engineering elements that might affect design management performance to keep the project team focused on those issues to achieve successful design management performance. As an integrated aspect of lean construction, this would result in a successful project with minimal waste of time, cost, or rework. Based on the assumptions made, these value engineering components were prioritized by their significance. To the best of the authors’ knowledge, this study is the first to quantitatively examine the impact of value engineering parameters on design management performance. After a detailed analysis of the literature and consultation with value engineering experts and design professionals, 22 value engineering design management factors were identified and then grouped into the three categories of designers’ conditions, owner and stakeholders’ conditions, and value engineering conditions. A questionnaire was designed and distributed to construction industry professionals to rank the factors on a five-point Likert scale. One hundred and fifty complete responses were received. The structural equation model (SEM) and the collected data were used to study the relationship and association between these value engineering factors and design management performance. After performing a thorough analysis of the results, the top-ranked group was found to be the owner and stakeholders’ conditions, followed by the group of value engineering conditions and design conditions, respectively. The results of this study will help design professionals consider the value engineering factors during the design stage of a project according to their importance, as suggested by this research. DOI: 10.1061/(ASCE)ME.1943-5479.0001026. © 2022 American Society of Civil Engineers.","call-number":"1","container-title":"Journal of Management in Engineering","DOI":"10.1061/(ASCE)ME.1943-5479.0001026","ISSN":"0742-597X, 1943-5479","issue":"3","journalAbbreviation":"J. Manage. Eng.","language":"en","page":"04022012","source":"5.3","title":"Value engineering factors with an impact on design management performance of construction projects","volume":"38","author":[{"family":"Gunduz","given":"Murat"},{"family":"Aly","given":"Aly A."},{"family":"El Mekkawy","given":"Tarek"}],"issued":{"date-parts":[["2022",5]]}}}],"schema":"https://github.com/citation-style-language/schema/raw/master/csl-citation.json"} </w:instrText>
      </w:r>
      <w:r>
        <w:fldChar w:fldCharType="separate"/>
      </w:r>
      <w:r w:rsidR="00E17813" w:rsidRPr="00E17813">
        <w:rPr>
          <w:rFonts w:cs="Times New Roman"/>
          <w:kern w:val="0"/>
          <w:vertAlign w:val="superscript"/>
        </w:rPr>
        <w:t>[97]</w:t>
      </w:r>
      <w:r>
        <w:fldChar w:fldCharType="end"/>
      </w:r>
      <w:r>
        <w:t>。</w:t>
      </w:r>
      <w:r>
        <w:rPr>
          <w:rFonts w:hint="eastAsia"/>
        </w:rPr>
        <w:t>高效、规范的施工管理则有助于</w:t>
      </w:r>
      <w:r>
        <w:t>减少安全事故的发生，进而提升职业健康与安全水平</w:t>
      </w:r>
      <w:r>
        <w:fldChar w:fldCharType="begin"/>
      </w:r>
      <w:r w:rsidR="00E17813">
        <w:instrText xml:space="preserve"> ADDIN ZOTERO_ITEM CSL_CITATION {"citationID":"a2k941qsvhr","properties":{"formattedCitation":"\\super [98]\\nosupersub{}","plainCitation":"[98]","noteIndex":0},"citationItems":[{"id":4047,"uris":["http://zotero.org/users/13172592/items/SP9872GS"],"itemData":{"id":4047,"type":"article-journal","abstract":"The costs resulting from injuries and equipment damage, combined with the associated ﬁnancial loss resulting from schedule disruptions, insurance hikes, and workers compensation, impact the proﬁtability of any construction operation. These costs may be minimized or avoided through focused safety eﬀorts on construction job sites. The main purpose of this study is to determine the correlation between management commitment to safety and the frequency of construction-related injuries and illnesses. To achieve this purpose, a survey was developed and sent to a random sample of the top ﬁve hundred US construction companies. Survey results point to a clear statistical correlation between management commitment to safety and injury and illness rates.","call-number":"1","container-title":"International Journal of Project Management","DOI":"10.1016/j.ijproman.2005.07.005","ISSN":"02637863","issue":"2","journalAbbreviation":"International Journal of Project Management","language":"en","license":"https://www.elsevier.com/tdm/userlicense/1.0/","page":"167-174","source":"7.4","title":"An investigation of management’s commitment to construction safety","volume":"24","author":[{"family":"Abudayyeh","given":"Osama"},{"family":"Fredericks","given":"Tycho K."},{"family":"Butt","given":"Steven E."},{"family":"Shaar","given":"Areen"}],"issued":{"date-parts":[["2006",2]]}}}],"schema":"https://github.com/citation-style-language/schema/raw/master/csl-citation.json"} </w:instrText>
      </w:r>
      <w:r>
        <w:fldChar w:fldCharType="separate"/>
      </w:r>
      <w:r w:rsidR="00E17813" w:rsidRPr="00E17813">
        <w:rPr>
          <w:rFonts w:cs="Times New Roman"/>
          <w:kern w:val="0"/>
          <w:vertAlign w:val="superscript"/>
        </w:rPr>
        <w:t>[98]</w:t>
      </w:r>
      <w:r>
        <w:fldChar w:fldCharType="end"/>
      </w:r>
      <w:r>
        <w:t>。</w:t>
      </w:r>
      <w:r>
        <w:rPr>
          <w:rFonts w:hint="eastAsia"/>
        </w:rPr>
        <w:t>优选供应商，提高供应链效率，制定高性价比的采购方案，则有利于控制成本，进而</w:t>
      </w:r>
      <w:r>
        <w:t>提升清洁能源基地的经济效益</w:t>
      </w:r>
      <w:r>
        <w:fldChar w:fldCharType="begin"/>
      </w:r>
      <w:r w:rsidR="00E17813">
        <w:instrText xml:space="preserve"> ADDIN ZOTERO_ITEM CSL_CITATION {"citationID":"a1v3buueh35","properties":{"formattedCitation":"\\super [99]\\nosupersub{}","plainCitation":"[99]","noteIndex":0},"citationItems":[{"id":3674,"uris":["http://zotero.org/users/13172592/items/YJD2B468"],"itemData":{"id":3674,"type":"article-journal","abstract":"Cost control in the wind power construction project is essential under the trend of developing wind power in China. In order to carry out cost control effectively, structural interpretation model(ISM) is used to identify and analyze the major factors that affect the implementation of cost control and the hierarchy relationships between each other. In this way, the surface causes, the middle causes and the underlying causes that affect the cost control in the wind power construction project have been found, which provides decision theory for the smooth implementation of cost control in China's current wind power construction projects.","collection-title":"International Conference on Applied Physics and Industrial Engineering 2012","container-title":"Physics Procedia","DOI":"10.1016/j.phpro.2012.02.086","ISSN":"1875-3892","journalAbbreviation":"Physics Procedia","language":"en","page":"587-590","source":"ScienceDirect","title":"The ISM analysis on influence factors of cost control in the wind power construction project","volume":"24","author":[{"family":"Yunna","given":"Wu"},{"family":"Qing","given":"Bian"},{"family":"Ping","given":"Lin"}],"issued":{"date-parts":[["2012",1,1]]}}}],"schema":"https://github.com/citation-style-language/schema/raw/master/csl-citation.json"} </w:instrText>
      </w:r>
      <w:r>
        <w:fldChar w:fldCharType="separate"/>
      </w:r>
      <w:r w:rsidR="00E17813" w:rsidRPr="00E17813">
        <w:rPr>
          <w:rFonts w:cs="Times New Roman"/>
          <w:kern w:val="0"/>
          <w:vertAlign w:val="superscript"/>
        </w:rPr>
        <w:t>[99]</w:t>
      </w:r>
      <w:r>
        <w:fldChar w:fldCharType="end"/>
      </w:r>
      <w:r>
        <w:rPr>
          <w:rFonts w:hint="eastAsia"/>
        </w:rPr>
        <w:t>。持续优化设计方案，并进行</w:t>
      </w:r>
      <w:r w:rsidRPr="00E479B4">
        <w:rPr>
          <w:rFonts w:hint="eastAsia"/>
        </w:rPr>
        <w:t>施工工艺</w:t>
      </w:r>
      <w:r>
        <w:rPr>
          <w:rFonts w:hint="eastAsia"/>
        </w:rPr>
        <w:t>创新，也有助于提升资源利用效率，并减少</w:t>
      </w:r>
      <w:r>
        <w:t>清洁能源基地</w:t>
      </w:r>
      <w:r>
        <w:rPr>
          <w:rFonts w:hint="eastAsia"/>
        </w:rPr>
        <w:t>开发对环境的负面影响</w:t>
      </w:r>
      <w:r>
        <w:fldChar w:fldCharType="begin"/>
      </w:r>
      <w:r w:rsidR="00E17813">
        <w:instrText xml:space="preserve"> ADDIN ZOTERO_ITEM CSL_CITATION {"citationID":"a2dg7dm252h","properties":{"formattedCitation":"\\super [53,54]\\nosupersub{}","plainCitation":"[53,54]","noteIndex":0},"citationItems":[{"id":3803,"uris":["http://zotero.org/users/13172592/items/YTLSDMGW"],"</w:instrText>
      </w:r>
      <w:r w:rsidR="00E17813">
        <w:rPr>
          <w:rFonts w:hint="eastAsia"/>
        </w:rPr>
        <w:instrText>itemData":{"id":3803,"type":"thesis","event-place":"</w:instrText>
      </w:r>
      <w:r w:rsidR="00E17813">
        <w:rPr>
          <w:rFonts w:hint="eastAsia"/>
        </w:rPr>
        <w:instrText>北京</w:instrText>
      </w:r>
      <w:r w:rsidR="00E17813">
        <w:rPr>
          <w:rFonts w:hint="eastAsia"/>
        </w:rPr>
        <w:instrText>","publisher":"</w:instrText>
      </w:r>
      <w:r w:rsidR="00E17813">
        <w:rPr>
          <w:rFonts w:hint="eastAsia"/>
        </w:rPr>
        <w:instrText>清华大学</w:instrText>
      </w:r>
      <w:r w:rsidR="00E17813">
        <w:rPr>
          <w:rFonts w:hint="eastAsia"/>
        </w:rPr>
        <w:instrText>","publisher-place":"</w:instrText>
      </w:r>
      <w:r w:rsidR="00E17813">
        <w:rPr>
          <w:rFonts w:hint="eastAsia"/>
        </w:rPr>
        <w:instrText>北京</w:instrText>
      </w:r>
      <w:r w:rsidR="00E17813">
        <w:rPr>
          <w:rFonts w:hint="eastAsia"/>
        </w:rPr>
        <w:instrText>","title":"</w:instrText>
      </w:r>
      <w:r w:rsidR="00E17813">
        <w:rPr>
          <w:rFonts w:hint="eastAsia"/>
        </w:rPr>
        <w:instrText>价值共创视角下水利水电工程设计管理研究</w:instrText>
      </w:r>
      <w:r w:rsidR="00E17813">
        <w:rPr>
          <w:rFonts w:hint="eastAsia"/>
        </w:rPr>
        <w:instrText>","author":[{"family":"</w:instrText>
      </w:r>
      <w:r w:rsidR="00E17813">
        <w:rPr>
          <w:rFonts w:hint="eastAsia"/>
        </w:rPr>
        <w:instrText>刘</w:instrText>
      </w:r>
      <w:r w:rsidR="00E17813">
        <w:rPr>
          <w:rFonts w:hint="eastAsia"/>
        </w:rPr>
        <w:instrText>","given":"</w:instrText>
      </w:r>
      <w:r w:rsidR="00E17813">
        <w:rPr>
          <w:rFonts w:hint="eastAsia"/>
        </w:rPr>
        <w:instrText>扬</w:instrText>
      </w:r>
      <w:r w:rsidR="00E17813">
        <w:rPr>
          <w:rFonts w:hint="eastAsia"/>
        </w:rPr>
        <w:instrText>"}],"issued":{"date-parts":[["2023"]]}}},{"id":2996,"uris":["http://zotero.org/users/13172592/items/9VHB8M2S"],"itemData":{"id":2996,"type":"thesis","event-place":"</w:instrText>
      </w:r>
      <w:r w:rsidR="00E17813">
        <w:rPr>
          <w:rFonts w:hint="eastAsia"/>
        </w:rPr>
        <w:instrText>北京</w:instrText>
      </w:r>
      <w:r w:rsidR="00E17813">
        <w:rPr>
          <w:rFonts w:hint="eastAsia"/>
        </w:rPr>
        <w:instrText>","language":"en-US","publisher":"</w:instrText>
      </w:r>
      <w:r w:rsidR="00E17813">
        <w:rPr>
          <w:rFonts w:hint="eastAsia"/>
        </w:rPr>
        <w:instrText>清华大学</w:instrText>
      </w:r>
      <w:r w:rsidR="00E17813">
        <w:rPr>
          <w:rFonts w:hint="eastAsia"/>
        </w:rPr>
        <w:instrText>","publisher-place":"</w:instrText>
      </w:r>
      <w:r w:rsidR="00E17813">
        <w:rPr>
          <w:rFonts w:hint="eastAsia"/>
        </w:rPr>
        <w:instrText>北京</w:instrText>
      </w:r>
      <w:r w:rsidR="00E17813">
        <w:rPr>
          <w:rFonts w:hint="eastAsia"/>
        </w:rPr>
        <w:instrText>","title":"</w:instrText>
      </w:r>
      <w:r w:rsidR="00E17813">
        <w:rPr>
          <w:rFonts w:hint="eastAsia"/>
        </w:rPr>
        <w:instrText>清洁能源工程科技创新机理研究</w:instrText>
      </w:r>
      <w:r w:rsidR="00E17813">
        <w:rPr>
          <w:rFonts w:hint="eastAsia"/>
        </w:rPr>
        <w:instrText>","author":[{"family":"</w:instrText>
      </w:r>
      <w:r w:rsidR="00E17813">
        <w:rPr>
          <w:rFonts w:hint="eastAsia"/>
        </w:rPr>
        <w:instrText>张亚坤</w:instrText>
      </w:r>
      <w:r w:rsidR="00E17813">
        <w:rPr>
          <w:rFonts w:hint="eastAsia"/>
        </w:rPr>
        <w:instrText>","given":""}],"issued":{"date-parts":[["2024"]]}}}],"schema":"https:/</w:instrText>
      </w:r>
      <w:r w:rsidR="00E17813">
        <w:instrText xml:space="preserve">/github.com/citation-style-language/schema/raw/master/csl-citation.json"} </w:instrText>
      </w:r>
      <w:r>
        <w:fldChar w:fldCharType="separate"/>
      </w:r>
      <w:r w:rsidR="00E17813" w:rsidRPr="00E17813">
        <w:rPr>
          <w:rFonts w:cs="Times New Roman"/>
          <w:kern w:val="0"/>
          <w:vertAlign w:val="superscript"/>
        </w:rPr>
        <w:t>[53</w:t>
      </w:r>
      <w:r w:rsidR="00CA2FF6">
        <w:rPr>
          <w:rFonts w:cs="Times New Roman" w:hint="eastAsia"/>
          <w:kern w:val="0"/>
          <w:vertAlign w:val="superscript"/>
        </w:rPr>
        <w:t>-</w:t>
      </w:r>
      <w:r w:rsidR="00E17813" w:rsidRPr="00E17813">
        <w:rPr>
          <w:rFonts w:cs="Times New Roman"/>
          <w:kern w:val="0"/>
          <w:vertAlign w:val="superscript"/>
        </w:rPr>
        <w:t>54]</w:t>
      </w:r>
      <w:r>
        <w:fldChar w:fldCharType="end"/>
      </w:r>
      <w:r>
        <w:rPr>
          <w:rFonts w:hint="eastAsia"/>
        </w:rPr>
        <w:t>。基于此，提出假设</w:t>
      </w:r>
      <w:r>
        <w:rPr>
          <w:rFonts w:hint="eastAsia"/>
        </w:rPr>
        <w:t>14</w:t>
      </w:r>
      <w:r>
        <w:rPr>
          <w:rFonts w:hint="eastAsia"/>
        </w:rPr>
        <w:t>（</w:t>
      </w:r>
      <w:r>
        <w:rPr>
          <w:rFonts w:hint="eastAsia"/>
        </w:rPr>
        <w:t>H14</w:t>
      </w:r>
      <w:r>
        <w:rPr>
          <w:rFonts w:hint="eastAsia"/>
        </w:rPr>
        <w:t>）：</w:t>
      </w:r>
    </w:p>
    <w:p w14:paraId="25A5CDFF" w14:textId="77777777" w:rsidR="00873BC4" w:rsidRPr="00140912" w:rsidRDefault="00873BC4" w:rsidP="00873BC4">
      <w:pPr>
        <w:ind w:firstLine="422"/>
      </w:pPr>
      <w:r w:rsidRPr="00873BC4">
        <w:rPr>
          <w:rFonts w:hint="eastAsia"/>
          <w:b/>
          <w:bCs/>
        </w:rPr>
        <w:t>H14</w:t>
      </w:r>
      <w:r w:rsidRPr="00873BC4">
        <w:rPr>
          <w:rFonts w:hint="eastAsia"/>
          <w:b/>
          <w:bCs/>
        </w:rPr>
        <w:t>：</w:t>
      </w:r>
      <w:r>
        <w:rPr>
          <w:rFonts w:hint="eastAsia"/>
        </w:rPr>
        <w:t>清洁能源基地良好的实施水平能够提升</w:t>
      </w:r>
      <w:r>
        <w:rPr>
          <w:rFonts w:hint="eastAsia"/>
        </w:rPr>
        <w:t>项目群绩效。</w:t>
      </w:r>
    </w:p>
    <w:p w14:paraId="64DC753E" w14:textId="53C66E97" w:rsidR="00873BC4" w:rsidRDefault="00873BC4" w:rsidP="00873BC4">
      <w:pPr>
        <w:ind w:firstLine="420"/>
      </w:pPr>
      <w:r w:rsidRPr="00E479B4">
        <w:rPr>
          <w:rFonts w:hint="eastAsia"/>
        </w:rPr>
        <w:t>清洁能源基地的运营水平是清洁能源基地</w:t>
      </w:r>
      <w:r>
        <w:rPr>
          <w:rFonts w:hint="eastAsia"/>
        </w:rPr>
        <w:t>创造</w:t>
      </w:r>
      <w:r w:rsidRPr="00E479B4">
        <w:rPr>
          <w:rFonts w:hint="eastAsia"/>
        </w:rPr>
        <w:t>价值</w:t>
      </w:r>
      <w:r>
        <w:rPr>
          <w:rFonts w:hint="eastAsia"/>
        </w:rPr>
        <w:t>并实现</w:t>
      </w:r>
      <w:r w:rsidRPr="00E479B4">
        <w:rPr>
          <w:rFonts w:hint="eastAsia"/>
        </w:rPr>
        <w:t>绩效提升的关键因素。</w:t>
      </w:r>
      <w:r>
        <w:rPr>
          <w:rFonts w:hint="eastAsia"/>
        </w:rPr>
        <w:t>其中，</w:t>
      </w:r>
      <w:r>
        <w:t>顺利并网发电是清洁能源基地进入电力市场并获取收益的前提条件。安全稳定运行</w:t>
      </w:r>
      <w:r>
        <w:rPr>
          <w:rFonts w:hint="eastAsia"/>
        </w:rPr>
        <w:t>一方面保障电厂运维作业人员的安全，另一方面维持</w:t>
      </w:r>
      <w:r>
        <w:t>电网的</w:t>
      </w:r>
      <w:r>
        <w:rPr>
          <w:rFonts w:hint="eastAsia"/>
        </w:rPr>
        <w:t>可靠、稳定运行</w:t>
      </w:r>
      <w:r>
        <w:t>，</w:t>
      </w:r>
      <w:r>
        <w:rPr>
          <w:rFonts w:hint="eastAsia"/>
        </w:rPr>
        <w:t>以</w:t>
      </w:r>
      <w:r>
        <w:t>满足社会</w:t>
      </w:r>
      <w:r>
        <w:rPr>
          <w:rFonts w:hint="eastAsia"/>
        </w:rPr>
        <w:t>的电力</w:t>
      </w:r>
      <w:r>
        <w:t>需求，提升社会效益</w:t>
      </w:r>
      <w:r>
        <w:fldChar w:fldCharType="begin"/>
      </w:r>
      <w:r w:rsidR="00E17813">
        <w:instrText xml:space="preserve"> ADDIN ZOTERO_ITEM CSL_CITATION {"citationID":"a27crsrkpgh","properties":{"formattedCitation":"\\super [100]\\nosupersub{}","plainCitation":"[100]","noteIndex":0},"citationItems":[{"id":4139,"uris":["http://zotero.org/users/13172592/items/MYMC6A5U"],"itemData":{"id":4139,"type":"article-journal","container-title":"Technological Forecasting &amp; Social Change","issue":"2016","language":"en","page":"102-110","source":"Zotero","title":"Social and political impacts of renewable energy: Literature review","volume":"108","author":[{"family":"Sheikh","given":"Nasir J"},{"family":"Kocaoglu","given":"Dundar F"},{"family":"Lutzenhiser","given":"Loren"}],"issued":{"date-parts":[["2016"]]}}}],"schema":"https://github.com/citation-style-language/schema/raw/master/csl-citation.json"} </w:instrText>
      </w:r>
      <w:r>
        <w:fldChar w:fldCharType="separate"/>
      </w:r>
      <w:r w:rsidR="00E17813" w:rsidRPr="00E17813">
        <w:rPr>
          <w:rFonts w:cs="Times New Roman"/>
          <w:kern w:val="0"/>
          <w:vertAlign w:val="superscript"/>
        </w:rPr>
        <w:t>[100]</w:t>
      </w:r>
      <w:r>
        <w:fldChar w:fldCharType="end"/>
      </w:r>
      <w:r>
        <w:t>。</w:t>
      </w:r>
      <w:r>
        <w:rPr>
          <w:rFonts w:hint="eastAsia"/>
        </w:rPr>
        <w:t>应用数字化技术实现</w:t>
      </w:r>
      <w:r w:rsidRPr="00E479B4">
        <w:rPr>
          <w:rFonts w:hint="eastAsia"/>
        </w:rPr>
        <w:t>清洁能源基地</w:t>
      </w:r>
      <w:r>
        <w:rPr>
          <w:rFonts w:hint="eastAsia"/>
        </w:rPr>
        <w:t>的智慧调度与运营，有利于实现多能互补，及时响应负荷需求，降低弃风、弃光、弃水，以提升能源利用效率，促进清洁能源消纳</w:t>
      </w:r>
      <w:r>
        <w:fldChar w:fldCharType="begin"/>
      </w:r>
      <w:r w:rsidR="00EB7246">
        <w:instrText xml:space="preserve"> ADDIN ZOTERO_ITEM CSL_CITATION {"citationID":"am38tb0cv6","properties":{"formattedCitation":"\\super [40,42]\\nosupersub{}","plainCitation":"[40,42]","noteIndex":0},"citationItems":[{"id":3782,"uris":["http://zotero.org/users/13172592/items/ZSPGCAZW"],"itemData":{"id":3782,"type":"article-journal","abstract":"Renewable energy technology innovation (RETI) has become a key factor in mitigating climate change and promoting sustainable development of the world economy, but there is no literature on the effect of information and communication technology (ICT) on RETI and its impact mechanism. This paper measures RETI using panel data for 70 countries from 2005 to 2019 based on the combination of diffusion and depreciation effects of technological innovation and systematically examines the direct and mediating mechanisms of ICT's effect on RETI. The results show that ICT significantly contributes to RETI and even holds after addressing endogeneity, replacing the explanatory or explanatory variables, excluding extreme values, and excluding the effects of the financial crisis. The results of the transmission mechanism analysis indicate that ICT affects RETI through human capital accumulation, financial development, and information disclosure, meaning that human capital, financial development, and information disclosure are important mediating transmission mechanisms. The results of heterogeneity analysis note significant economic organizational heterogeneity and innovation environment heterogeneity of ICT to RETI. Specifically, in IEA and OECD member nations as well as in the high renewable energy consumption and high R&amp;D investment groups, the contribution effect of ICT on RETI is more significant.","call-number":"1","container-title":"Renewable Energy","DOI":"10.1016/j.renene.2022.10.015","ISSN":"0960-1481","journalAbbreviation":"Renewable Energy","language":"en","page":"546-557","source":"9","title":"How does information and communication technology affect renewable energy technology innovation? International evidence","title-short":"How does information and communication technology affect renewable energy technology innovation?","volume":"200","author":[{"family":"Lee","given":"Chien-Chiang"},{"family":"He","given":"Zhi-Wen"},{"family":"Xiao","given":"Fu"}],</w:instrText>
      </w:r>
      <w:r w:rsidR="00EB7246">
        <w:rPr>
          <w:rFonts w:hint="eastAsia"/>
        </w:rPr>
        <w:instrText>"issued":{"date-parts":[["2022",11,1]]}}},{"id":3304,"uris":["http://zotero.org/users/13172592/items/SM667CBB"],"itemData":{"id":3304,"type":"article-journal","abstract":"</w:instrText>
      </w:r>
      <w:r w:rsidR="00EB7246">
        <w:rPr>
          <w:rFonts w:hint="eastAsia"/>
        </w:rPr>
        <w:instrText>大力推动可再生能源发展是应对当前能源危机和环境问题的重要手段</w:instrText>
      </w:r>
      <w:r w:rsidR="00EB7246">
        <w:rPr>
          <w:rFonts w:hint="eastAsia"/>
        </w:rPr>
        <w:instrText>,</w:instrText>
      </w:r>
      <w:r w:rsidR="00EB7246">
        <w:rPr>
          <w:rFonts w:hint="eastAsia"/>
        </w:rPr>
        <w:instrText>全球许多国家和地区陆续提出未来向</w:instrText>
      </w:r>
      <w:r w:rsidR="00EB7246">
        <w:rPr>
          <w:rFonts w:hint="eastAsia"/>
        </w:rPr>
        <w:instrText>100%</w:instrText>
      </w:r>
      <w:r w:rsidR="00EB7246">
        <w:rPr>
          <w:rFonts w:hint="eastAsia"/>
        </w:rPr>
        <w:instrText>可再生能源电力系统</w:instrText>
      </w:r>
      <w:r w:rsidR="00EB7246">
        <w:rPr>
          <w:rFonts w:hint="eastAsia"/>
        </w:rPr>
        <w:instrText>(100%renewableenergypower systems,100%REPS)</w:instrText>
      </w:r>
      <w:r w:rsidR="00EB7246">
        <w:rPr>
          <w:rFonts w:hint="eastAsia"/>
        </w:rPr>
        <w:instrText>转型的设想</w:instrText>
      </w:r>
      <w:r w:rsidR="00EB7246">
        <w:rPr>
          <w:rFonts w:hint="eastAsia"/>
        </w:rPr>
        <w:instrText>,</w:instrText>
      </w:r>
      <w:r w:rsidR="00EB7246">
        <w:rPr>
          <w:rFonts w:hint="eastAsia"/>
        </w:rPr>
        <w:instrText>相关学术研究成果在近年来也持续大量涌现。为全面综述该领域的国内外研究现状和发展趋势</w:instrText>
      </w:r>
      <w:r w:rsidR="00EB7246">
        <w:rPr>
          <w:rFonts w:hint="eastAsia"/>
        </w:rPr>
        <w:instrText>,</w:instrText>
      </w:r>
      <w:r w:rsidR="00EB7246">
        <w:rPr>
          <w:rFonts w:hint="eastAsia"/>
        </w:rPr>
        <w:instrText>对进一步开展该领域相关研究工作提供参考和借鉴</w:instrText>
      </w:r>
      <w:r w:rsidR="00EB7246">
        <w:rPr>
          <w:rFonts w:hint="eastAsia"/>
        </w:rPr>
        <w:instrText>,</w:instrText>
      </w:r>
      <w:r w:rsidR="00EB7246">
        <w:rPr>
          <w:rFonts w:hint="eastAsia"/>
        </w:rPr>
        <w:instrText>该文阐述</w:instrText>
      </w:r>
      <w:r w:rsidR="00EB7246">
        <w:rPr>
          <w:rFonts w:hint="eastAsia"/>
        </w:rPr>
        <w:instrText>100%REPS</w:instrText>
      </w:r>
      <w:r w:rsidR="00EB7246">
        <w:rPr>
          <w:rFonts w:hint="eastAsia"/>
        </w:rPr>
        <w:instrText>的基本概念及其与碳中和电力系统、纯清洁能源电力系统的联系和区别</w:instrText>
      </w:r>
      <w:r w:rsidR="00EB7246">
        <w:rPr>
          <w:rFonts w:hint="eastAsia"/>
        </w:rPr>
        <w:instrText>,</w:instrText>
      </w:r>
      <w:r w:rsidR="00EB7246">
        <w:rPr>
          <w:rFonts w:hint="eastAsia"/>
        </w:rPr>
        <w:instrText>从技术、经济、政策</w:instrText>
      </w:r>
      <w:r w:rsidR="00EB7246">
        <w:rPr>
          <w:rFonts w:hint="eastAsia"/>
        </w:rPr>
        <w:instrText>3</w:instrText>
      </w:r>
      <w:r w:rsidR="00EB7246">
        <w:rPr>
          <w:rFonts w:hint="eastAsia"/>
        </w:rPr>
        <w:instrText>方面分析构建</w:instrText>
      </w:r>
      <w:r w:rsidR="00EB7246">
        <w:rPr>
          <w:rFonts w:hint="eastAsia"/>
        </w:rPr>
        <w:instrText>100%REPS</w:instrText>
      </w:r>
      <w:r w:rsidR="00EB7246">
        <w:rPr>
          <w:rFonts w:hint="eastAsia"/>
        </w:rPr>
        <w:instrText>将面临的主要挑战。在此基础上</w:instrText>
      </w:r>
      <w:r w:rsidR="00EB7246">
        <w:rPr>
          <w:rFonts w:hint="eastAsia"/>
        </w:rPr>
        <w:instrText>,</w:instrText>
      </w:r>
      <w:r w:rsidR="00EB7246">
        <w:rPr>
          <w:rFonts w:hint="eastAsia"/>
        </w:rPr>
        <w:instrText>从电源规划、网架规划、无功配置、稳定性分析与控制、运行调度、电能质量优化</w:instrText>
      </w:r>
      <w:r w:rsidR="00EB7246">
        <w:rPr>
          <w:rFonts w:hint="eastAsia"/>
        </w:rPr>
        <w:instrText>6</w:instrText>
      </w:r>
      <w:r w:rsidR="00EB7246">
        <w:rPr>
          <w:rFonts w:hint="eastAsia"/>
        </w:rPr>
        <w:instrText>个环节</w:instrText>
      </w:r>
      <w:r w:rsidR="00EB7246">
        <w:rPr>
          <w:rFonts w:hint="eastAsia"/>
        </w:rPr>
        <w:instrText>,</w:instrText>
      </w:r>
      <w:r w:rsidR="00EB7246">
        <w:rPr>
          <w:rFonts w:hint="eastAsia"/>
        </w:rPr>
        <w:instrText>综述当前相关研究成果</w:instrText>
      </w:r>
      <w:r w:rsidR="00EB7246">
        <w:rPr>
          <w:rFonts w:hint="eastAsia"/>
        </w:rPr>
        <w:instrText>,</w:instrText>
      </w:r>
      <w:r w:rsidR="00EB7246">
        <w:rPr>
          <w:rFonts w:hint="eastAsia"/>
        </w:rPr>
        <w:instrText>拟定应对这些挑战的潜在研究方向</w:instrText>
      </w:r>
      <w:r w:rsidR="00EB7246">
        <w:rPr>
          <w:rFonts w:hint="eastAsia"/>
        </w:rPr>
        <w:instrText>,</w:instrText>
      </w:r>
      <w:r w:rsidR="00EB7246">
        <w:rPr>
          <w:rFonts w:hint="eastAsia"/>
        </w:rPr>
        <w:instrText>分析其中需要重点关注的难点问题</w:instrText>
      </w:r>
      <w:r w:rsidR="00EB7246">
        <w:rPr>
          <w:rFonts w:hint="eastAsia"/>
        </w:rPr>
        <w:instrText>,</w:instrText>
      </w:r>
      <w:r w:rsidR="00EB7246">
        <w:rPr>
          <w:rFonts w:hint="eastAsia"/>
        </w:rPr>
        <w:instrText>进而提出一套面向</w:instrText>
      </w:r>
      <w:r w:rsidR="00EB7246">
        <w:rPr>
          <w:rFonts w:hint="eastAsia"/>
        </w:rPr>
        <w:instrText>100%REPS</w:instrText>
      </w:r>
      <w:r w:rsidR="00EB7246">
        <w:rPr>
          <w:rFonts w:hint="eastAsia"/>
        </w:rPr>
        <w:instrText>的研究框架。最后</w:instrText>
      </w:r>
      <w:r w:rsidR="00EB7246">
        <w:rPr>
          <w:rFonts w:hint="eastAsia"/>
        </w:rPr>
        <w:instrText>,</w:instrText>
      </w:r>
      <w:r w:rsidR="00EB7246">
        <w:rPr>
          <w:rFonts w:hint="eastAsia"/>
        </w:rPr>
        <w:instrText>对未来</w:instrText>
      </w:r>
      <w:r w:rsidR="00EB7246">
        <w:rPr>
          <w:rFonts w:hint="eastAsia"/>
        </w:rPr>
        <w:instrText>100%REPS</w:instrText>
      </w:r>
      <w:r w:rsidR="00EB7246">
        <w:rPr>
          <w:rFonts w:hint="eastAsia"/>
        </w:rPr>
        <w:instrText>的应用实践与探索进行总结和展望。</w:instrText>
      </w:r>
      <w:r w:rsidR="00EB7246">
        <w:rPr>
          <w:rFonts w:hint="eastAsia"/>
        </w:rPr>
        <w:instrText>","container-title":"</w:instrText>
      </w:r>
      <w:r w:rsidR="00EB7246">
        <w:rPr>
          <w:rFonts w:hint="eastAsia"/>
        </w:rPr>
        <w:instrText>中国电机工程学报</w:instrText>
      </w:r>
      <w:r w:rsidR="00EB7246">
        <w:rPr>
          <w:rFonts w:hint="eastAsia"/>
        </w:rPr>
        <w:instrText>","DOI":"10.13334/j.0258-8013.pcsee.192031","ISSN":"0258-8013","issue":"6","language":"zh-CN","page":"1843-1856","source":"CNKI","title":"</w:instrText>
      </w:r>
      <w:r w:rsidR="00EB7246">
        <w:rPr>
          <w:rFonts w:hint="eastAsia"/>
        </w:rPr>
        <w:instrText>构建</w:instrText>
      </w:r>
      <w:r w:rsidR="00EB7246">
        <w:rPr>
          <w:rFonts w:hint="eastAsia"/>
        </w:rPr>
        <w:instrText>100%</w:instrText>
      </w:r>
      <w:r w:rsidR="00EB7246">
        <w:rPr>
          <w:rFonts w:hint="eastAsia"/>
        </w:rPr>
        <w:instrText>可再生能源电力系统述评与展望</w:instrText>
      </w:r>
      <w:r w:rsidR="00EB7246">
        <w:rPr>
          <w:rFonts w:hint="eastAsia"/>
        </w:rPr>
        <w:instrText>","volume":"40","author":[{"family":"</w:instrText>
      </w:r>
      <w:r w:rsidR="00EB7246">
        <w:rPr>
          <w:rFonts w:hint="eastAsia"/>
        </w:rPr>
        <w:instrText>文</w:instrText>
      </w:r>
      <w:r w:rsidR="00EB7246">
        <w:rPr>
          <w:rFonts w:hint="eastAsia"/>
        </w:rPr>
        <w:instrText>","given":"</w:instrText>
      </w:r>
      <w:r w:rsidR="00EB7246">
        <w:rPr>
          <w:rFonts w:hint="eastAsia"/>
        </w:rPr>
        <w:instrText>云峰</w:instrText>
      </w:r>
      <w:r w:rsidR="00EB7246">
        <w:rPr>
          <w:rFonts w:hint="eastAsia"/>
        </w:rPr>
        <w:instrText>"},{"family":"</w:instrText>
      </w:r>
      <w:r w:rsidR="00EB7246">
        <w:rPr>
          <w:rFonts w:hint="eastAsia"/>
        </w:rPr>
        <w:instrText>杨</w:instrText>
      </w:r>
      <w:r w:rsidR="00EB7246">
        <w:rPr>
          <w:rFonts w:hint="eastAsia"/>
        </w:rPr>
        <w:instrText>","given":"</w:instrText>
      </w:r>
      <w:r w:rsidR="00EB7246">
        <w:rPr>
          <w:rFonts w:hint="eastAsia"/>
        </w:rPr>
        <w:instrText>伟峰</w:instrText>
      </w:r>
      <w:r w:rsidR="00EB7246">
        <w:rPr>
          <w:rFonts w:hint="eastAsia"/>
        </w:rPr>
        <w:instrText>"},{"family":"</w:instrText>
      </w:r>
      <w:r w:rsidR="00EB7246">
        <w:rPr>
          <w:rFonts w:hint="eastAsia"/>
        </w:rPr>
        <w:instrText>汪</w:instrText>
      </w:r>
      <w:r w:rsidR="00EB7246">
        <w:rPr>
          <w:rFonts w:hint="eastAsia"/>
        </w:rPr>
        <w:instrText>","given":"</w:instrText>
      </w:r>
      <w:r w:rsidR="00EB7246">
        <w:rPr>
          <w:rFonts w:hint="eastAsia"/>
        </w:rPr>
        <w:instrText>荣华</w:instrText>
      </w:r>
      <w:r w:rsidR="00EB7246">
        <w:rPr>
          <w:rFonts w:hint="eastAsia"/>
        </w:rPr>
        <w:instrText>"},{"family":"</w:instrText>
      </w:r>
      <w:r w:rsidR="00EB7246">
        <w:rPr>
          <w:rFonts w:hint="eastAsia"/>
        </w:rPr>
        <w:instrText>胥</w:instrText>
      </w:r>
      <w:r w:rsidR="00EB7246">
        <w:rPr>
          <w:rFonts w:hint="eastAsia"/>
        </w:rPr>
        <w:instrText>","given":"</w:instrText>
      </w:r>
      <w:r w:rsidR="00EB7246">
        <w:rPr>
          <w:rFonts w:hint="eastAsia"/>
        </w:rPr>
        <w:instrText>威汀</w:instrText>
      </w:r>
      <w:r w:rsidR="00EB7246">
        <w:rPr>
          <w:rFonts w:hint="eastAsia"/>
        </w:rPr>
        <w:instrText>"},{"family":"</w:instrText>
      </w:r>
      <w:r w:rsidR="00EB7246">
        <w:rPr>
          <w:rFonts w:hint="eastAsia"/>
        </w:rPr>
        <w:instrText>叶</w:instrText>
      </w:r>
      <w:r w:rsidR="00EB7246">
        <w:rPr>
          <w:rFonts w:hint="eastAsia"/>
        </w:rPr>
        <w:instrText>","given":"</w:instrText>
      </w:r>
      <w:r w:rsidR="00EB7246">
        <w:rPr>
          <w:rFonts w:hint="eastAsia"/>
        </w:rPr>
        <w:instrText>希</w:instrText>
      </w:r>
      <w:r w:rsidR="00EB7246">
        <w:rPr>
          <w:rFonts w:hint="eastAsia"/>
        </w:rPr>
        <w:instrText>"},{"family":"</w:instrText>
      </w:r>
      <w:r w:rsidR="00EB7246">
        <w:rPr>
          <w:rFonts w:hint="eastAsia"/>
        </w:rPr>
        <w:instrText>李</w:instrText>
      </w:r>
      <w:r w:rsidR="00EB7246">
        <w:rPr>
          <w:rFonts w:hint="eastAsia"/>
        </w:rPr>
        <w:instrText>","given":"</w:instrText>
      </w:r>
      <w:r w:rsidR="00EB7246">
        <w:rPr>
          <w:rFonts w:hint="eastAsia"/>
        </w:rPr>
        <w:instrText>婷</w:instrText>
      </w:r>
      <w:r w:rsidR="00EB7246">
        <w:rPr>
          <w:rFonts w:hint="eastAsia"/>
        </w:rPr>
        <w:instrText>"}],"issued":{"date-parts":[["2020"]]}}}],"schema":"https://github.com/citation-</w:instrText>
      </w:r>
      <w:r w:rsidR="00EB7246">
        <w:instrText xml:space="preserve">style-language/schema/raw/master/csl-citation.json"} </w:instrText>
      </w:r>
      <w:r>
        <w:fldChar w:fldCharType="separate"/>
      </w:r>
      <w:r w:rsidR="00EB7246" w:rsidRPr="00EB7246">
        <w:rPr>
          <w:rFonts w:cs="Times New Roman"/>
          <w:kern w:val="0"/>
          <w:vertAlign w:val="superscript"/>
        </w:rPr>
        <w:t>[40,42]</w:t>
      </w:r>
      <w:r>
        <w:fldChar w:fldCharType="end"/>
      </w:r>
      <w:r>
        <w:rPr>
          <w:rFonts w:hint="eastAsia"/>
        </w:rPr>
        <w:t>。</w:t>
      </w:r>
      <w:r>
        <w:t>这不仅减少了碳排放和环境负荷，</w:t>
      </w:r>
      <w:r>
        <w:rPr>
          <w:rFonts w:hint="eastAsia"/>
        </w:rPr>
        <w:t>也</w:t>
      </w:r>
      <w:r>
        <w:t>增强了清洁能源基地参与电力市场的灵活性与竞争力，进一步提升其经济效益</w:t>
      </w:r>
      <w:r>
        <w:fldChar w:fldCharType="begin"/>
      </w:r>
      <w:r w:rsidR="00E17813">
        <w:instrText xml:space="preserve"> ADDIN ZOTERO_ITEM CSL_CITATION {"citationID":"a20hlk5baqu","properties":{"formattedCitation":"\\super [101,102]\\nosupersub{}","plainCitation":"[101,102]","noteIndex":0},"citationItems":[{"id":4140,"uris":["http://zotero.org/users/13172592/items/R2HQX7HM"],"itemData":{"id":4140,"type":"article-journal","abstract":"Achieving solutions to environmental problems that we face today requires long-term potential actions for sustainable development. In this regard, ren…","container-title":"Renewable and Sustainable Energy Reviews","DOI":"10.1016/S1364-0321(99)00011-8","ISSN":"1364-0321","issue":"2","language":"en","note":"publisher: Pergamon","page":"157-175","source":"www.sciencedirect.com","title":"Renewable energy and sustainable development: A crucial review","title-short":"Renewable energy and sustainable development","volume":"4","author":[{"family":"Dincer","given":"Ibrahim"}],"issued":{"date-parts":[["2000",6,1]]}}},{"id":719,"uris":["http://zotero.org/users/13172592/items/XSI9X2FH"],"itemData":{"id":719,"type":"article-journal","abstract":"Research on climate change impacts on renewable energy is becoming increasingly relevant due to the vulnerability of the sector and to the continual development of methodologies and availability of data. Public and private decision-making needs specific research. However, many gaps still exist in certain geographical regions and technologies. Providing economic estimates with a value chain perspective are also missing from most papers. This paper addresses the most relevant studies that project quantitative estimates of climate change impacts on solar, wind, hydro and other renewable generation technologies. Summary tables of impacts and projections are provided so that researchers, governments and the private sector may have an accurate view of the state-ofthe-art on this topic.","container-title":"Renewable and Sustainable Energy Reviews","DOI":"10.1016/j.rser.2019.109415","ISSN":"13640321","journalAbbreviation":"Renewable and Sustainable Energy Reviews","language":"en","page":"109415","source":"DOI.org (Crossref)","title":"Climate change impacts on renewable energy generation: A review of quantitative projections","volume":"116","author":[{"family":"Solaun","given":"Kepa"},{"family":"Cerdá","given":"Emilio"}],"issued":{"date-parts":[["2019",12]]}}}],"schema":"https://github.com/citation-style-language/schema/raw/master/csl-citation.json"} </w:instrText>
      </w:r>
      <w:r>
        <w:fldChar w:fldCharType="separate"/>
      </w:r>
      <w:r w:rsidR="00E17813" w:rsidRPr="00E17813">
        <w:rPr>
          <w:rFonts w:cs="Times New Roman"/>
          <w:kern w:val="0"/>
          <w:vertAlign w:val="superscript"/>
        </w:rPr>
        <w:t>[101</w:t>
      </w:r>
      <w:r w:rsidR="00CA2FF6">
        <w:rPr>
          <w:rFonts w:cs="Times New Roman" w:hint="eastAsia"/>
          <w:kern w:val="0"/>
          <w:vertAlign w:val="superscript"/>
        </w:rPr>
        <w:t>-</w:t>
      </w:r>
      <w:r w:rsidR="00E17813" w:rsidRPr="00E17813">
        <w:rPr>
          <w:rFonts w:cs="Times New Roman"/>
          <w:kern w:val="0"/>
          <w:vertAlign w:val="superscript"/>
        </w:rPr>
        <w:t>102]</w:t>
      </w:r>
      <w:r>
        <w:fldChar w:fldCharType="end"/>
      </w:r>
      <w:r>
        <w:t>。</w:t>
      </w:r>
      <w:r>
        <w:rPr>
          <w:rFonts w:hint="eastAsia"/>
        </w:rPr>
        <w:t>基于此，提出假设</w:t>
      </w:r>
      <w:r>
        <w:rPr>
          <w:rFonts w:hint="eastAsia"/>
        </w:rPr>
        <w:t>15</w:t>
      </w:r>
      <w:r>
        <w:rPr>
          <w:rFonts w:hint="eastAsia"/>
        </w:rPr>
        <w:t>（</w:t>
      </w:r>
      <w:r>
        <w:rPr>
          <w:rFonts w:hint="eastAsia"/>
        </w:rPr>
        <w:t>H15</w:t>
      </w:r>
      <w:r>
        <w:rPr>
          <w:rFonts w:hint="eastAsia"/>
        </w:rPr>
        <w:t>）：</w:t>
      </w:r>
    </w:p>
    <w:p w14:paraId="788AC1E8" w14:textId="77777777" w:rsidR="00873BC4" w:rsidRPr="00140912" w:rsidRDefault="00873BC4" w:rsidP="00873BC4">
      <w:pPr>
        <w:ind w:firstLine="422"/>
      </w:pPr>
      <w:r w:rsidRPr="00873BC4">
        <w:rPr>
          <w:rFonts w:hint="eastAsia"/>
          <w:b/>
          <w:bCs/>
        </w:rPr>
        <w:t>H15</w:t>
      </w:r>
      <w:r w:rsidRPr="00873BC4">
        <w:rPr>
          <w:rFonts w:hint="eastAsia"/>
          <w:b/>
          <w:bCs/>
        </w:rPr>
        <w:t>：</w:t>
      </w:r>
      <w:r>
        <w:rPr>
          <w:rFonts w:hint="eastAsia"/>
        </w:rPr>
        <w:t>清洁能源基地良好的运营水平能够提升项目群绩效。</w:t>
      </w:r>
    </w:p>
    <w:p w14:paraId="1DB3EE72" w14:textId="2988BE1D" w:rsidR="00BC1DF7" w:rsidRPr="009672E3" w:rsidRDefault="00BC1DF7" w:rsidP="00C82022">
      <w:pPr>
        <w:ind w:firstLine="420"/>
      </w:pPr>
      <w:r>
        <w:rPr>
          <w:rFonts w:cs="Times New Roman" w:hint="eastAsia"/>
        </w:rPr>
        <w:t>综上</w:t>
      </w:r>
      <w:r w:rsidRPr="00B50037">
        <w:rPr>
          <w:rFonts w:ascii="宋体" w:hAnsi="宋体" w:cs="Times New Roman"/>
        </w:rPr>
        <w:t>，</w:t>
      </w:r>
      <w:r w:rsidR="009672E3">
        <w:rPr>
          <w:rFonts w:ascii="宋体" w:hAnsi="宋体" w:cs="Times New Roman" w:hint="eastAsia"/>
        </w:rPr>
        <w:t>本研究</w:t>
      </w:r>
      <w:r w:rsidRPr="00B50037">
        <w:rPr>
          <w:rFonts w:ascii="宋体" w:hAnsi="宋体" w:cs="Times New Roman"/>
        </w:rPr>
        <w:t>构建</w:t>
      </w:r>
      <w:r>
        <w:rPr>
          <w:rFonts w:ascii="宋体" w:hAnsi="宋体" w:cs="Times New Roman" w:hint="eastAsia"/>
        </w:rPr>
        <w:t>了</w:t>
      </w:r>
      <w:r w:rsidR="00873BC4">
        <w:rPr>
          <w:rFonts w:hint="eastAsia"/>
        </w:rPr>
        <w:t>清洁能源基地一体化</w:t>
      </w:r>
      <w:r>
        <w:rPr>
          <w:rFonts w:hint="eastAsia"/>
        </w:rPr>
        <w:t>管理模型，如</w:t>
      </w:r>
      <w:r>
        <w:fldChar w:fldCharType="begin"/>
      </w:r>
      <w:r>
        <w:instrText xml:space="preserve"> </w:instrText>
      </w:r>
      <w:r>
        <w:rPr>
          <w:rFonts w:hint="eastAsia"/>
        </w:rPr>
        <w:instrText>REF _Ref174310397 \h</w:instrText>
      </w:r>
      <w:r>
        <w:instrText xml:space="preserve"> </w:instrText>
      </w:r>
      <w:r>
        <w:fldChar w:fldCharType="separate"/>
      </w:r>
      <w:r w:rsidR="000F2689">
        <w:rPr>
          <w:rFonts w:hint="eastAsia"/>
        </w:rPr>
        <w:t>图</w:t>
      </w:r>
      <w:r w:rsidR="000F2689">
        <w:rPr>
          <w:rFonts w:hint="eastAsia"/>
        </w:rPr>
        <w:t xml:space="preserve"> </w:t>
      </w:r>
      <w:r w:rsidR="000F2689">
        <w:rPr>
          <w:noProof/>
        </w:rPr>
        <w:t>1</w:t>
      </w:r>
      <w:r>
        <w:fldChar w:fldCharType="end"/>
      </w:r>
      <w:r>
        <w:rPr>
          <w:rFonts w:hint="eastAsia"/>
        </w:rPr>
        <w:t>所示</w:t>
      </w:r>
      <w:r w:rsidR="00E913EF">
        <w:rPr>
          <w:rFonts w:hint="eastAsia"/>
        </w:rPr>
        <w:t>。为验证该模型，还需通过调研</w:t>
      </w:r>
      <w:r w:rsidR="009672E3" w:rsidRPr="009672E3">
        <w:rPr>
          <w:rFonts w:hint="eastAsia"/>
        </w:rPr>
        <w:t>回答</w:t>
      </w:r>
      <w:r w:rsidR="00E913EF">
        <w:rPr>
          <w:rFonts w:hint="eastAsia"/>
        </w:rPr>
        <w:t>以下</w:t>
      </w:r>
      <w:r w:rsidR="009672E3" w:rsidRPr="009672E3">
        <w:rPr>
          <w:rFonts w:hint="eastAsia"/>
        </w:rPr>
        <w:t>问题：</w:t>
      </w:r>
      <w:r w:rsidR="009672E3" w:rsidRPr="009672E3">
        <w:rPr>
          <w:rFonts w:hint="eastAsia"/>
        </w:rPr>
        <w:t>1</w:t>
      </w:r>
      <w:r w:rsidR="009672E3" w:rsidRPr="009672E3">
        <w:rPr>
          <w:rFonts w:hint="eastAsia"/>
        </w:rPr>
        <w:t>）</w:t>
      </w:r>
      <w:r w:rsidR="00873BC4" w:rsidRPr="00873BC4">
        <w:rPr>
          <w:rFonts w:hint="eastAsia"/>
        </w:rPr>
        <w:t>清洁能源基地外部条件、管理制度、业主项目群管理能力、资源配置、伙伴关系、项目群实施、项目群运营与项目群绩效等关键因素如何定量测量</w:t>
      </w:r>
      <w:r w:rsidR="009672E3" w:rsidRPr="009672E3">
        <w:rPr>
          <w:rFonts w:hint="eastAsia"/>
        </w:rPr>
        <w:t>；</w:t>
      </w:r>
      <w:r w:rsidR="009672E3" w:rsidRPr="009672E3">
        <w:rPr>
          <w:rFonts w:hint="eastAsia"/>
        </w:rPr>
        <w:t>2</w:t>
      </w:r>
      <w:r w:rsidR="009672E3" w:rsidRPr="009672E3">
        <w:rPr>
          <w:rFonts w:hint="eastAsia"/>
        </w:rPr>
        <w:t>）</w:t>
      </w:r>
      <w:r w:rsidR="00873BC4" w:rsidRPr="00362C08">
        <w:rPr>
          <w:rFonts w:ascii="Times" w:hAnsi="Times" w:hint="eastAsia"/>
        </w:rPr>
        <w:t>清洁能源基地一体化管理实际表现如何</w:t>
      </w:r>
      <w:r w:rsidR="009672E3" w:rsidRPr="009672E3">
        <w:rPr>
          <w:rFonts w:hint="eastAsia"/>
        </w:rPr>
        <w:t>；</w:t>
      </w:r>
      <w:r w:rsidR="009672E3" w:rsidRPr="009672E3">
        <w:rPr>
          <w:rFonts w:hint="eastAsia"/>
        </w:rPr>
        <w:t>3</w:t>
      </w:r>
      <w:r w:rsidR="009672E3" w:rsidRPr="009672E3">
        <w:rPr>
          <w:rFonts w:hint="eastAsia"/>
        </w:rPr>
        <w:t>）</w:t>
      </w:r>
      <w:r w:rsidR="00873BC4" w:rsidRPr="00362C08">
        <w:rPr>
          <w:rFonts w:ascii="Times" w:hAnsi="Times" w:hint="eastAsia"/>
        </w:rPr>
        <w:t>清洁能源基地一体化管理理论模型中的各项假设是否成立</w:t>
      </w:r>
      <w:r w:rsidR="00873BC4">
        <w:rPr>
          <w:rFonts w:ascii="Times" w:hAnsi="Times" w:hint="eastAsia"/>
        </w:rPr>
        <w:t>；</w:t>
      </w:r>
      <w:r w:rsidR="00873BC4">
        <w:rPr>
          <w:rFonts w:ascii="Times" w:hAnsi="Times" w:hint="eastAsia"/>
        </w:rPr>
        <w:t>4</w:t>
      </w:r>
      <w:r w:rsidR="00873BC4">
        <w:rPr>
          <w:rFonts w:ascii="Times" w:hAnsi="Times" w:hint="eastAsia"/>
        </w:rPr>
        <w:t>）</w:t>
      </w:r>
      <w:r w:rsidR="00873BC4" w:rsidRPr="00362C08">
        <w:rPr>
          <w:rFonts w:ascii="Times" w:hAnsi="Times" w:hint="eastAsia"/>
        </w:rPr>
        <w:t>基于理论模型，应该从哪些方面提升清洁能源基地的一体化管理水平</w:t>
      </w:r>
      <w:r w:rsidR="00873BC4">
        <w:rPr>
          <w:rFonts w:ascii="Times" w:hAnsi="Times" w:hint="eastAsia"/>
        </w:rPr>
        <w:t>？</w:t>
      </w:r>
    </w:p>
    <w:p w14:paraId="1ACF3CF2" w14:textId="77777777" w:rsidR="00BC1DF7" w:rsidRDefault="00BC1DF7" w:rsidP="00BC1DF7">
      <w:pPr>
        <w:keepNext/>
        <w:ind w:firstLineChars="0" w:firstLine="0"/>
        <w:sectPr w:rsidR="00BC1DF7" w:rsidSect="00373C80">
          <w:type w:val="continuous"/>
          <w:pgSz w:w="11906" w:h="16838"/>
          <w:pgMar w:top="1440" w:right="1106" w:bottom="1440" w:left="1106" w:header="851" w:footer="992" w:gutter="0"/>
          <w:cols w:num="2" w:space="425"/>
          <w:titlePg/>
          <w:docGrid w:type="linesAndChars" w:linePitch="312"/>
        </w:sectPr>
      </w:pPr>
    </w:p>
    <w:p w14:paraId="1B61C5DD" w14:textId="655526E1" w:rsidR="00BC1DF7" w:rsidRDefault="00CA2FF6" w:rsidP="00373C80">
      <w:pPr>
        <w:keepNext/>
        <w:ind w:firstLineChars="0" w:firstLine="0"/>
        <w:jc w:val="center"/>
      </w:pPr>
      <w:r>
        <w:rPr>
          <w:noProof/>
        </w:rPr>
        <w:drawing>
          <wp:inline distT="0" distB="0" distL="0" distR="0" wp14:anchorId="51156C49" wp14:editId="75113E63">
            <wp:extent cx="4081579" cy="1939290"/>
            <wp:effectExtent l="0" t="0" r="0" b="3810"/>
            <wp:docPr id="67152802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4098313" cy="1947241"/>
                    </a:xfrm>
                    <a:prstGeom prst="rect">
                      <a:avLst/>
                    </a:prstGeom>
                    <a:noFill/>
                    <a:ln>
                      <a:noFill/>
                    </a:ln>
                  </pic:spPr>
                </pic:pic>
              </a:graphicData>
            </a:graphic>
          </wp:inline>
        </w:drawing>
      </w:r>
    </w:p>
    <w:p w14:paraId="2183DBD8" w14:textId="5AC4BA4D" w:rsidR="00BC1DF7" w:rsidRPr="00BC1DF7" w:rsidRDefault="00BC1DF7" w:rsidP="00D61895">
      <w:pPr>
        <w:pStyle w:val="afa"/>
        <w:spacing w:afterLines="50" w:after="156"/>
      </w:pPr>
      <w:bookmarkStart w:id="4" w:name="_Ref174310397"/>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0F2689">
        <w:rPr>
          <w:noProof/>
        </w:rPr>
        <w:t>1</w:t>
      </w:r>
      <w:r>
        <w:fldChar w:fldCharType="end"/>
      </w:r>
      <w:bookmarkEnd w:id="4"/>
      <w:r>
        <w:rPr>
          <w:rFonts w:hint="eastAsia"/>
        </w:rPr>
        <w:t xml:space="preserve"> </w:t>
      </w:r>
      <w:r w:rsidR="00873BC4">
        <w:rPr>
          <w:rFonts w:hint="eastAsia"/>
        </w:rPr>
        <w:t>清洁能源基地一体化管理理论模型</w:t>
      </w:r>
    </w:p>
    <w:p w14:paraId="758770C7" w14:textId="77777777" w:rsidR="00BC1DF7" w:rsidRDefault="00BC1DF7" w:rsidP="00BC1DF7">
      <w:pPr>
        <w:ind w:firstLineChars="95" w:firstLine="199"/>
        <w:sectPr w:rsidR="00BC1DF7" w:rsidSect="00BC1DF7">
          <w:type w:val="continuous"/>
          <w:pgSz w:w="11906" w:h="16838"/>
          <w:pgMar w:top="1440" w:right="1106" w:bottom="1440" w:left="1106" w:header="851" w:footer="992" w:gutter="0"/>
          <w:cols w:space="720"/>
          <w:titlePg/>
          <w:docGrid w:type="linesAndChars" w:linePitch="312"/>
        </w:sectPr>
      </w:pPr>
    </w:p>
    <w:p w14:paraId="6DF41965" w14:textId="0BBC838A" w:rsidR="008B5337" w:rsidRDefault="00A03939" w:rsidP="00A03939">
      <w:pPr>
        <w:pStyle w:val="1"/>
      </w:pPr>
      <w:r>
        <w:rPr>
          <w:rFonts w:hint="eastAsia"/>
        </w:rPr>
        <w:t>研究方法</w:t>
      </w:r>
    </w:p>
    <w:p w14:paraId="61C5B49C" w14:textId="77777777" w:rsidR="00A03939" w:rsidRPr="00A03939" w:rsidRDefault="00A03939" w:rsidP="00A03939">
      <w:pPr>
        <w:pStyle w:val="2"/>
      </w:pPr>
      <w:r w:rsidRPr="00A03939">
        <w:rPr>
          <w:rFonts w:hint="eastAsia"/>
        </w:rPr>
        <w:t>数据收集方法</w:t>
      </w:r>
    </w:p>
    <w:p w14:paraId="5DE0D3E7" w14:textId="58EFBF31" w:rsidR="002F3722" w:rsidRDefault="002F3722" w:rsidP="000E38EB">
      <w:pPr>
        <w:ind w:firstLine="440"/>
      </w:pPr>
      <w:r w:rsidRPr="00F3245C">
        <w:rPr>
          <w:rStyle w:val="fontstyle11"/>
        </w:rPr>
        <w:t>本研究采用</w:t>
      </w:r>
      <w:r w:rsidRPr="00F13A68">
        <w:t>问卷调查</w:t>
      </w:r>
      <w:r w:rsidR="00CA2FF6">
        <w:rPr>
          <w:rFonts w:hint="eastAsia"/>
        </w:rPr>
        <w:t>与</w:t>
      </w:r>
      <w:r w:rsidRPr="00F13A68">
        <w:t>半结构化访谈</w:t>
      </w:r>
      <w:r>
        <w:rPr>
          <w:rFonts w:hint="eastAsia"/>
        </w:rPr>
        <w:t>相结合的</w:t>
      </w:r>
      <w:r w:rsidRPr="00F3245C">
        <w:rPr>
          <w:rStyle w:val="fontstyle11"/>
        </w:rPr>
        <w:t>混合研究</w:t>
      </w:r>
      <w:r w:rsidRPr="00F13A68">
        <w:t>方法，收集定量与定性数据，提升调研结果与分析的深度、广度与可靠性。</w:t>
      </w:r>
      <w:r w:rsidRPr="002F3722">
        <w:rPr>
          <w:rFonts w:hint="eastAsia"/>
        </w:rPr>
        <w:t>本研究选取了在建或运营阶段的清洁能源基地发放问卷</w:t>
      </w:r>
      <w:r>
        <w:rPr>
          <w:rFonts w:hint="eastAsia"/>
        </w:rPr>
        <w:t>，涵盖</w:t>
      </w:r>
      <w:r>
        <w:rPr>
          <w:rFonts w:hint="eastAsia"/>
        </w:rPr>
        <w:t>38</w:t>
      </w:r>
      <w:r>
        <w:rPr>
          <w:rFonts w:hint="eastAsia"/>
        </w:rPr>
        <w:t>项清洁能源工程</w:t>
      </w:r>
      <w:r w:rsidRPr="00DB0574">
        <w:rPr>
          <w:rFonts w:hint="eastAsia"/>
        </w:rPr>
        <w:t>，其中</w:t>
      </w:r>
      <w:r w:rsidRPr="00DB0574">
        <w:rPr>
          <w:rFonts w:hint="eastAsia"/>
        </w:rPr>
        <w:t>37</w:t>
      </w:r>
      <w:r w:rsidRPr="00DB0574">
        <w:rPr>
          <w:rFonts w:hint="eastAsia"/>
        </w:rPr>
        <w:t>项为国内工程，</w:t>
      </w:r>
      <w:r w:rsidRPr="00DB0574">
        <w:rPr>
          <w:rFonts w:hint="eastAsia"/>
        </w:rPr>
        <w:t>1</w:t>
      </w:r>
      <w:r w:rsidRPr="00DB0574">
        <w:rPr>
          <w:rFonts w:hint="eastAsia"/>
        </w:rPr>
        <w:t>项为国际工程。</w:t>
      </w:r>
      <w:r w:rsidRPr="00295F11">
        <w:rPr>
          <w:rFonts w:hint="eastAsia"/>
        </w:rPr>
        <w:t>国内项目分布于</w:t>
      </w:r>
      <w:r w:rsidRPr="00295F11">
        <w:rPr>
          <w:rFonts w:hint="eastAsia"/>
        </w:rPr>
        <w:t>14</w:t>
      </w:r>
      <w:r w:rsidRPr="00295F11">
        <w:rPr>
          <w:rFonts w:hint="eastAsia"/>
        </w:rPr>
        <w:t>个省份或自治区，覆盖了松辽、冀北、雅砻江、金沙江等我国</w:t>
      </w:r>
      <w:r>
        <w:rPr>
          <w:rFonts w:hint="eastAsia"/>
        </w:rPr>
        <w:t>重</w:t>
      </w:r>
      <w:r w:rsidRPr="00295F11">
        <w:rPr>
          <w:rFonts w:hint="eastAsia"/>
        </w:rPr>
        <w:t>要清洁能源基地建设区域</w:t>
      </w:r>
      <w:r>
        <w:rPr>
          <w:rFonts w:hint="eastAsia"/>
        </w:rPr>
        <w:t>。</w:t>
      </w:r>
    </w:p>
    <w:p w14:paraId="47B99987" w14:textId="70A146C2" w:rsidR="00A03939" w:rsidRPr="002F3722" w:rsidRDefault="002F3722" w:rsidP="005B30B1">
      <w:pPr>
        <w:ind w:firstLine="420"/>
        <w:rPr>
          <w:color w:val="EE0000"/>
        </w:rPr>
      </w:pPr>
      <w:r w:rsidRPr="002F3722">
        <w:rPr>
          <w:rFonts w:hint="eastAsia"/>
        </w:rPr>
        <w:t>调研对象选取具有丰富的相关项目管理或技术经验的从业者</w:t>
      </w:r>
      <w:r>
        <w:rPr>
          <w:rFonts w:hint="eastAsia"/>
        </w:rPr>
        <w:t>。</w:t>
      </w:r>
      <w:r w:rsidR="00457AB1" w:rsidRPr="00541135">
        <w:rPr>
          <w:rFonts w:hint="eastAsia"/>
        </w:rPr>
        <w:t>调研对象</w:t>
      </w:r>
      <w:r w:rsidR="00457AB1">
        <w:rPr>
          <w:rFonts w:hint="eastAsia"/>
        </w:rPr>
        <w:t>中</w:t>
      </w:r>
      <w:r w:rsidR="00457AB1" w:rsidRPr="00E0244D">
        <w:rPr>
          <w:rFonts w:hint="eastAsia"/>
        </w:rPr>
        <w:t>建设单位</w:t>
      </w:r>
      <w:r w:rsidR="00457AB1">
        <w:rPr>
          <w:rFonts w:hint="eastAsia"/>
        </w:rPr>
        <w:t>、</w:t>
      </w:r>
      <w:r w:rsidR="00457AB1" w:rsidRPr="00E0244D">
        <w:rPr>
          <w:rFonts w:hint="eastAsia"/>
        </w:rPr>
        <w:t>设计</w:t>
      </w:r>
      <w:r w:rsidR="00457AB1">
        <w:rPr>
          <w:rFonts w:hint="eastAsia"/>
        </w:rPr>
        <w:t>、</w:t>
      </w:r>
      <w:r w:rsidR="00457AB1" w:rsidRPr="00E0244D">
        <w:rPr>
          <w:rFonts w:hint="eastAsia"/>
        </w:rPr>
        <w:t>施工</w:t>
      </w:r>
      <w:r w:rsidR="00457AB1">
        <w:rPr>
          <w:rFonts w:hint="eastAsia"/>
        </w:rPr>
        <w:t>、</w:t>
      </w:r>
      <w:r w:rsidR="00457AB1" w:rsidRPr="00E0244D">
        <w:rPr>
          <w:rFonts w:hint="eastAsia"/>
        </w:rPr>
        <w:t>监理</w:t>
      </w:r>
      <w:r w:rsidR="00457AB1">
        <w:rPr>
          <w:rFonts w:hint="eastAsia"/>
        </w:rPr>
        <w:t>和</w:t>
      </w:r>
      <w:r w:rsidR="00457AB1" w:rsidRPr="00E0244D">
        <w:rPr>
          <w:rFonts w:hint="eastAsia"/>
        </w:rPr>
        <w:t>运行单位</w:t>
      </w:r>
      <w:r w:rsidR="00457AB1">
        <w:rPr>
          <w:rFonts w:hint="eastAsia"/>
        </w:rPr>
        <w:t>分别占比</w:t>
      </w:r>
      <w:r w:rsidR="00457AB1" w:rsidRPr="006E02AB">
        <w:t>18.43%</w:t>
      </w:r>
      <w:r w:rsidR="00457AB1">
        <w:rPr>
          <w:rFonts w:hint="eastAsia"/>
        </w:rPr>
        <w:t>、</w:t>
      </w:r>
      <w:r w:rsidR="00457AB1" w:rsidRPr="006E02AB">
        <w:t>47.10%</w:t>
      </w:r>
      <w:r w:rsidR="00457AB1">
        <w:rPr>
          <w:rFonts w:hint="eastAsia"/>
        </w:rPr>
        <w:t>、</w:t>
      </w:r>
      <w:r w:rsidR="00457AB1" w:rsidRPr="006E02AB">
        <w:t>7.85%</w:t>
      </w:r>
      <w:r w:rsidR="00457AB1">
        <w:rPr>
          <w:rFonts w:hint="eastAsia"/>
        </w:rPr>
        <w:t>、</w:t>
      </w:r>
      <w:r w:rsidR="00457AB1" w:rsidRPr="006E02AB">
        <w:lastRenderedPageBreak/>
        <w:t>11.95%</w:t>
      </w:r>
      <w:r w:rsidR="00457AB1">
        <w:rPr>
          <w:rFonts w:hint="eastAsia"/>
        </w:rPr>
        <w:t>和</w:t>
      </w:r>
      <w:r w:rsidR="00457AB1" w:rsidRPr="006E02AB">
        <w:t>11.60%</w:t>
      </w:r>
      <w:r w:rsidR="00457AB1">
        <w:rPr>
          <w:rFonts w:hint="eastAsia"/>
        </w:rPr>
        <w:t>，涉及清洁能源基地的主要利益相关方。调研</w:t>
      </w:r>
      <w:r w:rsidR="00457AB1">
        <w:t>共收集问卷</w:t>
      </w:r>
      <w:r w:rsidR="00457AB1">
        <w:t>354</w:t>
      </w:r>
      <w:r w:rsidR="00457AB1">
        <w:t>份</w:t>
      </w:r>
      <w:r w:rsidR="00457AB1">
        <w:rPr>
          <w:rFonts w:hint="eastAsia"/>
        </w:rPr>
        <w:t>，</w:t>
      </w:r>
      <w:r w:rsidR="00457AB1">
        <w:t>有效问卷</w:t>
      </w:r>
      <w:r w:rsidR="00457AB1">
        <w:t>293</w:t>
      </w:r>
      <w:r w:rsidR="00457AB1">
        <w:t>份</w:t>
      </w:r>
      <w:r w:rsidR="00457AB1">
        <w:rPr>
          <w:rFonts w:hint="eastAsia"/>
        </w:rPr>
        <w:t>，</w:t>
      </w:r>
      <w:r w:rsidR="00457AB1" w:rsidRPr="00457AB1">
        <w:rPr>
          <w:rFonts w:hint="eastAsia"/>
        </w:rPr>
        <w:t>调研对象学历占比及从业年数分布如</w:t>
      </w:r>
      <w:r w:rsidR="00457AB1" w:rsidRPr="00457AB1">
        <w:fldChar w:fldCharType="begin"/>
      </w:r>
      <w:r w:rsidR="00457AB1" w:rsidRPr="00457AB1">
        <w:instrText xml:space="preserve"> </w:instrText>
      </w:r>
      <w:r w:rsidR="00457AB1" w:rsidRPr="00457AB1">
        <w:rPr>
          <w:rFonts w:hint="eastAsia"/>
        </w:rPr>
        <w:instrText>REF _Ref174545393 \h</w:instrText>
      </w:r>
      <w:r w:rsidR="00457AB1" w:rsidRPr="00457AB1">
        <w:instrText xml:space="preserve"> </w:instrText>
      </w:r>
      <w:r w:rsidR="00457AB1" w:rsidRPr="00457AB1">
        <w:fldChar w:fldCharType="separate"/>
      </w:r>
      <w:r w:rsidR="000F2689" w:rsidRPr="00457AB1">
        <w:rPr>
          <w:rFonts w:hint="eastAsia"/>
        </w:rPr>
        <w:t>图</w:t>
      </w:r>
      <w:r w:rsidR="000F2689" w:rsidRPr="00457AB1">
        <w:rPr>
          <w:rFonts w:hint="eastAsia"/>
        </w:rPr>
        <w:t xml:space="preserve"> </w:t>
      </w:r>
      <w:r w:rsidR="000F2689">
        <w:rPr>
          <w:noProof/>
        </w:rPr>
        <w:t>2</w:t>
      </w:r>
      <w:r w:rsidR="00457AB1" w:rsidRPr="00457AB1">
        <w:fldChar w:fldCharType="end"/>
      </w:r>
      <w:r w:rsidR="00457AB1" w:rsidRPr="00457AB1">
        <w:rPr>
          <w:rFonts w:hint="eastAsia"/>
        </w:rPr>
        <w:t>所示</w:t>
      </w:r>
      <w:r w:rsidRPr="00295F11">
        <w:rPr>
          <w:rFonts w:hint="eastAsia"/>
        </w:rPr>
        <w:t>。</w:t>
      </w:r>
    </w:p>
    <w:tbl>
      <w:tblPr>
        <w:tblStyle w:val="af2"/>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7"/>
        <w:gridCol w:w="2422"/>
      </w:tblGrid>
      <w:tr w:rsidR="0027782D" w:rsidRPr="00457AB1" w14:paraId="40DD1973" w14:textId="77777777" w:rsidTr="0027782D">
        <w:tc>
          <w:tcPr>
            <w:tcW w:w="2127" w:type="dxa"/>
            <w:vAlign w:val="bottom"/>
          </w:tcPr>
          <w:p w14:paraId="2604D805" w14:textId="7B9D5497" w:rsidR="005B30B1" w:rsidRPr="00457AB1" w:rsidRDefault="00457AB1" w:rsidP="005B30B1">
            <w:pPr>
              <w:keepNext/>
              <w:spacing w:line="240" w:lineRule="atLeast"/>
              <w:ind w:firstLineChars="0" w:firstLine="0"/>
              <w:jc w:val="center"/>
              <w:rPr>
                <w:rFonts w:eastAsiaTheme="minorEastAsia"/>
              </w:rPr>
            </w:pPr>
            <w:r>
              <w:rPr>
                <w:noProof/>
              </w:rPr>
              <w:drawing>
                <wp:inline distT="0" distB="0" distL="0" distR="0" wp14:anchorId="5DC32BE0" wp14:editId="1A8A42C2">
                  <wp:extent cx="1412875" cy="1165860"/>
                  <wp:effectExtent l="0" t="0" r="0" b="0"/>
                  <wp:docPr id="763614768" name="图表 1">
                    <a:extLst xmlns:a="http://schemas.openxmlformats.org/drawingml/2006/main">
                      <a:ext uri="{FF2B5EF4-FFF2-40B4-BE49-F238E27FC236}">
                        <a16:creationId xmlns:a16="http://schemas.microsoft.com/office/drawing/2014/main" id="{A71AED99-4C94-9199-CED6-4B49E5069A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2DFF03D" w14:textId="01049F0E" w:rsidR="005B30B1" w:rsidRPr="00457AB1" w:rsidRDefault="005B30B1" w:rsidP="005B30B1">
            <w:pPr>
              <w:keepNext/>
              <w:spacing w:line="240" w:lineRule="atLeast"/>
              <w:ind w:firstLineChars="0" w:firstLine="0"/>
              <w:jc w:val="center"/>
              <w:rPr>
                <w:rFonts w:eastAsiaTheme="minorEastAsia"/>
              </w:rPr>
            </w:pPr>
            <w:r w:rsidRPr="00457AB1">
              <w:rPr>
                <w:rFonts w:eastAsiaTheme="minorEastAsia" w:hint="eastAsia"/>
                <w:sz w:val="18"/>
              </w:rPr>
              <w:t>(</w:t>
            </w:r>
            <w:r w:rsidRPr="00457AB1">
              <w:rPr>
                <w:rFonts w:eastAsiaTheme="minorEastAsia"/>
                <w:sz w:val="18"/>
              </w:rPr>
              <w:t>a)</w:t>
            </w:r>
            <w:r w:rsidRPr="00457AB1">
              <w:rPr>
                <w:rFonts w:eastAsiaTheme="minorEastAsia" w:hint="eastAsia"/>
                <w:sz w:val="18"/>
              </w:rPr>
              <w:t>学历占比</w:t>
            </w:r>
          </w:p>
        </w:tc>
        <w:tc>
          <w:tcPr>
            <w:tcW w:w="2422" w:type="dxa"/>
            <w:vAlign w:val="bottom"/>
          </w:tcPr>
          <w:p w14:paraId="04102563" w14:textId="50E0D50B" w:rsidR="005B30B1" w:rsidRPr="00457AB1" w:rsidRDefault="0027782D" w:rsidP="005B30B1">
            <w:pPr>
              <w:keepNext/>
              <w:spacing w:line="240" w:lineRule="atLeast"/>
              <w:ind w:firstLineChars="0" w:firstLine="0"/>
              <w:jc w:val="center"/>
              <w:rPr>
                <w:rFonts w:eastAsiaTheme="minorEastAsia"/>
              </w:rPr>
            </w:pPr>
            <w:r>
              <w:rPr>
                <w:noProof/>
              </w:rPr>
              <w:drawing>
                <wp:inline distT="0" distB="0" distL="0" distR="0" wp14:anchorId="5C59DAD7" wp14:editId="256D3201">
                  <wp:extent cx="1561465" cy="1383677"/>
                  <wp:effectExtent l="0" t="0" r="635" b="6985"/>
                  <wp:docPr id="604022630" name="图表 1">
                    <a:extLst xmlns:a="http://schemas.openxmlformats.org/drawingml/2006/main">
                      <a:ext uri="{FF2B5EF4-FFF2-40B4-BE49-F238E27FC236}">
                        <a16:creationId xmlns:a16="http://schemas.microsoft.com/office/drawing/2014/main" id="{597AF581-5129-7131-4B56-869DB8FE74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A76F68B" w14:textId="78304018" w:rsidR="005B30B1" w:rsidRPr="00457AB1" w:rsidRDefault="005B30B1" w:rsidP="005B30B1">
            <w:pPr>
              <w:keepNext/>
              <w:spacing w:line="240" w:lineRule="atLeast"/>
              <w:ind w:firstLineChars="0" w:firstLine="0"/>
              <w:jc w:val="center"/>
              <w:rPr>
                <w:rFonts w:eastAsiaTheme="minorEastAsia"/>
              </w:rPr>
            </w:pPr>
            <w:r w:rsidRPr="00457AB1">
              <w:rPr>
                <w:rFonts w:eastAsiaTheme="minorEastAsia" w:hint="eastAsia"/>
                <w:sz w:val="18"/>
              </w:rPr>
              <w:t>(</w:t>
            </w:r>
            <w:r w:rsidRPr="00457AB1">
              <w:rPr>
                <w:rFonts w:eastAsiaTheme="minorEastAsia"/>
                <w:sz w:val="18"/>
              </w:rPr>
              <w:t xml:space="preserve">b) </w:t>
            </w:r>
            <w:r w:rsidRPr="00457AB1">
              <w:rPr>
                <w:rFonts w:eastAsiaTheme="minorEastAsia" w:hint="eastAsia"/>
                <w:sz w:val="18"/>
              </w:rPr>
              <w:t>从业年数分布</w:t>
            </w:r>
          </w:p>
        </w:tc>
      </w:tr>
    </w:tbl>
    <w:p w14:paraId="0FA9442F" w14:textId="20D49340" w:rsidR="00DF0667" w:rsidRPr="00457AB1" w:rsidRDefault="00DF0667" w:rsidP="00A3108F">
      <w:pPr>
        <w:pStyle w:val="afa"/>
        <w:spacing w:afterLines="50" w:after="156"/>
      </w:pPr>
      <w:bookmarkStart w:id="5" w:name="_Ref174545393"/>
      <w:r w:rsidRPr="00457AB1">
        <w:rPr>
          <w:rFonts w:hint="eastAsia"/>
        </w:rPr>
        <w:t>图</w:t>
      </w:r>
      <w:r w:rsidRPr="00457AB1">
        <w:rPr>
          <w:rFonts w:hint="eastAsia"/>
        </w:rPr>
        <w:t xml:space="preserve"> </w:t>
      </w:r>
      <w:r w:rsidRPr="00457AB1">
        <w:fldChar w:fldCharType="begin"/>
      </w:r>
      <w:r w:rsidRPr="00457AB1">
        <w:instrText xml:space="preserve"> </w:instrText>
      </w:r>
      <w:r w:rsidRPr="00457AB1">
        <w:rPr>
          <w:rFonts w:hint="eastAsia"/>
        </w:rPr>
        <w:instrText xml:space="preserve">SEQ </w:instrText>
      </w:r>
      <w:r w:rsidRPr="00457AB1">
        <w:rPr>
          <w:rFonts w:hint="eastAsia"/>
        </w:rPr>
        <w:instrText>图</w:instrText>
      </w:r>
      <w:r w:rsidRPr="00457AB1">
        <w:rPr>
          <w:rFonts w:hint="eastAsia"/>
        </w:rPr>
        <w:instrText xml:space="preserve"> \* ARABIC</w:instrText>
      </w:r>
      <w:r w:rsidRPr="00457AB1">
        <w:instrText xml:space="preserve"> </w:instrText>
      </w:r>
      <w:r w:rsidRPr="00457AB1">
        <w:fldChar w:fldCharType="separate"/>
      </w:r>
      <w:r w:rsidR="000F2689">
        <w:rPr>
          <w:noProof/>
        </w:rPr>
        <w:t>2</w:t>
      </w:r>
      <w:r w:rsidRPr="00457AB1">
        <w:fldChar w:fldCharType="end"/>
      </w:r>
      <w:bookmarkEnd w:id="5"/>
      <w:r w:rsidRPr="00457AB1">
        <w:rPr>
          <w:rFonts w:hint="eastAsia"/>
        </w:rPr>
        <w:t xml:space="preserve"> </w:t>
      </w:r>
      <w:r w:rsidRPr="00457AB1">
        <w:rPr>
          <w:rFonts w:hint="eastAsia"/>
        </w:rPr>
        <w:t>调研对象学历占比及从业年</w:t>
      </w:r>
      <w:r w:rsidR="00C116D0" w:rsidRPr="00457AB1">
        <w:rPr>
          <w:rFonts w:hint="eastAsia"/>
        </w:rPr>
        <w:t>数</w:t>
      </w:r>
      <w:r w:rsidRPr="00457AB1">
        <w:rPr>
          <w:rFonts w:hint="eastAsia"/>
        </w:rPr>
        <w:t>分布</w:t>
      </w:r>
    </w:p>
    <w:p w14:paraId="39076CEC" w14:textId="1E9DFF5D" w:rsidR="005B30B1" w:rsidRPr="00457AB1" w:rsidRDefault="005B30B1" w:rsidP="006D6E88">
      <w:pPr>
        <w:ind w:firstLine="420"/>
      </w:pPr>
      <w:r w:rsidRPr="00457AB1">
        <w:rPr>
          <w:rFonts w:hint="eastAsia"/>
        </w:rPr>
        <w:t>其次，本研究实地考察并访谈了来自</w:t>
      </w:r>
      <w:r w:rsidR="00457AB1" w:rsidRPr="00457AB1">
        <w:rPr>
          <w:rFonts w:hint="eastAsia"/>
        </w:rPr>
        <w:t>中国华能集团有限公司</w:t>
      </w:r>
      <w:r w:rsidRPr="00457AB1">
        <w:rPr>
          <w:rFonts w:hint="eastAsia"/>
        </w:rPr>
        <w:t>的</w:t>
      </w:r>
      <w:r w:rsidR="00457AB1" w:rsidRPr="00457AB1">
        <w:rPr>
          <w:rFonts w:hint="eastAsia"/>
        </w:rPr>
        <w:t>技术</w:t>
      </w:r>
      <w:r w:rsidRPr="00457AB1">
        <w:rPr>
          <w:rFonts w:hint="eastAsia"/>
        </w:rPr>
        <w:t>专家</w:t>
      </w:r>
      <w:r w:rsidR="00457AB1" w:rsidRPr="00457AB1">
        <w:rPr>
          <w:rFonts w:hint="eastAsia"/>
        </w:rPr>
        <w:t>与管理人员</w:t>
      </w:r>
      <w:r w:rsidRPr="00457AB1">
        <w:rPr>
          <w:rFonts w:hint="eastAsia"/>
        </w:rPr>
        <w:t>。访谈主题包括</w:t>
      </w:r>
      <w:r w:rsidR="00457AB1" w:rsidRPr="00457AB1">
        <w:rPr>
          <w:rFonts w:hint="eastAsia"/>
        </w:rPr>
        <w:t>清洁能源基地开发一体化管理、外部条件、业主能力、制度体系建设、</w:t>
      </w:r>
      <w:r w:rsidRPr="00457AB1">
        <w:rPr>
          <w:rFonts w:hint="eastAsia"/>
        </w:rPr>
        <w:t>参建各方伙伴关系、资源配置、</w:t>
      </w:r>
      <w:r w:rsidR="00457AB1" w:rsidRPr="00457AB1">
        <w:rPr>
          <w:rFonts w:hint="eastAsia"/>
        </w:rPr>
        <w:t>项目群实施、项目群运营与项目群绩效</w:t>
      </w:r>
      <w:r w:rsidRPr="00457AB1">
        <w:rPr>
          <w:rFonts w:hint="eastAsia"/>
        </w:rPr>
        <w:t>。</w:t>
      </w:r>
    </w:p>
    <w:p w14:paraId="1AACFDD1" w14:textId="0D7B3FDE" w:rsidR="00D8551B" w:rsidRPr="004D5E44" w:rsidRDefault="00D8551B" w:rsidP="00D8551B">
      <w:pPr>
        <w:pStyle w:val="2"/>
      </w:pPr>
      <w:r>
        <w:rPr>
          <w:rFonts w:hint="eastAsia"/>
        </w:rPr>
        <w:t>文本分析</w:t>
      </w:r>
      <w:r w:rsidR="00513E21">
        <w:rPr>
          <w:rFonts w:hint="eastAsia"/>
        </w:rPr>
        <w:t>方法</w:t>
      </w:r>
    </w:p>
    <w:p w14:paraId="5D74AC2C" w14:textId="4EEF0D47" w:rsidR="0027782D" w:rsidRDefault="0027782D" w:rsidP="0027782D">
      <w:pPr>
        <w:ind w:firstLine="420"/>
      </w:pPr>
      <w:r w:rsidRPr="002065E2">
        <w:rPr>
          <w:rFonts w:hint="eastAsia"/>
        </w:rPr>
        <w:t>本研究对调研过程中获取的访谈记录进行词频分析，并利用词云图对统计结果进行可视化展示，以直观呈现利益相关方</w:t>
      </w:r>
      <w:r>
        <w:rPr>
          <w:rFonts w:hint="eastAsia"/>
        </w:rPr>
        <w:t>对</w:t>
      </w:r>
      <w:r w:rsidRPr="002065E2">
        <w:rPr>
          <w:rFonts w:hint="eastAsia"/>
        </w:rPr>
        <w:t>清洁能源基地管理</w:t>
      </w:r>
      <w:r>
        <w:rPr>
          <w:rFonts w:hint="eastAsia"/>
        </w:rPr>
        <w:t>的关注点</w:t>
      </w:r>
      <w:r>
        <w:fldChar w:fldCharType="begin"/>
      </w:r>
      <w:r w:rsidR="00E17813">
        <w:instrText xml:space="preserve"> ADDIN ZOTERO_ITEM CSL_CITATION {"citationID":"a2cv6ig4dpl","properties":{"formattedCitation":"\\super [103]\\nosupersub{}","plainCitation":"[103]","noteIndex":0},"citationItems":[{"id":4242,"uris":["http://zotero.org/users/13172592/items/2XPNDUPM"],"itemData":{"id":4242,"type":"article-journal","abstract":"In this paper we present a set of four user studies aimed at exploring the visual design space of what we call keyword summaries: lists of words with associated quantitative values used to help people derive an intuition of what information a given document collection (or part of it) may contain. We seek to systematically study how different visual representations may affect people's performance in extracting information out of keyword summaries. To this purpose, we first create a design space of possible visual representations and compare the possible solutions in this design space through a variety of representative tasks and performance metrics. Other researchers have, in the past, studied some aspects of effectiveness with word clouds, however, the existing literature is somewhat scattered and do not seem to address the problem in a sufficiently systematic and holistic manner. The results of our studies showed a strong dependency on the tasks users are performing. In this paper we present details of our methodology, the results, as well as, guidelines on how to design effective keyword summaries based in our discoveries.","call-number":"1","container-title":"IEEE Transactions on Visualization and Computer Graphics","DOI":"10.1109/TVCG.2017.2746018","ISSN":"1941-0506","issue":"1","language":"en","note":"event-title: IEEE Transactions on Visualization and Computer Graphics\nTLDR: A set of four user studies aimed at exploring the visual design space of what the authors call keyword summaries: lists of words with associated quantitative values used to help people derive an intuition of what information a given document collection may contain.","page":"657-666","source":"4.7","title":"Taking word clouds apart: An empirical investigation of the design space for keyword summaries","title-short":"Taking word clouds apart","volume":"24","author":[{"family":"Felix","given":"Cristian"},{"family":"Franconeri","given":"Steven"},{"family":"Bertini","given":"Enrico"}],"issued":{"date-parts":[["2018",1]]}}}],"schema":"https://github.com/citation-style-language/schema/raw/master/csl-citation.json"} </w:instrText>
      </w:r>
      <w:r>
        <w:fldChar w:fldCharType="separate"/>
      </w:r>
      <w:r w:rsidR="00E17813" w:rsidRPr="00E17813">
        <w:rPr>
          <w:rFonts w:cs="Times New Roman"/>
          <w:kern w:val="0"/>
          <w:vertAlign w:val="superscript"/>
        </w:rPr>
        <w:t>[103]</w:t>
      </w:r>
      <w:r>
        <w:fldChar w:fldCharType="end"/>
      </w:r>
      <w:r>
        <w:rPr>
          <w:rFonts w:hint="eastAsia"/>
        </w:rPr>
        <w:t>。本研究运用</w:t>
      </w:r>
      <w:r>
        <w:rPr>
          <w:rFonts w:hint="eastAsia"/>
        </w:rPr>
        <w:t>Python</w:t>
      </w:r>
      <w:r>
        <w:rPr>
          <w:rFonts w:hint="eastAsia"/>
        </w:rPr>
        <w:t>生成词云图。</w:t>
      </w:r>
    </w:p>
    <w:p w14:paraId="22D75173" w14:textId="7EE4576A" w:rsidR="0027782D" w:rsidRDefault="0027782D" w:rsidP="0027782D">
      <w:pPr>
        <w:ind w:firstLine="420"/>
      </w:pPr>
      <w:r>
        <w:rPr>
          <w:rFonts w:hint="eastAsia"/>
        </w:rPr>
        <w:t>本研究进一步采用</w:t>
      </w:r>
      <w:r w:rsidRPr="00847F3D">
        <w:rPr>
          <w:rFonts w:hint="eastAsia"/>
        </w:rPr>
        <w:t>隐含狄利克雷分布</w:t>
      </w:r>
      <w:r w:rsidRPr="00772723">
        <w:rPr>
          <w:rFonts w:hint="eastAsia"/>
        </w:rPr>
        <w:t>（</w:t>
      </w:r>
      <w:r w:rsidRPr="00772723">
        <w:rPr>
          <w:rFonts w:hint="eastAsia"/>
        </w:rPr>
        <w:t>Latent Dirichlet Allocation</w:t>
      </w:r>
      <w:r>
        <w:rPr>
          <w:rFonts w:hint="eastAsia"/>
        </w:rPr>
        <w:t>，</w:t>
      </w:r>
      <w:r>
        <w:rPr>
          <w:rFonts w:hint="eastAsia"/>
        </w:rPr>
        <w:t>LDA</w:t>
      </w:r>
      <w:r w:rsidRPr="00772723">
        <w:rPr>
          <w:rFonts w:hint="eastAsia"/>
        </w:rPr>
        <w:t>）</w:t>
      </w:r>
      <w:r>
        <w:rPr>
          <w:rFonts w:hint="eastAsia"/>
        </w:rPr>
        <w:t>主题模型分析</w:t>
      </w:r>
      <w:r w:rsidRPr="00905B07">
        <w:rPr>
          <w:rFonts w:cs="Times New Roman" w:hint="eastAsia"/>
        </w:rPr>
        <w:t>一篇文档在</w:t>
      </w:r>
      <w:r w:rsidRPr="00905B07">
        <w:rPr>
          <w:rFonts w:cs="Times New Roman" w:hint="eastAsia"/>
        </w:rPr>
        <w:t>L</w:t>
      </w:r>
      <w:r w:rsidRPr="00905B07">
        <w:rPr>
          <w:rFonts w:cs="Times New Roman"/>
        </w:rPr>
        <w:t>DA</w:t>
      </w:r>
      <w:r w:rsidRPr="00905B07">
        <w:rPr>
          <w:rFonts w:cs="Times New Roman" w:hint="eastAsia"/>
        </w:rPr>
        <w:t>主题模型中的生成过程如下</w:t>
      </w:r>
      <w:r>
        <w:rPr>
          <w:rFonts w:cs="Times New Roman"/>
        </w:rPr>
        <w:fldChar w:fldCharType="begin"/>
      </w:r>
      <w:r w:rsidR="00E17813">
        <w:rPr>
          <w:rFonts w:cs="Times New Roman"/>
        </w:rPr>
        <w:instrText xml:space="preserve"> ADDIN ZOTERO_ITEM CSL_CITATION {"citationID":"a15cuuvv0an","properties":{"formattedCitation":"\\super [104]\\nosupersub{}","plainCitation":"[104]","noteIndex":0},"citationItems":[{"id":4240,"uris":["http://zotero.org/users/13172592/items/SAPZFQUW"],"itemData":{"id":4240,"type":"article-journal","abstract":"One of the core problems of modern statistics is to approximate difficult-to-compute probability densities. This problem is especially important in Bayesian statistics, which frames all inference about unknown quantities as a calculation involving the posterior density. In this article, we review variational inference (VI), a method from machine learning that approximates probability densities through optimization. VI has been used in many applications and tends to be faster than classical methods, such as Markov chain Monte Carlo sampling. The idea behind VI is to first posit a family of densities and then to find a member of that family which is close to the target density. Closeness is measured by Kullback–Leibler divergence. We review the ideas behind mean-field variational inference, discuss the special case of VI applied to exponential family models, present a full example with a Bayesian mixture of Gaussians, and derive a variant that uses stochastic optimization to scale up to massive data. We discuss modern research in VI and highlight important open problems. VI is powerful, but it is not yet well understood. Our hope in writing this article is to catalyze statistical research on this class of algorithms. Supplementary materials for this article are available online.","call-number":"1","container-title":"Journal of the American Statistical Association","DOI":"10.1080/01621459.2017.1285773","ISSN":"0162-1459","issue":"518","language":"en","note":"publisher: ASA Website\n_eprint: https://doi.org/10.1080/01621459.2017.1285773\nTLDR: Variational inference (VI), a method from machine learning that approximates probability densities through optimization, is reviewed and a variant that uses stochastic optimization to scale up to massive data is derived.","page":"859-877","source":"3","title":"Variational inference: A review for statisticians","title-short":"Variational inference","volume":"112","author":[{"family":"Blei","given":"David M."},{"family":"Kucukelbir","given":"Alp"},{"family":"McAuliffe","given":"Jon D."}],"issued":{"date-parts":[["2017",4,3]]}}}],"schema":"https://github.com/citation-style-language/schema/raw/master/csl-citation.json"} </w:instrText>
      </w:r>
      <w:r>
        <w:rPr>
          <w:rFonts w:cs="Times New Roman"/>
        </w:rPr>
        <w:fldChar w:fldCharType="separate"/>
      </w:r>
      <w:r w:rsidR="00E17813" w:rsidRPr="00E17813">
        <w:rPr>
          <w:rFonts w:cs="Times New Roman"/>
          <w:kern w:val="0"/>
          <w:vertAlign w:val="superscript"/>
        </w:rPr>
        <w:t>[104]</w:t>
      </w:r>
      <w:r>
        <w:rPr>
          <w:rFonts w:cs="Times New Roman"/>
        </w:rPr>
        <w:fldChar w:fldCharType="end"/>
      </w:r>
      <w:r w:rsidRPr="00905B07">
        <w:rPr>
          <w:rFonts w:cs="Times New Roman" w:hint="eastAsia"/>
        </w:rPr>
        <w:t>：根据</w:t>
      </w:r>
      <w:r w:rsidRPr="00905B07">
        <w:rPr>
          <w:rFonts w:cs="Times New Roman" w:hint="eastAsia"/>
        </w:rPr>
        <w:t>Dirichlet</w:t>
      </w:r>
      <w:r w:rsidRPr="00905B07">
        <w:rPr>
          <w:rFonts w:cs="Times New Roman" w:hint="eastAsia"/>
        </w:rPr>
        <w:t>分布的超参数</w:t>
      </w:r>
      <m:oMath>
        <m:r>
          <w:rPr>
            <w:rFonts w:ascii="Cambria Math" w:hAnsi="Cambria Math" w:cs="Times New Roman"/>
          </w:rPr>
          <m:t>α</m:t>
        </m:r>
      </m:oMath>
      <w:r w:rsidRPr="00905B07">
        <w:rPr>
          <w:rFonts w:cs="Times New Roman" w:hint="eastAsia"/>
        </w:rPr>
        <w:t>，</w:t>
      </w:r>
      <w:r>
        <w:rPr>
          <w:rFonts w:cs="Times New Roman" w:hint="eastAsia"/>
        </w:rPr>
        <w:t>得到</w:t>
      </w:r>
      <w:r w:rsidRPr="00905B07">
        <w:rPr>
          <w:rFonts w:cs="Times New Roman" w:hint="eastAsia"/>
        </w:rPr>
        <w:t>文档</w:t>
      </w:r>
      <m:oMath>
        <m:r>
          <w:rPr>
            <w:rFonts w:ascii="Cambria Math" w:hAnsi="Cambria Math" w:cs="Times New Roman"/>
          </w:rPr>
          <m:t>d</m:t>
        </m:r>
      </m:oMath>
      <w:r w:rsidRPr="00905B07">
        <w:rPr>
          <w:rFonts w:cs="Times New Roman" w:hint="eastAsia"/>
        </w:rPr>
        <w:t>的主题分布</w:t>
      </w:r>
      <m:oMath>
        <m:sSub>
          <m:sSubPr>
            <m:ctrlPr>
              <w:rPr>
                <w:rFonts w:ascii="Cambria Math" w:hAnsi="Cambria Math" w:cs="Times New Roman"/>
                <w:i/>
              </w:rPr>
            </m:ctrlPr>
          </m:sSubPr>
          <m:e>
            <m:r>
              <w:rPr>
                <w:rFonts w:ascii="Cambria Math" w:hAnsi="Cambria Math" w:cs="Times New Roman"/>
              </w:rPr>
              <m:t>θ</m:t>
            </m:r>
          </m:e>
          <m:sub>
            <m:r>
              <w:rPr>
                <w:rFonts w:ascii="Cambria Math" w:hAnsi="Cambria Math" w:cs="Times New Roman"/>
              </w:rPr>
              <m:t>d</m:t>
            </m:r>
          </m:sub>
        </m:sSub>
      </m:oMath>
      <w:r w:rsidRPr="00905B07">
        <w:rPr>
          <w:rFonts w:cs="Times New Roman" w:hint="eastAsia"/>
        </w:rPr>
        <w:t>，主题的分布概率越高越能代表该文档的内容；</w:t>
      </w:r>
      <w:r>
        <w:rPr>
          <w:rFonts w:cs="Times New Roman" w:hint="eastAsia"/>
        </w:rPr>
        <w:t>从</w:t>
      </w:r>
      <w:r w:rsidRPr="00905B07">
        <w:rPr>
          <w:rFonts w:cs="Times New Roman" w:hint="eastAsia"/>
        </w:rPr>
        <w:t>主题分布</w:t>
      </w:r>
      <m:oMath>
        <m:sSub>
          <m:sSubPr>
            <m:ctrlPr>
              <w:rPr>
                <w:rFonts w:ascii="Cambria Math" w:hAnsi="Cambria Math" w:cs="Times New Roman"/>
                <w:i/>
              </w:rPr>
            </m:ctrlPr>
          </m:sSubPr>
          <m:e>
            <m:r>
              <w:rPr>
                <w:rFonts w:ascii="Cambria Math" w:hAnsi="Cambria Math" w:cs="Times New Roman"/>
              </w:rPr>
              <m:t>θ</m:t>
            </m:r>
          </m:e>
          <m:sub>
            <m:r>
              <w:rPr>
                <w:rFonts w:ascii="Cambria Math" w:hAnsi="Cambria Math" w:cs="Times New Roman"/>
              </w:rPr>
              <m:t>d</m:t>
            </m:r>
          </m:sub>
        </m:sSub>
      </m:oMath>
      <w:r>
        <w:rPr>
          <w:rFonts w:cs="Times New Roman" w:hint="eastAsia"/>
        </w:rPr>
        <w:t>中取样生成文档</w:t>
      </w:r>
      <m:oMath>
        <m:r>
          <w:rPr>
            <w:rFonts w:ascii="Cambria Math" w:hAnsi="Cambria Math" w:cs="Times New Roman"/>
          </w:rPr>
          <m:t>d</m:t>
        </m:r>
      </m:oMath>
      <w:r>
        <w:rPr>
          <w:rFonts w:cs="Times New Roman" w:hint="eastAsia"/>
        </w:rPr>
        <w:t>第</w:t>
      </w:r>
      <m:oMath>
        <m:r>
          <w:rPr>
            <w:rFonts w:ascii="Cambria Math" w:hAnsi="Cambria Math" w:cs="Times New Roman"/>
          </w:rPr>
          <m:t>n</m:t>
        </m:r>
      </m:oMath>
      <w:r>
        <w:rPr>
          <w:rFonts w:cs="Times New Roman" w:hint="eastAsia"/>
        </w:rPr>
        <w:t>个词的主题</w:t>
      </w:r>
      <m:oMath>
        <m:r>
          <w:rPr>
            <w:rFonts w:ascii="Cambria Math" w:hAnsi="Cambria Math" w:cs="Times New Roman"/>
          </w:rPr>
          <m:t>Z</m:t>
        </m:r>
        <m:r>
          <m:rPr>
            <m:sty m:val="p"/>
          </m:rPr>
          <w:rPr>
            <w:rFonts w:ascii="Cambria Math" w:hAnsi="Cambria Math" w:cs="Times New Roman"/>
          </w:rPr>
          <w:softHyphen/>
        </m:r>
        <m:sSub>
          <m:sSubPr>
            <m:ctrlPr>
              <w:rPr>
                <w:rFonts w:ascii="Cambria Math" w:hAnsi="Cambria Math" w:cs="Times New Roman"/>
                <w:i/>
              </w:rPr>
            </m:ctrlPr>
          </m:sSubPr>
          <m:e>
            <m:r>
              <m:rPr>
                <m:sty m:val="p"/>
              </m:rPr>
              <w:rPr>
                <w:rFonts w:ascii="Cambria Math" w:hAnsi="Cambria Math" w:cs="Times New Roman"/>
              </w:rPr>
              <w:softHyphen/>
            </m:r>
          </m:e>
          <m:sub>
            <m:r>
              <w:rPr>
                <w:rFonts w:ascii="Cambria Math" w:hAnsi="Cambria Math" w:cs="Times New Roman"/>
              </w:rPr>
              <m:t>d,n</m:t>
            </m:r>
          </m:sub>
        </m:sSub>
      </m:oMath>
      <w:r>
        <w:rPr>
          <w:rFonts w:cs="Times New Roman" w:hint="eastAsia"/>
        </w:rPr>
        <w:t>；</w:t>
      </w:r>
      <w:r w:rsidRPr="00905B07">
        <w:rPr>
          <w:rFonts w:cs="Times New Roman" w:hint="eastAsia"/>
        </w:rPr>
        <w:t>根据</w:t>
      </w:r>
      <w:r w:rsidRPr="00905B07">
        <w:rPr>
          <w:rFonts w:cs="Times New Roman" w:hint="eastAsia"/>
        </w:rPr>
        <w:t>Dirichlet</w:t>
      </w:r>
      <w:r w:rsidRPr="00905B07">
        <w:rPr>
          <w:rFonts w:cs="Times New Roman" w:hint="eastAsia"/>
        </w:rPr>
        <w:t>分布的超参数</w:t>
      </w:r>
      <m:oMath>
        <m:r>
          <w:rPr>
            <w:rFonts w:ascii="Cambria Math" w:hAnsi="Cambria Math" w:cs="Times New Roman"/>
          </w:rPr>
          <m:t>β</m:t>
        </m:r>
      </m:oMath>
      <w:r w:rsidRPr="00905B07">
        <w:rPr>
          <w:rFonts w:cs="Times New Roman" w:hint="eastAsia"/>
        </w:rPr>
        <w:t>，</w:t>
      </w:r>
      <w:r>
        <w:rPr>
          <w:rFonts w:cs="Times New Roman" w:hint="eastAsia"/>
        </w:rPr>
        <w:t>生成主题</w:t>
      </w:r>
      <m:oMath>
        <m:r>
          <w:rPr>
            <w:rFonts w:ascii="Cambria Math" w:hAnsi="Cambria Math" w:cs="Times New Roman"/>
          </w:rPr>
          <m:t>Z</m:t>
        </m:r>
        <m:r>
          <m:rPr>
            <m:sty m:val="p"/>
          </m:rPr>
          <w:rPr>
            <w:rFonts w:ascii="Cambria Math" w:hAnsi="Cambria Math" w:cs="Times New Roman"/>
          </w:rPr>
          <w:softHyphen/>
        </m:r>
        <m:sSub>
          <m:sSubPr>
            <m:ctrlPr>
              <w:rPr>
                <w:rFonts w:ascii="Cambria Math" w:hAnsi="Cambria Math" w:cs="Times New Roman"/>
                <w:i/>
              </w:rPr>
            </m:ctrlPr>
          </m:sSubPr>
          <m:e>
            <m:r>
              <m:rPr>
                <m:sty m:val="p"/>
              </m:rPr>
              <w:rPr>
                <w:rFonts w:ascii="Cambria Math" w:hAnsi="Cambria Math" w:cs="Times New Roman"/>
              </w:rPr>
              <w:softHyphen/>
            </m:r>
          </m:e>
          <m:sub>
            <m:r>
              <w:rPr>
                <w:rFonts w:ascii="Cambria Math" w:hAnsi="Cambria Math" w:cs="Times New Roman" w:hint="eastAsia"/>
              </w:rPr>
              <m:t>d</m:t>
            </m:r>
            <m:r>
              <w:rPr>
                <w:rFonts w:ascii="Cambria Math" w:hAnsi="Cambria Math" w:cs="Times New Roman"/>
              </w:rPr>
              <m:t>,n</m:t>
            </m:r>
          </m:sub>
        </m:sSub>
      </m:oMath>
      <w:r>
        <w:rPr>
          <w:rFonts w:cs="Times New Roman" w:hint="eastAsia"/>
        </w:rPr>
        <w:t>对应</w:t>
      </w:r>
      <w:r w:rsidRPr="00905B07">
        <w:rPr>
          <w:rFonts w:cs="Times New Roman" w:hint="eastAsia"/>
        </w:rPr>
        <w:t>的</w:t>
      </w:r>
      <w:r>
        <w:rPr>
          <w:rFonts w:cs="Times New Roman" w:hint="eastAsia"/>
        </w:rPr>
        <w:t>主题词</w:t>
      </w:r>
      <w:r w:rsidRPr="00905B07">
        <w:rPr>
          <w:rFonts w:cs="Times New Roman" w:hint="eastAsia"/>
        </w:rPr>
        <w:t>分布</w:t>
      </w:r>
      <m:oMath>
        <m:sSub>
          <m:sSubPr>
            <m:ctrlPr>
              <w:rPr>
                <w:rFonts w:ascii="Cambria Math" w:hAnsi="Cambria Math" w:cs="Times New Roman"/>
                <w:i/>
              </w:rPr>
            </m:ctrlPr>
          </m:sSubPr>
          <m:e>
            <m:r>
              <w:rPr>
                <w:rFonts w:ascii="Cambria Math" w:hAnsi="Cambria Math" w:cs="Times New Roman"/>
              </w:rPr>
              <m:t>φ</m:t>
            </m:r>
          </m:e>
          <m:sub>
            <m:r>
              <w:rPr>
                <w:rFonts w:ascii="Cambria Math" w:hAnsi="Cambria Math" w:cs="Times New Roman" w:hint="eastAsia"/>
              </w:rPr>
              <m:t>k</m:t>
            </m:r>
          </m:sub>
        </m:sSub>
      </m:oMath>
      <w:r w:rsidRPr="00905B07">
        <w:rPr>
          <w:rFonts w:cs="Times New Roman" w:hint="eastAsia"/>
        </w:rPr>
        <w:t>，主题词的分布概率越高</w:t>
      </w:r>
      <w:r>
        <w:rPr>
          <w:rFonts w:cs="Times New Roman" w:hint="eastAsia"/>
        </w:rPr>
        <w:t>代表</w:t>
      </w:r>
      <w:r w:rsidRPr="00905B07">
        <w:rPr>
          <w:rFonts w:cs="Times New Roman" w:hint="eastAsia"/>
        </w:rPr>
        <w:t>对该主题的贡献度越大；</w:t>
      </w:r>
      <w:r>
        <w:rPr>
          <w:rFonts w:cs="Times New Roman" w:hint="eastAsia"/>
        </w:rPr>
        <w:t>从主题词</w:t>
      </w:r>
      <w:r w:rsidRPr="00905B07">
        <w:rPr>
          <w:rFonts w:cs="Times New Roman" w:hint="eastAsia"/>
        </w:rPr>
        <w:t>分布</w:t>
      </w:r>
      <m:oMath>
        <m:sSub>
          <m:sSubPr>
            <m:ctrlPr>
              <w:rPr>
                <w:rFonts w:ascii="Cambria Math" w:hAnsi="Cambria Math" w:cs="Times New Roman"/>
                <w:i/>
              </w:rPr>
            </m:ctrlPr>
          </m:sSubPr>
          <m:e>
            <m:r>
              <w:rPr>
                <w:rFonts w:ascii="Cambria Math" w:hAnsi="Cambria Math" w:cs="Times New Roman"/>
              </w:rPr>
              <m:t>φ</m:t>
            </m:r>
          </m:e>
          <m:sub>
            <m:r>
              <w:rPr>
                <w:rFonts w:ascii="Cambria Math" w:hAnsi="Cambria Math" w:cs="Times New Roman"/>
              </w:rPr>
              <m:t>k</m:t>
            </m:r>
          </m:sub>
        </m:sSub>
      </m:oMath>
      <w:r>
        <w:rPr>
          <w:rFonts w:cs="Times New Roman" w:hint="eastAsia"/>
        </w:rPr>
        <w:t>中取样生成文档</w:t>
      </w:r>
      <m:oMath>
        <m:r>
          <w:rPr>
            <w:rFonts w:ascii="Cambria Math" w:hAnsi="Cambria Math" w:cs="Times New Roman"/>
          </w:rPr>
          <m:t>d</m:t>
        </m:r>
      </m:oMath>
      <w:r>
        <w:rPr>
          <w:rFonts w:cs="Times New Roman" w:hint="eastAsia"/>
        </w:rPr>
        <w:t>的第</w:t>
      </w:r>
      <m:oMath>
        <m:r>
          <w:rPr>
            <w:rFonts w:ascii="Cambria Math" w:hAnsi="Cambria Math" w:cs="Times New Roman"/>
          </w:rPr>
          <m:t>n</m:t>
        </m:r>
      </m:oMath>
      <w:r>
        <w:rPr>
          <w:rFonts w:cs="Times New Roman" w:hint="eastAsia"/>
        </w:rPr>
        <w:t>个词</w:t>
      </w:r>
      <m:oMath>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d,n</m:t>
            </m:r>
          </m:sub>
        </m:sSub>
      </m:oMath>
      <w:r>
        <w:rPr>
          <w:rFonts w:cs="Times New Roman" w:hint="eastAsia"/>
        </w:rPr>
        <w:t>；重复上述过程即可生成一篇文档</w:t>
      </w:r>
      <w:r w:rsidRPr="00905B07">
        <w:rPr>
          <w:rFonts w:cs="Times New Roman" w:hint="eastAsia"/>
        </w:rPr>
        <w:t>，从而产生文本（</w:t>
      </w:r>
      <w:r>
        <w:rPr>
          <w:rFonts w:cs="Times New Roman" w:hint="eastAsia"/>
        </w:rPr>
        <w:t>见</w:t>
      </w:r>
      <w:r>
        <w:rPr>
          <w:rFonts w:cs="Times New Roman"/>
        </w:rPr>
        <w:fldChar w:fldCharType="begin"/>
      </w:r>
      <w:r>
        <w:rPr>
          <w:rFonts w:cs="Times New Roman"/>
        </w:rPr>
        <w:instrText xml:space="preserve"> </w:instrText>
      </w:r>
      <w:r>
        <w:rPr>
          <w:rFonts w:cs="Times New Roman" w:hint="eastAsia"/>
        </w:rPr>
        <w:instrText>REF _Ref200084687 \h</w:instrText>
      </w:r>
      <w:r>
        <w:rPr>
          <w:rFonts w:cs="Times New Roman"/>
        </w:rPr>
        <w:instrText xml:space="preserve"> </w:instrText>
      </w:r>
      <w:r>
        <w:rPr>
          <w:rFonts w:cs="Times New Roman"/>
        </w:rPr>
      </w:r>
      <w:r>
        <w:rPr>
          <w:rFonts w:cs="Times New Roman"/>
        </w:rPr>
        <w:fldChar w:fldCharType="separate"/>
      </w:r>
      <w:r w:rsidR="000F2689" w:rsidRPr="00457AB1">
        <w:rPr>
          <w:rFonts w:hint="eastAsia"/>
        </w:rPr>
        <w:t>图</w:t>
      </w:r>
      <w:r w:rsidR="000F2689" w:rsidRPr="00457AB1">
        <w:rPr>
          <w:rFonts w:hint="eastAsia"/>
        </w:rPr>
        <w:t xml:space="preserve"> </w:t>
      </w:r>
      <w:r w:rsidR="000F2689">
        <w:rPr>
          <w:noProof/>
        </w:rPr>
        <w:t>3</w:t>
      </w:r>
      <w:r>
        <w:rPr>
          <w:rFonts w:cs="Times New Roman"/>
        </w:rPr>
        <w:fldChar w:fldCharType="end"/>
      </w:r>
      <w:r w:rsidRPr="00905B07">
        <w:rPr>
          <w:rFonts w:cs="Times New Roman" w:hint="eastAsia"/>
        </w:rPr>
        <w:t>）。</w:t>
      </w:r>
      <w:r>
        <w:rPr>
          <w:rFonts w:hint="eastAsia"/>
        </w:rPr>
        <w:t>困惑度（</w:t>
      </w:r>
      <w:r>
        <w:rPr>
          <w:rFonts w:hint="eastAsia"/>
        </w:rPr>
        <w:t>Perplexity</w:t>
      </w:r>
      <w:r>
        <w:rPr>
          <w:rFonts w:hint="eastAsia"/>
        </w:rPr>
        <w:t>）与一致性（</w:t>
      </w:r>
      <w:r>
        <w:rPr>
          <w:rFonts w:hint="eastAsia"/>
        </w:rPr>
        <w:t>Coherence</w:t>
      </w:r>
      <w:r>
        <w:rPr>
          <w:rFonts w:hint="eastAsia"/>
        </w:rPr>
        <w:t>）常用于衡量主题数量选取的合理性。困惑度越低，一致性越高代表主题个数选取越合适。本研究应用</w:t>
      </w:r>
      <w:r>
        <w:rPr>
          <w:rFonts w:hint="eastAsia"/>
        </w:rPr>
        <w:t>Python</w:t>
      </w:r>
      <w:r>
        <w:rPr>
          <w:rFonts w:hint="eastAsia"/>
        </w:rPr>
        <w:t>对访谈记录进行</w:t>
      </w:r>
      <w:r>
        <w:rPr>
          <w:rFonts w:hint="eastAsia"/>
        </w:rPr>
        <w:t>LDA</w:t>
      </w:r>
      <w:r>
        <w:rPr>
          <w:rFonts w:hint="eastAsia"/>
        </w:rPr>
        <w:t>主题模型分析，识别利益相关方对清洁能源基地管理的主要需求。</w:t>
      </w:r>
    </w:p>
    <w:p w14:paraId="395C5C07" w14:textId="77777777" w:rsidR="0027782D" w:rsidRDefault="0027782D" w:rsidP="0027782D">
      <w:pPr>
        <w:pStyle w:val="figure"/>
        <w:spacing w:before="156"/>
      </w:pPr>
      <w:r w:rsidRPr="004F5CD8">
        <w:drawing>
          <wp:inline distT="0" distB="0" distL="0" distR="0" wp14:anchorId="28BBE043" wp14:editId="1FED82CE">
            <wp:extent cx="1590711" cy="1451560"/>
            <wp:effectExtent l="0" t="0" r="0" b="0"/>
            <wp:docPr id="4662874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287479" name=""/>
                    <pic:cNvPicPr/>
                  </pic:nvPicPr>
                  <pic:blipFill>
                    <a:blip r:embed="rId25"/>
                    <a:stretch>
                      <a:fillRect/>
                    </a:stretch>
                  </pic:blipFill>
                  <pic:spPr>
                    <a:xfrm>
                      <a:off x="0" y="0"/>
                      <a:ext cx="1619947" cy="1478239"/>
                    </a:xfrm>
                    <a:prstGeom prst="rect">
                      <a:avLst/>
                    </a:prstGeom>
                  </pic:spPr>
                </pic:pic>
              </a:graphicData>
            </a:graphic>
          </wp:inline>
        </w:drawing>
      </w:r>
    </w:p>
    <w:p w14:paraId="27435BAD" w14:textId="111B67C5" w:rsidR="0027782D" w:rsidRPr="00B75061" w:rsidRDefault="0027782D" w:rsidP="0027782D">
      <w:pPr>
        <w:pStyle w:val="afa"/>
        <w:spacing w:afterLines="50" w:after="156"/>
      </w:pPr>
      <w:bookmarkStart w:id="6" w:name="_Ref200084687"/>
      <w:bookmarkStart w:id="7" w:name="_Ref192964939"/>
      <w:bookmarkStart w:id="8" w:name="_Toc197177809"/>
      <w:r w:rsidRPr="00457AB1">
        <w:rPr>
          <w:rFonts w:hint="eastAsia"/>
        </w:rPr>
        <w:t>图</w:t>
      </w:r>
      <w:r w:rsidRPr="00457AB1">
        <w:rPr>
          <w:rFonts w:hint="eastAsia"/>
        </w:rPr>
        <w:t xml:space="preserve"> </w:t>
      </w:r>
      <w:r w:rsidRPr="00457AB1">
        <w:fldChar w:fldCharType="begin"/>
      </w:r>
      <w:r w:rsidRPr="00457AB1">
        <w:instrText xml:space="preserve"> </w:instrText>
      </w:r>
      <w:r w:rsidRPr="00457AB1">
        <w:rPr>
          <w:rFonts w:hint="eastAsia"/>
        </w:rPr>
        <w:instrText xml:space="preserve">SEQ </w:instrText>
      </w:r>
      <w:r w:rsidRPr="00457AB1">
        <w:rPr>
          <w:rFonts w:hint="eastAsia"/>
        </w:rPr>
        <w:instrText>图</w:instrText>
      </w:r>
      <w:r w:rsidRPr="00457AB1">
        <w:rPr>
          <w:rFonts w:hint="eastAsia"/>
        </w:rPr>
        <w:instrText xml:space="preserve"> \* ARABIC</w:instrText>
      </w:r>
      <w:r w:rsidRPr="00457AB1">
        <w:instrText xml:space="preserve"> </w:instrText>
      </w:r>
      <w:r w:rsidRPr="00457AB1">
        <w:fldChar w:fldCharType="separate"/>
      </w:r>
      <w:r w:rsidR="000F2689">
        <w:rPr>
          <w:noProof/>
        </w:rPr>
        <w:t>3</w:t>
      </w:r>
      <w:r w:rsidRPr="00457AB1">
        <w:fldChar w:fldCharType="end"/>
      </w:r>
      <w:bookmarkEnd w:id="6"/>
      <w:r>
        <w:rPr>
          <w:rFonts w:hint="eastAsia"/>
        </w:rPr>
        <w:t xml:space="preserve"> </w:t>
      </w:r>
      <w:r w:rsidRPr="00DB17E6">
        <w:rPr>
          <w:rFonts w:hint="eastAsia"/>
        </w:rPr>
        <w:t>LDA</w:t>
      </w:r>
      <w:r w:rsidRPr="00DB17E6">
        <w:rPr>
          <w:rFonts w:hint="eastAsia"/>
        </w:rPr>
        <w:t>主题模型文档生成过程</w:t>
      </w:r>
      <w:bookmarkEnd w:id="7"/>
      <w:bookmarkEnd w:id="8"/>
    </w:p>
    <w:p w14:paraId="27E4F263" w14:textId="5D4D2829" w:rsidR="000B2B64" w:rsidRDefault="004D5E44" w:rsidP="004D5E44">
      <w:pPr>
        <w:pStyle w:val="2"/>
      </w:pPr>
      <w:r>
        <w:rPr>
          <w:rFonts w:hint="eastAsia"/>
        </w:rPr>
        <w:t>结构方程模型</w:t>
      </w:r>
    </w:p>
    <w:p w14:paraId="48BEBCC3" w14:textId="6BB4A189" w:rsidR="00CC6409" w:rsidRDefault="00BB21A1" w:rsidP="006804EC">
      <w:pPr>
        <w:ind w:firstLine="420"/>
      </w:pPr>
      <w:r>
        <w:rPr>
          <w:rFonts w:hint="eastAsia"/>
        </w:rPr>
        <w:t>结构方程模型</w:t>
      </w:r>
      <w:r w:rsidRPr="00BB21A1">
        <w:rPr>
          <w:rFonts w:hint="eastAsia"/>
        </w:rPr>
        <w:t>（</w:t>
      </w:r>
      <w:r w:rsidRPr="00BB21A1">
        <w:rPr>
          <w:rFonts w:hint="eastAsia"/>
        </w:rPr>
        <w:t>Structural Equation Modeling</w:t>
      </w:r>
      <w:r w:rsidRPr="00BB21A1">
        <w:rPr>
          <w:rFonts w:hint="eastAsia"/>
        </w:rPr>
        <w:t>，</w:t>
      </w:r>
      <w:r w:rsidRPr="00BB21A1">
        <w:rPr>
          <w:rFonts w:hint="eastAsia"/>
        </w:rPr>
        <w:t>SEM</w:t>
      </w:r>
      <w:r w:rsidRPr="00BB21A1">
        <w:rPr>
          <w:rFonts w:hint="eastAsia"/>
        </w:rPr>
        <w:t>）</w:t>
      </w:r>
      <w:r w:rsidR="0027782D">
        <w:rPr>
          <w:rFonts w:hint="eastAsia"/>
        </w:rPr>
        <w:t>能够</w:t>
      </w:r>
      <w:r w:rsidR="0027782D">
        <w:t>同时估计</w:t>
      </w:r>
      <w:r w:rsidR="0027782D">
        <w:rPr>
          <w:rFonts w:hint="eastAsia"/>
        </w:rPr>
        <w:t>多个观测</w:t>
      </w:r>
      <w:r w:rsidR="0027782D">
        <w:t>变量之间的直接作用和间接影响</w:t>
      </w:r>
      <w:r w:rsidR="0027782D">
        <w:rPr>
          <w:rFonts w:hint="eastAsia"/>
        </w:rPr>
        <w:t>，且能够系统分析</w:t>
      </w:r>
      <w:r w:rsidR="0027782D">
        <w:t>观测</w:t>
      </w:r>
      <w:r w:rsidR="0027782D">
        <w:rPr>
          <w:rFonts w:hint="eastAsia"/>
        </w:rPr>
        <w:t>变量所反映的潜在变量</w:t>
      </w:r>
      <w:r w:rsidR="00E17813">
        <w:fldChar w:fldCharType="begin"/>
      </w:r>
      <w:r w:rsidR="00E17813">
        <w:instrText xml:space="preserve"> ADDIN ZOTERO_ITEM CSL_CITATION {"citationID":"a13pk0jpb6l","properties":{"unsorted":false,"formattedCitation":"\\super [106]\\nosupersub{}","plainCitation":"[106]","noteIndex":0},"citationItems":[{"id":2652,"uris":["http://zotero.org/users/13172592/items/SLIZ4XSQ"],"itemData":{"id":2652,"type":"book","event-place":"London","ISBN":"0-8039-5318-6","publisher":"Sage Publications","publisher-place":"London","title":"Structural equation modeling: Concepts, issues, and applications","author":[{"family":"Hoyle","given":"Rick H"}],"issued":{"date-parts":[["1995"]]}},"locator":null,"label":null,"suppress-author":null,"prefix":null,"suffix":null}],"schema":"https://github.com/citation-style-language/schema/raw/master/csl-citation.json"} </w:instrText>
      </w:r>
      <w:r w:rsidR="00E17813">
        <w:fldChar w:fldCharType="separate"/>
      </w:r>
      <w:r w:rsidR="00E17813" w:rsidRPr="00E17813">
        <w:rPr>
          <w:rFonts w:cs="Times New Roman"/>
          <w:kern w:val="0"/>
          <w:vertAlign w:val="superscript"/>
        </w:rPr>
        <w:t>[106]</w:t>
      </w:r>
      <w:r w:rsidR="00E17813">
        <w:fldChar w:fldCharType="end"/>
      </w:r>
      <w:r w:rsidR="0027782D">
        <w:rPr>
          <w:rFonts w:hint="eastAsia"/>
        </w:rPr>
        <w:t>。本研究运用结构方程模型中的偏最小二乘法（</w:t>
      </w:r>
      <w:r w:rsidR="0027782D">
        <w:rPr>
          <w:rFonts w:hint="eastAsia"/>
        </w:rPr>
        <w:t>Partial Least Squares Structural Equation Modeling</w:t>
      </w:r>
      <w:r w:rsidR="0027782D">
        <w:rPr>
          <w:rFonts w:hint="eastAsia"/>
        </w:rPr>
        <w:t>，</w:t>
      </w:r>
      <w:r w:rsidR="0027782D">
        <w:rPr>
          <w:rFonts w:hint="eastAsia"/>
        </w:rPr>
        <w:t>PLS-SEM</w:t>
      </w:r>
      <w:r w:rsidR="0027782D">
        <w:rPr>
          <w:rFonts w:hint="eastAsia"/>
        </w:rPr>
        <w:t>）</w:t>
      </w:r>
      <w:r w:rsidR="0027782D">
        <w:t>对问卷调研数据进行分析，以验证清洁能源基地一体化管理理论模型</w:t>
      </w:r>
      <w:r w:rsidR="0027782D">
        <w:rPr>
          <w:rFonts w:hint="eastAsia"/>
        </w:rPr>
        <w:t>。</w:t>
      </w:r>
      <w:r w:rsidR="0027782D">
        <w:rPr>
          <w:rFonts w:hint="eastAsia"/>
        </w:rPr>
        <w:t>PLS-SEM</w:t>
      </w:r>
      <w:r w:rsidR="0027782D">
        <w:t>基于协方差计算，适用于数据分布不均衡、潜变量之间关系复杂的研究场景，符合本研究的模型特征</w:t>
      </w:r>
      <w:r w:rsidR="0027782D">
        <w:fldChar w:fldCharType="begin"/>
      </w:r>
      <w:r w:rsidR="00E17813">
        <w:instrText xml:space="preserve"> ADDIN ZOTERO_ITEM CSL_CITATION {"citationID":"a60rl5434m","properties":{"formattedCitation":"\\super [107]\\nosupersub{}","plainCitation":"[107]","noteIndex":0},"citationItems":[{"id":2738,"uris":["http://zotero.org/users/13172592/items/IXKCVSNK"],"itemData":{"id":2738,"type":"article-journal","abstract":"Purpose The purpose of this paper is to provide a comprehensive, yet concise, overview of the considerations and metrics required for partial least squares structural equation modeling (PLS-SEM) analysis and result reporting. Preliminary considerations are summarized first, including reasons for choosing PLS-SEM, recommended sample size in selected contexts, distributional assumptions, use of secondary data, statistical power and the need for goodness-of-fit testing. Next, the metrics as well as the rules of thumb that should be applied to assess the PLS-SEM results are covered. Besides presenting established PLS-SEM evaluation criteria, the overview includes the following new guidelines: PLSpredict (i.e., a novel approach for assessing a model’s out-of-sample prediction), metrics for model comparisons, and several complementary methods for checking the results’ robustness. Design/methodology/approach This paper provides an overview of previously and recently proposed metrics as well as rules of thumb for evaluating the research results based on the application of PLS-SEM. Findings Most of the previously applied metrics for evaluating PLS-SEM results are still relevant. Nevertheless, scholars need to be knowledgeable about recently proposed metrics (e.g. model comparison criteria) and methods (e.g. endogeneity assessment, latent class analysis and PLSpredict), and when and how to apply them to extend their analyses. Research limitations/implications Methodological developments associated with PLS-SEM are rapidly emerging. The metrics reported in this paper are useful for current applications, but must always be up to date with the latest developments in the PLS-SEM method. Originality/value In light of more recent research and methodological developments in the PLS-SEM domain, guidelines for the method’s use need to be continuously extended and updated. This paper is the most current and comprehensive summary of the PLS-SEM method and the metrics applied to assess its solutions.","container-title":"European Business Review","DOI":"10.1108/EBR-11-2018-0203","ISSN":"0955-534X","issue":"1","language":"en","note":"publisher: Emerald Publishing Limited","page":"2-24","source":"4","title":"When to use and how to report the results of PLS-SEM","volume":"31","author":[{"family":"Hair","given":"Joseph F."},{"family":"Risher","given":"Jeffrey J."},{"family":"Sarstedt","given":"Marko"},{"family":"Ringle","given":"Christian M."}],"issued":{"date-parts":[["2019",1,1]]}}}],"schema":"https://github.com/citation-style-language/schema/raw/master/csl-citation.json"} </w:instrText>
      </w:r>
      <w:r w:rsidR="0027782D">
        <w:fldChar w:fldCharType="separate"/>
      </w:r>
      <w:r w:rsidR="00E17813" w:rsidRPr="00E17813">
        <w:rPr>
          <w:rFonts w:cs="Times New Roman"/>
          <w:kern w:val="0"/>
          <w:vertAlign w:val="superscript"/>
        </w:rPr>
        <w:t>[107]</w:t>
      </w:r>
      <w:r w:rsidR="0027782D">
        <w:fldChar w:fldCharType="end"/>
      </w:r>
      <w:r w:rsidR="0027782D">
        <w:rPr>
          <w:rFonts w:hint="eastAsia"/>
        </w:rPr>
        <w:t>。</w:t>
      </w:r>
    </w:p>
    <w:p w14:paraId="73DC28D2" w14:textId="5D25D168" w:rsidR="00BB21A1" w:rsidRDefault="00BB21A1" w:rsidP="00BB21A1">
      <w:pPr>
        <w:pStyle w:val="1"/>
      </w:pPr>
      <w:r>
        <w:rPr>
          <w:rFonts w:hint="eastAsia"/>
        </w:rPr>
        <w:t>调研结果与分析</w:t>
      </w:r>
    </w:p>
    <w:p w14:paraId="2DBCA5B9" w14:textId="6397DC8A" w:rsidR="00BB21A1" w:rsidRDefault="00BB6319" w:rsidP="00BB21A1">
      <w:pPr>
        <w:pStyle w:val="2"/>
      </w:pPr>
      <w:r w:rsidRPr="00BB6319">
        <w:rPr>
          <w:rFonts w:hint="eastAsia"/>
        </w:rPr>
        <w:t>清洁能源基地管理需求分析</w:t>
      </w:r>
    </w:p>
    <w:p w14:paraId="635AFAE0" w14:textId="3CC6B0BA" w:rsidR="00BB6319" w:rsidRDefault="00BB6319" w:rsidP="00BB6319">
      <w:pPr>
        <w:ind w:firstLine="420"/>
      </w:pPr>
      <w:r>
        <w:rPr>
          <w:rFonts w:hint="eastAsia"/>
        </w:rPr>
        <w:t>本研究在调研访谈中收集了利益相关方对清洁能源基地管理现状的看法与建议。本节首先对前述记录进行词频统计，以明确利益相关方对清洁能源基地管理的关注点。具体而言，受访者在回答中提及某关键词，则该关键词词频加一，词云图如</w:t>
      </w:r>
      <w:r>
        <w:fldChar w:fldCharType="begin"/>
      </w:r>
      <w:r>
        <w:instrText xml:space="preserve"> </w:instrText>
      </w:r>
      <w:r>
        <w:rPr>
          <w:rFonts w:hint="eastAsia"/>
        </w:rPr>
        <w:instrText>REF _Ref171446332</w:instrText>
      </w:r>
      <w:r>
        <w:instrText xml:space="preserve"> </w:instrText>
      </w:r>
      <w:r>
        <w:fldChar w:fldCharType="separate"/>
      </w:r>
      <w:r w:rsidR="000F2689" w:rsidRPr="001A6C69">
        <w:rPr>
          <w:rFonts w:hint="eastAsia"/>
        </w:rPr>
        <w:t>图</w:t>
      </w:r>
      <w:r w:rsidR="000F2689" w:rsidRPr="001A6C69">
        <w:rPr>
          <w:rFonts w:hint="eastAsia"/>
        </w:rPr>
        <w:t xml:space="preserve"> </w:t>
      </w:r>
      <w:r w:rsidR="000F2689">
        <w:rPr>
          <w:noProof/>
        </w:rPr>
        <w:t>4</w:t>
      </w:r>
      <w:r>
        <w:fldChar w:fldCharType="end"/>
      </w:r>
      <w:r>
        <w:rPr>
          <w:rFonts w:hint="eastAsia"/>
        </w:rPr>
        <w:t>所示。</w:t>
      </w:r>
    </w:p>
    <w:p w14:paraId="19EAB948" w14:textId="0410E179" w:rsidR="001A6C69" w:rsidRDefault="00BB6319" w:rsidP="00BB6319">
      <w:pPr>
        <w:ind w:firstLineChars="0" w:firstLine="0"/>
        <w:jc w:val="center"/>
      </w:pPr>
      <w:r w:rsidRPr="00A6350B">
        <w:rPr>
          <w:noProof/>
        </w:rPr>
        <w:drawing>
          <wp:inline distT="0" distB="0" distL="0" distR="0" wp14:anchorId="16A68B9E" wp14:editId="5240FEF3">
            <wp:extent cx="1680426" cy="1153713"/>
            <wp:effectExtent l="0" t="0" r="0" b="8890"/>
            <wp:docPr id="9503420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342003" name=""/>
                    <pic:cNvPicPr/>
                  </pic:nvPicPr>
                  <pic:blipFill rotWithShape="1">
                    <a:blip r:embed="rId26" cstate="hqprint">
                      <a:extLst>
                        <a:ext uri="{28A0092B-C50C-407E-A947-70E740481C1C}">
                          <a14:useLocalDpi xmlns:a14="http://schemas.microsoft.com/office/drawing/2010/main"/>
                        </a:ext>
                      </a:extLst>
                    </a:blip>
                    <a:srcRect b="2887"/>
                    <a:stretch>
                      <a:fillRect/>
                    </a:stretch>
                  </pic:blipFill>
                  <pic:spPr bwMode="auto">
                    <a:xfrm>
                      <a:off x="0" y="0"/>
                      <a:ext cx="1719014" cy="1180206"/>
                    </a:xfrm>
                    <a:prstGeom prst="rect">
                      <a:avLst/>
                    </a:prstGeom>
                    <a:ln>
                      <a:noFill/>
                    </a:ln>
                    <a:extLst>
                      <a:ext uri="{53640926-AAD7-44D8-BBD7-CCE9431645EC}">
                        <a14:shadowObscured xmlns:a14="http://schemas.microsoft.com/office/drawing/2010/main"/>
                      </a:ext>
                    </a:extLst>
                  </pic:spPr>
                </pic:pic>
              </a:graphicData>
            </a:graphic>
          </wp:inline>
        </w:drawing>
      </w:r>
    </w:p>
    <w:p w14:paraId="24B77F58" w14:textId="02FF36F9" w:rsidR="00BB21A1" w:rsidRDefault="001A6C69" w:rsidP="001A6C69">
      <w:pPr>
        <w:pStyle w:val="afa"/>
      </w:pPr>
      <w:bookmarkStart w:id="9" w:name="_Ref171446332"/>
      <w:r w:rsidRPr="001A6C69">
        <w:rPr>
          <w:rFonts w:hint="eastAsia"/>
        </w:rPr>
        <w:t>图</w:t>
      </w:r>
      <w:r w:rsidRPr="001A6C69">
        <w:rPr>
          <w:rFonts w:hint="eastAsia"/>
        </w:rPr>
        <w:t xml:space="preserve"> </w:t>
      </w:r>
      <w:r w:rsidRPr="001A6C69">
        <w:fldChar w:fldCharType="begin"/>
      </w:r>
      <w:r w:rsidRPr="001A6C69">
        <w:instrText xml:space="preserve"> </w:instrText>
      </w:r>
      <w:r w:rsidRPr="001A6C69">
        <w:rPr>
          <w:rFonts w:hint="eastAsia"/>
        </w:rPr>
        <w:instrText xml:space="preserve">SEQ </w:instrText>
      </w:r>
      <w:r w:rsidRPr="001A6C69">
        <w:rPr>
          <w:rFonts w:hint="eastAsia"/>
        </w:rPr>
        <w:instrText>图</w:instrText>
      </w:r>
      <w:r w:rsidRPr="001A6C69">
        <w:rPr>
          <w:rFonts w:hint="eastAsia"/>
        </w:rPr>
        <w:instrText xml:space="preserve"> \* ARABIC</w:instrText>
      </w:r>
      <w:r w:rsidRPr="001A6C69">
        <w:instrText xml:space="preserve"> </w:instrText>
      </w:r>
      <w:r w:rsidRPr="001A6C69">
        <w:fldChar w:fldCharType="separate"/>
      </w:r>
      <w:r w:rsidR="000F2689">
        <w:rPr>
          <w:noProof/>
        </w:rPr>
        <w:t>4</w:t>
      </w:r>
      <w:r w:rsidRPr="001A6C69">
        <w:fldChar w:fldCharType="end"/>
      </w:r>
      <w:bookmarkEnd w:id="9"/>
      <w:r w:rsidRPr="001A6C69">
        <w:rPr>
          <w:rFonts w:hint="eastAsia"/>
        </w:rPr>
        <w:t xml:space="preserve"> </w:t>
      </w:r>
      <w:r w:rsidR="00BB6319">
        <w:rPr>
          <w:rFonts w:hint="eastAsia"/>
        </w:rPr>
        <w:t>清洁能源基地管理访谈词云图</w:t>
      </w:r>
    </w:p>
    <w:p w14:paraId="6F7633C7" w14:textId="727133DC" w:rsidR="00BB6319" w:rsidRDefault="00BB6319" w:rsidP="00BB6319">
      <w:pPr>
        <w:ind w:firstLine="420"/>
      </w:pPr>
      <w:r>
        <w:fldChar w:fldCharType="begin"/>
      </w:r>
      <w:r>
        <w:instrText xml:space="preserve"> </w:instrText>
      </w:r>
      <w:r>
        <w:rPr>
          <w:rFonts w:hint="eastAsia"/>
        </w:rPr>
        <w:instrText>REF _Ref171446332</w:instrText>
      </w:r>
      <w:r>
        <w:instrText xml:space="preserve"> </w:instrText>
      </w:r>
      <w:r>
        <w:fldChar w:fldCharType="separate"/>
      </w:r>
      <w:r w:rsidR="000F2689" w:rsidRPr="001A6C69">
        <w:rPr>
          <w:rFonts w:hint="eastAsia"/>
        </w:rPr>
        <w:t>图</w:t>
      </w:r>
      <w:r w:rsidR="000F2689" w:rsidRPr="001A6C69">
        <w:rPr>
          <w:rFonts w:hint="eastAsia"/>
        </w:rPr>
        <w:t xml:space="preserve"> </w:t>
      </w:r>
      <w:r w:rsidR="000F2689">
        <w:rPr>
          <w:noProof/>
        </w:rPr>
        <w:t>4</w:t>
      </w:r>
      <w:r>
        <w:fldChar w:fldCharType="end"/>
      </w:r>
      <w:r>
        <w:rPr>
          <w:rFonts w:hint="eastAsia"/>
        </w:rPr>
        <w:t>中“电网”、“运营”、“调度”、“多能互补”、“一体化”、“建设”、“政府”、“系统”、“业主”与“新能源”词频较高，占据词云图中核心位置。利益相关方层面，上述结果表明电网公司、政府、业主在清洁能源基地开发中发挥了关键作用。管理模式层面，采用一体化管理，推进清洁能源基地内电站间多能互补系统的建设，对提高清洁能源基地开发效率与绩效至关重要。</w:t>
      </w:r>
    </w:p>
    <w:p w14:paraId="59C0415A" w14:textId="11064453" w:rsidR="00227A8F" w:rsidRDefault="00BB6319" w:rsidP="00FE59CF">
      <w:pPr>
        <w:ind w:firstLine="420"/>
      </w:pPr>
      <w:r>
        <w:rPr>
          <w:rFonts w:hint="eastAsia"/>
        </w:rPr>
        <w:lastRenderedPageBreak/>
        <w:t>本研究进一步应用</w:t>
      </w:r>
      <w:r>
        <w:rPr>
          <w:rFonts w:hint="eastAsia"/>
        </w:rPr>
        <w:t>LDA</w:t>
      </w:r>
      <w:r>
        <w:rPr>
          <w:rFonts w:hint="eastAsia"/>
        </w:rPr>
        <w:t>主题模型提取利益相关方对清洁能源基地管理的主要需求。</w:t>
      </w:r>
      <w:r w:rsidR="00227A8F">
        <w:fldChar w:fldCharType="begin"/>
      </w:r>
      <w:r w:rsidR="00227A8F">
        <w:instrText xml:space="preserve"> </w:instrText>
      </w:r>
      <w:r w:rsidR="00227A8F">
        <w:rPr>
          <w:rFonts w:hint="eastAsia"/>
        </w:rPr>
        <w:instrText>REF _Ref200093878 \h</w:instrText>
      </w:r>
      <w:r w:rsidR="00227A8F">
        <w:instrText xml:space="preserve"> </w:instrText>
      </w:r>
      <w:r w:rsidR="00227A8F">
        <w:fldChar w:fldCharType="separate"/>
      </w:r>
      <w:r w:rsidR="000F2689" w:rsidRPr="00227A8F">
        <w:rPr>
          <w:rFonts w:hint="eastAsia"/>
        </w:rPr>
        <w:t>图</w:t>
      </w:r>
      <w:r w:rsidR="000F2689" w:rsidRPr="00227A8F">
        <w:rPr>
          <w:rFonts w:hint="eastAsia"/>
        </w:rPr>
        <w:t xml:space="preserve"> </w:t>
      </w:r>
      <w:r w:rsidR="000F2689">
        <w:rPr>
          <w:noProof/>
        </w:rPr>
        <w:t>5</w:t>
      </w:r>
      <w:r w:rsidR="00227A8F">
        <w:fldChar w:fldCharType="end"/>
      </w:r>
      <w:r>
        <w:rPr>
          <w:rFonts w:hint="eastAsia"/>
        </w:rPr>
        <w:t>与</w:t>
      </w:r>
      <w:r w:rsidR="00227A8F">
        <w:fldChar w:fldCharType="begin"/>
      </w:r>
      <w:r w:rsidR="00227A8F">
        <w:instrText xml:space="preserve"> </w:instrText>
      </w:r>
      <w:r w:rsidR="00227A8F">
        <w:rPr>
          <w:rFonts w:hint="eastAsia"/>
        </w:rPr>
        <w:instrText>REF _Ref200093882 \h</w:instrText>
      </w:r>
      <w:r w:rsidR="00227A8F">
        <w:instrText xml:space="preserve"> </w:instrText>
      </w:r>
      <w:r w:rsidR="00227A8F">
        <w:fldChar w:fldCharType="separate"/>
      </w:r>
      <w:r w:rsidR="000F2689" w:rsidRPr="001A6C69">
        <w:rPr>
          <w:rFonts w:hint="eastAsia"/>
        </w:rPr>
        <w:t>图</w:t>
      </w:r>
      <w:r w:rsidR="000F2689" w:rsidRPr="001A6C69">
        <w:rPr>
          <w:rFonts w:hint="eastAsia"/>
        </w:rPr>
        <w:t xml:space="preserve"> </w:t>
      </w:r>
      <w:r w:rsidR="000F2689">
        <w:rPr>
          <w:noProof/>
        </w:rPr>
        <w:t>6</w:t>
      </w:r>
      <w:r w:rsidR="00227A8F">
        <w:fldChar w:fldCharType="end"/>
      </w:r>
      <w:r>
        <w:rPr>
          <w:rFonts w:hint="eastAsia"/>
        </w:rPr>
        <w:t>分别为</w:t>
      </w:r>
      <w:r>
        <w:rPr>
          <w:rFonts w:hint="eastAsia"/>
        </w:rPr>
        <w:t>LDA</w:t>
      </w:r>
      <w:r>
        <w:rPr>
          <w:rFonts w:hint="eastAsia"/>
        </w:rPr>
        <w:t>模型的困惑度与一致性随主题数的变化趋势。</w:t>
      </w:r>
      <w:r w:rsidR="00FE59CF">
        <w:rPr>
          <w:rFonts w:hint="eastAsia"/>
        </w:rPr>
        <w:t>当主题数等于</w:t>
      </w:r>
      <w:r w:rsidR="00FE59CF">
        <w:rPr>
          <w:rFonts w:hint="eastAsia"/>
        </w:rPr>
        <w:t>4</w:t>
      </w:r>
      <w:r w:rsidR="00FE59CF">
        <w:rPr>
          <w:rFonts w:hint="eastAsia"/>
        </w:rPr>
        <w:t>时，</w:t>
      </w:r>
      <w:r w:rsidR="00FE59CF">
        <w:rPr>
          <w:rFonts w:hint="eastAsia"/>
        </w:rPr>
        <w:t>LDA</w:t>
      </w:r>
      <w:r w:rsidR="00FE59CF">
        <w:rPr>
          <w:rFonts w:hint="eastAsia"/>
        </w:rPr>
        <w:t>模型困惑度处于较低水平，且一致性较高。因此，后文将取主题数为</w:t>
      </w:r>
      <w:r w:rsidR="00FE59CF">
        <w:rPr>
          <w:rFonts w:hint="eastAsia"/>
        </w:rPr>
        <w:t>4</w:t>
      </w:r>
      <w:r w:rsidR="00FE59CF">
        <w:rPr>
          <w:rFonts w:hint="eastAsia"/>
        </w:rPr>
        <w:t>，提取清洁能源基地的管理需求。</w:t>
      </w:r>
    </w:p>
    <w:p w14:paraId="3F97F868" w14:textId="77777777" w:rsidR="00227A8F" w:rsidRDefault="00227A8F" w:rsidP="00227A8F">
      <w:pPr>
        <w:pStyle w:val="figure"/>
        <w:keepNext w:val="0"/>
        <w:widowControl w:val="0"/>
        <w:spacing w:before="156"/>
      </w:pPr>
      <w:r>
        <w:drawing>
          <wp:inline distT="0" distB="0" distL="0" distR="0" wp14:anchorId="5306CB55" wp14:editId="6A0D6857">
            <wp:extent cx="1820849" cy="1497664"/>
            <wp:effectExtent l="0" t="0" r="8255" b="7620"/>
            <wp:docPr id="154784323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cstate="hqprint">
                      <a:extLst>
                        <a:ext uri="{28A0092B-C50C-407E-A947-70E740481C1C}">
                          <a14:useLocalDpi xmlns:a14="http://schemas.microsoft.com/office/drawing/2010/main"/>
                        </a:ext>
                      </a:extLst>
                    </a:blip>
                    <a:srcRect t="3670" b="3629"/>
                    <a:stretch/>
                  </pic:blipFill>
                  <pic:spPr bwMode="auto">
                    <a:xfrm>
                      <a:off x="0" y="0"/>
                      <a:ext cx="1841494" cy="1514645"/>
                    </a:xfrm>
                    <a:prstGeom prst="rect">
                      <a:avLst/>
                    </a:prstGeom>
                    <a:noFill/>
                    <a:ln>
                      <a:noFill/>
                    </a:ln>
                    <a:extLst>
                      <a:ext uri="{53640926-AAD7-44D8-BBD7-CCE9431645EC}">
                        <a14:shadowObscured xmlns:a14="http://schemas.microsoft.com/office/drawing/2010/main"/>
                      </a:ext>
                    </a:extLst>
                  </pic:spPr>
                </pic:pic>
              </a:graphicData>
            </a:graphic>
          </wp:inline>
        </w:drawing>
      </w:r>
    </w:p>
    <w:p w14:paraId="63108A7D" w14:textId="5DBFFDBE" w:rsidR="00BB6319" w:rsidRDefault="00227A8F" w:rsidP="00227A8F">
      <w:pPr>
        <w:pStyle w:val="figure"/>
        <w:keepNext w:val="0"/>
        <w:widowControl w:val="0"/>
        <w:spacing w:before="156"/>
      </w:pPr>
      <w:bookmarkStart w:id="10" w:name="_Ref200093878"/>
      <w:bookmarkStart w:id="11" w:name="_Toc197177811"/>
      <w:r w:rsidRPr="00227A8F">
        <w:rPr>
          <w:rFonts w:hint="eastAsia"/>
          <w:noProof w:val="0"/>
          <w:kern w:val="2"/>
          <w:sz w:val="21"/>
        </w:rPr>
        <w:t>图</w:t>
      </w:r>
      <w:r w:rsidRPr="00227A8F">
        <w:rPr>
          <w:rFonts w:hint="eastAsia"/>
          <w:noProof w:val="0"/>
          <w:kern w:val="2"/>
          <w:sz w:val="21"/>
        </w:rPr>
        <w:t xml:space="preserve"> </w:t>
      </w:r>
      <w:r w:rsidRPr="00227A8F">
        <w:rPr>
          <w:noProof w:val="0"/>
          <w:kern w:val="2"/>
          <w:sz w:val="21"/>
        </w:rPr>
        <w:fldChar w:fldCharType="begin"/>
      </w:r>
      <w:r w:rsidRPr="00227A8F">
        <w:rPr>
          <w:noProof w:val="0"/>
          <w:kern w:val="2"/>
          <w:sz w:val="21"/>
        </w:rPr>
        <w:instrText xml:space="preserve"> </w:instrText>
      </w:r>
      <w:r w:rsidRPr="00227A8F">
        <w:rPr>
          <w:rFonts w:hint="eastAsia"/>
          <w:noProof w:val="0"/>
          <w:kern w:val="2"/>
          <w:sz w:val="21"/>
        </w:rPr>
        <w:instrText xml:space="preserve">SEQ </w:instrText>
      </w:r>
      <w:r w:rsidRPr="00227A8F">
        <w:rPr>
          <w:rFonts w:hint="eastAsia"/>
          <w:noProof w:val="0"/>
          <w:kern w:val="2"/>
          <w:sz w:val="21"/>
        </w:rPr>
        <w:instrText>图</w:instrText>
      </w:r>
      <w:r w:rsidRPr="00227A8F">
        <w:rPr>
          <w:rFonts w:hint="eastAsia"/>
          <w:noProof w:val="0"/>
          <w:kern w:val="2"/>
          <w:sz w:val="21"/>
        </w:rPr>
        <w:instrText xml:space="preserve"> \* ARABIC</w:instrText>
      </w:r>
      <w:r w:rsidRPr="00227A8F">
        <w:rPr>
          <w:noProof w:val="0"/>
          <w:kern w:val="2"/>
          <w:sz w:val="21"/>
        </w:rPr>
        <w:instrText xml:space="preserve"> </w:instrText>
      </w:r>
      <w:r w:rsidRPr="00227A8F">
        <w:rPr>
          <w:noProof w:val="0"/>
          <w:kern w:val="2"/>
          <w:sz w:val="21"/>
        </w:rPr>
        <w:fldChar w:fldCharType="separate"/>
      </w:r>
      <w:r w:rsidR="000F2689">
        <w:rPr>
          <w:kern w:val="2"/>
          <w:sz w:val="21"/>
        </w:rPr>
        <w:t>5</w:t>
      </w:r>
      <w:r w:rsidRPr="00227A8F">
        <w:rPr>
          <w:noProof w:val="0"/>
          <w:kern w:val="2"/>
          <w:sz w:val="21"/>
        </w:rPr>
        <w:fldChar w:fldCharType="end"/>
      </w:r>
      <w:bookmarkEnd w:id="10"/>
      <w:r>
        <w:rPr>
          <w:rFonts w:hint="eastAsia"/>
          <w:noProof w:val="0"/>
          <w:kern w:val="2"/>
          <w:sz w:val="21"/>
        </w:rPr>
        <w:t xml:space="preserve"> </w:t>
      </w:r>
      <w:r w:rsidRPr="00227A8F">
        <w:rPr>
          <w:rFonts w:hint="eastAsia"/>
          <w:noProof w:val="0"/>
          <w:kern w:val="2"/>
          <w:sz w:val="21"/>
        </w:rPr>
        <w:t>困惑度</w:t>
      </w:r>
      <w:r w:rsidRPr="00227A8F">
        <w:rPr>
          <w:rFonts w:hint="eastAsia"/>
          <w:noProof w:val="0"/>
          <w:kern w:val="2"/>
          <w:sz w:val="21"/>
        </w:rPr>
        <w:t>-</w:t>
      </w:r>
      <w:r w:rsidRPr="00227A8F">
        <w:rPr>
          <w:rFonts w:hint="eastAsia"/>
          <w:noProof w:val="0"/>
          <w:kern w:val="2"/>
          <w:sz w:val="21"/>
        </w:rPr>
        <w:t>主题数折线图</w:t>
      </w:r>
      <w:bookmarkEnd w:id="11"/>
      <w:r w:rsidR="00BB6319">
        <w:drawing>
          <wp:inline distT="0" distB="0" distL="0" distR="0" wp14:anchorId="19A2E2E4" wp14:editId="5AF41C9C">
            <wp:extent cx="1804947" cy="1482849"/>
            <wp:effectExtent l="0" t="0" r="5080" b="3175"/>
            <wp:docPr id="193224745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8" cstate="hqprint">
                      <a:extLst>
                        <a:ext uri="{28A0092B-C50C-407E-A947-70E740481C1C}">
                          <a14:useLocalDpi xmlns:a14="http://schemas.microsoft.com/office/drawing/2010/main"/>
                        </a:ext>
                      </a:extLst>
                    </a:blip>
                    <a:srcRect t="3836" b="3627"/>
                    <a:stretch/>
                  </pic:blipFill>
                  <pic:spPr bwMode="auto">
                    <a:xfrm>
                      <a:off x="0" y="0"/>
                      <a:ext cx="1823278" cy="1497909"/>
                    </a:xfrm>
                    <a:prstGeom prst="rect">
                      <a:avLst/>
                    </a:prstGeom>
                    <a:noFill/>
                    <a:ln>
                      <a:noFill/>
                    </a:ln>
                    <a:extLst>
                      <a:ext uri="{53640926-AAD7-44D8-BBD7-CCE9431645EC}">
                        <a14:shadowObscured xmlns:a14="http://schemas.microsoft.com/office/drawing/2010/main"/>
                      </a:ext>
                    </a:extLst>
                  </pic:spPr>
                </pic:pic>
              </a:graphicData>
            </a:graphic>
          </wp:inline>
        </w:drawing>
      </w:r>
    </w:p>
    <w:p w14:paraId="1C9F7FF4" w14:textId="39C96A5D" w:rsidR="00BB6319" w:rsidRDefault="00227A8F" w:rsidP="00BB6319">
      <w:pPr>
        <w:ind w:firstLineChars="0" w:firstLine="0"/>
        <w:jc w:val="center"/>
      </w:pPr>
      <w:bookmarkStart w:id="12" w:name="_Ref200093882"/>
      <w:bookmarkStart w:id="13" w:name="_Toc197177812"/>
      <w:r w:rsidRPr="001A6C69">
        <w:rPr>
          <w:rFonts w:hint="eastAsia"/>
        </w:rPr>
        <w:t>图</w:t>
      </w:r>
      <w:r w:rsidRPr="001A6C69">
        <w:rPr>
          <w:rFonts w:hint="eastAsia"/>
        </w:rPr>
        <w:t xml:space="preserve"> </w:t>
      </w:r>
      <w:r w:rsidRPr="001A6C69">
        <w:fldChar w:fldCharType="begin"/>
      </w:r>
      <w:r w:rsidRPr="001A6C69">
        <w:instrText xml:space="preserve"> </w:instrText>
      </w:r>
      <w:r w:rsidRPr="001A6C69">
        <w:rPr>
          <w:rFonts w:hint="eastAsia"/>
        </w:rPr>
        <w:instrText xml:space="preserve">SEQ </w:instrText>
      </w:r>
      <w:r w:rsidRPr="001A6C69">
        <w:rPr>
          <w:rFonts w:hint="eastAsia"/>
        </w:rPr>
        <w:instrText>图</w:instrText>
      </w:r>
      <w:r w:rsidRPr="001A6C69">
        <w:rPr>
          <w:rFonts w:hint="eastAsia"/>
        </w:rPr>
        <w:instrText xml:space="preserve"> \* ARABIC</w:instrText>
      </w:r>
      <w:r w:rsidRPr="001A6C69">
        <w:instrText xml:space="preserve"> </w:instrText>
      </w:r>
      <w:r w:rsidRPr="001A6C69">
        <w:fldChar w:fldCharType="separate"/>
      </w:r>
      <w:r w:rsidR="000F2689">
        <w:rPr>
          <w:noProof/>
        </w:rPr>
        <w:t>6</w:t>
      </w:r>
      <w:r w:rsidRPr="001A6C69">
        <w:fldChar w:fldCharType="end"/>
      </w:r>
      <w:bookmarkEnd w:id="12"/>
      <w:r>
        <w:rPr>
          <w:rFonts w:hint="eastAsia"/>
        </w:rPr>
        <w:t xml:space="preserve"> </w:t>
      </w:r>
      <w:r w:rsidR="00BB6319">
        <w:rPr>
          <w:rFonts w:hint="eastAsia"/>
        </w:rPr>
        <w:t>一致性</w:t>
      </w:r>
      <w:r w:rsidR="00BB6319">
        <w:rPr>
          <w:rFonts w:hint="eastAsia"/>
        </w:rPr>
        <w:t>-</w:t>
      </w:r>
      <w:r w:rsidR="00BB6319" w:rsidRPr="007F5961">
        <w:rPr>
          <w:rFonts w:hint="eastAsia"/>
        </w:rPr>
        <w:t>主题数折线图</w:t>
      </w:r>
      <w:bookmarkEnd w:id="13"/>
    </w:p>
    <w:p w14:paraId="2DF13DAB" w14:textId="28AAAC9F" w:rsidR="00BB6319" w:rsidRDefault="00BB6319" w:rsidP="00776E20">
      <w:pPr>
        <w:spacing w:beforeLines="50" w:before="156"/>
        <w:ind w:firstLine="420"/>
      </w:pPr>
      <w:r w:rsidRPr="00A6350B">
        <w:rPr>
          <w:rFonts w:hint="eastAsia"/>
        </w:rPr>
        <w:t>本研究</w:t>
      </w:r>
      <w:r>
        <w:rPr>
          <w:rFonts w:hint="eastAsia"/>
        </w:rPr>
        <w:t>计算了</w:t>
      </w:r>
      <w:r w:rsidRPr="00A6350B">
        <w:rPr>
          <w:rFonts w:hint="eastAsia"/>
        </w:rPr>
        <w:t>各主题下关键词的分布概率</w:t>
      </w:r>
      <w:r>
        <w:rPr>
          <w:rFonts w:hint="eastAsia"/>
        </w:rPr>
        <w:t>，选取</w:t>
      </w:r>
      <w:r w:rsidRPr="00A6350B">
        <w:rPr>
          <w:rFonts w:hint="eastAsia"/>
        </w:rPr>
        <w:t>概率</w:t>
      </w:r>
      <w:r>
        <w:rPr>
          <w:rFonts w:hint="eastAsia"/>
        </w:rPr>
        <w:t>排名前十的词语为主题的关键词，结果</w:t>
      </w:r>
      <w:r w:rsidRPr="00A6350B">
        <w:rPr>
          <w:rFonts w:hint="eastAsia"/>
        </w:rPr>
        <w:t>如</w:t>
      </w:r>
      <w:r w:rsidR="00227A8F">
        <w:fldChar w:fldCharType="begin"/>
      </w:r>
      <w:r w:rsidR="00227A8F">
        <w:instrText xml:space="preserve"> </w:instrText>
      </w:r>
      <w:r w:rsidR="00227A8F">
        <w:rPr>
          <w:rFonts w:hint="eastAsia"/>
        </w:rPr>
        <w:instrText>REF _Ref200093924 \h</w:instrText>
      </w:r>
      <w:r w:rsidR="00227A8F">
        <w:instrText xml:space="preserve"> </w:instrText>
      </w:r>
      <w:r w:rsidR="00227A8F">
        <w:fldChar w:fldCharType="separate"/>
      </w:r>
      <w:r w:rsidR="000F2689">
        <w:rPr>
          <w:rFonts w:hint="eastAsia"/>
        </w:rPr>
        <w:t>表</w:t>
      </w:r>
      <w:r w:rsidR="000F2689" w:rsidRPr="00227A8F">
        <w:rPr>
          <w:rFonts w:hint="eastAsia"/>
        </w:rPr>
        <w:t xml:space="preserve"> </w:t>
      </w:r>
      <w:r w:rsidR="000F2689">
        <w:rPr>
          <w:noProof/>
        </w:rPr>
        <w:t>1</w:t>
      </w:r>
      <w:r w:rsidR="00227A8F">
        <w:fldChar w:fldCharType="end"/>
      </w:r>
      <w:r w:rsidRPr="00A6350B">
        <w:rPr>
          <w:rFonts w:hint="eastAsia"/>
        </w:rPr>
        <w:t>所示。</w:t>
      </w:r>
    </w:p>
    <w:p w14:paraId="1AD793FA" w14:textId="6BAF7F1F" w:rsidR="00BB6319" w:rsidRPr="00A6350B" w:rsidRDefault="00227A8F" w:rsidP="00227A8F">
      <w:pPr>
        <w:pStyle w:val="-0"/>
      </w:pPr>
      <w:bookmarkStart w:id="14" w:name="_Ref200093924"/>
      <w:bookmarkStart w:id="15" w:name="_Toc193354242"/>
      <w:r>
        <w:rPr>
          <w:rFonts w:hint="eastAsia"/>
        </w:rPr>
        <w:t>表</w:t>
      </w:r>
      <w:r w:rsidRPr="00227A8F">
        <w:rPr>
          <w:rFonts w:cstheme="minorBidi" w:hint="eastAsia"/>
          <w:kern w:val="2"/>
          <w:sz w:val="21"/>
          <w:szCs w:val="22"/>
        </w:rPr>
        <w:t xml:space="preserve"> </w:t>
      </w:r>
      <w:r w:rsidRPr="00227A8F">
        <w:rPr>
          <w:rFonts w:cstheme="minorBidi"/>
          <w:kern w:val="2"/>
          <w:sz w:val="21"/>
          <w:szCs w:val="22"/>
        </w:rPr>
        <w:fldChar w:fldCharType="begin"/>
      </w:r>
      <w:r w:rsidRPr="00227A8F">
        <w:rPr>
          <w:rFonts w:cstheme="minorBidi"/>
          <w:kern w:val="2"/>
          <w:sz w:val="21"/>
          <w:szCs w:val="22"/>
        </w:rPr>
        <w:instrText xml:space="preserve"> </w:instrText>
      </w:r>
      <w:r w:rsidRPr="00227A8F">
        <w:rPr>
          <w:rFonts w:cstheme="minorBidi" w:hint="eastAsia"/>
          <w:kern w:val="2"/>
          <w:sz w:val="21"/>
          <w:szCs w:val="22"/>
        </w:rPr>
        <w:instrText xml:space="preserve">SEQ </w:instrText>
      </w:r>
      <w:r w:rsidRPr="00227A8F">
        <w:rPr>
          <w:rFonts w:cstheme="minorBidi" w:hint="eastAsia"/>
          <w:kern w:val="2"/>
          <w:sz w:val="21"/>
          <w:szCs w:val="22"/>
        </w:rPr>
        <w:instrText>表</w:instrText>
      </w:r>
      <w:r w:rsidRPr="00227A8F">
        <w:rPr>
          <w:rFonts w:cstheme="minorBidi" w:hint="eastAsia"/>
          <w:kern w:val="2"/>
          <w:sz w:val="21"/>
          <w:szCs w:val="22"/>
        </w:rPr>
        <w:instrText xml:space="preserve"> \* ARABIC</w:instrText>
      </w:r>
      <w:r w:rsidRPr="00227A8F">
        <w:rPr>
          <w:rFonts w:cstheme="minorBidi"/>
          <w:kern w:val="2"/>
          <w:sz w:val="21"/>
          <w:szCs w:val="22"/>
        </w:rPr>
        <w:instrText xml:space="preserve"> </w:instrText>
      </w:r>
      <w:r w:rsidRPr="00227A8F">
        <w:rPr>
          <w:rFonts w:cstheme="minorBidi"/>
          <w:kern w:val="2"/>
          <w:sz w:val="21"/>
          <w:szCs w:val="22"/>
        </w:rPr>
        <w:fldChar w:fldCharType="separate"/>
      </w:r>
      <w:r w:rsidR="000F2689">
        <w:rPr>
          <w:rFonts w:cstheme="minorBidi"/>
          <w:noProof/>
          <w:kern w:val="2"/>
          <w:sz w:val="21"/>
          <w:szCs w:val="22"/>
        </w:rPr>
        <w:t>1</w:t>
      </w:r>
      <w:r w:rsidRPr="00227A8F">
        <w:rPr>
          <w:rFonts w:cstheme="minorBidi"/>
          <w:kern w:val="2"/>
          <w:sz w:val="21"/>
          <w:szCs w:val="22"/>
        </w:rPr>
        <w:fldChar w:fldCharType="end"/>
      </w:r>
      <w:bookmarkEnd w:id="14"/>
      <w:r w:rsidRPr="00227A8F">
        <w:rPr>
          <w:rFonts w:cstheme="minorBidi" w:hint="eastAsia"/>
          <w:kern w:val="2"/>
          <w:sz w:val="21"/>
          <w:szCs w:val="22"/>
        </w:rPr>
        <w:t xml:space="preserve"> </w:t>
      </w:r>
      <w:r w:rsidR="00BB6319" w:rsidRPr="00227A8F">
        <w:rPr>
          <w:rFonts w:cstheme="minorBidi" w:hint="eastAsia"/>
          <w:kern w:val="2"/>
          <w:sz w:val="21"/>
          <w:szCs w:val="22"/>
        </w:rPr>
        <w:t>LDA</w:t>
      </w:r>
      <w:r w:rsidR="00BB6319" w:rsidRPr="00227A8F">
        <w:rPr>
          <w:rFonts w:cstheme="minorBidi" w:hint="eastAsia"/>
          <w:kern w:val="2"/>
          <w:sz w:val="21"/>
          <w:szCs w:val="22"/>
        </w:rPr>
        <w:t>主题模型分析结果</w:t>
      </w:r>
      <w:bookmarkEnd w:id="15"/>
    </w:p>
    <w:tbl>
      <w:tblPr>
        <w:tblStyle w:val="af2"/>
        <w:tblW w:w="0" w:type="auto"/>
        <w:tblInd w:w="0"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976"/>
        <w:gridCol w:w="3658"/>
      </w:tblGrid>
      <w:tr w:rsidR="00227A8F" w:rsidRPr="002B43B9" w14:paraId="090911BD" w14:textId="77777777" w:rsidTr="00227A8F">
        <w:trPr>
          <w:trHeight w:val="57"/>
        </w:trPr>
        <w:tc>
          <w:tcPr>
            <w:tcW w:w="0" w:type="auto"/>
            <w:tcBorders>
              <w:top w:val="single" w:sz="12" w:space="0" w:color="auto"/>
              <w:bottom w:val="single" w:sz="8" w:space="0" w:color="auto"/>
            </w:tcBorders>
            <w:vAlign w:val="center"/>
          </w:tcPr>
          <w:p w14:paraId="58FA63E3" w14:textId="77777777" w:rsidR="00227A8F" w:rsidRPr="002B43B9" w:rsidRDefault="00227A8F" w:rsidP="00776E20">
            <w:pPr>
              <w:ind w:firstLineChars="0" w:firstLine="0"/>
              <w:jc w:val="center"/>
              <w:rPr>
                <w:b/>
                <w:bCs/>
                <w:szCs w:val="21"/>
              </w:rPr>
            </w:pPr>
            <w:r w:rsidRPr="002B43B9">
              <w:rPr>
                <w:rFonts w:hint="eastAsia"/>
                <w:b/>
                <w:bCs/>
                <w:szCs w:val="21"/>
              </w:rPr>
              <w:t>主题</w:t>
            </w:r>
          </w:p>
        </w:tc>
        <w:tc>
          <w:tcPr>
            <w:tcW w:w="0" w:type="auto"/>
            <w:tcBorders>
              <w:top w:val="single" w:sz="12" w:space="0" w:color="auto"/>
              <w:bottom w:val="single" w:sz="8" w:space="0" w:color="auto"/>
            </w:tcBorders>
            <w:vAlign w:val="center"/>
          </w:tcPr>
          <w:p w14:paraId="18D6F1DB" w14:textId="77777777" w:rsidR="00227A8F" w:rsidRPr="002B43B9" w:rsidRDefault="00227A8F" w:rsidP="00776E20">
            <w:pPr>
              <w:ind w:firstLineChars="0" w:firstLine="0"/>
              <w:jc w:val="center"/>
              <w:rPr>
                <w:b/>
                <w:bCs/>
                <w:szCs w:val="21"/>
              </w:rPr>
            </w:pPr>
            <w:r w:rsidRPr="002B43B9">
              <w:rPr>
                <w:rFonts w:hint="eastAsia"/>
                <w:b/>
                <w:bCs/>
                <w:szCs w:val="21"/>
              </w:rPr>
              <w:t>关键词</w:t>
            </w:r>
          </w:p>
        </w:tc>
      </w:tr>
      <w:tr w:rsidR="00227A8F" w:rsidRPr="002B43B9" w14:paraId="2A1A4992" w14:textId="77777777" w:rsidTr="00227A8F">
        <w:trPr>
          <w:trHeight w:val="57"/>
        </w:trPr>
        <w:tc>
          <w:tcPr>
            <w:tcW w:w="0" w:type="auto"/>
            <w:tcBorders>
              <w:top w:val="single" w:sz="8" w:space="0" w:color="auto"/>
            </w:tcBorders>
          </w:tcPr>
          <w:p w14:paraId="08E1B362" w14:textId="77777777" w:rsidR="00227A8F" w:rsidRPr="002B43B9" w:rsidRDefault="00227A8F" w:rsidP="00776E20">
            <w:pPr>
              <w:pStyle w:val="table"/>
              <w:spacing w:before="0" w:after="0"/>
              <w:rPr>
                <w:sz w:val="21"/>
                <w:szCs w:val="21"/>
              </w:rPr>
            </w:pPr>
            <w:r w:rsidRPr="002B43B9">
              <w:rPr>
                <w:rFonts w:hint="eastAsia"/>
                <w:sz w:val="21"/>
                <w:szCs w:val="21"/>
              </w:rPr>
              <w:t>实施</w:t>
            </w:r>
            <w:r w:rsidRPr="002B43B9">
              <w:rPr>
                <w:sz w:val="21"/>
                <w:szCs w:val="21"/>
              </w:rPr>
              <w:t>一体化管理</w:t>
            </w:r>
          </w:p>
        </w:tc>
        <w:tc>
          <w:tcPr>
            <w:tcW w:w="0" w:type="auto"/>
            <w:tcBorders>
              <w:top w:val="single" w:sz="8" w:space="0" w:color="auto"/>
            </w:tcBorders>
          </w:tcPr>
          <w:p w14:paraId="55AB5CF7" w14:textId="77777777" w:rsidR="00227A8F" w:rsidRPr="002B43B9" w:rsidRDefault="00227A8F" w:rsidP="00776E20">
            <w:pPr>
              <w:pStyle w:val="table"/>
              <w:spacing w:before="0" w:after="0"/>
              <w:jc w:val="both"/>
              <w:rPr>
                <w:sz w:val="21"/>
                <w:szCs w:val="21"/>
              </w:rPr>
            </w:pPr>
            <w:r w:rsidRPr="002B43B9">
              <w:rPr>
                <w:rFonts w:hint="eastAsia"/>
                <w:sz w:val="21"/>
                <w:szCs w:val="21"/>
              </w:rPr>
              <w:t>建设、一体化、基地、政府、发展、水风光、地区、加快、能源、重点</w:t>
            </w:r>
          </w:p>
        </w:tc>
      </w:tr>
      <w:tr w:rsidR="00227A8F" w:rsidRPr="002B43B9" w14:paraId="3EA41CE5" w14:textId="77777777" w:rsidTr="00227A8F">
        <w:trPr>
          <w:trHeight w:val="57"/>
        </w:trPr>
        <w:tc>
          <w:tcPr>
            <w:tcW w:w="0" w:type="auto"/>
          </w:tcPr>
          <w:p w14:paraId="0AB71A83" w14:textId="77777777" w:rsidR="00227A8F" w:rsidRPr="002B43B9" w:rsidRDefault="00227A8F" w:rsidP="00776E20">
            <w:pPr>
              <w:pStyle w:val="table"/>
              <w:spacing w:before="0" w:after="0"/>
              <w:rPr>
                <w:sz w:val="21"/>
                <w:szCs w:val="21"/>
              </w:rPr>
            </w:pPr>
            <w:r w:rsidRPr="002B43B9">
              <w:rPr>
                <w:rFonts w:hint="eastAsia"/>
                <w:sz w:val="21"/>
                <w:szCs w:val="21"/>
              </w:rPr>
              <w:t>关注外部需求</w:t>
            </w:r>
          </w:p>
        </w:tc>
        <w:tc>
          <w:tcPr>
            <w:tcW w:w="0" w:type="auto"/>
          </w:tcPr>
          <w:p w14:paraId="2D80BB74" w14:textId="77777777" w:rsidR="00227A8F" w:rsidRPr="002B43B9" w:rsidRDefault="00227A8F" w:rsidP="00776E20">
            <w:pPr>
              <w:pStyle w:val="table"/>
              <w:spacing w:before="0" w:after="0"/>
              <w:jc w:val="both"/>
              <w:rPr>
                <w:sz w:val="21"/>
                <w:szCs w:val="21"/>
              </w:rPr>
            </w:pPr>
            <w:r w:rsidRPr="002B43B9">
              <w:rPr>
                <w:sz w:val="21"/>
                <w:szCs w:val="21"/>
              </w:rPr>
              <w:t>社会效益、经济效益、要求、绿色、行业、政府、农村、发展、清洁能源、建设</w:t>
            </w:r>
          </w:p>
        </w:tc>
      </w:tr>
      <w:tr w:rsidR="00227A8F" w:rsidRPr="002B43B9" w14:paraId="5868393E" w14:textId="77777777" w:rsidTr="00227A8F">
        <w:trPr>
          <w:trHeight w:val="57"/>
        </w:trPr>
        <w:tc>
          <w:tcPr>
            <w:tcW w:w="0" w:type="auto"/>
          </w:tcPr>
          <w:p w14:paraId="3504D781" w14:textId="77777777" w:rsidR="00227A8F" w:rsidRPr="002B43B9" w:rsidRDefault="00227A8F" w:rsidP="00776E20">
            <w:pPr>
              <w:pStyle w:val="table"/>
              <w:spacing w:before="0" w:after="0"/>
              <w:rPr>
                <w:sz w:val="21"/>
                <w:szCs w:val="21"/>
              </w:rPr>
            </w:pPr>
            <w:r w:rsidRPr="002B43B9">
              <w:rPr>
                <w:rFonts w:hint="eastAsia"/>
                <w:sz w:val="21"/>
                <w:szCs w:val="21"/>
              </w:rPr>
              <w:t>健全</w:t>
            </w:r>
            <w:r w:rsidRPr="002B43B9">
              <w:rPr>
                <w:sz w:val="21"/>
                <w:szCs w:val="21"/>
              </w:rPr>
              <w:t>管理</w:t>
            </w:r>
            <w:r w:rsidRPr="002B43B9">
              <w:rPr>
                <w:rFonts w:hint="eastAsia"/>
                <w:sz w:val="21"/>
                <w:szCs w:val="21"/>
              </w:rPr>
              <w:t>体系</w:t>
            </w:r>
          </w:p>
        </w:tc>
        <w:tc>
          <w:tcPr>
            <w:tcW w:w="0" w:type="auto"/>
          </w:tcPr>
          <w:p w14:paraId="15CC4463" w14:textId="77777777" w:rsidR="00227A8F" w:rsidRPr="002B43B9" w:rsidRDefault="00227A8F" w:rsidP="00776E20">
            <w:pPr>
              <w:pStyle w:val="table"/>
              <w:spacing w:before="0" w:after="0"/>
              <w:jc w:val="both"/>
              <w:rPr>
                <w:sz w:val="21"/>
                <w:szCs w:val="21"/>
              </w:rPr>
            </w:pPr>
            <w:r w:rsidRPr="002B43B9">
              <w:rPr>
                <w:sz w:val="21"/>
                <w:szCs w:val="21"/>
              </w:rPr>
              <w:t>制度、建立、体系、管控、加强、发展、运营、帮助、力度、业主</w:t>
            </w:r>
          </w:p>
        </w:tc>
      </w:tr>
      <w:tr w:rsidR="00227A8F" w:rsidRPr="002B43B9" w14:paraId="4997D24A" w14:textId="77777777" w:rsidTr="00227A8F">
        <w:trPr>
          <w:trHeight w:val="57"/>
        </w:trPr>
        <w:tc>
          <w:tcPr>
            <w:tcW w:w="0" w:type="auto"/>
          </w:tcPr>
          <w:p w14:paraId="21F10DB9" w14:textId="77777777" w:rsidR="00227A8F" w:rsidRPr="002B43B9" w:rsidRDefault="00227A8F" w:rsidP="00776E20">
            <w:pPr>
              <w:pStyle w:val="table"/>
              <w:spacing w:before="0" w:after="0"/>
              <w:rPr>
                <w:sz w:val="21"/>
                <w:szCs w:val="21"/>
              </w:rPr>
            </w:pPr>
            <w:r w:rsidRPr="002B43B9">
              <w:rPr>
                <w:rFonts w:hint="eastAsia"/>
                <w:sz w:val="21"/>
                <w:szCs w:val="21"/>
              </w:rPr>
              <w:t>攻克技术瓶颈</w:t>
            </w:r>
          </w:p>
        </w:tc>
        <w:tc>
          <w:tcPr>
            <w:tcW w:w="0" w:type="auto"/>
          </w:tcPr>
          <w:p w14:paraId="37A82B74" w14:textId="77777777" w:rsidR="00227A8F" w:rsidRPr="002B43B9" w:rsidRDefault="00227A8F" w:rsidP="00776E20">
            <w:pPr>
              <w:pStyle w:val="table"/>
              <w:spacing w:before="0" w:after="0"/>
              <w:jc w:val="both"/>
              <w:rPr>
                <w:sz w:val="21"/>
                <w:szCs w:val="21"/>
              </w:rPr>
            </w:pPr>
            <w:r w:rsidRPr="002B43B9">
              <w:rPr>
                <w:sz w:val="21"/>
                <w:szCs w:val="21"/>
              </w:rPr>
              <w:t>环节、行业、电网、工程、负责、人才、经验、施工、负责人、搭建</w:t>
            </w:r>
          </w:p>
        </w:tc>
      </w:tr>
    </w:tbl>
    <w:p w14:paraId="606B2FDB" w14:textId="77777777" w:rsidR="00BB6319" w:rsidRDefault="00BB6319" w:rsidP="00776E20">
      <w:pPr>
        <w:spacing w:beforeLines="50" w:before="156"/>
        <w:ind w:firstLine="420"/>
      </w:pPr>
      <w:r w:rsidRPr="00E12A9A">
        <w:rPr>
          <w:rFonts w:hint="eastAsia"/>
        </w:rPr>
        <w:t>根据</w:t>
      </w:r>
      <w:r w:rsidRPr="00E12A9A">
        <w:rPr>
          <w:rFonts w:hint="eastAsia"/>
        </w:rPr>
        <w:t>LDA</w:t>
      </w:r>
      <w:r w:rsidRPr="00E12A9A">
        <w:rPr>
          <w:rFonts w:hint="eastAsia"/>
        </w:rPr>
        <w:t>主题模型分析结果，利益相关方对清洁能源基地管理的需求可归纳为四个方面：实施一体化管理、关注外部需求、健全管理体系以及攻克技术瓶颈。具体论述如下：</w:t>
      </w:r>
    </w:p>
    <w:p w14:paraId="0B17CFA2" w14:textId="5DF6845D" w:rsidR="00BB6319" w:rsidRDefault="00BB6319" w:rsidP="00BB6319">
      <w:pPr>
        <w:ind w:firstLine="420"/>
      </w:pPr>
      <w:r>
        <w:rPr>
          <w:rFonts w:hint="eastAsia"/>
        </w:rPr>
        <w:t>（</w:t>
      </w:r>
      <w:r>
        <w:rPr>
          <w:rFonts w:hint="eastAsia"/>
        </w:rPr>
        <w:t>1</w:t>
      </w:r>
      <w:r>
        <w:rPr>
          <w:rFonts w:hint="eastAsia"/>
        </w:rPr>
        <w:t>）实施一体化管理：清洁能源基地涉及水电、风电、光伏、储能等多种能源工程建设，</w:t>
      </w:r>
      <w:r w:rsidRPr="005E39AF">
        <w:rPr>
          <w:rFonts w:hint="eastAsia"/>
        </w:rPr>
        <w:t>需</w:t>
      </w:r>
      <w:r w:rsidRPr="00B632E3">
        <w:rPr>
          <w:rFonts w:hint="eastAsia"/>
        </w:rPr>
        <w:t>实现</w:t>
      </w:r>
      <w:r>
        <w:rPr>
          <w:rFonts w:hint="eastAsia"/>
        </w:rPr>
        <w:t>各项目间</w:t>
      </w:r>
      <w:r w:rsidRPr="00B632E3">
        <w:rPr>
          <w:rFonts w:hint="eastAsia"/>
        </w:rPr>
        <w:t>的</w:t>
      </w:r>
      <w:r>
        <w:rPr>
          <w:rFonts w:hint="eastAsia"/>
        </w:rPr>
        <w:t>统筹管理与协同开发</w:t>
      </w:r>
      <w:r w:rsidRPr="00030EFC">
        <w:rPr>
          <w:rFonts w:hint="eastAsia"/>
        </w:rPr>
        <w:t>。</w:t>
      </w:r>
      <w:r>
        <w:rPr>
          <w:rFonts w:hint="eastAsia"/>
        </w:rPr>
        <w:t>此外，一体化管理也</w:t>
      </w:r>
      <w:r w:rsidRPr="00B632E3">
        <w:rPr>
          <w:rFonts w:hint="eastAsia"/>
        </w:rPr>
        <w:t>需建立建设单位、政府与当地</w:t>
      </w:r>
      <w:r>
        <w:rPr>
          <w:rFonts w:hint="eastAsia"/>
        </w:rPr>
        <w:t>居民等相关方</w:t>
      </w:r>
      <w:r w:rsidRPr="00B632E3">
        <w:rPr>
          <w:rFonts w:hint="eastAsia"/>
        </w:rPr>
        <w:t>间的合作</w:t>
      </w:r>
      <w:r>
        <w:rPr>
          <w:rFonts w:hint="eastAsia"/>
        </w:rPr>
        <w:t>关系。</w:t>
      </w:r>
    </w:p>
    <w:p w14:paraId="2B8542FC" w14:textId="5540D35A" w:rsidR="00BB6319" w:rsidRDefault="00BB6319" w:rsidP="00BB6319">
      <w:pPr>
        <w:ind w:firstLine="420"/>
      </w:pPr>
      <w:r>
        <w:rPr>
          <w:rFonts w:hint="eastAsia"/>
        </w:rPr>
        <w:t>（</w:t>
      </w:r>
      <w:r>
        <w:rPr>
          <w:rFonts w:hint="eastAsia"/>
        </w:rPr>
        <w:t>2</w:t>
      </w:r>
      <w:r>
        <w:rPr>
          <w:rFonts w:hint="eastAsia"/>
        </w:rPr>
        <w:t>）</w:t>
      </w:r>
      <w:r w:rsidRPr="00030EFC">
        <w:rPr>
          <w:rFonts w:hint="eastAsia"/>
        </w:rPr>
        <w:t>关注外部需求</w:t>
      </w:r>
      <w:r>
        <w:rPr>
          <w:rFonts w:hint="eastAsia"/>
        </w:rPr>
        <w:t>：</w:t>
      </w:r>
      <w:r w:rsidRPr="00B632E3">
        <w:rPr>
          <w:rFonts w:hint="eastAsia"/>
        </w:rPr>
        <w:t>清洁能源基地开发受到政策、市场及社会需求的共同驱动，其目标不仅限于满足能源产业自身的发展，还需兼顾社会、经济及环境效益</w:t>
      </w:r>
      <w:r>
        <w:rPr>
          <w:rFonts w:hint="eastAsia"/>
        </w:rPr>
        <w:t>。</w:t>
      </w:r>
    </w:p>
    <w:p w14:paraId="32677BD0" w14:textId="32F90F4B" w:rsidR="00BB6319" w:rsidRDefault="00BB6319" w:rsidP="00BB6319">
      <w:pPr>
        <w:ind w:firstLine="420"/>
      </w:pPr>
      <w:r>
        <w:rPr>
          <w:rFonts w:hint="eastAsia"/>
        </w:rPr>
        <w:t>（</w:t>
      </w:r>
      <w:r>
        <w:rPr>
          <w:rFonts w:hint="eastAsia"/>
        </w:rPr>
        <w:t>3</w:t>
      </w:r>
      <w:r>
        <w:rPr>
          <w:rFonts w:hint="eastAsia"/>
        </w:rPr>
        <w:t>）</w:t>
      </w:r>
      <w:r w:rsidRPr="00030EFC">
        <w:rPr>
          <w:rFonts w:hint="eastAsia"/>
        </w:rPr>
        <w:t>健全管理体系</w:t>
      </w:r>
      <w:r>
        <w:rPr>
          <w:rFonts w:hint="eastAsia"/>
        </w:rPr>
        <w:t>：清洁能源基地涉及多个子项目与相关方，管理难度较大。因此，需制定健全的管理体系，</w:t>
      </w:r>
      <w:r w:rsidRPr="00030EFC">
        <w:rPr>
          <w:rFonts w:hint="eastAsia"/>
        </w:rPr>
        <w:t>涵盖项目立项、建设到运行维护的全生命周期</w:t>
      </w:r>
      <w:r w:rsidRPr="00B632E3">
        <w:rPr>
          <w:rFonts w:hint="eastAsia"/>
        </w:rPr>
        <w:t>，并明确各</w:t>
      </w:r>
      <w:r>
        <w:rPr>
          <w:rFonts w:hint="eastAsia"/>
        </w:rPr>
        <w:t>利益相关方</w:t>
      </w:r>
      <w:r w:rsidRPr="00B632E3">
        <w:rPr>
          <w:rFonts w:hint="eastAsia"/>
        </w:rPr>
        <w:t>责权</w:t>
      </w:r>
      <w:r w:rsidRPr="00030EFC">
        <w:rPr>
          <w:rFonts w:hint="eastAsia"/>
        </w:rPr>
        <w:t>，以提高管理效率和风险应对能力。</w:t>
      </w:r>
    </w:p>
    <w:p w14:paraId="5C1A13CB" w14:textId="4A85FF3B" w:rsidR="00BB6319" w:rsidRPr="00BB6319" w:rsidRDefault="00BB6319" w:rsidP="00BB6319">
      <w:pPr>
        <w:ind w:firstLine="420"/>
      </w:pPr>
      <w:r>
        <w:rPr>
          <w:rFonts w:hint="eastAsia"/>
        </w:rPr>
        <w:t>（</w:t>
      </w:r>
      <w:r>
        <w:rPr>
          <w:rFonts w:hint="eastAsia"/>
        </w:rPr>
        <w:t>4</w:t>
      </w:r>
      <w:r>
        <w:rPr>
          <w:rFonts w:hint="eastAsia"/>
        </w:rPr>
        <w:t>）攻克技术瓶颈：</w:t>
      </w:r>
      <w:r w:rsidRPr="00B632E3">
        <w:rPr>
          <w:rFonts w:hint="eastAsia"/>
        </w:rPr>
        <w:t>清洁能源基地在规划、设计、施工及运维等环节面临技术挑战，涵盖</w:t>
      </w:r>
      <w:r>
        <w:rPr>
          <w:rFonts w:hint="eastAsia"/>
        </w:rPr>
        <w:t>复杂地质条件、</w:t>
      </w:r>
      <w:r w:rsidRPr="00B632E3">
        <w:rPr>
          <w:rFonts w:hint="eastAsia"/>
        </w:rPr>
        <w:t>多能互补系统、新型电力系统、储能技术应用等领域</w:t>
      </w:r>
      <w:r>
        <w:rPr>
          <w:rFonts w:hint="eastAsia"/>
        </w:rPr>
        <w:t>。</w:t>
      </w:r>
    </w:p>
    <w:p w14:paraId="25E9B437" w14:textId="394E406D" w:rsidR="001861F8" w:rsidRDefault="002B43B9" w:rsidP="001861F8">
      <w:pPr>
        <w:pStyle w:val="2"/>
      </w:pPr>
      <w:r w:rsidRPr="002B43B9">
        <w:rPr>
          <w:rFonts w:hint="eastAsia"/>
        </w:rPr>
        <w:t>清洁能源基地开发外部条件</w:t>
      </w:r>
    </w:p>
    <w:p w14:paraId="7EA9E05D" w14:textId="384C8205" w:rsidR="006C0984" w:rsidRPr="003E17F3" w:rsidRDefault="002B43B9" w:rsidP="002B43B9">
      <w:pPr>
        <w:ind w:firstLine="420"/>
        <w:rPr>
          <w:szCs w:val="21"/>
        </w:rPr>
      </w:pPr>
      <w:r w:rsidRPr="005F1811">
        <w:rPr>
          <w:rFonts w:hint="eastAsia"/>
        </w:rPr>
        <w:t>清洁能源基地开发外部条件</w:t>
      </w:r>
      <w:r w:rsidRPr="00541135">
        <w:rPr>
          <w:rFonts w:hint="eastAsia"/>
        </w:rPr>
        <w:t>情况</w:t>
      </w:r>
      <w:r w:rsidRPr="00A018AF">
        <w:rPr>
          <w:rFonts w:cs="Times New Roman"/>
        </w:rPr>
        <w:t>如</w:t>
      </w:r>
      <w:r>
        <w:rPr>
          <w:rFonts w:cs="Times New Roman"/>
        </w:rPr>
        <w:fldChar w:fldCharType="begin"/>
      </w:r>
      <w:r>
        <w:rPr>
          <w:rFonts w:cs="Times New Roman"/>
        </w:rPr>
        <w:instrText xml:space="preserve"> REF _Ref174628457 \h </w:instrText>
      </w:r>
      <w:r>
        <w:rPr>
          <w:rFonts w:cs="Times New Roman"/>
        </w:rPr>
      </w:r>
      <w:r>
        <w:rPr>
          <w:rFonts w:cs="Times New Roman"/>
        </w:rPr>
        <w:fldChar w:fldCharType="separate"/>
      </w:r>
      <w:r w:rsidR="000F2689">
        <w:rPr>
          <w:rFonts w:hint="eastAsia"/>
        </w:rPr>
        <w:t>表</w:t>
      </w:r>
      <w:r w:rsidR="000F2689">
        <w:rPr>
          <w:rFonts w:hint="eastAsia"/>
        </w:rPr>
        <w:t xml:space="preserve"> </w:t>
      </w:r>
      <w:r w:rsidR="000F2689">
        <w:rPr>
          <w:noProof/>
        </w:rPr>
        <w:t>2</w:t>
      </w:r>
      <w:r>
        <w:rPr>
          <w:rFonts w:cs="Times New Roman"/>
        </w:rPr>
        <w:fldChar w:fldCharType="end"/>
      </w:r>
      <w:r w:rsidRPr="00541135">
        <w:rPr>
          <w:rFonts w:hint="eastAsia"/>
        </w:rPr>
        <w:t>所示。其中，</w:t>
      </w:r>
      <w:r w:rsidRPr="00541135">
        <w:rPr>
          <w:rFonts w:hint="eastAsia"/>
        </w:rPr>
        <w:t>1</w:t>
      </w:r>
      <w:r w:rsidRPr="00541135">
        <w:rPr>
          <w:rFonts w:hint="eastAsia"/>
        </w:rPr>
        <w:t>分表示</w:t>
      </w:r>
      <w:r>
        <w:rPr>
          <w:rFonts w:hint="eastAsia"/>
        </w:rPr>
        <w:t>很</w:t>
      </w:r>
      <w:r w:rsidRPr="00541135">
        <w:rPr>
          <w:rFonts w:hint="eastAsia"/>
        </w:rPr>
        <w:t>不符合，</w:t>
      </w:r>
      <w:r w:rsidRPr="00541135">
        <w:rPr>
          <w:rFonts w:hint="eastAsia"/>
        </w:rPr>
        <w:t>5</w:t>
      </w:r>
      <w:r w:rsidRPr="00541135">
        <w:rPr>
          <w:rFonts w:hint="eastAsia"/>
        </w:rPr>
        <w:t>分表示</w:t>
      </w:r>
      <w:r>
        <w:rPr>
          <w:rFonts w:hint="eastAsia"/>
        </w:rPr>
        <w:t>非常</w:t>
      </w:r>
      <w:r w:rsidRPr="00541135">
        <w:rPr>
          <w:rFonts w:hint="eastAsia"/>
        </w:rPr>
        <w:t>符合。</w:t>
      </w:r>
    </w:p>
    <w:p w14:paraId="27756C9E" w14:textId="22D8834E" w:rsidR="00D07D28" w:rsidRDefault="00D07D28" w:rsidP="00EB718D">
      <w:pPr>
        <w:pStyle w:val="afa"/>
        <w:keepNext/>
        <w:spacing w:beforeLines="50" w:before="156"/>
      </w:pPr>
      <w:bookmarkStart w:id="16" w:name="_Ref174628457"/>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0F2689">
        <w:rPr>
          <w:noProof/>
        </w:rPr>
        <w:t>2</w:t>
      </w:r>
      <w:r>
        <w:fldChar w:fldCharType="end"/>
      </w:r>
      <w:bookmarkEnd w:id="16"/>
      <w:r>
        <w:rPr>
          <w:rFonts w:hint="eastAsia"/>
        </w:rPr>
        <w:t xml:space="preserve"> </w:t>
      </w:r>
      <w:r w:rsidR="002B43B9" w:rsidRPr="002B43B9">
        <w:rPr>
          <w:rFonts w:hint="eastAsia"/>
        </w:rPr>
        <w:t>清洁能源基地开发外部条件评价</w:t>
      </w:r>
    </w:p>
    <w:tbl>
      <w:tblPr>
        <w:tblStyle w:val="22"/>
        <w:tblW w:w="5000" w:type="pct"/>
        <w:tblLook w:val="0660" w:firstRow="1" w:lastRow="1" w:firstColumn="0" w:lastColumn="0" w:noHBand="1" w:noVBand="1"/>
      </w:tblPr>
      <w:tblGrid>
        <w:gridCol w:w="3112"/>
        <w:gridCol w:w="791"/>
        <w:gridCol w:w="731"/>
      </w:tblGrid>
      <w:tr w:rsidR="00D07D28" w:rsidRPr="00401099" w14:paraId="6D1AE89F" w14:textId="77777777" w:rsidTr="002B43B9">
        <w:trPr>
          <w:cnfStyle w:val="100000000000" w:firstRow="1" w:lastRow="0" w:firstColumn="0" w:lastColumn="0" w:oddVBand="0" w:evenVBand="0" w:oddHBand="0" w:evenHBand="0" w:firstRowFirstColumn="0" w:firstRowLastColumn="0" w:lastRowFirstColumn="0" w:lastRowLastColumn="0"/>
          <w:trHeight w:val="283"/>
        </w:trPr>
        <w:tc>
          <w:tcPr>
            <w:tcW w:w="3358" w:type="pct"/>
            <w:vAlign w:val="center"/>
            <w:hideMark/>
          </w:tcPr>
          <w:p w14:paraId="00929172" w14:textId="77777777" w:rsidR="00D07D28" w:rsidRPr="00401099" w:rsidRDefault="00D07D28" w:rsidP="00304090">
            <w:pPr>
              <w:pStyle w:val="af0"/>
              <w:spacing w:line="240" w:lineRule="atLeast"/>
              <w:jc w:val="center"/>
              <w:rPr>
                <w:rFonts w:ascii="Times New Roman" w:eastAsia="宋体" w:hAnsi="Times New Roman"/>
                <w:bCs w:val="0"/>
                <w:sz w:val="21"/>
                <w:szCs w:val="21"/>
              </w:rPr>
            </w:pPr>
            <w:r w:rsidRPr="00401099">
              <w:rPr>
                <w:rFonts w:ascii="Times New Roman" w:eastAsia="宋体" w:hAnsi="Times New Roman" w:hint="eastAsia"/>
                <w:bCs w:val="0"/>
                <w:sz w:val="21"/>
                <w:szCs w:val="21"/>
              </w:rPr>
              <w:t>指标</w:t>
            </w:r>
          </w:p>
        </w:tc>
        <w:tc>
          <w:tcPr>
            <w:tcW w:w="853" w:type="pct"/>
            <w:vAlign w:val="center"/>
            <w:hideMark/>
          </w:tcPr>
          <w:p w14:paraId="11E2719F" w14:textId="77777777" w:rsidR="00D07D28" w:rsidRPr="00401099" w:rsidRDefault="00D07D28" w:rsidP="00304090">
            <w:pPr>
              <w:pStyle w:val="af0"/>
              <w:spacing w:line="240" w:lineRule="atLeast"/>
              <w:jc w:val="center"/>
              <w:rPr>
                <w:rFonts w:ascii="Times New Roman" w:eastAsia="宋体" w:hAnsi="Times New Roman"/>
                <w:bCs w:val="0"/>
                <w:sz w:val="21"/>
                <w:szCs w:val="21"/>
              </w:rPr>
            </w:pPr>
            <w:r w:rsidRPr="00401099">
              <w:rPr>
                <w:rFonts w:ascii="Times New Roman" w:eastAsia="宋体" w:hAnsi="Times New Roman"/>
                <w:bCs w:val="0"/>
                <w:sz w:val="21"/>
                <w:szCs w:val="21"/>
              </w:rPr>
              <w:t>得分</w:t>
            </w:r>
          </w:p>
        </w:tc>
        <w:tc>
          <w:tcPr>
            <w:tcW w:w="789" w:type="pct"/>
            <w:vAlign w:val="center"/>
            <w:hideMark/>
          </w:tcPr>
          <w:p w14:paraId="372DA4E0" w14:textId="77777777" w:rsidR="00D07D28" w:rsidRPr="00401099" w:rsidRDefault="00D07D28" w:rsidP="00304090">
            <w:pPr>
              <w:pStyle w:val="af0"/>
              <w:spacing w:line="240" w:lineRule="atLeast"/>
              <w:jc w:val="center"/>
              <w:rPr>
                <w:rFonts w:ascii="Times New Roman" w:eastAsia="宋体" w:hAnsi="Times New Roman"/>
                <w:bCs w:val="0"/>
                <w:sz w:val="21"/>
                <w:szCs w:val="21"/>
              </w:rPr>
            </w:pPr>
            <w:r w:rsidRPr="00401099">
              <w:rPr>
                <w:rFonts w:ascii="Times New Roman" w:eastAsia="宋体" w:hAnsi="Times New Roman"/>
                <w:bCs w:val="0"/>
                <w:sz w:val="21"/>
                <w:szCs w:val="21"/>
              </w:rPr>
              <w:t>排序</w:t>
            </w:r>
          </w:p>
        </w:tc>
      </w:tr>
      <w:tr w:rsidR="00CB7B38" w:rsidRPr="00401099" w14:paraId="76687EC2" w14:textId="77777777" w:rsidTr="002B43B9">
        <w:trPr>
          <w:trHeight w:val="283"/>
        </w:trPr>
        <w:tc>
          <w:tcPr>
            <w:tcW w:w="3358" w:type="pct"/>
            <w:vAlign w:val="center"/>
          </w:tcPr>
          <w:p w14:paraId="24688B99" w14:textId="79BE2642" w:rsidR="00CB7B38" w:rsidRPr="00401099" w:rsidRDefault="002B43B9" w:rsidP="00CB7B38">
            <w:pPr>
              <w:pStyle w:val="af0"/>
              <w:spacing w:line="240" w:lineRule="atLeast"/>
              <w:jc w:val="center"/>
              <w:rPr>
                <w:rFonts w:ascii="Times New Roman" w:eastAsia="宋体" w:hAnsi="Times New Roman"/>
                <w:b/>
                <w:sz w:val="21"/>
                <w:szCs w:val="21"/>
              </w:rPr>
            </w:pPr>
            <w:r w:rsidRPr="00401099">
              <w:rPr>
                <w:rFonts w:ascii="Times New Roman" w:eastAsia="宋体" w:hAnsi="Times New Roman" w:hint="eastAsia"/>
                <w:b/>
                <w:sz w:val="21"/>
                <w:szCs w:val="21"/>
              </w:rPr>
              <w:t>自然环境</w:t>
            </w:r>
          </w:p>
        </w:tc>
        <w:tc>
          <w:tcPr>
            <w:tcW w:w="853" w:type="pct"/>
            <w:vAlign w:val="center"/>
          </w:tcPr>
          <w:p w14:paraId="59C03C14" w14:textId="320086A3" w:rsidR="00CB7B38" w:rsidRPr="00401099" w:rsidRDefault="00CB7B38" w:rsidP="00CB7B38">
            <w:pPr>
              <w:pStyle w:val="af0"/>
              <w:spacing w:line="240" w:lineRule="atLeast"/>
              <w:jc w:val="center"/>
              <w:rPr>
                <w:rFonts w:ascii="Times New Roman" w:eastAsia="宋体" w:hAnsi="Times New Roman"/>
                <w:b/>
                <w:sz w:val="21"/>
                <w:szCs w:val="21"/>
              </w:rPr>
            </w:pPr>
          </w:p>
        </w:tc>
        <w:tc>
          <w:tcPr>
            <w:tcW w:w="789" w:type="pct"/>
            <w:vAlign w:val="center"/>
          </w:tcPr>
          <w:p w14:paraId="3ECDC0C1" w14:textId="6F5316E0" w:rsidR="00CB7B38" w:rsidRPr="00401099" w:rsidRDefault="00CB7B38" w:rsidP="00CB7B38">
            <w:pPr>
              <w:pStyle w:val="af0"/>
              <w:spacing w:line="240" w:lineRule="atLeast"/>
              <w:jc w:val="center"/>
              <w:rPr>
                <w:rFonts w:ascii="Times New Roman" w:eastAsia="宋体" w:hAnsi="Times New Roman"/>
                <w:bCs/>
                <w:sz w:val="21"/>
                <w:szCs w:val="21"/>
              </w:rPr>
            </w:pPr>
          </w:p>
        </w:tc>
      </w:tr>
      <w:tr w:rsidR="002B43B9" w:rsidRPr="00401099" w14:paraId="609225F6" w14:textId="77777777" w:rsidTr="002B43B9">
        <w:trPr>
          <w:trHeight w:val="283"/>
        </w:trPr>
        <w:tc>
          <w:tcPr>
            <w:tcW w:w="3358" w:type="pct"/>
            <w:vAlign w:val="center"/>
          </w:tcPr>
          <w:p w14:paraId="55E502A8" w14:textId="25334D58" w:rsidR="002B43B9" w:rsidRPr="00401099" w:rsidRDefault="002B43B9" w:rsidP="002B43B9">
            <w:pPr>
              <w:pStyle w:val="af0"/>
              <w:spacing w:line="240" w:lineRule="atLeast"/>
              <w:rPr>
                <w:rFonts w:ascii="Times New Roman" w:eastAsia="宋体" w:hAnsi="Times New Roman"/>
                <w:bCs/>
                <w:sz w:val="21"/>
                <w:szCs w:val="21"/>
              </w:rPr>
            </w:pPr>
            <w:r w:rsidRPr="00401099">
              <w:rPr>
                <w:rFonts w:hint="eastAsia"/>
                <w:sz w:val="21"/>
                <w:szCs w:val="21"/>
              </w:rPr>
              <w:t>项目所在区域清洁能源资源条件良好</w:t>
            </w:r>
          </w:p>
        </w:tc>
        <w:tc>
          <w:tcPr>
            <w:tcW w:w="853" w:type="pct"/>
            <w:vAlign w:val="center"/>
          </w:tcPr>
          <w:p w14:paraId="4DA3BC13" w14:textId="2FAAE6E2" w:rsidR="002B43B9" w:rsidRPr="00401099" w:rsidRDefault="002B43B9" w:rsidP="002B43B9">
            <w:pPr>
              <w:pStyle w:val="af0"/>
              <w:spacing w:line="240" w:lineRule="atLeast"/>
              <w:jc w:val="center"/>
              <w:rPr>
                <w:rFonts w:ascii="Times New Roman" w:eastAsia="宋体" w:hAnsi="Times New Roman" w:cs="Times New Roman"/>
                <w:bCs/>
                <w:sz w:val="21"/>
                <w:szCs w:val="21"/>
              </w:rPr>
            </w:pPr>
            <w:r w:rsidRPr="00401099">
              <w:rPr>
                <w:rFonts w:ascii="Times New Roman" w:hAnsi="Times New Roman" w:cs="Times New Roman"/>
                <w:color w:val="000000"/>
                <w:sz w:val="21"/>
                <w:szCs w:val="21"/>
              </w:rPr>
              <w:t>4.324</w:t>
            </w:r>
          </w:p>
        </w:tc>
        <w:tc>
          <w:tcPr>
            <w:tcW w:w="789" w:type="pct"/>
            <w:vAlign w:val="center"/>
          </w:tcPr>
          <w:p w14:paraId="1D7304F6" w14:textId="503F71E0" w:rsidR="002B43B9" w:rsidRPr="00401099" w:rsidRDefault="002B43B9" w:rsidP="002B43B9">
            <w:pPr>
              <w:pStyle w:val="af0"/>
              <w:spacing w:line="240" w:lineRule="atLeast"/>
              <w:jc w:val="center"/>
              <w:rPr>
                <w:rFonts w:ascii="Times New Roman" w:eastAsia="宋体" w:hAnsi="Times New Roman" w:cs="Times New Roman"/>
                <w:bCs/>
                <w:sz w:val="21"/>
                <w:szCs w:val="21"/>
              </w:rPr>
            </w:pPr>
            <w:r w:rsidRPr="00401099">
              <w:rPr>
                <w:rFonts w:ascii="Times New Roman" w:hAnsi="Times New Roman" w:cs="Times New Roman"/>
                <w:color w:val="000000"/>
                <w:sz w:val="21"/>
                <w:szCs w:val="21"/>
              </w:rPr>
              <w:t>1</w:t>
            </w:r>
          </w:p>
        </w:tc>
      </w:tr>
      <w:tr w:rsidR="002B43B9" w:rsidRPr="00401099" w14:paraId="15B3B3D2" w14:textId="77777777" w:rsidTr="002B43B9">
        <w:trPr>
          <w:trHeight w:val="283"/>
        </w:trPr>
        <w:tc>
          <w:tcPr>
            <w:tcW w:w="3358" w:type="pct"/>
            <w:vAlign w:val="center"/>
          </w:tcPr>
          <w:p w14:paraId="6001075A" w14:textId="265F0515" w:rsidR="002B43B9" w:rsidRPr="00401099" w:rsidRDefault="002B43B9" w:rsidP="002B43B9">
            <w:pPr>
              <w:pStyle w:val="af0"/>
              <w:spacing w:line="240" w:lineRule="atLeast"/>
              <w:rPr>
                <w:rFonts w:ascii="Times New Roman" w:eastAsia="宋体" w:hAnsi="Times New Roman"/>
                <w:bCs/>
                <w:sz w:val="21"/>
                <w:szCs w:val="21"/>
              </w:rPr>
            </w:pPr>
            <w:r w:rsidRPr="00401099">
              <w:rPr>
                <w:rFonts w:hint="eastAsia"/>
                <w:sz w:val="21"/>
                <w:szCs w:val="21"/>
              </w:rPr>
              <w:t>项目生态环境影响可控</w:t>
            </w:r>
          </w:p>
        </w:tc>
        <w:tc>
          <w:tcPr>
            <w:tcW w:w="853" w:type="pct"/>
            <w:vAlign w:val="center"/>
          </w:tcPr>
          <w:p w14:paraId="2283E356" w14:textId="19C688F7" w:rsidR="002B43B9" w:rsidRPr="00401099" w:rsidRDefault="002B43B9" w:rsidP="002B43B9">
            <w:pPr>
              <w:pStyle w:val="af0"/>
              <w:spacing w:line="240" w:lineRule="atLeast"/>
              <w:jc w:val="center"/>
              <w:rPr>
                <w:rFonts w:ascii="Times New Roman" w:eastAsia="宋体" w:hAnsi="Times New Roman" w:cs="Times New Roman"/>
                <w:bCs/>
                <w:sz w:val="21"/>
                <w:szCs w:val="21"/>
              </w:rPr>
            </w:pPr>
            <w:r w:rsidRPr="00401099">
              <w:rPr>
                <w:rFonts w:ascii="Times New Roman" w:hAnsi="Times New Roman" w:cs="Times New Roman"/>
                <w:color w:val="000000"/>
                <w:sz w:val="21"/>
                <w:szCs w:val="21"/>
              </w:rPr>
              <w:t>4.259</w:t>
            </w:r>
          </w:p>
        </w:tc>
        <w:tc>
          <w:tcPr>
            <w:tcW w:w="789" w:type="pct"/>
            <w:vAlign w:val="center"/>
          </w:tcPr>
          <w:p w14:paraId="38B51357" w14:textId="055E6FAD" w:rsidR="002B43B9" w:rsidRPr="00401099" w:rsidRDefault="002B43B9" w:rsidP="002B43B9">
            <w:pPr>
              <w:pStyle w:val="af0"/>
              <w:spacing w:line="240" w:lineRule="atLeast"/>
              <w:jc w:val="center"/>
              <w:rPr>
                <w:rFonts w:ascii="Times New Roman" w:eastAsia="宋体" w:hAnsi="Times New Roman" w:cs="Times New Roman"/>
                <w:bCs/>
                <w:sz w:val="21"/>
                <w:szCs w:val="21"/>
              </w:rPr>
            </w:pPr>
            <w:r w:rsidRPr="00401099">
              <w:rPr>
                <w:rFonts w:ascii="Times New Roman" w:hAnsi="Times New Roman" w:cs="Times New Roman"/>
                <w:color w:val="000000"/>
                <w:sz w:val="21"/>
                <w:szCs w:val="21"/>
              </w:rPr>
              <w:t>3</w:t>
            </w:r>
          </w:p>
        </w:tc>
      </w:tr>
      <w:tr w:rsidR="002B43B9" w:rsidRPr="00401099" w14:paraId="14126256" w14:textId="77777777" w:rsidTr="002B43B9">
        <w:trPr>
          <w:trHeight w:val="283"/>
        </w:trPr>
        <w:tc>
          <w:tcPr>
            <w:tcW w:w="3358" w:type="pct"/>
            <w:vAlign w:val="center"/>
          </w:tcPr>
          <w:p w14:paraId="2A063025" w14:textId="5B83ABF5" w:rsidR="002B43B9" w:rsidRPr="00401099" w:rsidRDefault="002B43B9" w:rsidP="002B43B9">
            <w:pPr>
              <w:pStyle w:val="af0"/>
              <w:spacing w:line="240" w:lineRule="atLeast"/>
              <w:rPr>
                <w:rFonts w:ascii="Times New Roman" w:eastAsia="宋体" w:hAnsi="Times New Roman"/>
                <w:bCs/>
                <w:sz w:val="21"/>
                <w:szCs w:val="21"/>
              </w:rPr>
            </w:pPr>
            <w:r w:rsidRPr="00401099">
              <w:rPr>
                <w:rFonts w:hint="eastAsia"/>
                <w:sz w:val="21"/>
                <w:szCs w:val="21"/>
              </w:rPr>
              <w:t>项目所在区域水文条件适宜</w:t>
            </w:r>
          </w:p>
        </w:tc>
        <w:tc>
          <w:tcPr>
            <w:tcW w:w="853" w:type="pct"/>
            <w:vAlign w:val="center"/>
          </w:tcPr>
          <w:p w14:paraId="4A71BF67" w14:textId="23973170" w:rsidR="002B43B9" w:rsidRPr="00401099" w:rsidRDefault="002B43B9" w:rsidP="002B43B9">
            <w:pPr>
              <w:pStyle w:val="af0"/>
              <w:spacing w:line="240" w:lineRule="atLeast"/>
              <w:jc w:val="center"/>
              <w:rPr>
                <w:rFonts w:ascii="Times New Roman" w:eastAsia="宋体" w:hAnsi="Times New Roman" w:cs="Times New Roman"/>
                <w:bCs/>
                <w:sz w:val="21"/>
                <w:szCs w:val="21"/>
              </w:rPr>
            </w:pPr>
            <w:r w:rsidRPr="00401099">
              <w:rPr>
                <w:rFonts w:ascii="Times New Roman" w:hAnsi="Times New Roman" w:cs="Times New Roman"/>
                <w:color w:val="000000"/>
                <w:sz w:val="21"/>
                <w:szCs w:val="21"/>
              </w:rPr>
              <w:t>4.229</w:t>
            </w:r>
          </w:p>
        </w:tc>
        <w:tc>
          <w:tcPr>
            <w:tcW w:w="789" w:type="pct"/>
            <w:vAlign w:val="center"/>
          </w:tcPr>
          <w:p w14:paraId="08C8A298" w14:textId="71F4201A" w:rsidR="002B43B9" w:rsidRPr="00401099" w:rsidRDefault="002B43B9" w:rsidP="002B43B9">
            <w:pPr>
              <w:pStyle w:val="af0"/>
              <w:spacing w:line="240" w:lineRule="atLeast"/>
              <w:jc w:val="center"/>
              <w:rPr>
                <w:rFonts w:ascii="Times New Roman" w:eastAsia="宋体" w:hAnsi="Times New Roman" w:cs="Times New Roman"/>
                <w:bCs/>
                <w:sz w:val="21"/>
                <w:szCs w:val="21"/>
              </w:rPr>
            </w:pPr>
            <w:r w:rsidRPr="00401099">
              <w:rPr>
                <w:rFonts w:ascii="Times New Roman" w:hAnsi="Times New Roman" w:cs="Times New Roman"/>
                <w:color w:val="000000"/>
                <w:sz w:val="21"/>
                <w:szCs w:val="21"/>
              </w:rPr>
              <w:t>4</w:t>
            </w:r>
          </w:p>
        </w:tc>
      </w:tr>
      <w:tr w:rsidR="002B43B9" w:rsidRPr="00401099" w14:paraId="55071975" w14:textId="77777777" w:rsidTr="002B43B9">
        <w:trPr>
          <w:trHeight w:val="283"/>
        </w:trPr>
        <w:tc>
          <w:tcPr>
            <w:tcW w:w="3358" w:type="pct"/>
            <w:vAlign w:val="center"/>
          </w:tcPr>
          <w:p w14:paraId="04D98D5F" w14:textId="09CE1A74" w:rsidR="002B43B9" w:rsidRPr="00401099" w:rsidRDefault="002B43B9" w:rsidP="002B43B9">
            <w:pPr>
              <w:pStyle w:val="af0"/>
              <w:spacing w:line="240" w:lineRule="atLeast"/>
              <w:rPr>
                <w:rFonts w:ascii="Times New Roman" w:eastAsia="宋体" w:hAnsi="Times New Roman"/>
                <w:bCs/>
                <w:sz w:val="21"/>
                <w:szCs w:val="21"/>
              </w:rPr>
            </w:pPr>
            <w:r w:rsidRPr="00401099">
              <w:rPr>
                <w:rFonts w:hint="eastAsia"/>
                <w:sz w:val="21"/>
                <w:szCs w:val="21"/>
              </w:rPr>
              <w:t>项目所在区域地形、地质条件适宜</w:t>
            </w:r>
          </w:p>
        </w:tc>
        <w:tc>
          <w:tcPr>
            <w:tcW w:w="853" w:type="pct"/>
            <w:vAlign w:val="center"/>
          </w:tcPr>
          <w:p w14:paraId="29112B16" w14:textId="7A505E4A" w:rsidR="002B43B9" w:rsidRPr="00401099" w:rsidRDefault="002B43B9" w:rsidP="002B43B9">
            <w:pPr>
              <w:pStyle w:val="af0"/>
              <w:spacing w:line="240" w:lineRule="atLeast"/>
              <w:jc w:val="center"/>
              <w:rPr>
                <w:rFonts w:ascii="Times New Roman" w:eastAsia="宋体" w:hAnsi="Times New Roman" w:cs="Times New Roman"/>
                <w:bCs/>
                <w:sz w:val="21"/>
                <w:szCs w:val="21"/>
              </w:rPr>
            </w:pPr>
            <w:r w:rsidRPr="00401099">
              <w:rPr>
                <w:rFonts w:ascii="Times New Roman" w:hAnsi="Times New Roman" w:cs="Times New Roman"/>
                <w:color w:val="000000"/>
                <w:sz w:val="21"/>
                <w:szCs w:val="21"/>
              </w:rPr>
              <w:t>4.051</w:t>
            </w:r>
          </w:p>
        </w:tc>
        <w:tc>
          <w:tcPr>
            <w:tcW w:w="789" w:type="pct"/>
            <w:vAlign w:val="center"/>
          </w:tcPr>
          <w:p w14:paraId="12AEBFF7" w14:textId="3D806BB9" w:rsidR="002B43B9" w:rsidRPr="00401099" w:rsidRDefault="002B43B9" w:rsidP="002B43B9">
            <w:pPr>
              <w:pStyle w:val="af0"/>
              <w:spacing w:line="240" w:lineRule="atLeast"/>
              <w:jc w:val="center"/>
              <w:rPr>
                <w:rFonts w:ascii="Times New Roman" w:eastAsia="宋体" w:hAnsi="Times New Roman" w:cs="Times New Roman"/>
                <w:bCs/>
                <w:sz w:val="21"/>
                <w:szCs w:val="21"/>
              </w:rPr>
            </w:pPr>
            <w:r w:rsidRPr="00401099">
              <w:rPr>
                <w:rFonts w:ascii="Times New Roman" w:hAnsi="Times New Roman" w:cs="Times New Roman"/>
                <w:color w:val="000000"/>
                <w:sz w:val="21"/>
                <w:szCs w:val="21"/>
              </w:rPr>
              <w:t>14</w:t>
            </w:r>
          </w:p>
        </w:tc>
      </w:tr>
      <w:tr w:rsidR="002B43B9" w:rsidRPr="00401099" w14:paraId="08D47D06" w14:textId="77777777" w:rsidTr="002B43B9">
        <w:trPr>
          <w:trHeight w:val="283"/>
        </w:trPr>
        <w:tc>
          <w:tcPr>
            <w:tcW w:w="3358" w:type="pct"/>
            <w:vAlign w:val="center"/>
          </w:tcPr>
          <w:p w14:paraId="2286CE6F" w14:textId="42D99255" w:rsidR="002B43B9" w:rsidRPr="00401099" w:rsidRDefault="002B43B9" w:rsidP="002B43B9">
            <w:pPr>
              <w:pStyle w:val="af0"/>
              <w:spacing w:line="240" w:lineRule="atLeast"/>
              <w:rPr>
                <w:rFonts w:ascii="Times New Roman" w:eastAsia="宋体" w:hAnsi="Times New Roman"/>
                <w:bCs/>
                <w:sz w:val="21"/>
                <w:szCs w:val="21"/>
              </w:rPr>
            </w:pPr>
            <w:r w:rsidRPr="00401099">
              <w:rPr>
                <w:rFonts w:hint="eastAsia"/>
                <w:sz w:val="21"/>
                <w:szCs w:val="21"/>
              </w:rPr>
              <w:t>项目所在区域气候条件适宜</w:t>
            </w:r>
          </w:p>
        </w:tc>
        <w:tc>
          <w:tcPr>
            <w:tcW w:w="853" w:type="pct"/>
            <w:vAlign w:val="center"/>
          </w:tcPr>
          <w:p w14:paraId="28AA2F19" w14:textId="783E3D75" w:rsidR="002B43B9" w:rsidRPr="00401099" w:rsidRDefault="002B43B9" w:rsidP="002B43B9">
            <w:pPr>
              <w:pStyle w:val="af0"/>
              <w:spacing w:line="240" w:lineRule="atLeast"/>
              <w:jc w:val="center"/>
              <w:rPr>
                <w:rFonts w:ascii="Times New Roman" w:eastAsia="宋体" w:hAnsi="Times New Roman" w:cs="Times New Roman"/>
                <w:bCs/>
                <w:sz w:val="21"/>
                <w:szCs w:val="21"/>
              </w:rPr>
            </w:pPr>
            <w:r w:rsidRPr="00401099">
              <w:rPr>
                <w:rFonts w:ascii="Times New Roman" w:hAnsi="Times New Roman" w:cs="Times New Roman"/>
                <w:color w:val="000000"/>
                <w:sz w:val="21"/>
                <w:szCs w:val="21"/>
              </w:rPr>
              <w:t>4.044</w:t>
            </w:r>
          </w:p>
        </w:tc>
        <w:tc>
          <w:tcPr>
            <w:tcW w:w="789" w:type="pct"/>
            <w:vAlign w:val="center"/>
          </w:tcPr>
          <w:p w14:paraId="23DDA375" w14:textId="02B16FCD" w:rsidR="002B43B9" w:rsidRPr="00401099" w:rsidRDefault="002B43B9" w:rsidP="002B43B9">
            <w:pPr>
              <w:pStyle w:val="af0"/>
              <w:spacing w:line="240" w:lineRule="atLeast"/>
              <w:jc w:val="center"/>
              <w:rPr>
                <w:rFonts w:ascii="Times New Roman" w:eastAsia="宋体" w:hAnsi="Times New Roman" w:cs="Times New Roman"/>
                <w:bCs/>
                <w:sz w:val="21"/>
                <w:szCs w:val="21"/>
              </w:rPr>
            </w:pPr>
            <w:r w:rsidRPr="00401099">
              <w:rPr>
                <w:rFonts w:ascii="Times New Roman" w:hAnsi="Times New Roman" w:cs="Times New Roman"/>
                <w:color w:val="000000"/>
                <w:sz w:val="21"/>
                <w:szCs w:val="21"/>
              </w:rPr>
              <w:t>15</w:t>
            </w:r>
          </w:p>
        </w:tc>
      </w:tr>
      <w:tr w:rsidR="002B43B9" w:rsidRPr="00401099" w14:paraId="2F39999C" w14:textId="77777777" w:rsidTr="002B43B9">
        <w:trPr>
          <w:trHeight w:val="283"/>
        </w:trPr>
        <w:tc>
          <w:tcPr>
            <w:tcW w:w="3358" w:type="pct"/>
            <w:vAlign w:val="center"/>
          </w:tcPr>
          <w:p w14:paraId="7D839D46" w14:textId="2FCF9794" w:rsidR="002B43B9" w:rsidRPr="00401099" w:rsidRDefault="002B43B9" w:rsidP="002B43B9">
            <w:pPr>
              <w:pStyle w:val="af0"/>
              <w:spacing w:line="240" w:lineRule="atLeast"/>
              <w:rPr>
                <w:rFonts w:ascii="Times New Roman" w:eastAsia="宋体" w:hAnsi="Times New Roman"/>
                <w:bCs/>
                <w:sz w:val="21"/>
                <w:szCs w:val="21"/>
              </w:rPr>
            </w:pPr>
            <w:r w:rsidRPr="00401099">
              <w:rPr>
                <w:rFonts w:hint="eastAsia"/>
                <w:sz w:val="21"/>
                <w:szCs w:val="21"/>
              </w:rPr>
              <w:t>项目所在区域自然灾害（地震、洪水、滑坡、泥石流等）风险对项目实施影响可控</w:t>
            </w:r>
          </w:p>
        </w:tc>
        <w:tc>
          <w:tcPr>
            <w:tcW w:w="853" w:type="pct"/>
            <w:vAlign w:val="center"/>
          </w:tcPr>
          <w:p w14:paraId="3D358702" w14:textId="06C8A605" w:rsidR="002B43B9" w:rsidRPr="00401099" w:rsidRDefault="002B43B9" w:rsidP="002B43B9">
            <w:pPr>
              <w:pStyle w:val="af0"/>
              <w:spacing w:line="240" w:lineRule="atLeast"/>
              <w:jc w:val="center"/>
              <w:rPr>
                <w:rFonts w:ascii="Times New Roman" w:eastAsia="宋体" w:hAnsi="Times New Roman" w:cs="Times New Roman"/>
                <w:bCs/>
                <w:sz w:val="21"/>
                <w:szCs w:val="21"/>
              </w:rPr>
            </w:pPr>
            <w:r w:rsidRPr="00401099">
              <w:rPr>
                <w:rFonts w:ascii="Times New Roman" w:hAnsi="Times New Roman" w:cs="Times New Roman"/>
                <w:color w:val="000000"/>
                <w:sz w:val="21"/>
                <w:szCs w:val="21"/>
              </w:rPr>
              <w:t>4.017</w:t>
            </w:r>
          </w:p>
        </w:tc>
        <w:tc>
          <w:tcPr>
            <w:tcW w:w="789" w:type="pct"/>
            <w:vAlign w:val="center"/>
          </w:tcPr>
          <w:p w14:paraId="4989316A" w14:textId="6C1ACBE9" w:rsidR="002B43B9" w:rsidRPr="00401099" w:rsidRDefault="002B43B9" w:rsidP="002B43B9">
            <w:pPr>
              <w:pStyle w:val="af0"/>
              <w:spacing w:line="240" w:lineRule="atLeast"/>
              <w:jc w:val="center"/>
              <w:rPr>
                <w:rFonts w:ascii="Times New Roman" w:eastAsia="宋体" w:hAnsi="Times New Roman" w:cs="Times New Roman"/>
                <w:bCs/>
                <w:sz w:val="21"/>
                <w:szCs w:val="21"/>
              </w:rPr>
            </w:pPr>
            <w:r w:rsidRPr="00401099">
              <w:rPr>
                <w:rFonts w:ascii="Times New Roman" w:hAnsi="Times New Roman" w:cs="Times New Roman"/>
                <w:color w:val="000000"/>
                <w:sz w:val="21"/>
                <w:szCs w:val="21"/>
              </w:rPr>
              <w:t>16</w:t>
            </w:r>
          </w:p>
        </w:tc>
      </w:tr>
      <w:tr w:rsidR="00CB7B38" w:rsidRPr="00401099" w14:paraId="2A36A410" w14:textId="77777777" w:rsidTr="002B43B9">
        <w:trPr>
          <w:trHeight w:val="283"/>
        </w:trPr>
        <w:tc>
          <w:tcPr>
            <w:tcW w:w="3358" w:type="pct"/>
            <w:vAlign w:val="center"/>
          </w:tcPr>
          <w:p w14:paraId="730C6988" w14:textId="34E614F1" w:rsidR="00CB7B38" w:rsidRPr="00401099" w:rsidRDefault="002B43B9" w:rsidP="00CB7B38">
            <w:pPr>
              <w:pStyle w:val="af0"/>
              <w:spacing w:line="240" w:lineRule="atLeast"/>
              <w:jc w:val="center"/>
              <w:rPr>
                <w:rFonts w:ascii="Times New Roman" w:eastAsia="宋体" w:hAnsi="Times New Roman"/>
                <w:b/>
                <w:sz w:val="21"/>
                <w:szCs w:val="21"/>
              </w:rPr>
            </w:pPr>
            <w:r w:rsidRPr="00401099">
              <w:rPr>
                <w:rFonts w:ascii="Times New Roman" w:eastAsia="宋体" w:hAnsi="Times New Roman" w:hint="eastAsia"/>
                <w:b/>
                <w:sz w:val="21"/>
                <w:szCs w:val="21"/>
              </w:rPr>
              <w:t>征地移民</w:t>
            </w:r>
          </w:p>
        </w:tc>
        <w:tc>
          <w:tcPr>
            <w:tcW w:w="853" w:type="pct"/>
            <w:vAlign w:val="center"/>
          </w:tcPr>
          <w:p w14:paraId="3E39717B" w14:textId="5F3124CE" w:rsidR="00CB7B38" w:rsidRPr="00401099" w:rsidRDefault="00CB7B38" w:rsidP="00CB7B38">
            <w:pPr>
              <w:pStyle w:val="af0"/>
              <w:spacing w:line="240" w:lineRule="atLeast"/>
              <w:jc w:val="center"/>
              <w:rPr>
                <w:rFonts w:ascii="Times New Roman" w:eastAsia="宋体" w:hAnsi="Times New Roman" w:cs="Times New Roman"/>
                <w:b/>
                <w:sz w:val="21"/>
                <w:szCs w:val="21"/>
              </w:rPr>
            </w:pPr>
          </w:p>
        </w:tc>
        <w:tc>
          <w:tcPr>
            <w:tcW w:w="789" w:type="pct"/>
            <w:vAlign w:val="center"/>
          </w:tcPr>
          <w:p w14:paraId="3CC344E4" w14:textId="77777777" w:rsidR="00CB7B38" w:rsidRPr="00401099" w:rsidRDefault="00CB7B38" w:rsidP="00CB7B38">
            <w:pPr>
              <w:pStyle w:val="af0"/>
              <w:spacing w:line="240" w:lineRule="atLeast"/>
              <w:jc w:val="center"/>
              <w:rPr>
                <w:rFonts w:ascii="Times New Roman" w:eastAsia="宋体" w:hAnsi="Times New Roman" w:cs="Times New Roman"/>
                <w:bCs/>
                <w:sz w:val="21"/>
                <w:szCs w:val="21"/>
              </w:rPr>
            </w:pPr>
          </w:p>
        </w:tc>
      </w:tr>
      <w:tr w:rsidR="002B43B9" w:rsidRPr="00401099" w14:paraId="38F82F2D" w14:textId="77777777" w:rsidTr="002D1967">
        <w:trPr>
          <w:trHeight w:val="283"/>
        </w:trPr>
        <w:tc>
          <w:tcPr>
            <w:tcW w:w="3358" w:type="pct"/>
          </w:tcPr>
          <w:p w14:paraId="20532ACD" w14:textId="49F6D44B" w:rsidR="002B43B9" w:rsidRPr="00401099" w:rsidRDefault="002B43B9" w:rsidP="002B43B9">
            <w:pPr>
              <w:pStyle w:val="af0"/>
              <w:spacing w:line="240" w:lineRule="atLeast"/>
              <w:rPr>
                <w:rFonts w:ascii="Times New Roman" w:eastAsia="宋体" w:hAnsi="Times New Roman"/>
                <w:bCs/>
                <w:sz w:val="21"/>
                <w:szCs w:val="21"/>
              </w:rPr>
            </w:pPr>
            <w:r w:rsidRPr="00401099">
              <w:rPr>
                <w:rFonts w:hint="eastAsia"/>
                <w:sz w:val="21"/>
                <w:szCs w:val="21"/>
              </w:rPr>
              <w:t>移民补偿标准合理</w:t>
            </w:r>
          </w:p>
        </w:tc>
        <w:tc>
          <w:tcPr>
            <w:tcW w:w="853" w:type="pct"/>
            <w:vAlign w:val="center"/>
          </w:tcPr>
          <w:p w14:paraId="319DBEBC" w14:textId="4671D70E" w:rsidR="002B43B9" w:rsidRPr="00401099" w:rsidRDefault="002B43B9" w:rsidP="002B43B9">
            <w:pPr>
              <w:pStyle w:val="af0"/>
              <w:spacing w:line="240" w:lineRule="atLeast"/>
              <w:jc w:val="center"/>
              <w:rPr>
                <w:rFonts w:ascii="Times New Roman" w:eastAsia="宋体" w:hAnsi="Times New Roman" w:cs="Times New Roman"/>
                <w:bCs/>
                <w:sz w:val="21"/>
                <w:szCs w:val="21"/>
              </w:rPr>
            </w:pPr>
            <w:r w:rsidRPr="00401099">
              <w:rPr>
                <w:rFonts w:ascii="Times New Roman" w:hAnsi="Times New Roman" w:cs="Times New Roman"/>
                <w:color w:val="000000"/>
                <w:sz w:val="21"/>
                <w:szCs w:val="21"/>
              </w:rPr>
              <w:t>4.218</w:t>
            </w:r>
          </w:p>
        </w:tc>
        <w:tc>
          <w:tcPr>
            <w:tcW w:w="789" w:type="pct"/>
            <w:vAlign w:val="center"/>
          </w:tcPr>
          <w:p w14:paraId="0BAAF7FC" w14:textId="67AF962A" w:rsidR="002B43B9" w:rsidRPr="00401099" w:rsidRDefault="002B43B9" w:rsidP="002B43B9">
            <w:pPr>
              <w:pStyle w:val="af0"/>
              <w:spacing w:line="240" w:lineRule="atLeast"/>
              <w:jc w:val="center"/>
              <w:rPr>
                <w:rFonts w:ascii="Times New Roman" w:eastAsia="宋体" w:hAnsi="Times New Roman" w:cs="Times New Roman"/>
                <w:bCs/>
                <w:sz w:val="21"/>
                <w:szCs w:val="21"/>
              </w:rPr>
            </w:pPr>
            <w:r w:rsidRPr="00401099">
              <w:rPr>
                <w:rFonts w:ascii="Times New Roman" w:hAnsi="Times New Roman" w:cs="Times New Roman"/>
                <w:color w:val="000000"/>
                <w:sz w:val="21"/>
                <w:szCs w:val="21"/>
              </w:rPr>
              <w:t>5</w:t>
            </w:r>
          </w:p>
        </w:tc>
      </w:tr>
      <w:tr w:rsidR="002B43B9" w:rsidRPr="00401099" w14:paraId="56F59793" w14:textId="77777777" w:rsidTr="002D1967">
        <w:trPr>
          <w:trHeight w:val="283"/>
        </w:trPr>
        <w:tc>
          <w:tcPr>
            <w:tcW w:w="3358" w:type="pct"/>
          </w:tcPr>
          <w:p w14:paraId="2436A6C5" w14:textId="1D3B1EAF" w:rsidR="002B43B9" w:rsidRPr="00401099" w:rsidRDefault="002B43B9" w:rsidP="002B43B9">
            <w:pPr>
              <w:pStyle w:val="af0"/>
              <w:spacing w:line="240" w:lineRule="atLeast"/>
              <w:rPr>
                <w:rFonts w:ascii="Times New Roman" w:eastAsia="宋体" w:hAnsi="Times New Roman"/>
                <w:bCs/>
                <w:sz w:val="21"/>
                <w:szCs w:val="21"/>
              </w:rPr>
            </w:pPr>
            <w:r w:rsidRPr="00401099">
              <w:rPr>
                <w:rFonts w:hint="eastAsia"/>
                <w:sz w:val="21"/>
                <w:szCs w:val="21"/>
              </w:rPr>
              <w:t>移民安置条件良好</w:t>
            </w:r>
          </w:p>
        </w:tc>
        <w:tc>
          <w:tcPr>
            <w:tcW w:w="853" w:type="pct"/>
            <w:vAlign w:val="center"/>
          </w:tcPr>
          <w:p w14:paraId="5FA889BD" w14:textId="6C5F067E" w:rsidR="002B43B9" w:rsidRPr="00401099" w:rsidRDefault="002B43B9" w:rsidP="002B43B9">
            <w:pPr>
              <w:pStyle w:val="af0"/>
              <w:spacing w:line="240" w:lineRule="atLeast"/>
              <w:jc w:val="center"/>
              <w:rPr>
                <w:rFonts w:ascii="Times New Roman" w:eastAsia="宋体" w:hAnsi="Times New Roman" w:cs="Times New Roman"/>
                <w:bCs/>
                <w:sz w:val="21"/>
                <w:szCs w:val="21"/>
              </w:rPr>
            </w:pPr>
            <w:r w:rsidRPr="00401099">
              <w:rPr>
                <w:rFonts w:ascii="Times New Roman" w:hAnsi="Times New Roman" w:cs="Times New Roman"/>
                <w:color w:val="000000"/>
                <w:sz w:val="21"/>
                <w:szCs w:val="21"/>
              </w:rPr>
              <w:t>4.116</w:t>
            </w:r>
          </w:p>
        </w:tc>
        <w:tc>
          <w:tcPr>
            <w:tcW w:w="789" w:type="pct"/>
            <w:vAlign w:val="center"/>
          </w:tcPr>
          <w:p w14:paraId="5FB8FE03" w14:textId="3FB8A9C0" w:rsidR="002B43B9" w:rsidRPr="00401099" w:rsidRDefault="002B43B9" w:rsidP="002B43B9">
            <w:pPr>
              <w:pStyle w:val="af0"/>
              <w:spacing w:line="240" w:lineRule="atLeast"/>
              <w:jc w:val="center"/>
              <w:rPr>
                <w:rFonts w:ascii="Times New Roman" w:eastAsia="宋体" w:hAnsi="Times New Roman" w:cs="Times New Roman"/>
                <w:bCs/>
                <w:sz w:val="21"/>
                <w:szCs w:val="21"/>
              </w:rPr>
            </w:pPr>
            <w:r w:rsidRPr="00401099">
              <w:rPr>
                <w:rFonts w:ascii="Times New Roman" w:hAnsi="Times New Roman" w:cs="Times New Roman"/>
                <w:color w:val="000000"/>
                <w:sz w:val="21"/>
                <w:szCs w:val="21"/>
              </w:rPr>
              <w:t>11</w:t>
            </w:r>
          </w:p>
        </w:tc>
      </w:tr>
      <w:tr w:rsidR="002B43B9" w:rsidRPr="00401099" w14:paraId="2CA32DE2" w14:textId="77777777" w:rsidTr="002D1967">
        <w:trPr>
          <w:trHeight w:val="283"/>
        </w:trPr>
        <w:tc>
          <w:tcPr>
            <w:tcW w:w="3358" w:type="pct"/>
          </w:tcPr>
          <w:p w14:paraId="26C4BE1E" w14:textId="0014E676" w:rsidR="002B43B9" w:rsidRPr="00401099" w:rsidRDefault="002B43B9" w:rsidP="002B43B9">
            <w:pPr>
              <w:pStyle w:val="af0"/>
              <w:spacing w:line="240" w:lineRule="atLeast"/>
              <w:rPr>
                <w:rFonts w:ascii="Times New Roman" w:eastAsia="宋体" w:hAnsi="Times New Roman"/>
                <w:bCs/>
                <w:sz w:val="21"/>
                <w:szCs w:val="21"/>
              </w:rPr>
            </w:pPr>
            <w:r w:rsidRPr="00401099">
              <w:rPr>
                <w:rFonts w:hint="eastAsia"/>
                <w:sz w:val="21"/>
                <w:szCs w:val="21"/>
              </w:rPr>
              <w:t>土地获取条件良好</w:t>
            </w:r>
          </w:p>
        </w:tc>
        <w:tc>
          <w:tcPr>
            <w:tcW w:w="853" w:type="pct"/>
            <w:vAlign w:val="center"/>
          </w:tcPr>
          <w:p w14:paraId="64BE44F6" w14:textId="641DB647" w:rsidR="002B43B9" w:rsidRPr="00401099" w:rsidRDefault="002B43B9" w:rsidP="002B43B9">
            <w:pPr>
              <w:pStyle w:val="af0"/>
              <w:spacing w:line="240" w:lineRule="atLeast"/>
              <w:jc w:val="center"/>
              <w:rPr>
                <w:rFonts w:ascii="Times New Roman" w:eastAsia="宋体" w:hAnsi="Times New Roman" w:cs="Times New Roman"/>
                <w:bCs/>
                <w:sz w:val="21"/>
                <w:szCs w:val="21"/>
              </w:rPr>
            </w:pPr>
            <w:r w:rsidRPr="00401099">
              <w:rPr>
                <w:rFonts w:ascii="Times New Roman" w:hAnsi="Times New Roman" w:cs="Times New Roman"/>
                <w:color w:val="000000"/>
                <w:sz w:val="21"/>
                <w:szCs w:val="21"/>
              </w:rPr>
              <w:t>4.102</w:t>
            </w:r>
          </w:p>
        </w:tc>
        <w:tc>
          <w:tcPr>
            <w:tcW w:w="789" w:type="pct"/>
            <w:vAlign w:val="center"/>
          </w:tcPr>
          <w:p w14:paraId="726876D1" w14:textId="1AFFA222" w:rsidR="002B43B9" w:rsidRPr="00401099" w:rsidRDefault="002B43B9" w:rsidP="002B43B9">
            <w:pPr>
              <w:pStyle w:val="af0"/>
              <w:spacing w:line="240" w:lineRule="atLeast"/>
              <w:jc w:val="center"/>
              <w:rPr>
                <w:rFonts w:ascii="Times New Roman" w:eastAsia="宋体" w:hAnsi="Times New Roman" w:cs="Times New Roman"/>
                <w:bCs/>
                <w:sz w:val="21"/>
                <w:szCs w:val="21"/>
              </w:rPr>
            </w:pPr>
            <w:r w:rsidRPr="00401099">
              <w:rPr>
                <w:rFonts w:ascii="Times New Roman" w:hAnsi="Times New Roman" w:cs="Times New Roman"/>
                <w:color w:val="000000"/>
                <w:sz w:val="21"/>
                <w:szCs w:val="21"/>
              </w:rPr>
              <w:t>12</w:t>
            </w:r>
          </w:p>
        </w:tc>
      </w:tr>
      <w:tr w:rsidR="00CB7B38" w:rsidRPr="00401099" w14:paraId="4F0445CB" w14:textId="77777777" w:rsidTr="002B43B9">
        <w:trPr>
          <w:trHeight w:val="283"/>
        </w:trPr>
        <w:tc>
          <w:tcPr>
            <w:tcW w:w="3358" w:type="pct"/>
            <w:vAlign w:val="center"/>
          </w:tcPr>
          <w:p w14:paraId="38174FA5" w14:textId="616D3062" w:rsidR="00CB7B38" w:rsidRPr="00401099" w:rsidRDefault="002B43B9" w:rsidP="00CB7B38">
            <w:pPr>
              <w:pStyle w:val="af0"/>
              <w:spacing w:line="240" w:lineRule="atLeast"/>
              <w:jc w:val="center"/>
              <w:rPr>
                <w:rFonts w:ascii="Times New Roman" w:eastAsia="宋体" w:hAnsi="Times New Roman"/>
                <w:bCs/>
                <w:sz w:val="21"/>
                <w:szCs w:val="21"/>
              </w:rPr>
            </w:pPr>
            <w:r w:rsidRPr="00401099">
              <w:rPr>
                <w:rFonts w:ascii="Times New Roman" w:eastAsia="宋体" w:hAnsi="Times New Roman" w:hint="eastAsia"/>
                <w:b/>
                <w:sz w:val="21"/>
                <w:szCs w:val="21"/>
              </w:rPr>
              <w:t>配套基础设施</w:t>
            </w:r>
          </w:p>
        </w:tc>
        <w:tc>
          <w:tcPr>
            <w:tcW w:w="853" w:type="pct"/>
            <w:vAlign w:val="center"/>
          </w:tcPr>
          <w:p w14:paraId="71573266" w14:textId="12AB3C73" w:rsidR="00CB7B38" w:rsidRPr="00401099" w:rsidRDefault="00CB7B38" w:rsidP="00CB7B38">
            <w:pPr>
              <w:pStyle w:val="af0"/>
              <w:spacing w:line="240" w:lineRule="atLeast"/>
              <w:jc w:val="center"/>
              <w:rPr>
                <w:rFonts w:ascii="Times New Roman" w:eastAsia="宋体" w:hAnsi="Times New Roman" w:cs="Times New Roman"/>
                <w:b/>
                <w:sz w:val="21"/>
                <w:szCs w:val="21"/>
              </w:rPr>
            </w:pPr>
          </w:p>
        </w:tc>
        <w:tc>
          <w:tcPr>
            <w:tcW w:w="789" w:type="pct"/>
            <w:vAlign w:val="center"/>
          </w:tcPr>
          <w:p w14:paraId="39355B81" w14:textId="77777777" w:rsidR="00CB7B38" w:rsidRPr="00401099" w:rsidRDefault="00CB7B38" w:rsidP="00CB7B38">
            <w:pPr>
              <w:pStyle w:val="af0"/>
              <w:spacing w:line="240" w:lineRule="atLeast"/>
              <w:jc w:val="center"/>
              <w:rPr>
                <w:rFonts w:ascii="Times New Roman" w:eastAsia="宋体" w:hAnsi="Times New Roman" w:cs="Times New Roman"/>
                <w:bCs/>
                <w:sz w:val="21"/>
                <w:szCs w:val="21"/>
              </w:rPr>
            </w:pPr>
          </w:p>
        </w:tc>
      </w:tr>
      <w:tr w:rsidR="002B43B9" w:rsidRPr="00401099" w14:paraId="5D3F97EC" w14:textId="77777777" w:rsidTr="002B43B9">
        <w:trPr>
          <w:trHeight w:val="283"/>
        </w:trPr>
        <w:tc>
          <w:tcPr>
            <w:tcW w:w="3358" w:type="pct"/>
            <w:vAlign w:val="center"/>
          </w:tcPr>
          <w:p w14:paraId="3928B7A6" w14:textId="199AA28F" w:rsidR="002B43B9" w:rsidRPr="00401099" w:rsidRDefault="002B43B9" w:rsidP="002B43B9">
            <w:pPr>
              <w:pStyle w:val="af0"/>
              <w:spacing w:line="240" w:lineRule="atLeast"/>
              <w:rPr>
                <w:rFonts w:ascii="Times New Roman" w:eastAsia="宋体" w:hAnsi="Times New Roman"/>
                <w:bCs/>
                <w:sz w:val="21"/>
                <w:szCs w:val="21"/>
              </w:rPr>
            </w:pPr>
            <w:r w:rsidRPr="00401099">
              <w:rPr>
                <w:rFonts w:hint="eastAsia"/>
                <w:sz w:val="21"/>
                <w:szCs w:val="21"/>
              </w:rPr>
              <w:t>电网容量满足清洁能源项目并网需求</w:t>
            </w:r>
          </w:p>
        </w:tc>
        <w:tc>
          <w:tcPr>
            <w:tcW w:w="853" w:type="pct"/>
            <w:vAlign w:val="center"/>
          </w:tcPr>
          <w:p w14:paraId="6A1A3524" w14:textId="61FA62C9" w:rsidR="002B43B9" w:rsidRPr="00401099" w:rsidRDefault="002B43B9" w:rsidP="002B43B9">
            <w:pPr>
              <w:pStyle w:val="af0"/>
              <w:spacing w:line="240" w:lineRule="atLeast"/>
              <w:jc w:val="center"/>
              <w:rPr>
                <w:rFonts w:ascii="Times New Roman" w:eastAsia="宋体" w:hAnsi="Times New Roman" w:cs="Times New Roman"/>
                <w:bCs/>
                <w:sz w:val="21"/>
                <w:szCs w:val="21"/>
              </w:rPr>
            </w:pPr>
            <w:r w:rsidRPr="00401099">
              <w:rPr>
                <w:rFonts w:ascii="Times New Roman" w:hAnsi="Times New Roman" w:cs="Times New Roman"/>
                <w:color w:val="000000"/>
                <w:sz w:val="21"/>
                <w:szCs w:val="21"/>
              </w:rPr>
              <w:t>4.126</w:t>
            </w:r>
          </w:p>
        </w:tc>
        <w:tc>
          <w:tcPr>
            <w:tcW w:w="789" w:type="pct"/>
            <w:vAlign w:val="center"/>
          </w:tcPr>
          <w:p w14:paraId="0A759E1E" w14:textId="6623CAAF" w:rsidR="002B43B9" w:rsidRPr="00401099" w:rsidRDefault="002B43B9" w:rsidP="002B43B9">
            <w:pPr>
              <w:pStyle w:val="af0"/>
              <w:spacing w:line="240" w:lineRule="atLeast"/>
              <w:jc w:val="center"/>
              <w:rPr>
                <w:rFonts w:ascii="Times New Roman" w:eastAsia="宋体" w:hAnsi="Times New Roman" w:cs="Times New Roman"/>
                <w:bCs/>
                <w:sz w:val="21"/>
                <w:szCs w:val="21"/>
              </w:rPr>
            </w:pPr>
            <w:r w:rsidRPr="00401099">
              <w:rPr>
                <w:rFonts w:ascii="Times New Roman" w:hAnsi="Times New Roman" w:cs="Times New Roman"/>
                <w:color w:val="000000"/>
                <w:sz w:val="21"/>
                <w:szCs w:val="21"/>
              </w:rPr>
              <w:t>10</w:t>
            </w:r>
          </w:p>
        </w:tc>
      </w:tr>
      <w:tr w:rsidR="002B43B9" w:rsidRPr="00401099" w14:paraId="0C93AC5A" w14:textId="77777777" w:rsidTr="002B43B9">
        <w:trPr>
          <w:trHeight w:val="283"/>
        </w:trPr>
        <w:tc>
          <w:tcPr>
            <w:tcW w:w="3358" w:type="pct"/>
            <w:vAlign w:val="center"/>
          </w:tcPr>
          <w:p w14:paraId="2FAF7954" w14:textId="5C5AF55B" w:rsidR="002B43B9" w:rsidRPr="00401099" w:rsidRDefault="002B43B9" w:rsidP="002B43B9">
            <w:pPr>
              <w:pStyle w:val="af0"/>
              <w:spacing w:line="240" w:lineRule="atLeast"/>
              <w:rPr>
                <w:rFonts w:ascii="Times New Roman" w:eastAsia="宋体" w:hAnsi="Times New Roman"/>
                <w:bCs/>
                <w:sz w:val="21"/>
                <w:szCs w:val="21"/>
              </w:rPr>
            </w:pPr>
            <w:r w:rsidRPr="00401099">
              <w:rPr>
                <w:rFonts w:hint="eastAsia"/>
                <w:sz w:val="21"/>
                <w:szCs w:val="21"/>
              </w:rPr>
              <w:t>电网覆盖清洁能源项目</w:t>
            </w:r>
          </w:p>
        </w:tc>
        <w:tc>
          <w:tcPr>
            <w:tcW w:w="853" w:type="pct"/>
            <w:vAlign w:val="center"/>
          </w:tcPr>
          <w:p w14:paraId="79CE5E88" w14:textId="43BB2EDE" w:rsidR="002B43B9" w:rsidRPr="00401099" w:rsidRDefault="002B43B9" w:rsidP="002B43B9">
            <w:pPr>
              <w:pStyle w:val="af0"/>
              <w:spacing w:line="240" w:lineRule="atLeast"/>
              <w:jc w:val="center"/>
              <w:rPr>
                <w:rFonts w:ascii="Times New Roman" w:eastAsia="宋体" w:hAnsi="Times New Roman" w:cs="Times New Roman"/>
                <w:bCs/>
                <w:sz w:val="21"/>
                <w:szCs w:val="21"/>
              </w:rPr>
            </w:pPr>
            <w:r w:rsidRPr="00401099">
              <w:rPr>
                <w:rFonts w:ascii="Times New Roman" w:hAnsi="Times New Roman" w:cs="Times New Roman"/>
                <w:color w:val="000000"/>
                <w:sz w:val="21"/>
                <w:szCs w:val="21"/>
              </w:rPr>
              <w:t>4.058</w:t>
            </w:r>
          </w:p>
        </w:tc>
        <w:tc>
          <w:tcPr>
            <w:tcW w:w="789" w:type="pct"/>
            <w:vAlign w:val="center"/>
          </w:tcPr>
          <w:p w14:paraId="7D0D917F" w14:textId="1D4D27CA" w:rsidR="002B43B9" w:rsidRPr="00401099" w:rsidRDefault="002B43B9" w:rsidP="002B43B9">
            <w:pPr>
              <w:pStyle w:val="af0"/>
              <w:spacing w:line="240" w:lineRule="atLeast"/>
              <w:jc w:val="center"/>
              <w:rPr>
                <w:rFonts w:ascii="Times New Roman" w:eastAsia="宋体" w:hAnsi="Times New Roman" w:cs="Times New Roman"/>
                <w:bCs/>
                <w:sz w:val="21"/>
                <w:szCs w:val="21"/>
              </w:rPr>
            </w:pPr>
            <w:r w:rsidRPr="00401099">
              <w:rPr>
                <w:rFonts w:ascii="Times New Roman" w:hAnsi="Times New Roman" w:cs="Times New Roman"/>
                <w:color w:val="000000"/>
                <w:sz w:val="21"/>
                <w:szCs w:val="21"/>
              </w:rPr>
              <w:t>13</w:t>
            </w:r>
          </w:p>
        </w:tc>
      </w:tr>
      <w:tr w:rsidR="002B43B9" w:rsidRPr="00401099" w14:paraId="7AAED3DA" w14:textId="77777777" w:rsidTr="002B43B9">
        <w:trPr>
          <w:trHeight w:val="283"/>
        </w:trPr>
        <w:tc>
          <w:tcPr>
            <w:tcW w:w="3358" w:type="pct"/>
            <w:vAlign w:val="center"/>
          </w:tcPr>
          <w:p w14:paraId="2BF0679B" w14:textId="288380BF" w:rsidR="002B43B9" w:rsidRPr="00401099" w:rsidRDefault="002B43B9" w:rsidP="002B43B9">
            <w:pPr>
              <w:pStyle w:val="af0"/>
              <w:spacing w:line="240" w:lineRule="atLeast"/>
              <w:rPr>
                <w:rFonts w:ascii="Times New Roman" w:eastAsia="宋体" w:hAnsi="Times New Roman"/>
                <w:bCs/>
                <w:sz w:val="21"/>
                <w:szCs w:val="21"/>
              </w:rPr>
            </w:pPr>
            <w:r w:rsidRPr="00401099">
              <w:rPr>
                <w:rFonts w:hint="eastAsia"/>
                <w:sz w:val="21"/>
                <w:szCs w:val="21"/>
              </w:rPr>
              <w:t>通讯条件便利</w:t>
            </w:r>
          </w:p>
        </w:tc>
        <w:tc>
          <w:tcPr>
            <w:tcW w:w="853" w:type="pct"/>
            <w:vAlign w:val="center"/>
          </w:tcPr>
          <w:p w14:paraId="40C3691E" w14:textId="0144F37D" w:rsidR="002B43B9" w:rsidRPr="00401099" w:rsidRDefault="002B43B9" w:rsidP="002B43B9">
            <w:pPr>
              <w:pStyle w:val="af0"/>
              <w:spacing w:line="240" w:lineRule="atLeast"/>
              <w:jc w:val="center"/>
              <w:rPr>
                <w:rFonts w:ascii="Times New Roman" w:eastAsia="宋体" w:hAnsi="Times New Roman" w:cs="Times New Roman"/>
                <w:bCs/>
                <w:sz w:val="21"/>
                <w:szCs w:val="21"/>
              </w:rPr>
            </w:pPr>
            <w:r w:rsidRPr="00401099">
              <w:rPr>
                <w:rFonts w:ascii="Times New Roman" w:hAnsi="Times New Roman" w:cs="Times New Roman"/>
                <w:color w:val="000000"/>
                <w:sz w:val="21"/>
                <w:szCs w:val="21"/>
              </w:rPr>
              <w:t>3.928</w:t>
            </w:r>
          </w:p>
        </w:tc>
        <w:tc>
          <w:tcPr>
            <w:tcW w:w="789" w:type="pct"/>
            <w:vAlign w:val="center"/>
          </w:tcPr>
          <w:p w14:paraId="23A48C80" w14:textId="6C994DD7" w:rsidR="002B43B9" w:rsidRPr="00401099" w:rsidRDefault="002B43B9" w:rsidP="002B43B9">
            <w:pPr>
              <w:pStyle w:val="af0"/>
              <w:spacing w:line="240" w:lineRule="atLeast"/>
              <w:jc w:val="center"/>
              <w:rPr>
                <w:rFonts w:ascii="Times New Roman" w:eastAsia="宋体" w:hAnsi="Times New Roman" w:cs="Times New Roman"/>
                <w:bCs/>
                <w:sz w:val="21"/>
                <w:szCs w:val="21"/>
              </w:rPr>
            </w:pPr>
            <w:r w:rsidRPr="00401099">
              <w:rPr>
                <w:rFonts w:ascii="Times New Roman" w:hAnsi="Times New Roman" w:cs="Times New Roman"/>
                <w:color w:val="000000"/>
                <w:sz w:val="21"/>
                <w:szCs w:val="21"/>
              </w:rPr>
              <w:t>17</w:t>
            </w:r>
          </w:p>
        </w:tc>
      </w:tr>
      <w:tr w:rsidR="002B43B9" w:rsidRPr="00401099" w14:paraId="74AAEBCA" w14:textId="77777777" w:rsidTr="002B43B9">
        <w:trPr>
          <w:trHeight w:val="283"/>
        </w:trPr>
        <w:tc>
          <w:tcPr>
            <w:tcW w:w="3358" w:type="pct"/>
            <w:vAlign w:val="center"/>
          </w:tcPr>
          <w:p w14:paraId="76B13A47" w14:textId="57EEED50" w:rsidR="002B43B9" w:rsidRPr="00401099" w:rsidRDefault="002B43B9" w:rsidP="002B43B9">
            <w:pPr>
              <w:pStyle w:val="af0"/>
              <w:spacing w:line="240" w:lineRule="atLeast"/>
              <w:rPr>
                <w:rFonts w:ascii="Times New Roman" w:eastAsia="宋体" w:hAnsi="Times New Roman"/>
                <w:bCs/>
                <w:sz w:val="21"/>
                <w:szCs w:val="21"/>
              </w:rPr>
            </w:pPr>
            <w:r w:rsidRPr="00401099">
              <w:rPr>
                <w:rFonts w:hint="eastAsia"/>
                <w:sz w:val="21"/>
                <w:szCs w:val="21"/>
              </w:rPr>
              <w:t>交通条件便利</w:t>
            </w:r>
          </w:p>
        </w:tc>
        <w:tc>
          <w:tcPr>
            <w:tcW w:w="853" w:type="pct"/>
            <w:vAlign w:val="center"/>
          </w:tcPr>
          <w:p w14:paraId="0815B2C7" w14:textId="4D3DA51A" w:rsidR="002B43B9" w:rsidRPr="00401099" w:rsidRDefault="002B43B9" w:rsidP="002B43B9">
            <w:pPr>
              <w:pStyle w:val="af0"/>
              <w:spacing w:line="240" w:lineRule="atLeast"/>
              <w:jc w:val="center"/>
              <w:rPr>
                <w:rFonts w:ascii="Times New Roman" w:eastAsia="宋体" w:hAnsi="Times New Roman" w:cs="Times New Roman"/>
                <w:bCs/>
                <w:sz w:val="21"/>
                <w:szCs w:val="21"/>
              </w:rPr>
            </w:pPr>
            <w:r w:rsidRPr="00401099">
              <w:rPr>
                <w:rFonts w:ascii="Times New Roman" w:hAnsi="Times New Roman" w:cs="Times New Roman"/>
                <w:color w:val="000000"/>
                <w:sz w:val="21"/>
                <w:szCs w:val="21"/>
              </w:rPr>
              <w:t>3.587</w:t>
            </w:r>
          </w:p>
        </w:tc>
        <w:tc>
          <w:tcPr>
            <w:tcW w:w="789" w:type="pct"/>
            <w:vAlign w:val="center"/>
          </w:tcPr>
          <w:p w14:paraId="43782EDF" w14:textId="504C1AC1" w:rsidR="002B43B9" w:rsidRPr="00401099" w:rsidRDefault="002B43B9" w:rsidP="002B43B9">
            <w:pPr>
              <w:pStyle w:val="af0"/>
              <w:spacing w:line="240" w:lineRule="atLeast"/>
              <w:jc w:val="center"/>
              <w:rPr>
                <w:rFonts w:ascii="Times New Roman" w:eastAsia="宋体" w:hAnsi="Times New Roman" w:cs="Times New Roman"/>
                <w:bCs/>
                <w:sz w:val="21"/>
                <w:szCs w:val="21"/>
              </w:rPr>
            </w:pPr>
            <w:r w:rsidRPr="00401099">
              <w:rPr>
                <w:rFonts w:ascii="Times New Roman" w:hAnsi="Times New Roman" w:cs="Times New Roman"/>
                <w:color w:val="000000"/>
                <w:sz w:val="21"/>
                <w:szCs w:val="21"/>
              </w:rPr>
              <w:t>18</w:t>
            </w:r>
          </w:p>
        </w:tc>
      </w:tr>
      <w:tr w:rsidR="002B43B9" w:rsidRPr="00401099" w14:paraId="5DEC97CE" w14:textId="77777777" w:rsidTr="002B43B9">
        <w:trPr>
          <w:trHeight w:val="283"/>
        </w:trPr>
        <w:tc>
          <w:tcPr>
            <w:tcW w:w="3358" w:type="pct"/>
            <w:vAlign w:val="center"/>
          </w:tcPr>
          <w:p w14:paraId="27D2A30B" w14:textId="69497386" w:rsidR="002B43B9" w:rsidRPr="00401099" w:rsidRDefault="002B43B9" w:rsidP="002B43B9">
            <w:pPr>
              <w:pStyle w:val="af0"/>
              <w:spacing w:line="240" w:lineRule="atLeast"/>
              <w:jc w:val="center"/>
              <w:rPr>
                <w:rFonts w:ascii="Times New Roman" w:eastAsia="宋体" w:hAnsi="Times New Roman"/>
                <w:b/>
                <w:sz w:val="21"/>
                <w:szCs w:val="21"/>
              </w:rPr>
            </w:pPr>
            <w:r w:rsidRPr="00401099">
              <w:rPr>
                <w:rFonts w:ascii="Times New Roman" w:eastAsia="宋体" w:hAnsi="Times New Roman" w:hint="eastAsia"/>
                <w:b/>
                <w:sz w:val="21"/>
                <w:szCs w:val="21"/>
              </w:rPr>
              <w:t>政策与市场</w:t>
            </w:r>
          </w:p>
        </w:tc>
        <w:tc>
          <w:tcPr>
            <w:tcW w:w="853" w:type="pct"/>
            <w:vAlign w:val="center"/>
          </w:tcPr>
          <w:p w14:paraId="56C5A048" w14:textId="77777777" w:rsidR="002B43B9" w:rsidRPr="00401099" w:rsidRDefault="002B43B9" w:rsidP="002B43B9">
            <w:pPr>
              <w:pStyle w:val="af0"/>
              <w:spacing w:line="240" w:lineRule="atLeast"/>
              <w:jc w:val="center"/>
              <w:rPr>
                <w:rFonts w:ascii="Times New Roman" w:eastAsia="宋体" w:hAnsi="Times New Roman"/>
                <w:b/>
                <w:sz w:val="21"/>
                <w:szCs w:val="21"/>
              </w:rPr>
            </w:pPr>
          </w:p>
        </w:tc>
        <w:tc>
          <w:tcPr>
            <w:tcW w:w="789" w:type="pct"/>
            <w:vAlign w:val="center"/>
          </w:tcPr>
          <w:p w14:paraId="76A2C857" w14:textId="77777777" w:rsidR="002B43B9" w:rsidRPr="00401099" w:rsidRDefault="002B43B9" w:rsidP="002B43B9">
            <w:pPr>
              <w:pStyle w:val="af0"/>
              <w:spacing w:line="240" w:lineRule="atLeast"/>
              <w:jc w:val="center"/>
              <w:rPr>
                <w:rFonts w:ascii="Times New Roman" w:eastAsia="宋体" w:hAnsi="Times New Roman"/>
                <w:b/>
                <w:sz w:val="21"/>
                <w:szCs w:val="21"/>
              </w:rPr>
            </w:pPr>
          </w:p>
        </w:tc>
      </w:tr>
      <w:tr w:rsidR="002B43B9" w:rsidRPr="00401099" w14:paraId="697A4038" w14:textId="77777777" w:rsidTr="002B43B9">
        <w:trPr>
          <w:trHeight w:val="283"/>
        </w:trPr>
        <w:tc>
          <w:tcPr>
            <w:tcW w:w="3358" w:type="pct"/>
            <w:vAlign w:val="center"/>
          </w:tcPr>
          <w:p w14:paraId="1777D4A8" w14:textId="01A1657F" w:rsidR="002B43B9" w:rsidRPr="00401099" w:rsidRDefault="002B43B9" w:rsidP="002B43B9">
            <w:pPr>
              <w:pStyle w:val="af0"/>
              <w:spacing w:line="240" w:lineRule="atLeast"/>
              <w:rPr>
                <w:sz w:val="21"/>
                <w:szCs w:val="21"/>
              </w:rPr>
            </w:pPr>
            <w:r w:rsidRPr="00401099">
              <w:rPr>
                <w:rFonts w:ascii="宋体" w:hAnsi="宋体" w:hint="eastAsia"/>
                <w:sz w:val="21"/>
                <w:szCs w:val="21"/>
              </w:rPr>
              <w:lastRenderedPageBreak/>
              <w:t>清洁能源开发支持政策充分</w:t>
            </w:r>
          </w:p>
        </w:tc>
        <w:tc>
          <w:tcPr>
            <w:tcW w:w="853" w:type="pct"/>
            <w:vAlign w:val="center"/>
          </w:tcPr>
          <w:p w14:paraId="6B25E51B" w14:textId="10C6733B" w:rsidR="002B43B9" w:rsidRPr="00401099" w:rsidRDefault="002B43B9" w:rsidP="002B43B9">
            <w:pPr>
              <w:pStyle w:val="af0"/>
              <w:spacing w:line="240" w:lineRule="atLeast"/>
              <w:jc w:val="center"/>
              <w:rPr>
                <w:rFonts w:ascii="Times New Roman" w:hAnsi="Times New Roman" w:cs="Times New Roman"/>
                <w:color w:val="000000"/>
                <w:sz w:val="21"/>
                <w:szCs w:val="21"/>
              </w:rPr>
            </w:pPr>
            <w:r w:rsidRPr="00401099">
              <w:rPr>
                <w:rFonts w:ascii="Times New Roman" w:hAnsi="Times New Roman" w:cs="Times New Roman"/>
                <w:color w:val="000000"/>
                <w:sz w:val="21"/>
                <w:szCs w:val="21"/>
              </w:rPr>
              <w:t>4.266</w:t>
            </w:r>
          </w:p>
        </w:tc>
        <w:tc>
          <w:tcPr>
            <w:tcW w:w="789" w:type="pct"/>
            <w:vAlign w:val="center"/>
          </w:tcPr>
          <w:p w14:paraId="27D31FDE" w14:textId="3D978DF3" w:rsidR="002B43B9" w:rsidRPr="00401099" w:rsidRDefault="002B43B9" w:rsidP="002B43B9">
            <w:pPr>
              <w:pStyle w:val="af0"/>
              <w:spacing w:line="240" w:lineRule="atLeast"/>
              <w:jc w:val="center"/>
              <w:rPr>
                <w:rFonts w:ascii="Times New Roman" w:hAnsi="Times New Roman" w:cs="Times New Roman"/>
                <w:color w:val="000000"/>
                <w:sz w:val="21"/>
                <w:szCs w:val="21"/>
              </w:rPr>
            </w:pPr>
            <w:r w:rsidRPr="00401099">
              <w:rPr>
                <w:rFonts w:ascii="Times New Roman" w:hAnsi="Times New Roman" w:cs="Times New Roman"/>
                <w:color w:val="000000"/>
                <w:sz w:val="21"/>
                <w:szCs w:val="21"/>
              </w:rPr>
              <w:t>2</w:t>
            </w:r>
          </w:p>
        </w:tc>
      </w:tr>
      <w:tr w:rsidR="002B43B9" w:rsidRPr="00401099" w14:paraId="753B2964" w14:textId="77777777" w:rsidTr="002B43B9">
        <w:trPr>
          <w:trHeight w:val="283"/>
        </w:trPr>
        <w:tc>
          <w:tcPr>
            <w:tcW w:w="3358" w:type="pct"/>
            <w:vAlign w:val="center"/>
          </w:tcPr>
          <w:p w14:paraId="3EB1E054" w14:textId="27BF5EFA" w:rsidR="002B43B9" w:rsidRPr="00401099" w:rsidRDefault="002B43B9" w:rsidP="002B43B9">
            <w:pPr>
              <w:pStyle w:val="af0"/>
              <w:spacing w:line="240" w:lineRule="atLeast"/>
              <w:rPr>
                <w:sz w:val="21"/>
                <w:szCs w:val="21"/>
              </w:rPr>
            </w:pPr>
            <w:r w:rsidRPr="00401099">
              <w:rPr>
                <w:rFonts w:hint="eastAsia"/>
                <w:sz w:val="21"/>
                <w:szCs w:val="21"/>
              </w:rPr>
              <w:t>清洁能源电力交易规则和技术标准明确</w:t>
            </w:r>
          </w:p>
        </w:tc>
        <w:tc>
          <w:tcPr>
            <w:tcW w:w="853" w:type="pct"/>
            <w:vAlign w:val="center"/>
          </w:tcPr>
          <w:p w14:paraId="48F7DCA5" w14:textId="283F5356" w:rsidR="002B43B9" w:rsidRPr="00401099" w:rsidRDefault="002B43B9" w:rsidP="002B43B9">
            <w:pPr>
              <w:pStyle w:val="af0"/>
              <w:spacing w:line="240" w:lineRule="atLeast"/>
              <w:jc w:val="center"/>
              <w:rPr>
                <w:rFonts w:ascii="Times New Roman" w:hAnsi="Times New Roman" w:cs="Times New Roman"/>
                <w:color w:val="000000"/>
                <w:sz w:val="21"/>
                <w:szCs w:val="21"/>
              </w:rPr>
            </w:pPr>
            <w:r w:rsidRPr="00401099">
              <w:rPr>
                <w:rFonts w:ascii="Times New Roman" w:hAnsi="Times New Roman" w:cs="Times New Roman"/>
                <w:color w:val="000000"/>
                <w:sz w:val="21"/>
                <w:szCs w:val="21"/>
              </w:rPr>
              <w:t>4.205</w:t>
            </w:r>
          </w:p>
        </w:tc>
        <w:tc>
          <w:tcPr>
            <w:tcW w:w="789" w:type="pct"/>
            <w:vAlign w:val="center"/>
          </w:tcPr>
          <w:p w14:paraId="67D86F85" w14:textId="7A2D77DE" w:rsidR="002B43B9" w:rsidRPr="00401099" w:rsidRDefault="002B43B9" w:rsidP="002B43B9">
            <w:pPr>
              <w:pStyle w:val="af0"/>
              <w:spacing w:line="240" w:lineRule="atLeast"/>
              <w:jc w:val="center"/>
              <w:rPr>
                <w:rFonts w:ascii="Times New Roman" w:hAnsi="Times New Roman" w:cs="Times New Roman"/>
                <w:color w:val="000000"/>
                <w:sz w:val="21"/>
                <w:szCs w:val="21"/>
              </w:rPr>
            </w:pPr>
            <w:r w:rsidRPr="00401099">
              <w:rPr>
                <w:rFonts w:ascii="Times New Roman" w:hAnsi="Times New Roman" w:cs="Times New Roman"/>
                <w:color w:val="000000"/>
                <w:sz w:val="21"/>
                <w:szCs w:val="21"/>
              </w:rPr>
              <w:t>6</w:t>
            </w:r>
          </w:p>
        </w:tc>
      </w:tr>
      <w:tr w:rsidR="002B43B9" w:rsidRPr="00401099" w14:paraId="70831543" w14:textId="77777777" w:rsidTr="002B43B9">
        <w:trPr>
          <w:trHeight w:val="283"/>
        </w:trPr>
        <w:tc>
          <w:tcPr>
            <w:tcW w:w="3358" w:type="pct"/>
            <w:vAlign w:val="center"/>
          </w:tcPr>
          <w:p w14:paraId="5748EC9D" w14:textId="73AB6C3E" w:rsidR="002B43B9" w:rsidRPr="00401099" w:rsidRDefault="002B43B9" w:rsidP="002B43B9">
            <w:pPr>
              <w:pStyle w:val="af0"/>
              <w:spacing w:line="240" w:lineRule="atLeast"/>
              <w:rPr>
                <w:sz w:val="21"/>
                <w:szCs w:val="21"/>
              </w:rPr>
            </w:pPr>
            <w:r w:rsidRPr="00401099">
              <w:rPr>
                <w:rFonts w:hint="eastAsia"/>
                <w:sz w:val="21"/>
                <w:szCs w:val="21"/>
              </w:rPr>
              <w:t>清洁能源电力交易机制完善</w:t>
            </w:r>
          </w:p>
        </w:tc>
        <w:tc>
          <w:tcPr>
            <w:tcW w:w="853" w:type="pct"/>
            <w:vAlign w:val="center"/>
          </w:tcPr>
          <w:p w14:paraId="23AA1B27" w14:textId="206CC6DD" w:rsidR="002B43B9" w:rsidRPr="00401099" w:rsidRDefault="002B43B9" w:rsidP="002B43B9">
            <w:pPr>
              <w:pStyle w:val="af0"/>
              <w:spacing w:line="240" w:lineRule="atLeast"/>
              <w:jc w:val="center"/>
              <w:rPr>
                <w:rFonts w:ascii="Times New Roman" w:hAnsi="Times New Roman" w:cs="Times New Roman"/>
                <w:color w:val="000000"/>
                <w:sz w:val="21"/>
                <w:szCs w:val="21"/>
              </w:rPr>
            </w:pPr>
            <w:r w:rsidRPr="00401099">
              <w:rPr>
                <w:rFonts w:ascii="Times New Roman" w:hAnsi="Times New Roman" w:cs="Times New Roman"/>
                <w:color w:val="000000"/>
                <w:sz w:val="21"/>
                <w:szCs w:val="21"/>
              </w:rPr>
              <w:t>4.195</w:t>
            </w:r>
          </w:p>
        </w:tc>
        <w:tc>
          <w:tcPr>
            <w:tcW w:w="789" w:type="pct"/>
            <w:vAlign w:val="center"/>
          </w:tcPr>
          <w:p w14:paraId="4FE07205" w14:textId="3D5C82A0" w:rsidR="002B43B9" w:rsidRPr="00401099" w:rsidRDefault="002B43B9" w:rsidP="002B43B9">
            <w:pPr>
              <w:pStyle w:val="af0"/>
              <w:spacing w:line="240" w:lineRule="atLeast"/>
              <w:jc w:val="center"/>
              <w:rPr>
                <w:rFonts w:ascii="Times New Roman" w:hAnsi="Times New Roman" w:cs="Times New Roman"/>
                <w:color w:val="000000"/>
                <w:sz w:val="21"/>
                <w:szCs w:val="21"/>
              </w:rPr>
            </w:pPr>
            <w:r w:rsidRPr="00401099">
              <w:rPr>
                <w:rFonts w:ascii="Times New Roman" w:hAnsi="Times New Roman" w:cs="Times New Roman"/>
                <w:color w:val="000000"/>
                <w:sz w:val="21"/>
                <w:szCs w:val="21"/>
              </w:rPr>
              <w:t>7</w:t>
            </w:r>
          </w:p>
        </w:tc>
      </w:tr>
      <w:tr w:rsidR="002B43B9" w:rsidRPr="00401099" w14:paraId="57D9507A" w14:textId="77777777" w:rsidTr="002B43B9">
        <w:trPr>
          <w:trHeight w:val="283"/>
        </w:trPr>
        <w:tc>
          <w:tcPr>
            <w:tcW w:w="3358" w:type="pct"/>
            <w:vAlign w:val="center"/>
          </w:tcPr>
          <w:p w14:paraId="2A218169" w14:textId="1264808C" w:rsidR="002B43B9" w:rsidRPr="00401099" w:rsidRDefault="002B43B9" w:rsidP="002B43B9">
            <w:pPr>
              <w:pStyle w:val="af0"/>
              <w:spacing w:line="240" w:lineRule="atLeast"/>
              <w:rPr>
                <w:sz w:val="21"/>
                <w:szCs w:val="21"/>
              </w:rPr>
            </w:pPr>
            <w:r w:rsidRPr="00401099">
              <w:rPr>
                <w:rFonts w:hint="eastAsia"/>
                <w:sz w:val="21"/>
                <w:szCs w:val="21"/>
              </w:rPr>
              <w:t>清洁能源电价机制合理</w:t>
            </w:r>
          </w:p>
        </w:tc>
        <w:tc>
          <w:tcPr>
            <w:tcW w:w="853" w:type="pct"/>
            <w:vAlign w:val="center"/>
          </w:tcPr>
          <w:p w14:paraId="626E6831" w14:textId="0815BDBE" w:rsidR="002B43B9" w:rsidRPr="00401099" w:rsidRDefault="002B43B9" w:rsidP="002B43B9">
            <w:pPr>
              <w:pStyle w:val="af0"/>
              <w:spacing w:line="240" w:lineRule="atLeast"/>
              <w:jc w:val="center"/>
              <w:rPr>
                <w:rFonts w:ascii="Times New Roman" w:hAnsi="Times New Roman" w:cs="Times New Roman"/>
                <w:color w:val="000000"/>
                <w:sz w:val="21"/>
                <w:szCs w:val="21"/>
              </w:rPr>
            </w:pPr>
            <w:r w:rsidRPr="00401099">
              <w:rPr>
                <w:rFonts w:ascii="Times New Roman" w:hAnsi="Times New Roman" w:cs="Times New Roman"/>
                <w:color w:val="000000"/>
                <w:sz w:val="21"/>
                <w:szCs w:val="21"/>
              </w:rPr>
              <w:t>4.143</w:t>
            </w:r>
          </w:p>
        </w:tc>
        <w:tc>
          <w:tcPr>
            <w:tcW w:w="789" w:type="pct"/>
            <w:vAlign w:val="center"/>
          </w:tcPr>
          <w:p w14:paraId="40A011D8" w14:textId="210BFB16" w:rsidR="002B43B9" w:rsidRPr="00401099" w:rsidRDefault="002B43B9" w:rsidP="002B43B9">
            <w:pPr>
              <w:pStyle w:val="af0"/>
              <w:spacing w:line="240" w:lineRule="atLeast"/>
              <w:jc w:val="center"/>
              <w:rPr>
                <w:rFonts w:ascii="Times New Roman" w:hAnsi="Times New Roman" w:cs="Times New Roman"/>
                <w:color w:val="000000"/>
                <w:sz w:val="21"/>
                <w:szCs w:val="21"/>
              </w:rPr>
            </w:pPr>
            <w:r w:rsidRPr="00401099">
              <w:rPr>
                <w:rFonts w:ascii="Times New Roman" w:hAnsi="Times New Roman" w:cs="Times New Roman"/>
                <w:color w:val="000000"/>
                <w:sz w:val="21"/>
                <w:szCs w:val="21"/>
              </w:rPr>
              <w:t>8</w:t>
            </w:r>
          </w:p>
        </w:tc>
      </w:tr>
      <w:tr w:rsidR="002B43B9" w:rsidRPr="00401099" w14:paraId="119A6C4C" w14:textId="77777777" w:rsidTr="002B43B9">
        <w:trPr>
          <w:trHeight w:val="283"/>
        </w:trPr>
        <w:tc>
          <w:tcPr>
            <w:tcW w:w="3358" w:type="pct"/>
            <w:vAlign w:val="center"/>
          </w:tcPr>
          <w:p w14:paraId="3FDAC948" w14:textId="34A43A06" w:rsidR="002B43B9" w:rsidRPr="00401099" w:rsidRDefault="002B43B9" w:rsidP="002B43B9">
            <w:pPr>
              <w:pStyle w:val="af0"/>
              <w:spacing w:line="240" w:lineRule="atLeast"/>
              <w:rPr>
                <w:sz w:val="21"/>
                <w:szCs w:val="21"/>
              </w:rPr>
            </w:pPr>
            <w:r w:rsidRPr="00401099">
              <w:rPr>
                <w:rFonts w:hint="eastAsia"/>
                <w:sz w:val="21"/>
                <w:szCs w:val="21"/>
              </w:rPr>
              <w:t>清洁能源输配电权分配合理</w:t>
            </w:r>
          </w:p>
        </w:tc>
        <w:tc>
          <w:tcPr>
            <w:tcW w:w="853" w:type="pct"/>
            <w:vAlign w:val="center"/>
          </w:tcPr>
          <w:p w14:paraId="4768ACF7" w14:textId="451CD101" w:rsidR="002B43B9" w:rsidRPr="00401099" w:rsidRDefault="002B43B9" w:rsidP="002B43B9">
            <w:pPr>
              <w:pStyle w:val="af0"/>
              <w:spacing w:line="240" w:lineRule="atLeast"/>
              <w:jc w:val="center"/>
              <w:rPr>
                <w:rFonts w:ascii="Times New Roman" w:hAnsi="Times New Roman" w:cs="Times New Roman"/>
                <w:color w:val="000000"/>
                <w:sz w:val="21"/>
                <w:szCs w:val="21"/>
              </w:rPr>
            </w:pPr>
            <w:r w:rsidRPr="00401099">
              <w:rPr>
                <w:rFonts w:ascii="Times New Roman" w:hAnsi="Times New Roman" w:cs="Times New Roman"/>
                <w:color w:val="000000"/>
                <w:sz w:val="21"/>
                <w:szCs w:val="21"/>
              </w:rPr>
              <w:t>4.143</w:t>
            </w:r>
          </w:p>
        </w:tc>
        <w:tc>
          <w:tcPr>
            <w:tcW w:w="789" w:type="pct"/>
            <w:vAlign w:val="center"/>
          </w:tcPr>
          <w:p w14:paraId="15C06975" w14:textId="63AC2EFE" w:rsidR="002B43B9" w:rsidRPr="00401099" w:rsidRDefault="002B43B9" w:rsidP="002B43B9">
            <w:pPr>
              <w:pStyle w:val="af0"/>
              <w:spacing w:line="240" w:lineRule="atLeast"/>
              <w:jc w:val="center"/>
              <w:rPr>
                <w:rFonts w:ascii="Times New Roman" w:hAnsi="Times New Roman" w:cs="Times New Roman"/>
                <w:color w:val="000000"/>
                <w:sz w:val="21"/>
                <w:szCs w:val="21"/>
              </w:rPr>
            </w:pPr>
            <w:r w:rsidRPr="00401099">
              <w:rPr>
                <w:rFonts w:ascii="Times New Roman" w:hAnsi="Times New Roman" w:cs="Times New Roman"/>
                <w:color w:val="000000"/>
                <w:sz w:val="21"/>
                <w:szCs w:val="21"/>
              </w:rPr>
              <w:t>8</w:t>
            </w:r>
          </w:p>
        </w:tc>
      </w:tr>
      <w:tr w:rsidR="00CB7B38" w:rsidRPr="00401099" w14:paraId="22FEF3D9" w14:textId="77777777" w:rsidTr="002B43B9">
        <w:trPr>
          <w:cnfStyle w:val="010000000000" w:firstRow="0" w:lastRow="1" w:firstColumn="0" w:lastColumn="0" w:oddVBand="0" w:evenVBand="0" w:oddHBand="0" w:evenHBand="0" w:firstRowFirstColumn="0" w:firstRowLastColumn="0" w:lastRowFirstColumn="0" w:lastRowLastColumn="0"/>
          <w:trHeight w:val="283"/>
        </w:trPr>
        <w:tc>
          <w:tcPr>
            <w:tcW w:w="3358" w:type="pct"/>
            <w:vAlign w:val="center"/>
            <w:hideMark/>
          </w:tcPr>
          <w:p w14:paraId="0B23F79E" w14:textId="77777777" w:rsidR="00CB7B38" w:rsidRPr="00401099" w:rsidRDefault="00CB7B38" w:rsidP="00CB7B38">
            <w:pPr>
              <w:pStyle w:val="af0"/>
              <w:spacing w:line="240" w:lineRule="atLeast"/>
              <w:jc w:val="center"/>
              <w:rPr>
                <w:rFonts w:ascii="Times New Roman" w:eastAsia="宋体" w:hAnsi="Times New Roman"/>
                <w:bCs w:val="0"/>
                <w:sz w:val="21"/>
                <w:szCs w:val="21"/>
              </w:rPr>
            </w:pPr>
            <w:r w:rsidRPr="00401099">
              <w:rPr>
                <w:rFonts w:ascii="Times New Roman" w:eastAsia="宋体" w:hAnsi="Times New Roman" w:hint="eastAsia"/>
                <w:bCs w:val="0"/>
                <w:sz w:val="21"/>
                <w:szCs w:val="21"/>
              </w:rPr>
              <w:t>均值</w:t>
            </w:r>
          </w:p>
        </w:tc>
        <w:tc>
          <w:tcPr>
            <w:tcW w:w="853" w:type="pct"/>
            <w:vAlign w:val="center"/>
            <w:hideMark/>
          </w:tcPr>
          <w:p w14:paraId="7DDF2AEE" w14:textId="45255549" w:rsidR="00CB7B38" w:rsidRPr="00401099" w:rsidRDefault="002B43B9" w:rsidP="00CB7B38">
            <w:pPr>
              <w:pStyle w:val="af0"/>
              <w:spacing w:line="240" w:lineRule="atLeast"/>
              <w:jc w:val="center"/>
              <w:rPr>
                <w:rFonts w:ascii="Times New Roman" w:eastAsia="宋体" w:hAnsi="Times New Roman"/>
                <w:bCs w:val="0"/>
                <w:sz w:val="21"/>
                <w:szCs w:val="21"/>
              </w:rPr>
            </w:pPr>
            <w:r w:rsidRPr="00401099">
              <w:rPr>
                <w:rFonts w:ascii="Times New Roman" w:eastAsia="宋体" w:hAnsi="Times New Roman"/>
                <w:bCs w:val="0"/>
                <w:sz w:val="21"/>
                <w:szCs w:val="21"/>
              </w:rPr>
              <w:t>4.112</w:t>
            </w:r>
          </w:p>
        </w:tc>
        <w:tc>
          <w:tcPr>
            <w:tcW w:w="789" w:type="pct"/>
            <w:vAlign w:val="center"/>
            <w:hideMark/>
          </w:tcPr>
          <w:p w14:paraId="757EF80D" w14:textId="77777777" w:rsidR="00CB7B38" w:rsidRPr="00401099" w:rsidRDefault="00CB7B38" w:rsidP="00CB7B38">
            <w:pPr>
              <w:pStyle w:val="af0"/>
              <w:spacing w:line="240" w:lineRule="atLeast"/>
              <w:jc w:val="center"/>
              <w:rPr>
                <w:rFonts w:ascii="Times New Roman" w:eastAsia="宋体" w:hAnsi="Times New Roman"/>
                <w:bCs w:val="0"/>
                <w:sz w:val="21"/>
                <w:szCs w:val="21"/>
              </w:rPr>
            </w:pPr>
            <w:r w:rsidRPr="00401099">
              <w:rPr>
                <w:rFonts w:ascii="Times New Roman" w:eastAsia="宋体" w:hAnsi="Times New Roman"/>
                <w:bCs w:val="0"/>
                <w:sz w:val="21"/>
                <w:szCs w:val="21"/>
              </w:rPr>
              <w:t>-</w:t>
            </w:r>
          </w:p>
        </w:tc>
      </w:tr>
    </w:tbl>
    <w:p w14:paraId="513F1E3B" w14:textId="13C724A0" w:rsidR="002B43B9" w:rsidRPr="003A047C" w:rsidRDefault="0056417B" w:rsidP="00A3108F">
      <w:pPr>
        <w:spacing w:beforeLines="50" w:before="156"/>
        <w:ind w:firstLine="420"/>
        <w:rPr>
          <w:rFonts w:cs="Times New Roman"/>
        </w:rPr>
      </w:pPr>
      <w:r>
        <w:rPr>
          <w:rFonts w:cs="Times New Roman" w:hint="eastAsia"/>
        </w:rPr>
        <w:t>如</w:t>
      </w:r>
      <w:r w:rsidR="002B43B9">
        <w:rPr>
          <w:rFonts w:cs="Times New Roman"/>
        </w:rPr>
        <w:fldChar w:fldCharType="begin"/>
      </w:r>
      <w:r w:rsidR="002B43B9">
        <w:rPr>
          <w:rFonts w:cs="Times New Roman"/>
        </w:rPr>
        <w:instrText xml:space="preserve"> REF _Ref174628457 \h </w:instrText>
      </w:r>
      <w:r w:rsidR="002B43B9">
        <w:rPr>
          <w:rFonts w:cs="Times New Roman"/>
        </w:rPr>
      </w:r>
      <w:r w:rsidR="002B43B9">
        <w:rPr>
          <w:rFonts w:cs="Times New Roman"/>
        </w:rPr>
        <w:fldChar w:fldCharType="separate"/>
      </w:r>
      <w:r w:rsidR="000F2689">
        <w:rPr>
          <w:rFonts w:hint="eastAsia"/>
        </w:rPr>
        <w:t>表</w:t>
      </w:r>
      <w:r w:rsidR="000F2689">
        <w:rPr>
          <w:rFonts w:hint="eastAsia"/>
        </w:rPr>
        <w:t xml:space="preserve"> </w:t>
      </w:r>
      <w:r w:rsidR="000F2689">
        <w:rPr>
          <w:noProof/>
        </w:rPr>
        <w:t>2</w:t>
      </w:r>
      <w:r w:rsidR="002B43B9">
        <w:rPr>
          <w:rFonts w:cs="Times New Roman"/>
        </w:rPr>
        <w:fldChar w:fldCharType="end"/>
      </w:r>
      <w:r>
        <w:rPr>
          <w:rFonts w:cs="Times New Roman" w:hint="eastAsia"/>
        </w:rPr>
        <w:t>所示</w:t>
      </w:r>
      <w:r w:rsidRPr="00C35659">
        <w:rPr>
          <w:rFonts w:cs="Times New Roman"/>
        </w:rPr>
        <w:t>，</w:t>
      </w:r>
      <w:r w:rsidR="002B43B9" w:rsidRPr="005F1811">
        <w:rPr>
          <w:rFonts w:hint="eastAsia"/>
        </w:rPr>
        <w:t>清洁能源基地开发外部条件</w:t>
      </w:r>
      <w:r w:rsidR="002B43B9">
        <w:rPr>
          <w:rFonts w:hint="eastAsia"/>
        </w:rPr>
        <w:t>总体表现较好。</w:t>
      </w:r>
      <w:r w:rsidR="003A047C">
        <w:rPr>
          <w:rFonts w:hint="eastAsia"/>
        </w:rPr>
        <w:t>当前清洁能源基地开发具备较为良好的政策与市场环境，且清洁能源基地开发区域所处的自然环境整体适宜。征地移民工作进展较为顺利，但</w:t>
      </w:r>
      <w:r w:rsidR="003A047C">
        <w:rPr>
          <w:rFonts w:ascii="Times" w:hAnsi="Times" w:hint="eastAsia"/>
          <w:color w:val="000000" w:themeColor="text1"/>
        </w:rPr>
        <w:t>“</w:t>
      </w:r>
      <w:r w:rsidR="003A047C">
        <w:t>移民安置条件</w:t>
      </w:r>
      <w:r w:rsidR="003A047C">
        <w:rPr>
          <w:rFonts w:hint="eastAsia"/>
        </w:rPr>
        <w:t>”、“</w:t>
      </w:r>
      <w:r w:rsidR="003A047C">
        <w:t>土地获取条件</w:t>
      </w:r>
      <w:r w:rsidR="003A047C">
        <w:rPr>
          <w:rFonts w:hint="eastAsia"/>
        </w:rPr>
        <w:t>”得分较低，反映出</w:t>
      </w:r>
      <w:r w:rsidR="003A047C" w:rsidRPr="003A047C">
        <w:rPr>
          <w:rFonts w:hint="eastAsia"/>
        </w:rPr>
        <w:t>土地获取涉及用途变更、土地补偿和与当地居民协商等复杂因素，可通过“农光互补”、“牧光互补”等开发模式，推进土地获取进程。</w:t>
      </w:r>
      <w:r w:rsidR="003A047C" w:rsidRPr="00F5615D">
        <w:rPr>
          <w:rFonts w:hint="eastAsia"/>
        </w:rPr>
        <w:t>配套基础设施</w:t>
      </w:r>
      <w:r w:rsidR="003A047C">
        <w:rPr>
          <w:rFonts w:hint="eastAsia"/>
        </w:rPr>
        <w:t>在各维度中总体得分最低，表明当前清洁能源基地开发需进一步完善配套基础设施建设。其中</w:t>
      </w:r>
      <w:r w:rsidR="003A047C" w:rsidRPr="003A047C">
        <w:rPr>
          <w:rFonts w:hint="eastAsia"/>
        </w:rPr>
        <w:t>“交通条件”在各指标中得分最低</w:t>
      </w:r>
      <w:r w:rsidR="003A047C">
        <w:rPr>
          <w:rFonts w:hint="eastAsia"/>
        </w:rPr>
        <w:t>，表明</w:t>
      </w:r>
      <w:r w:rsidR="003A047C" w:rsidRPr="003A047C">
        <w:rPr>
          <w:rFonts w:hint="eastAsia"/>
        </w:rPr>
        <w:t>需加强周边公路网络的建设，提高道路质量，以保障物资、设备和人力的高效流通。</w:t>
      </w:r>
    </w:p>
    <w:p w14:paraId="33C264AF" w14:textId="5FEF9A14" w:rsidR="00CB48B0" w:rsidRDefault="003A047C" w:rsidP="00CB48B0">
      <w:pPr>
        <w:pStyle w:val="2"/>
      </w:pPr>
      <w:r w:rsidRPr="003A047C">
        <w:rPr>
          <w:rFonts w:hint="eastAsia"/>
        </w:rPr>
        <w:t>清洁能源基地业主项目群管理能力</w:t>
      </w:r>
    </w:p>
    <w:p w14:paraId="5C8E6BD6" w14:textId="3FBEC8DB" w:rsidR="003A047C" w:rsidRDefault="003A047C" w:rsidP="00DB4509">
      <w:pPr>
        <w:ind w:firstLine="420"/>
      </w:pPr>
      <w:r w:rsidRPr="005F1811">
        <w:rPr>
          <w:rFonts w:hint="eastAsia"/>
        </w:rPr>
        <w:t>清洁能源基地业主项目群管理能力</w:t>
      </w:r>
      <w:r>
        <w:rPr>
          <w:rFonts w:hint="eastAsia"/>
        </w:rPr>
        <w:t>，结果</w:t>
      </w:r>
      <w:r w:rsidRPr="00541135">
        <w:rPr>
          <w:rFonts w:hint="eastAsia"/>
        </w:rPr>
        <w:t>如</w:t>
      </w:r>
      <w:r>
        <w:fldChar w:fldCharType="begin"/>
      </w:r>
      <w:r>
        <w:instrText xml:space="preserve"> </w:instrText>
      </w:r>
      <w:r>
        <w:rPr>
          <w:rFonts w:hint="eastAsia"/>
        </w:rPr>
        <w:instrText>REF _Ref174346061 \h</w:instrText>
      </w:r>
      <w:r>
        <w:instrText xml:space="preserve"> </w:instrText>
      </w:r>
      <w:r>
        <w:fldChar w:fldCharType="separate"/>
      </w:r>
      <w:r w:rsidR="000F2689">
        <w:rPr>
          <w:rFonts w:hint="eastAsia"/>
        </w:rPr>
        <w:t>表</w:t>
      </w:r>
      <w:r w:rsidR="000F2689">
        <w:rPr>
          <w:rFonts w:hint="eastAsia"/>
        </w:rPr>
        <w:t xml:space="preserve"> </w:t>
      </w:r>
      <w:r w:rsidR="000F2689">
        <w:rPr>
          <w:noProof/>
        </w:rPr>
        <w:t>3</w:t>
      </w:r>
      <w:r>
        <w:fldChar w:fldCharType="end"/>
      </w:r>
      <w:r w:rsidRPr="00541135">
        <w:rPr>
          <w:rFonts w:hint="eastAsia"/>
        </w:rPr>
        <w:t>所示。其中，</w:t>
      </w:r>
      <w:r w:rsidRPr="00541135">
        <w:rPr>
          <w:rFonts w:hint="eastAsia"/>
        </w:rPr>
        <w:t>1</w:t>
      </w:r>
      <w:r w:rsidRPr="00541135">
        <w:rPr>
          <w:rFonts w:hint="eastAsia"/>
        </w:rPr>
        <w:t>分表示</w:t>
      </w:r>
      <w:r>
        <w:rPr>
          <w:rFonts w:hint="eastAsia"/>
        </w:rPr>
        <w:t>很</w:t>
      </w:r>
      <w:r w:rsidRPr="00541135">
        <w:rPr>
          <w:rFonts w:hint="eastAsia"/>
        </w:rPr>
        <w:t>不符合，</w:t>
      </w:r>
      <w:r w:rsidRPr="00541135">
        <w:rPr>
          <w:rFonts w:hint="eastAsia"/>
        </w:rPr>
        <w:t>5</w:t>
      </w:r>
      <w:r w:rsidRPr="00541135">
        <w:rPr>
          <w:rFonts w:hint="eastAsia"/>
        </w:rPr>
        <w:t>分表示</w:t>
      </w:r>
      <w:r>
        <w:rPr>
          <w:rFonts w:hint="eastAsia"/>
        </w:rPr>
        <w:t>非常</w:t>
      </w:r>
      <w:r w:rsidRPr="00541135">
        <w:rPr>
          <w:rFonts w:hint="eastAsia"/>
        </w:rPr>
        <w:t>符合。</w:t>
      </w:r>
    </w:p>
    <w:p w14:paraId="5ACD91B4" w14:textId="0949C58B" w:rsidR="00CB48B0" w:rsidRDefault="00CB48B0" w:rsidP="00EB718D">
      <w:pPr>
        <w:pStyle w:val="afa"/>
        <w:keepNext/>
        <w:spacing w:beforeLines="50" w:before="156"/>
      </w:pPr>
      <w:bookmarkStart w:id="17" w:name="_Ref174346061"/>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0F2689">
        <w:rPr>
          <w:noProof/>
        </w:rPr>
        <w:t>3</w:t>
      </w:r>
      <w:r>
        <w:fldChar w:fldCharType="end"/>
      </w:r>
      <w:bookmarkEnd w:id="17"/>
      <w:r>
        <w:rPr>
          <w:rFonts w:hint="eastAsia"/>
        </w:rPr>
        <w:t xml:space="preserve"> </w:t>
      </w:r>
      <w:r w:rsidR="003A047C" w:rsidRPr="003A047C">
        <w:rPr>
          <w:rFonts w:hint="eastAsia"/>
        </w:rPr>
        <w:t>清洁能源基地业主项目群管理能力评价</w:t>
      </w:r>
    </w:p>
    <w:tbl>
      <w:tblPr>
        <w:tblStyle w:val="22"/>
        <w:tblW w:w="5000" w:type="pct"/>
        <w:tblLook w:val="0660" w:firstRow="1" w:lastRow="1" w:firstColumn="0" w:lastColumn="0" w:noHBand="1" w:noVBand="1"/>
      </w:tblPr>
      <w:tblGrid>
        <w:gridCol w:w="3259"/>
        <w:gridCol w:w="710"/>
        <w:gridCol w:w="665"/>
      </w:tblGrid>
      <w:tr w:rsidR="00F179A0" w:rsidRPr="00FE59CF" w14:paraId="74D5DCD3" w14:textId="77777777" w:rsidTr="003A047C">
        <w:trPr>
          <w:cnfStyle w:val="100000000000" w:firstRow="1" w:lastRow="0" w:firstColumn="0" w:lastColumn="0" w:oddVBand="0" w:evenVBand="0" w:oddHBand="0" w:evenHBand="0" w:firstRowFirstColumn="0" w:firstRowLastColumn="0" w:lastRowFirstColumn="0" w:lastRowLastColumn="0"/>
          <w:trHeight w:val="283"/>
        </w:trPr>
        <w:tc>
          <w:tcPr>
            <w:tcW w:w="3516" w:type="pct"/>
            <w:vAlign w:val="center"/>
            <w:hideMark/>
          </w:tcPr>
          <w:p w14:paraId="06500762" w14:textId="77777777" w:rsidR="00F179A0" w:rsidRPr="00FE59CF" w:rsidRDefault="00F179A0" w:rsidP="00D840F1">
            <w:pPr>
              <w:pStyle w:val="af0"/>
              <w:spacing w:line="240" w:lineRule="atLeast"/>
              <w:jc w:val="center"/>
              <w:rPr>
                <w:rFonts w:ascii="Times New Roman" w:eastAsia="宋体" w:hAnsi="Times New Roman"/>
                <w:bCs w:val="0"/>
                <w:sz w:val="21"/>
                <w:szCs w:val="21"/>
              </w:rPr>
            </w:pPr>
            <w:r w:rsidRPr="00FE59CF">
              <w:rPr>
                <w:rFonts w:ascii="Times New Roman" w:eastAsia="宋体" w:hAnsi="Times New Roman" w:hint="eastAsia"/>
                <w:bCs w:val="0"/>
                <w:sz w:val="21"/>
                <w:szCs w:val="21"/>
              </w:rPr>
              <w:t>指标</w:t>
            </w:r>
          </w:p>
        </w:tc>
        <w:tc>
          <w:tcPr>
            <w:tcW w:w="766" w:type="pct"/>
            <w:vAlign w:val="center"/>
            <w:hideMark/>
          </w:tcPr>
          <w:p w14:paraId="4737EF47" w14:textId="77777777" w:rsidR="00F179A0" w:rsidRPr="00FE59CF" w:rsidRDefault="00F179A0" w:rsidP="00D840F1">
            <w:pPr>
              <w:pStyle w:val="af0"/>
              <w:spacing w:line="240" w:lineRule="atLeast"/>
              <w:jc w:val="center"/>
              <w:rPr>
                <w:rFonts w:ascii="Times New Roman" w:eastAsia="宋体" w:hAnsi="Times New Roman"/>
                <w:bCs w:val="0"/>
                <w:sz w:val="21"/>
                <w:szCs w:val="21"/>
              </w:rPr>
            </w:pPr>
            <w:r w:rsidRPr="00FE59CF">
              <w:rPr>
                <w:rFonts w:ascii="Times New Roman" w:eastAsia="宋体" w:hAnsi="Times New Roman"/>
                <w:bCs w:val="0"/>
                <w:sz w:val="21"/>
                <w:szCs w:val="21"/>
              </w:rPr>
              <w:t>得分</w:t>
            </w:r>
          </w:p>
        </w:tc>
        <w:tc>
          <w:tcPr>
            <w:tcW w:w="718" w:type="pct"/>
            <w:vAlign w:val="center"/>
            <w:hideMark/>
          </w:tcPr>
          <w:p w14:paraId="47E344DE" w14:textId="77777777" w:rsidR="00F179A0" w:rsidRPr="00FE59CF" w:rsidRDefault="00F179A0" w:rsidP="00D840F1">
            <w:pPr>
              <w:pStyle w:val="af0"/>
              <w:spacing w:line="240" w:lineRule="atLeast"/>
              <w:jc w:val="center"/>
              <w:rPr>
                <w:rFonts w:ascii="Times New Roman" w:eastAsia="宋体" w:hAnsi="Times New Roman"/>
                <w:bCs w:val="0"/>
                <w:sz w:val="21"/>
                <w:szCs w:val="21"/>
              </w:rPr>
            </w:pPr>
            <w:r w:rsidRPr="00FE59CF">
              <w:rPr>
                <w:rFonts w:ascii="Times New Roman" w:eastAsia="宋体" w:hAnsi="Times New Roman"/>
                <w:bCs w:val="0"/>
                <w:sz w:val="21"/>
                <w:szCs w:val="21"/>
              </w:rPr>
              <w:t>排序</w:t>
            </w:r>
          </w:p>
        </w:tc>
      </w:tr>
      <w:tr w:rsidR="003A047C" w:rsidRPr="00FE59CF" w14:paraId="63698AAB" w14:textId="77777777" w:rsidTr="003A047C">
        <w:trPr>
          <w:trHeight w:val="283"/>
        </w:trPr>
        <w:tc>
          <w:tcPr>
            <w:tcW w:w="3516" w:type="pct"/>
            <w:vAlign w:val="center"/>
          </w:tcPr>
          <w:p w14:paraId="4B85853C" w14:textId="4A9E8CF0" w:rsidR="003A047C" w:rsidRPr="00FE59CF" w:rsidRDefault="003A047C" w:rsidP="003A047C">
            <w:pPr>
              <w:pStyle w:val="af0"/>
              <w:spacing w:line="240" w:lineRule="atLeast"/>
              <w:jc w:val="center"/>
              <w:rPr>
                <w:rFonts w:ascii="Times New Roman" w:eastAsia="宋体" w:hAnsi="Times New Roman"/>
                <w:bCs/>
                <w:sz w:val="21"/>
                <w:szCs w:val="21"/>
              </w:rPr>
            </w:pPr>
            <w:r w:rsidRPr="00FE59CF">
              <w:rPr>
                <w:rFonts w:hint="eastAsia"/>
                <w:b/>
                <w:bCs/>
                <w:sz w:val="21"/>
                <w:szCs w:val="21"/>
              </w:rPr>
              <w:t>目标管理能力</w:t>
            </w:r>
          </w:p>
        </w:tc>
        <w:tc>
          <w:tcPr>
            <w:tcW w:w="766" w:type="pct"/>
            <w:vAlign w:val="center"/>
          </w:tcPr>
          <w:p w14:paraId="5C552EEE" w14:textId="7C93D9C9" w:rsidR="003A047C" w:rsidRPr="00FE59CF" w:rsidRDefault="003A047C" w:rsidP="003A047C">
            <w:pPr>
              <w:pStyle w:val="af0"/>
              <w:spacing w:line="240" w:lineRule="atLeast"/>
              <w:jc w:val="center"/>
              <w:rPr>
                <w:rFonts w:ascii="Times New Roman" w:eastAsia="宋体" w:hAnsi="Times New Roman"/>
                <w:bCs/>
                <w:sz w:val="21"/>
                <w:szCs w:val="21"/>
              </w:rPr>
            </w:pPr>
          </w:p>
        </w:tc>
        <w:tc>
          <w:tcPr>
            <w:tcW w:w="718" w:type="pct"/>
            <w:vAlign w:val="center"/>
          </w:tcPr>
          <w:p w14:paraId="4AF63C06" w14:textId="4328500D" w:rsidR="003A047C" w:rsidRPr="00FE59CF" w:rsidRDefault="003A047C" w:rsidP="003A047C">
            <w:pPr>
              <w:pStyle w:val="af0"/>
              <w:spacing w:line="240" w:lineRule="atLeast"/>
              <w:jc w:val="center"/>
              <w:rPr>
                <w:rFonts w:ascii="Times New Roman" w:eastAsia="宋体" w:hAnsi="Times New Roman"/>
                <w:bCs/>
                <w:sz w:val="21"/>
                <w:szCs w:val="21"/>
              </w:rPr>
            </w:pPr>
          </w:p>
        </w:tc>
      </w:tr>
      <w:tr w:rsidR="003A047C" w:rsidRPr="00FE59CF" w14:paraId="44A67D23" w14:textId="77777777" w:rsidTr="003A047C">
        <w:trPr>
          <w:trHeight w:val="283"/>
        </w:trPr>
        <w:tc>
          <w:tcPr>
            <w:tcW w:w="3516" w:type="pct"/>
            <w:vAlign w:val="center"/>
          </w:tcPr>
          <w:p w14:paraId="62F9AFD0" w14:textId="0478155E" w:rsidR="003A047C" w:rsidRPr="00FE59CF" w:rsidRDefault="003A047C" w:rsidP="003A047C">
            <w:pPr>
              <w:pStyle w:val="af0"/>
              <w:spacing w:line="240" w:lineRule="atLeast"/>
              <w:rPr>
                <w:rFonts w:ascii="Times New Roman" w:eastAsia="宋体" w:hAnsi="Times New Roman"/>
                <w:bCs/>
                <w:sz w:val="21"/>
                <w:szCs w:val="21"/>
              </w:rPr>
            </w:pPr>
            <w:r w:rsidRPr="00FE59CF">
              <w:rPr>
                <w:rFonts w:hint="eastAsia"/>
                <w:sz w:val="21"/>
                <w:szCs w:val="21"/>
              </w:rPr>
              <w:t>明确项目建设与运营目标</w:t>
            </w:r>
          </w:p>
        </w:tc>
        <w:tc>
          <w:tcPr>
            <w:tcW w:w="766" w:type="pct"/>
            <w:vAlign w:val="center"/>
          </w:tcPr>
          <w:p w14:paraId="1FDABBC5" w14:textId="3837C096" w:rsidR="003A047C" w:rsidRPr="00FE59CF" w:rsidRDefault="003A047C" w:rsidP="003A047C">
            <w:pPr>
              <w:pStyle w:val="af0"/>
              <w:spacing w:line="240" w:lineRule="atLeast"/>
              <w:jc w:val="center"/>
              <w:rPr>
                <w:rFonts w:ascii="Times New Roman" w:eastAsia="宋体" w:hAnsi="Times New Roman" w:cs="Times New Roman"/>
                <w:bCs/>
                <w:sz w:val="21"/>
                <w:szCs w:val="21"/>
              </w:rPr>
            </w:pPr>
            <w:r w:rsidRPr="00FE59CF">
              <w:rPr>
                <w:rFonts w:ascii="Times New Roman" w:hAnsi="Times New Roman" w:cs="Times New Roman"/>
                <w:color w:val="000000"/>
                <w:sz w:val="21"/>
                <w:szCs w:val="21"/>
              </w:rPr>
              <w:t>4.375</w:t>
            </w:r>
          </w:p>
        </w:tc>
        <w:tc>
          <w:tcPr>
            <w:tcW w:w="718" w:type="pct"/>
            <w:vAlign w:val="center"/>
          </w:tcPr>
          <w:p w14:paraId="25623C0D" w14:textId="71445B2A" w:rsidR="003A047C" w:rsidRPr="00FE59CF" w:rsidRDefault="003A047C" w:rsidP="003A047C">
            <w:pPr>
              <w:pStyle w:val="af0"/>
              <w:spacing w:line="240" w:lineRule="atLeast"/>
              <w:jc w:val="center"/>
              <w:rPr>
                <w:rFonts w:ascii="Times New Roman" w:eastAsia="宋体" w:hAnsi="Times New Roman" w:cs="Times New Roman"/>
                <w:bCs/>
                <w:sz w:val="21"/>
                <w:szCs w:val="21"/>
              </w:rPr>
            </w:pPr>
            <w:r w:rsidRPr="00FE59CF">
              <w:rPr>
                <w:rFonts w:ascii="Times New Roman" w:hAnsi="Times New Roman" w:cs="Times New Roman"/>
                <w:color w:val="000000"/>
                <w:sz w:val="21"/>
                <w:szCs w:val="21"/>
              </w:rPr>
              <w:t>1</w:t>
            </w:r>
          </w:p>
        </w:tc>
      </w:tr>
      <w:tr w:rsidR="003A047C" w:rsidRPr="00FE59CF" w14:paraId="13C4E336" w14:textId="77777777" w:rsidTr="003A047C">
        <w:trPr>
          <w:trHeight w:val="283"/>
        </w:trPr>
        <w:tc>
          <w:tcPr>
            <w:tcW w:w="3516" w:type="pct"/>
            <w:vAlign w:val="center"/>
          </w:tcPr>
          <w:p w14:paraId="421B8D51" w14:textId="0DD85EA4" w:rsidR="003A047C" w:rsidRPr="00FE59CF" w:rsidRDefault="003A047C" w:rsidP="003A047C">
            <w:pPr>
              <w:pStyle w:val="af0"/>
              <w:spacing w:line="240" w:lineRule="atLeast"/>
              <w:rPr>
                <w:rFonts w:ascii="Times New Roman" w:eastAsia="宋体" w:hAnsi="Times New Roman"/>
                <w:bCs/>
                <w:sz w:val="21"/>
                <w:szCs w:val="21"/>
              </w:rPr>
            </w:pPr>
            <w:r w:rsidRPr="00FE59CF">
              <w:rPr>
                <w:rFonts w:hint="eastAsia"/>
                <w:sz w:val="21"/>
                <w:szCs w:val="21"/>
              </w:rPr>
              <w:t>明确项目资源需求</w:t>
            </w:r>
          </w:p>
        </w:tc>
        <w:tc>
          <w:tcPr>
            <w:tcW w:w="766" w:type="pct"/>
            <w:vAlign w:val="center"/>
          </w:tcPr>
          <w:p w14:paraId="360941F4" w14:textId="4DE40B0A" w:rsidR="003A047C" w:rsidRPr="00FE59CF" w:rsidRDefault="003A047C" w:rsidP="003A047C">
            <w:pPr>
              <w:pStyle w:val="af0"/>
              <w:spacing w:line="240" w:lineRule="atLeast"/>
              <w:jc w:val="center"/>
              <w:rPr>
                <w:rFonts w:ascii="Times New Roman" w:eastAsia="宋体" w:hAnsi="Times New Roman" w:cs="Times New Roman"/>
                <w:bCs/>
                <w:sz w:val="21"/>
                <w:szCs w:val="21"/>
              </w:rPr>
            </w:pPr>
            <w:r w:rsidRPr="00FE59CF">
              <w:rPr>
                <w:rFonts w:ascii="Times New Roman" w:hAnsi="Times New Roman" w:cs="Times New Roman"/>
                <w:color w:val="000000"/>
                <w:sz w:val="21"/>
                <w:szCs w:val="21"/>
              </w:rPr>
              <w:t>4.365</w:t>
            </w:r>
          </w:p>
        </w:tc>
        <w:tc>
          <w:tcPr>
            <w:tcW w:w="718" w:type="pct"/>
            <w:vAlign w:val="center"/>
          </w:tcPr>
          <w:p w14:paraId="1C340C34" w14:textId="666A46D4" w:rsidR="003A047C" w:rsidRPr="00FE59CF" w:rsidRDefault="003A047C" w:rsidP="003A047C">
            <w:pPr>
              <w:pStyle w:val="af0"/>
              <w:spacing w:line="240" w:lineRule="atLeast"/>
              <w:jc w:val="center"/>
              <w:rPr>
                <w:rFonts w:ascii="Times New Roman" w:eastAsia="宋体" w:hAnsi="Times New Roman" w:cs="Times New Roman"/>
                <w:bCs/>
                <w:sz w:val="21"/>
                <w:szCs w:val="21"/>
              </w:rPr>
            </w:pPr>
            <w:r w:rsidRPr="00FE59CF">
              <w:rPr>
                <w:rFonts w:ascii="Times New Roman" w:hAnsi="Times New Roman" w:cs="Times New Roman"/>
                <w:color w:val="000000"/>
                <w:sz w:val="21"/>
                <w:szCs w:val="21"/>
              </w:rPr>
              <w:t>3</w:t>
            </w:r>
          </w:p>
        </w:tc>
      </w:tr>
      <w:tr w:rsidR="003A047C" w:rsidRPr="00FE59CF" w14:paraId="50C9C3FC" w14:textId="77777777" w:rsidTr="003A047C">
        <w:trPr>
          <w:trHeight w:val="283"/>
        </w:trPr>
        <w:tc>
          <w:tcPr>
            <w:tcW w:w="3516" w:type="pct"/>
            <w:vAlign w:val="center"/>
          </w:tcPr>
          <w:p w14:paraId="034D4A90" w14:textId="3CD635FE" w:rsidR="003A047C" w:rsidRPr="00FE59CF" w:rsidRDefault="003A047C" w:rsidP="003A047C">
            <w:pPr>
              <w:pStyle w:val="af0"/>
              <w:spacing w:line="240" w:lineRule="atLeast"/>
              <w:rPr>
                <w:rFonts w:ascii="Times New Roman" w:eastAsia="宋体" w:hAnsi="Times New Roman"/>
                <w:bCs/>
                <w:sz w:val="21"/>
                <w:szCs w:val="21"/>
              </w:rPr>
            </w:pPr>
            <w:r w:rsidRPr="00FE59CF">
              <w:rPr>
                <w:rFonts w:hint="eastAsia"/>
                <w:sz w:val="21"/>
                <w:szCs w:val="21"/>
              </w:rPr>
              <w:t>及时监控项目实施情况，确保符合预定目标</w:t>
            </w:r>
          </w:p>
        </w:tc>
        <w:tc>
          <w:tcPr>
            <w:tcW w:w="766" w:type="pct"/>
            <w:vAlign w:val="center"/>
          </w:tcPr>
          <w:p w14:paraId="473235C7" w14:textId="40886296" w:rsidR="003A047C" w:rsidRPr="00FE59CF" w:rsidRDefault="003A047C" w:rsidP="003A047C">
            <w:pPr>
              <w:pStyle w:val="af0"/>
              <w:spacing w:line="240" w:lineRule="atLeast"/>
              <w:jc w:val="center"/>
              <w:rPr>
                <w:rFonts w:ascii="Times New Roman" w:eastAsia="宋体" w:hAnsi="Times New Roman" w:cs="Times New Roman"/>
                <w:bCs/>
                <w:sz w:val="21"/>
                <w:szCs w:val="21"/>
              </w:rPr>
            </w:pPr>
            <w:r w:rsidRPr="00FE59CF">
              <w:rPr>
                <w:rFonts w:ascii="Times New Roman" w:hAnsi="Times New Roman" w:cs="Times New Roman"/>
                <w:color w:val="000000"/>
                <w:sz w:val="21"/>
                <w:szCs w:val="21"/>
              </w:rPr>
              <w:t>4.362</w:t>
            </w:r>
          </w:p>
        </w:tc>
        <w:tc>
          <w:tcPr>
            <w:tcW w:w="718" w:type="pct"/>
            <w:vAlign w:val="center"/>
          </w:tcPr>
          <w:p w14:paraId="6C45E75D" w14:textId="162C1480" w:rsidR="003A047C" w:rsidRPr="00FE59CF" w:rsidRDefault="003A047C" w:rsidP="003A047C">
            <w:pPr>
              <w:pStyle w:val="af0"/>
              <w:spacing w:line="240" w:lineRule="atLeast"/>
              <w:jc w:val="center"/>
              <w:rPr>
                <w:rFonts w:ascii="Times New Roman" w:eastAsia="宋体" w:hAnsi="Times New Roman" w:cs="Times New Roman"/>
                <w:bCs/>
                <w:sz w:val="21"/>
                <w:szCs w:val="21"/>
              </w:rPr>
            </w:pPr>
            <w:r w:rsidRPr="00FE59CF">
              <w:rPr>
                <w:rFonts w:ascii="Times New Roman" w:hAnsi="Times New Roman" w:cs="Times New Roman"/>
                <w:color w:val="000000"/>
                <w:sz w:val="21"/>
                <w:szCs w:val="21"/>
              </w:rPr>
              <w:t>5</w:t>
            </w:r>
          </w:p>
        </w:tc>
      </w:tr>
      <w:tr w:rsidR="003A047C" w:rsidRPr="00FE59CF" w14:paraId="04BD6544" w14:textId="77777777" w:rsidTr="003A047C">
        <w:trPr>
          <w:trHeight w:val="283"/>
        </w:trPr>
        <w:tc>
          <w:tcPr>
            <w:tcW w:w="3516" w:type="pct"/>
            <w:vAlign w:val="center"/>
          </w:tcPr>
          <w:p w14:paraId="01163A72" w14:textId="0063204A" w:rsidR="003A047C" w:rsidRPr="00FE59CF" w:rsidRDefault="003A047C" w:rsidP="003A047C">
            <w:pPr>
              <w:pStyle w:val="af0"/>
              <w:spacing w:line="240" w:lineRule="atLeast"/>
              <w:rPr>
                <w:rFonts w:ascii="Times New Roman" w:eastAsia="宋体" w:hAnsi="Times New Roman"/>
                <w:bCs/>
                <w:sz w:val="21"/>
                <w:szCs w:val="21"/>
              </w:rPr>
            </w:pPr>
            <w:r w:rsidRPr="00FE59CF">
              <w:rPr>
                <w:rFonts w:hint="eastAsia"/>
                <w:sz w:val="21"/>
                <w:szCs w:val="21"/>
              </w:rPr>
              <w:t>明确</w:t>
            </w:r>
            <w:r w:rsidRPr="00FE59CF">
              <w:rPr>
                <w:rFonts w:cs="Calibri" w:hint="eastAsia"/>
                <w:snapToGrid w:val="0"/>
                <w:sz w:val="21"/>
                <w:szCs w:val="21"/>
              </w:rPr>
              <w:t>利益相关方对</w:t>
            </w:r>
            <w:r w:rsidRPr="00FE59CF">
              <w:rPr>
                <w:rFonts w:hint="eastAsia"/>
                <w:sz w:val="21"/>
                <w:szCs w:val="21"/>
              </w:rPr>
              <w:t>项目的需求</w:t>
            </w:r>
          </w:p>
        </w:tc>
        <w:tc>
          <w:tcPr>
            <w:tcW w:w="766" w:type="pct"/>
            <w:vAlign w:val="center"/>
          </w:tcPr>
          <w:p w14:paraId="4CCCE06F" w14:textId="4B3AFA2B" w:rsidR="003A047C" w:rsidRPr="00FE59CF" w:rsidRDefault="003A047C" w:rsidP="003A047C">
            <w:pPr>
              <w:pStyle w:val="af0"/>
              <w:spacing w:line="240" w:lineRule="atLeast"/>
              <w:jc w:val="center"/>
              <w:rPr>
                <w:rFonts w:ascii="Times New Roman" w:eastAsia="宋体" w:hAnsi="Times New Roman" w:cs="Times New Roman"/>
                <w:bCs/>
                <w:sz w:val="21"/>
                <w:szCs w:val="21"/>
              </w:rPr>
            </w:pPr>
            <w:r w:rsidRPr="00FE59CF">
              <w:rPr>
                <w:rFonts w:ascii="Times New Roman" w:hAnsi="Times New Roman" w:cs="Times New Roman"/>
                <w:color w:val="000000"/>
                <w:sz w:val="21"/>
                <w:szCs w:val="21"/>
              </w:rPr>
              <w:t>4.345</w:t>
            </w:r>
          </w:p>
        </w:tc>
        <w:tc>
          <w:tcPr>
            <w:tcW w:w="718" w:type="pct"/>
            <w:vAlign w:val="center"/>
          </w:tcPr>
          <w:p w14:paraId="6ACAE4EE" w14:textId="341B320A" w:rsidR="003A047C" w:rsidRPr="00FE59CF" w:rsidRDefault="003A047C" w:rsidP="003A047C">
            <w:pPr>
              <w:pStyle w:val="af0"/>
              <w:spacing w:line="240" w:lineRule="atLeast"/>
              <w:jc w:val="center"/>
              <w:rPr>
                <w:rFonts w:ascii="Times New Roman" w:eastAsia="宋体" w:hAnsi="Times New Roman" w:cs="Times New Roman"/>
                <w:bCs/>
                <w:sz w:val="21"/>
                <w:szCs w:val="21"/>
              </w:rPr>
            </w:pPr>
            <w:r w:rsidRPr="00FE59CF">
              <w:rPr>
                <w:rFonts w:ascii="Times New Roman" w:hAnsi="Times New Roman" w:cs="Times New Roman"/>
                <w:color w:val="000000"/>
                <w:sz w:val="21"/>
                <w:szCs w:val="21"/>
              </w:rPr>
              <w:t>8</w:t>
            </w:r>
          </w:p>
        </w:tc>
      </w:tr>
      <w:tr w:rsidR="003A047C" w:rsidRPr="00FE59CF" w14:paraId="6C64EC8A" w14:textId="77777777" w:rsidTr="003A047C">
        <w:trPr>
          <w:trHeight w:val="283"/>
        </w:trPr>
        <w:tc>
          <w:tcPr>
            <w:tcW w:w="3516" w:type="pct"/>
            <w:vAlign w:val="center"/>
          </w:tcPr>
          <w:p w14:paraId="0B4CD9CF" w14:textId="10E1E457" w:rsidR="003A047C" w:rsidRPr="00FE59CF" w:rsidRDefault="003A047C" w:rsidP="003A047C">
            <w:pPr>
              <w:pStyle w:val="af0"/>
              <w:spacing w:line="240" w:lineRule="atLeast"/>
              <w:rPr>
                <w:rFonts w:ascii="Times New Roman" w:eastAsia="宋体" w:hAnsi="Times New Roman"/>
                <w:bCs/>
                <w:sz w:val="21"/>
                <w:szCs w:val="21"/>
              </w:rPr>
            </w:pPr>
            <w:r w:rsidRPr="00FE59CF">
              <w:rPr>
                <w:rFonts w:hint="eastAsia"/>
                <w:sz w:val="21"/>
                <w:szCs w:val="21"/>
              </w:rPr>
              <w:t>明确项目开发的技术与管理重难点</w:t>
            </w:r>
          </w:p>
        </w:tc>
        <w:tc>
          <w:tcPr>
            <w:tcW w:w="766" w:type="pct"/>
            <w:vAlign w:val="center"/>
          </w:tcPr>
          <w:p w14:paraId="1E4C9E3D" w14:textId="309C301E" w:rsidR="003A047C" w:rsidRPr="00FE59CF" w:rsidRDefault="003A047C" w:rsidP="003A047C">
            <w:pPr>
              <w:pStyle w:val="af0"/>
              <w:spacing w:line="240" w:lineRule="atLeast"/>
              <w:jc w:val="center"/>
              <w:rPr>
                <w:rFonts w:ascii="Times New Roman" w:eastAsia="宋体" w:hAnsi="Times New Roman" w:cs="Times New Roman"/>
                <w:bCs/>
                <w:sz w:val="21"/>
                <w:szCs w:val="21"/>
              </w:rPr>
            </w:pPr>
            <w:r w:rsidRPr="00FE59CF">
              <w:rPr>
                <w:rFonts w:ascii="Times New Roman" w:hAnsi="Times New Roman" w:cs="Times New Roman"/>
                <w:color w:val="000000"/>
                <w:sz w:val="21"/>
                <w:szCs w:val="21"/>
              </w:rPr>
              <w:t>4.345</w:t>
            </w:r>
          </w:p>
        </w:tc>
        <w:tc>
          <w:tcPr>
            <w:tcW w:w="718" w:type="pct"/>
            <w:vAlign w:val="center"/>
          </w:tcPr>
          <w:p w14:paraId="7C5F3AEF" w14:textId="125B84AC" w:rsidR="003A047C" w:rsidRPr="00FE59CF" w:rsidRDefault="003A047C" w:rsidP="003A047C">
            <w:pPr>
              <w:pStyle w:val="af0"/>
              <w:spacing w:line="240" w:lineRule="atLeast"/>
              <w:jc w:val="center"/>
              <w:rPr>
                <w:rFonts w:ascii="Times New Roman" w:eastAsia="宋体" w:hAnsi="Times New Roman" w:cs="Times New Roman"/>
                <w:bCs/>
                <w:sz w:val="21"/>
                <w:szCs w:val="21"/>
              </w:rPr>
            </w:pPr>
            <w:r w:rsidRPr="00FE59CF">
              <w:rPr>
                <w:rFonts w:ascii="Times New Roman" w:hAnsi="Times New Roman" w:cs="Times New Roman"/>
                <w:color w:val="000000"/>
                <w:sz w:val="21"/>
                <w:szCs w:val="21"/>
              </w:rPr>
              <w:t>8</w:t>
            </w:r>
          </w:p>
        </w:tc>
      </w:tr>
      <w:tr w:rsidR="003A047C" w:rsidRPr="00FE59CF" w14:paraId="4268DDF6" w14:textId="77777777" w:rsidTr="003A047C">
        <w:trPr>
          <w:trHeight w:val="283"/>
        </w:trPr>
        <w:tc>
          <w:tcPr>
            <w:tcW w:w="3516" w:type="pct"/>
            <w:vAlign w:val="center"/>
          </w:tcPr>
          <w:p w14:paraId="1BC745D5" w14:textId="56FE1B5D" w:rsidR="003A047C" w:rsidRPr="00FE59CF" w:rsidRDefault="003A047C" w:rsidP="003A047C">
            <w:pPr>
              <w:pStyle w:val="af0"/>
              <w:spacing w:line="240" w:lineRule="atLeast"/>
              <w:jc w:val="center"/>
              <w:rPr>
                <w:rFonts w:ascii="Times New Roman" w:eastAsia="宋体" w:hAnsi="Times New Roman"/>
                <w:bCs/>
                <w:sz w:val="21"/>
                <w:szCs w:val="21"/>
              </w:rPr>
            </w:pPr>
            <w:r w:rsidRPr="00FE59CF">
              <w:rPr>
                <w:rFonts w:hint="eastAsia"/>
                <w:b/>
                <w:bCs/>
                <w:sz w:val="21"/>
                <w:szCs w:val="21"/>
              </w:rPr>
              <w:t>组织协调能力</w:t>
            </w:r>
          </w:p>
        </w:tc>
        <w:tc>
          <w:tcPr>
            <w:tcW w:w="766" w:type="pct"/>
            <w:vAlign w:val="center"/>
          </w:tcPr>
          <w:p w14:paraId="46CEAC55" w14:textId="77777777" w:rsidR="003A047C" w:rsidRPr="00FE59CF" w:rsidRDefault="003A047C" w:rsidP="003A047C">
            <w:pPr>
              <w:pStyle w:val="af0"/>
              <w:spacing w:line="240" w:lineRule="atLeast"/>
              <w:jc w:val="center"/>
              <w:rPr>
                <w:rFonts w:ascii="Times New Roman" w:eastAsia="宋体" w:hAnsi="Times New Roman" w:cs="Times New Roman"/>
                <w:bCs/>
                <w:sz w:val="21"/>
                <w:szCs w:val="21"/>
              </w:rPr>
            </w:pPr>
          </w:p>
        </w:tc>
        <w:tc>
          <w:tcPr>
            <w:tcW w:w="718" w:type="pct"/>
            <w:vAlign w:val="center"/>
          </w:tcPr>
          <w:p w14:paraId="01B61C50" w14:textId="77777777" w:rsidR="003A047C" w:rsidRPr="00FE59CF" w:rsidRDefault="003A047C" w:rsidP="003A047C">
            <w:pPr>
              <w:pStyle w:val="af0"/>
              <w:spacing w:line="240" w:lineRule="atLeast"/>
              <w:jc w:val="center"/>
              <w:rPr>
                <w:rFonts w:ascii="Times New Roman" w:eastAsia="宋体" w:hAnsi="Times New Roman" w:cs="Times New Roman"/>
                <w:bCs/>
                <w:sz w:val="21"/>
                <w:szCs w:val="21"/>
              </w:rPr>
            </w:pPr>
          </w:p>
        </w:tc>
      </w:tr>
      <w:tr w:rsidR="003A047C" w:rsidRPr="00FE59CF" w14:paraId="34C943A0" w14:textId="77777777" w:rsidTr="003A047C">
        <w:trPr>
          <w:trHeight w:val="283"/>
        </w:trPr>
        <w:tc>
          <w:tcPr>
            <w:tcW w:w="3516" w:type="pct"/>
            <w:vAlign w:val="center"/>
            <w:hideMark/>
          </w:tcPr>
          <w:p w14:paraId="25FB38D2" w14:textId="5177ADF5" w:rsidR="003A047C" w:rsidRPr="00FE59CF" w:rsidRDefault="003A047C" w:rsidP="003A047C">
            <w:pPr>
              <w:pStyle w:val="af0"/>
              <w:spacing w:line="240" w:lineRule="atLeast"/>
              <w:rPr>
                <w:rFonts w:ascii="Times New Roman" w:eastAsia="宋体" w:hAnsi="Times New Roman"/>
                <w:bCs/>
                <w:sz w:val="21"/>
                <w:szCs w:val="21"/>
              </w:rPr>
            </w:pPr>
            <w:r w:rsidRPr="00FE59CF">
              <w:rPr>
                <w:rFonts w:hint="eastAsia"/>
                <w:sz w:val="21"/>
                <w:szCs w:val="21"/>
              </w:rPr>
              <w:t>推动参建各方积极完成项目开发各阶段任务</w:t>
            </w:r>
          </w:p>
        </w:tc>
        <w:tc>
          <w:tcPr>
            <w:tcW w:w="766" w:type="pct"/>
            <w:vAlign w:val="center"/>
            <w:hideMark/>
          </w:tcPr>
          <w:p w14:paraId="31BFA363" w14:textId="0A29CED0" w:rsidR="003A047C" w:rsidRPr="00FE59CF" w:rsidRDefault="003A047C" w:rsidP="003A047C">
            <w:pPr>
              <w:pStyle w:val="af0"/>
              <w:spacing w:line="240" w:lineRule="atLeast"/>
              <w:jc w:val="center"/>
              <w:rPr>
                <w:rFonts w:ascii="Times New Roman" w:eastAsia="宋体" w:hAnsi="Times New Roman" w:cs="Times New Roman"/>
                <w:bCs/>
                <w:sz w:val="21"/>
                <w:szCs w:val="21"/>
              </w:rPr>
            </w:pPr>
            <w:r w:rsidRPr="00FE59CF">
              <w:rPr>
                <w:rFonts w:ascii="Times New Roman" w:hAnsi="Times New Roman" w:cs="Times New Roman"/>
                <w:color w:val="000000"/>
                <w:sz w:val="21"/>
                <w:szCs w:val="21"/>
              </w:rPr>
              <w:t>4.365</w:t>
            </w:r>
          </w:p>
        </w:tc>
        <w:tc>
          <w:tcPr>
            <w:tcW w:w="718" w:type="pct"/>
            <w:vAlign w:val="center"/>
            <w:hideMark/>
          </w:tcPr>
          <w:p w14:paraId="1FEBD14D" w14:textId="61E78804" w:rsidR="003A047C" w:rsidRPr="00FE59CF" w:rsidRDefault="003A047C" w:rsidP="003A047C">
            <w:pPr>
              <w:pStyle w:val="af0"/>
              <w:spacing w:line="240" w:lineRule="atLeast"/>
              <w:jc w:val="center"/>
              <w:rPr>
                <w:rFonts w:ascii="Times New Roman" w:eastAsia="宋体" w:hAnsi="Times New Roman" w:cs="Times New Roman"/>
                <w:bCs/>
                <w:sz w:val="21"/>
                <w:szCs w:val="21"/>
              </w:rPr>
            </w:pPr>
            <w:r w:rsidRPr="00FE59CF">
              <w:rPr>
                <w:rFonts w:ascii="Times New Roman" w:hAnsi="Times New Roman" w:cs="Times New Roman"/>
                <w:color w:val="000000"/>
                <w:sz w:val="21"/>
                <w:szCs w:val="21"/>
              </w:rPr>
              <w:t>3</w:t>
            </w:r>
          </w:p>
        </w:tc>
      </w:tr>
      <w:tr w:rsidR="003A047C" w:rsidRPr="00FE59CF" w14:paraId="199BBDFC" w14:textId="77777777" w:rsidTr="003A047C">
        <w:trPr>
          <w:trHeight w:val="283"/>
        </w:trPr>
        <w:tc>
          <w:tcPr>
            <w:tcW w:w="3516" w:type="pct"/>
            <w:vAlign w:val="center"/>
          </w:tcPr>
          <w:p w14:paraId="5C8EB3F1" w14:textId="3E3B1E40" w:rsidR="003A047C" w:rsidRPr="00FE59CF" w:rsidRDefault="003A047C" w:rsidP="003A047C">
            <w:pPr>
              <w:pStyle w:val="af0"/>
              <w:spacing w:line="240" w:lineRule="atLeast"/>
              <w:rPr>
                <w:sz w:val="21"/>
                <w:szCs w:val="21"/>
              </w:rPr>
            </w:pPr>
            <w:r w:rsidRPr="00FE59CF">
              <w:rPr>
                <w:rFonts w:hint="eastAsia"/>
                <w:sz w:val="21"/>
                <w:szCs w:val="21"/>
              </w:rPr>
              <w:t>统筹项目规划设计、采购、施工和运营工作</w:t>
            </w:r>
          </w:p>
        </w:tc>
        <w:tc>
          <w:tcPr>
            <w:tcW w:w="766" w:type="pct"/>
            <w:vAlign w:val="center"/>
          </w:tcPr>
          <w:p w14:paraId="6999FB3E" w14:textId="00EFA588" w:rsidR="003A047C" w:rsidRPr="00FE59CF" w:rsidRDefault="003A047C" w:rsidP="003A047C">
            <w:pPr>
              <w:pStyle w:val="af0"/>
              <w:spacing w:line="240" w:lineRule="atLeast"/>
              <w:jc w:val="center"/>
              <w:rPr>
                <w:rFonts w:ascii="Times New Roman" w:eastAsia="宋体" w:hAnsi="Times New Roman" w:cs="Times New Roman"/>
                <w:sz w:val="21"/>
                <w:szCs w:val="21"/>
              </w:rPr>
            </w:pPr>
            <w:r w:rsidRPr="00FE59CF">
              <w:rPr>
                <w:rFonts w:ascii="Times New Roman" w:hAnsi="Times New Roman" w:cs="Times New Roman"/>
                <w:color w:val="000000"/>
                <w:sz w:val="21"/>
                <w:szCs w:val="21"/>
              </w:rPr>
              <w:t>4.345</w:t>
            </w:r>
          </w:p>
        </w:tc>
        <w:tc>
          <w:tcPr>
            <w:tcW w:w="718" w:type="pct"/>
            <w:vAlign w:val="center"/>
          </w:tcPr>
          <w:p w14:paraId="5348596E" w14:textId="0A59F3CC" w:rsidR="003A047C" w:rsidRPr="00FE59CF" w:rsidRDefault="003A047C" w:rsidP="003A047C">
            <w:pPr>
              <w:pStyle w:val="af0"/>
              <w:spacing w:line="240" w:lineRule="atLeast"/>
              <w:jc w:val="center"/>
              <w:rPr>
                <w:rFonts w:ascii="Times New Roman" w:eastAsia="宋体" w:hAnsi="Times New Roman" w:cs="Times New Roman"/>
                <w:sz w:val="21"/>
                <w:szCs w:val="21"/>
              </w:rPr>
            </w:pPr>
            <w:r w:rsidRPr="00FE59CF">
              <w:rPr>
                <w:rFonts w:ascii="Times New Roman" w:hAnsi="Times New Roman" w:cs="Times New Roman"/>
                <w:color w:val="000000"/>
                <w:sz w:val="21"/>
                <w:szCs w:val="21"/>
              </w:rPr>
              <w:t>8</w:t>
            </w:r>
          </w:p>
        </w:tc>
      </w:tr>
      <w:tr w:rsidR="003A047C" w:rsidRPr="00FE59CF" w14:paraId="723BD376" w14:textId="77777777" w:rsidTr="003A047C">
        <w:trPr>
          <w:trHeight w:val="283"/>
        </w:trPr>
        <w:tc>
          <w:tcPr>
            <w:tcW w:w="3516" w:type="pct"/>
            <w:vAlign w:val="center"/>
          </w:tcPr>
          <w:p w14:paraId="6E8088D6" w14:textId="2A6B6095" w:rsidR="003A047C" w:rsidRPr="00FE59CF" w:rsidRDefault="003A047C" w:rsidP="003A047C">
            <w:pPr>
              <w:pStyle w:val="af0"/>
              <w:spacing w:line="240" w:lineRule="atLeast"/>
              <w:rPr>
                <w:sz w:val="21"/>
                <w:szCs w:val="21"/>
              </w:rPr>
            </w:pPr>
            <w:r w:rsidRPr="00FE59CF">
              <w:rPr>
                <w:rFonts w:hint="eastAsia"/>
                <w:sz w:val="21"/>
                <w:szCs w:val="21"/>
              </w:rPr>
              <w:t>能够合理分配项目间资源（设备、材料、人员等）</w:t>
            </w:r>
          </w:p>
        </w:tc>
        <w:tc>
          <w:tcPr>
            <w:tcW w:w="766" w:type="pct"/>
            <w:vAlign w:val="center"/>
          </w:tcPr>
          <w:p w14:paraId="540E6DCE" w14:textId="04AE0D14" w:rsidR="003A047C" w:rsidRPr="00FE59CF" w:rsidRDefault="003A047C" w:rsidP="003A047C">
            <w:pPr>
              <w:pStyle w:val="af0"/>
              <w:spacing w:line="240" w:lineRule="atLeast"/>
              <w:jc w:val="center"/>
              <w:rPr>
                <w:rFonts w:ascii="Times New Roman" w:eastAsia="宋体" w:hAnsi="Times New Roman" w:cs="Times New Roman"/>
                <w:sz w:val="21"/>
                <w:szCs w:val="21"/>
              </w:rPr>
            </w:pPr>
            <w:r w:rsidRPr="00FE59CF">
              <w:rPr>
                <w:rFonts w:ascii="Times New Roman" w:hAnsi="Times New Roman" w:cs="Times New Roman"/>
                <w:color w:val="000000"/>
                <w:sz w:val="21"/>
                <w:szCs w:val="21"/>
              </w:rPr>
              <w:t>4.317</w:t>
            </w:r>
          </w:p>
        </w:tc>
        <w:tc>
          <w:tcPr>
            <w:tcW w:w="718" w:type="pct"/>
            <w:vAlign w:val="center"/>
          </w:tcPr>
          <w:p w14:paraId="48975F9D" w14:textId="37EA93A1" w:rsidR="003A047C" w:rsidRPr="00FE59CF" w:rsidRDefault="003A047C" w:rsidP="003A047C">
            <w:pPr>
              <w:pStyle w:val="af0"/>
              <w:spacing w:line="240" w:lineRule="atLeast"/>
              <w:jc w:val="center"/>
              <w:rPr>
                <w:rFonts w:ascii="Times New Roman" w:eastAsia="宋体" w:hAnsi="Times New Roman" w:cs="Times New Roman"/>
                <w:sz w:val="21"/>
                <w:szCs w:val="21"/>
              </w:rPr>
            </w:pPr>
            <w:r w:rsidRPr="00FE59CF">
              <w:rPr>
                <w:rFonts w:ascii="Times New Roman" w:hAnsi="Times New Roman" w:cs="Times New Roman"/>
                <w:color w:val="000000"/>
                <w:sz w:val="21"/>
                <w:szCs w:val="21"/>
              </w:rPr>
              <w:t>17</w:t>
            </w:r>
          </w:p>
        </w:tc>
      </w:tr>
      <w:tr w:rsidR="003A047C" w:rsidRPr="00FE59CF" w14:paraId="12DC81A4" w14:textId="77777777" w:rsidTr="003A047C">
        <w:trPr>
          <w:trHeight w:val="283"/>
        </w:trPr>
        <w:tc>
          <w:tcPr>
            <w:tcW w:w="3516" w:type="pct"/>
          </w:tcPr>
          <w:p w14:paraId="5E7DE8F6" w14:textId="30661A04" w:rsidR="003A047C" w:rsidRPr="00FE59CF" w:rsidRDefault="003A047C" w:rsidP="003A047C">
            <w:pPr>
              <w:pStyle w:val="af0"/>
              <w:spacing w:line="240" w:lineRule="atLeast"/>
              <w:jc w:val="center"/>
              <w:rPr>
                <w:sz w:val="21"/>
                <w:szCs w:val="21"/>
              </w:rPr>
            </w:pPr>
            <w:r w:rsidRPr="00FE59CF">
              <w:rPr>
                <w:rFonts w:hint="eastAsia"/>
                <w:b/>
                <w:bCs/>
                <w:sz w:val="21"/>
                <w:szCs w:val="21"/>
              </w:rPr>
              <w:t>信息技术应用能力</w:t>
            </w:r>
          </w:p>
        </w:tc>
        <w:tc>
          <w:tcPr>
            <w:tcW w:w="766" w:type="pct"/>
            <w:vAlign w:val="center"/>
          </w:tcPr>
          <w:p w14:paraId="1F5F0EDE" w14:textId="77777777" w:rsidR="003A047C" w:rsidRPr="00FE59CF" w:rsidRDefault="003A047C" w:rsidP="003A047C">
            <w:pPr>
              <w:pStyle w:val="af0"/>
              <w:spacing w:line="240" w:lineRule="atLeast"/>
              <w:jc w:val="center"/>
              <w:rPr>
                <w:rFonts w:ascii="Times New Roman" w:eastAsia="宋体" w:hAnsi="Times New Roman" w:cs="Times New Roman"/>
                <w:sz w:val="21"/>
                <w:szCs w:val="21"/>
              </w:rPr>
            </w:pPr>
          </w:p>
        </w:tc>
        <w:tc>
          <w:tcPr>
            <w:tcW w:w="718" w:type="pct"/>
            <w:vAlign w:val="center"/>
          </w:tcPr>
          <w:p w14:paraId="1CCA2AE6" w14:textId="77777777" w:rsidR="003A047C" w:rsidRPr="00FE59CF" w:rsidRDefault="003A047C" w:rsidP="003A047C">
            <w:pPr>
              <w:pStyle w:val="af0"/>
              <w:spacing w:line="240" w:lineRule="atLeast"/>
              <w:jc w:val="center"/>
              <w:rPr>
                <w:rFonts w:ascii="Times New Roman" w:eastAsia="宋体" w:hAnsi="Times New Roman" w:cs="Times New Roman"/>
                <w:sz w:val="21"/>
                <w:szCs w:val="21"/>
              </w:rPr>
            </w:pPr>
          </w:p>
        </w:tc>
      </w:tr>
      <w:tr w:rsidR="003A047C" w:rsidRPr="00FE59CF" w14:paraId="523CF0DC" w14:textId="77777777" w:rsidTr="003A047C">
        <w:trPr>
          <w:trHeight w:val="283"/>
        </w:trPr>
        <w:tc>
          <w:tcPr>
            <w:tcW w:w="3516" w:type="pct"/>
            <w:vAlign w:val="center"/>
          </w:tcPr>
          <w:p w14:paraId="1CC8A4AF" w14:textId="5FB3E45B" w:rsidR="003A047C" w:rsidRPr="00FE59CF" w:rsidRDefault="003A047C" w:rsidP="003A047C">
            <w:pPr>
              <w:pStyle w:val="af0"/>
              <w:spacing w:line="240" w:lineRule="atLeast"/>
              <w:rPr>
                <w:b/>
                <w:bCs/>
                <w:sz w:val="21"/>
                <w:szCs w:val="21"/>
              </w:rPr>
            </w:pPr>
            <w:r w:rsidRPr="00FE59CF">
              <w:rPr>
                <w:rFonts w:hint="eastAsia"/>
                <w:bCs/>
                <w:sz w:val="21"/>
                <w:szCs w:val="21"/>
              </w:rPr>
              <w:t>建有一体化信息管理平台</w:t>
            </w:r>
          </w:p>
        </w:tc>
        <w:tc>
          <w:tcPr>
            <w:tcW w:w="766" w:type="pct"/>
            <w:vAlign w:val="center"/>
          </w:tcPr>
          <w:p w14:paraId="58629880" w14:textId="23425776" w:rsidR="003A047C" w:rsidRPr="00FE59CF" w:rsidRDefault="003A047C" w:rsidP="003A047C">
            <w:pPr>
              <w:pStyle w:val="af0"/>
              <w:spacing w:line="240" w:lineRule="atLeast"/>
              <w:jc w:val="center"/>
              <w:rPr>
                <w:rFonts w:ascii="Times New Roman" w:eastAsia="宋体" w:hAnsi="Times New Roman" w:cs="Times New Roman"/>
                <w:sz w:val="21"/>
                <w:szCs w:val="21"/>
              </w:rPr>
            </w:pPr>
            <w:r w:rsidRPr="00FE59CF">
              <w:rPr>
                <w:rFonts w:ascii="Times New Roman" w:hAnsi="Times New Roman" w:cs="Times New Roman"/>
                <w:color w:val="000000"/>
                <w:sz w:val="21"/>
                <w:szCs w:val="21"/>
              </w:rPr>
              <w:t>4.311</w:t>
            </w:r>
          </w:p>
        </w:tc>
        <w:tc>
          <w:tcPr>
            <w:tcW w:w="718" w:type="pct"/>
            <w:vAlign w:val="center"/>
          </w:tcPr>
          <w:p w14:paraId="598158EA" w14:textId="4AA08204" w:rsidR="003A047C" w:rsidRPr="00FE59CF" w:rsidRDefault="003A047C" w:rsidP="003A047C">
            <w:pPr>
              <w:pStyle w:val="af0"/>
              <w:spacing w:line="240" w:lineRule="atLeast"/>
              <w:jc w:val="center"/>
              <w:rPr>
                <w:rFonts w:ascii="Times New Roman" w:eastAsia="宋体" w:hAnsi="Times New Roman" w:cs="Times New Roman"/>
                <w:sz w:val="21"/>
                <w:szCs w:val="21"/>
              </w:rPr>
            </w:pPr>
            <w:r w:rsidRPr="00FE59CF">
              <w:rPr>
                <w:rFonts w:ascii="Times New Roman" w:hAnsi="Times New Roman" w:cs="Times New Roman"/>
                <w:color w:val="000000"/>
                <w:sz w:val="21"/>
                <w:szCs w:val="21"/>
              </w:rPr>
              <w:t>20</w:t>
            </w:r>
          </w:p>
        </w:tc>
      </w:tr>
      <w:tr w:rsidR="003A047C" w:rsidRPr="00FE59CF" w14:paraId="76096317" w14:textId="77777777" w:rsidTr="003A047C">
        <w:trPr>
          <w:trHeight w:val="283"/>
        </w:trPr>
        <w:tc>
          <w:tcPr>
            <w:tcW w:w="3516" w:type="pct"/>
            <w:vAlign w:val="center"/>
          </w:tcPr>
          <w:p w14:paraId="61823367" w14:textId="74CAB690" w:rsidR="003A047C" w:rsidRPr="00FE59CF" w:rsidRDefault="003A047C" w:rsidP="003A047C">
            <w:pPr>
              <w:pStyle w:val="af0"/>
              <w:spacing w:line="240" w:lineRule="atLeast"/>
              <w:rPr>
                <w:sz w:val="21"/>
                <w:szCs w:val="21"/>
              </w:rPr>
            </w:pPr>
            <w:r w:rsidRPr="00FE59CF">
              <w:rPr>
                <w:rFonts w:hint="eastAsia"/>
                <w:bCs/>
                <w:sz w:val="21"/>
                <w:szCs w:val="21"/>
              </w:rPr>
              <w:t>能够快速处理</w:t>
            </w:r>
            <w:r w:rsidRPr="00FE59CF">
              <w:rPr>
                <w:rFonts w:hint="eastAsia"/>
                <w:sz w:val="21"/>
                <w:szCs w:val="21"/>
              </w:rPr>
              <w:t>项目</w:t>
            </w:r>
            <w:r w:rsidRPr="00FE59CF">
              <w:rPr>
                <w:rFonts w:hint="eastAsia"/>
                <w:bCs/>
                <w:sz w:val="21"/>
                <w:szCs w:val="21"/>
              </w:rPr>
              <w:t>信息并及时调控</w:t>
            </w:r>
          </w:p>
        </w:tc>
        <w:tc>
          <w:tcPr>
            <w:tcW w:w="766" w:type="pct"/>
            <w:vAlign w:val="center"/>
          </w:tcPr>
          <w:p w14:paraId="5AFADC52" w14:textId="43221AA4" w:rsidR="003A047C" w:rsidRPr="00FE59CF" w:rsidRDefault="003A047C" w:rsidP="003A047C">
            <w:pPr>
              <w:pStyle w:val="af0"/>
              <w:spacing w:line="240" w:lineRule="atLeast"/>
              <w:jc w:val="center"/>
              <w:rPr>
                <w:rFonts w:ascii="Times New Roman" w:eastAsia="宋体" w:hAnsi="Times New Roman" w:cs="Times New Roman"/>
                <w:sz w:val="21"/>
                <w:szCs w:val="21"/>
              </w:rPr>
            </w:pPr>
            <w:r w:rsidRPr="00FE59CF">
              <w:rPr>
                <w:rFonts w:ascii="Times New Roman" w:hAnsi="Times New Roman" w:cs="Times New Roman"/>
                <w:color w:val="000000"/>
                <w:sz w:val="21"/>
                <w:szCs w:val="21"/>
              </w:rPr>
              <w:t>4.266</w:t>
            </w:r>
          </w:p>
        </w:tc>
        <w:tc>
          <w:tcPr>
            <w:tcW w:w="718" w:type="pct"/>
            <w:vAlign w:val="center"/>
          </w:tcPr>
          <w:p w14:paraId="64E310D3" w14:textId="0AA8A1AF" w:rsidR="003A047C" w:rsidRPr="00FE59CF" w:rsidRDefault="003A047C" w:rsidP="003A047C">
            <w:pPr>
              <w:pStyle w:val="af0"/>
              <w:spacing w:line="240" w:lineRule="atLeast"/>
              <w:jc w:val="center"/>
              <w:rPr>
                <w:rFonts w:ascii="Times New Roman" w:eastAsia="宋体" w:hAnsi="Times New Roman" w:cs="Times New Roman"/>
                <w:sz w:val="21"/>
                <w:szCs w:val="21"/>
              </w:rPr>
            </w:pPr>
            <w:r w:rsidRPr="00FE59CF">
              <w:rPr>
                <w:rFonts w:ascii="Times New Roman" w:hAnsi="Times New Roman" w:cs="Times New Roman"/>
                <w:color w:val="000000"/>
                <w:sz w:val="21"/>
                <w:szCs w:val="21"/>
              </w:rPr>
              <w:t>21</w:t>
            </w:r>
          </w:p>
        </w:tc>
      </w:tr>
      <w:tr w:rsidR="003A047C" w:rsidRPr="00FE59CF" w14:paraId="154DE9D6" w14:textId="77777777" w:rsidTr="003A047C">
        <w:trPr>
          <w:trHeight w:val="283"/>
        </w:trPr>
        <w:tc>
          <w:tcPr>
            <w:tcW w:w="3516" w:type="pct"/>
            <w:vAlign w:val="center"/>
          </w:tcPr>
          <w:p w14:paraId="21EFB1A5" w14:textId="3F547682" w:rsidR="003A047C" w:rsidRPr="00FE59CF" w:rsidRDefault="003A047C" w:rsidP="003A047C">
            <w:pPr>
              <w:pStyle w:val="af0"/>
              <w:spacing w:line="240" w:lineRule="atLeast"/>
              <w:rPr>
                <w:sz w:val="21"/>
                <w:szCs w:val="21"/>
              </w:rPr>
            </w:pPr>
            <w:r w:rsidRPr="00FE59CF">
              <w:rPr>
                <w:rFonts w:hint="eastAsia"/>
                <w:bCs/>
                <w:sz w:val="21"/>
                <w:szCs w:val="21"/>
              </w:rPr>
              <w:t>建有</w:t>
            </w:r>
            <w:r w:rsidRPr="00FE59CF">
              <w:rPr>
                <w:rFonts w:hint="eastAsia"/>
                <w:sz w:val="21"/>
                <w:szCs w:val="21"/>
              </w:rPr>
              <w:t>项目</w:t>
            </w:r>
            <w:r w:rsidRPr="00FE59CF">
              <w:rPr>
                <w:rFonts w:hint="eastAsia"/>
                <w:bCs/>
                <w:sz w:val="21"/>
                <w:szCs w:val="21"/>
              </w:rPr>
              <w:t>数字化业务流程并高效审批</w:t>
            </w:r>
          </w:p>
        </w:tc>
        <w:tc>
          <w:tcPr>
            <w:tcW w:w="766" w:type="pct"/>
            <w:vAlign w:val="center"/>
          </w:tcPr>
          <w:p w14:paraId="037ECAE8" w14:textId="0E64D814" w:rsidR="003A047C" w:rsidRPr="00FE59CF" w:rsidRDefault="003A047C" w:rsidP="003A047C">
            <w:pPr>
              <w:pStyle w:val="af0"/>
              <w:spacing w:line="240" w:lineRule="atLeast"/>
              <w:jc w:val="center"/>
              <w:rPr>
                <w:rFonts w:ascii="Times New Roman" w:eastAsia="宋体" w:hAnsi="Times New Roman" w:cs="Times New Roman"/>
                <w:sz w:val="21"/>
                <w:szCs w:val="21"/>
              </w:rPr>
            </w:pPr>
            <w:r w:rsidRPr="00FE59CF">
              <w:rPr>
                <w:rFonts w:ascii="Times New Roman" w:hAnsi="Times New Roman" w:cs="Times New Roman"/>
                <w:color w:val="000000"/>
                <w:sz w:val="21"/>
                <w:szCs w:val="21"/>
              </w:rPr>
              <w:t>4.266</w:t>
            </w:r>
          </w:p>
        </w:tc>
        <w:tc>
          <w:tcPr>
            <w:tcW w:w="718" w:type="pct"/>
            <w:vAlign w:val="center"/>
          </w:tcPr>
          <w:p w14:paraId="323AD018" w14:textId="024F5BF8" w:rsidR="003A047C" w:rsidRPr="00FE59CF" w:rsidRDefault="003A047C" w:rsidP="003A047C">
            <w:pPr>
              <w:pStyle w:val="af0"/>
              <w:spacing w:line="240" w:lineRule="atLeast"/>
              <w:jc w:val="center"/>
              <w:rPr>
                <w:rFonts w:ascii="Times New Roman" w:eastAsia="宋体" w:hAnsi="Times New Roman" w:cs="Times New Roman"/>
                <w:sz w:val="21"/>
                <w:szCs w:val="21"/>
              </w:rPr>
            </w:pPr>
            <w:r w:rsidRPr="00FE59CF">
              <w:rPr>
                <w:rFonts w:ascii="Times New Roman" w:hAnsi="Times New Roman" w:cs="Times New Roman"/>
                <w:color w:val="000000"/>
                <w:sz w:val="21"/>
                <w:szCs w:val="21"/>
              </w:rPr>
              <w:t>21</w:t>
            </w:r>
          </w:p>
        </w:tc>
      </w:tr>
      <w:tr w:rsidR="003A047C" w:rsidRPr="00FE59CF" w14:paraId="7339CF12" w14:textId="77777777" w:rsidTr="003A047C">
        <w:trPr>
          <w:trHeight w:val="283"/>
        </w:trPr>
        <w:tc>
          <w:tcPr>
            <w:tcW w:w="3516" w:type="pct"/>
            <w:vAlign w:val="center"/>
          </w:tcPr>
          <w:p w14:paraId="18D51845" w14:textId="26533B3C" w:rsidR="003A047C" w:rsidRPr="00FE59CF" w:rsidRDefault="003A047C" w:rsidP="003A047C">
            <w:pPr>
              <w:pStyle w:val="af0"/>
              <w:spacing w:line="240" w:lineRule="atLeast"/>
              <w:rPr>
                <w:sz w:val="21"/>
                <w:szCs w:val="21"/>
              </w:rPr>
            </w:pPr>
            <w:r w:rsidRPr="00FE59CF">
              <w:rPr>
                <w:rFonts w:hint="eastAsia"/>
                <w:bCs/>
                <w:sz w:val="21"/>
                <w:szCs w:val="21"/>
              </w:rPr>
              <w:t>能够进行水风光储多能互补智能管控</w:t>
            </w:r>
          </w:p>
        </w:tc>
        <w:tc>
          <w:tcPr>
            <w:tcW w:w="766" w:type="pct"/>
            <w:vAlign w:val="center"/>
          </w:tcPr>
          <w:p w14:paraId="4210C53D" w14:textId="4DC22A37" w:rsidR="003A047C" w:rsidRPr="00FE59CF" w:rsidRDefault="003A047C" w:rsidP="003A047C">
            <w:pPr>
              <w:pStyle w:val="af0"/>
              <w:spacing w:line="240" w:lineRule="atLeast"/>
              <w:jc w:val="center"/>
              <w:rPr>
                <w:rFonts w:ascii="Times New Roman" w:eastAsia="宋体" w:hAnsi="Times New Roman" w:cs="Times New Roman"/>
                <w:sz w:val="21"/>
                <w:szCs w:val="21"/>
              </w:rPr>
            </w:pPr>
            <w:r w:rsidRPr="00FE59CF">
              <w:rPr>
                <w:rFonts w:ascii="Times New Roman" w:hAnsi="Times New Roman" w:cs="Times New Roman"/>
                <w:color w:val="000000"/>
                <w:sz w:val="21"/>
                <w:szCs w:val="21"/>
              </w:rPr>
              <w:t>4.259</w:t>
            </w:r>
          </w:p>
        </w:tc>
        <w:tc>
          <w:tcPr>
            <w:tcW w:w="718" w:type="pct"/>
            <w:vAlign w:val="center"/>
          </w:tcPr>
          <w:p w14:paraId="186B9B84" w14:textId="3987DEB5" w:rsidR="003A047C" w:rsidRPr="00FE59CF" w:rsidRDefault="003A047C" w:rsidP="003A047C">
            <w:pPr>
              <w:pStyle w:val="af0"/>
              <w:spacing w:line="240" w:lineRule="atLeast"/>
              <w:jc w:val="center"/>
              <w:rPr>
                <w:rFonts w:ascii="Times New Roman" w:eastAsia="宋体" w:hAnsi="Times New Roman" w:cs="Times New Roman"/>
                <w:sz w:val="21"/>
                <w:szCs w:val="21"/>
              </w:rPr>
            </w:pPr>
            <w:r w:rsidRPr="00FE59CF">
              <w:rPr>
                <w:rFonts w:ascii="Times New Roman" w:hAnsi="Times New Roman" w:cs="Times New Roman"/>
                <w:color w:val="000000"/>
                <w:sz w:val="21"/>
                <w:szCs w:val="21"/>
              </w:rPr>
              <w:t>23</w:t>
            </w:r>
          </w:p>
        </w:tc>
      </w:tr>
      <w:tr w:rsidR="003A047C" w:rsidRPr="00FE59CF" w14:paraId="40ED8B12" w14:textId="77777777" w:rsidTr="003A047C">
        <w:trPr>
          <w:trHeight w:val="283"/>
        </w:trPr>
        <w:tc>
          <w:tcPr>
            <w:tcW w:w="3516" w:type="pct"/>
            <w:vAlign w:val="center"/>
          </w:tcPr>
          <w:p w14:paraId="080D590B" w14:textId="73FD18DD" w:rsidR="003A047C" w:rsidRPr="00FE59CF" w:rsidRDefault="003A047C" w:rsidP="003A047C">
            <w:pPr>
              <w:pStyle w:val="af0"/>
              <w:spacing w:line="240" w:lineRule="atLeast"/>
              <w:jc w:val="center"/>
              <w:rPr>
                <w:sz w:val="21"/>
                <w:szCs w:val="21"/>
              </w:rPr>
            </w:pPr>
            <w:r w:rsidRPr="00FE59CF">
              <w:rPr>
                <w:rFonts w:hint="eastAsia"/>
                <w:b/>
                <w:bCs/>
                <w:sz w:val="21"/>
                <w:szCs w:val="21"/>
              </w:rPr>
              <w:t>动态感知与适应能力</w:t>
            </w:r>
          </w:p>
        </w:tc>
        <w:tc>
          <w:tcPr>
            <w:tcW w:w="766" w:type="pct"/>
            <w:vAlign w:val="center"/>
          </w:tcPr>
          <w:p w14:paraId="031DB691" w14:textId="77777777" w:rsidR="003A047C" w:rsidRPr="00FE59CF" w:rsidRDefault="003A047C" w:rsidP="003A047C">
            <w:pPr>
              <w:pStyle w:val="af0"/>
              <w:spacing w:line="240" w:lineRule="atLeast"/>
              <w:jc w:val="center"/>
              <w:rPr>
                <w:rFonts w:ascii="Times New Roman" w:eastAsia="宋体" w:hAnsi="Times New Roman" w:cs="Times New Roman"/>
                <w:sz w:val="21"/>
                <w:szCs w:val="21"/>
              </w:rPr>
            </w:pPr>
          </w:p>
        </w:tc>
        <w:tc>
          <w:tcPr>
            <w:tcW w:w="718" w:type="pct"/>
            <w:vAlign w:val="center"/>
          </w:tcPr>
          <w:p w14:paraId="25F19BAA" w14:textId="77777777" w:rsidR="003A047C" w:rsidRPr="00FE59CF" w:rsidRDefault="003A047C" w:rsidP="003A047C">
            <w:pPr>
              <w:pStyle w:val="af0"/>
              <w:spacing w:line="240" w:lineRule="atLeast"/>
              <w:jc w:val="center"/>
              <w:rPr>
                <w:rFonts w:ascii="Times New Roman" w:eastAsia="宋体" w:hAnsi="Times New Roman" w:cs="Times New Roman"/>
                <w:sz w:val="21"/>
                <w:szCs w:val="21"/>
              </w:rPr>
            </w:pPr>
          </w:p>
        </w:tc>
      </w:tr>
      <w:tr w:rsidR="003A047C" w:rsidRPr="00FE59CF" w14:paraId="05872757" w14:textId="77777777" w:rsidTr="003A047C">
        <w:trPr>
          <w:trHeight w:val="283"/>
        </w:trPr>
        <w:tc>
          <w:tcPr>
            <w:tcW w:w="3516" w:type="pct"/>
            <w:vAlign w:val="center"/>
          </w:tcPr>
          <w:p w14:paraId="5BC2E217" w14:textId="621436C0" w:rsidR="003A047C" w:rsidRPr="00FE59CF" w:rsidRDefault="003A047C" w:rsidP="003A047C">
            <w:pPr>
              <w:pStyle w:val="af0"/>
              <w:spacing w:line="240" w:lineRule="atLeast"/>
              <w:rPr>
                <w:b/>
                <w:bCs/>
                <w:sz w:val="21"/>
                <w:szCs w:val="21"/>
              </w:rPr>
            </w:pPr>
            <w:r w:rsidRPr="00FE59CF">
              <w:rPr>
                <w:rFonts w:hint="eastAsia"/>
                <w:bCs/>
                <w:sz w:val="21"/>
                <w:szCs w:val="21"/>
              </w:rPr>
              <w:t>及时了解国家</w:t>
            </w:r>
            <w:r w:rsidRPr="00FE59CF">
              <w:rPr>
                <w:rFonts w:hint="eastAsia"/>
                <w:bCs/>
                <w:sz w:val="21"/>
                <w:szCs w:val="21"/>
              </w:rPr>
              <w:t>/</w:t>
            </w:r>
            <w:r w:rsidRPr="00FE59CF">
              <w:rPr>
                <w:rFonts w:hint="eastAsia"/>
                <w:bCs/>
                <w:sz w:val="21"/>
                <w:szCs w:val="21"/>
              </w:rPr>
              <w:t>地区在能源开发、电力市场等方面的政策与法规变化</w:t>
            </w:r>
          </w:p>
        </w:tc>
        <w:tc>
          <w:tcPr>
            <w:tcW w:w="766" w:type="pct"/>
            <w:vAlign w:val="center"/>
          </w:tcPr>
          <w:p w14:paraId="5E68655E" w14:textId="1376B1EB" w:rsidR="003A047C" w:rsidRPr="00FE59CF" w:rsidRDefault="003A047C" w:rsidP="003A047C">
            <w:pPr>
              <w:pStyle w:val="af0"/>
              <w:spacing w:line="240" w:lineRule="atLeast"/>
              <w:jc w:val="center"/>
              <w:rPr>
                <w:rFonts w:ascii="Times New Roman" w:eastAsia="宋体" w:hAnsi="Times New Roman" w:cs="Times New Roman"/>
                <w:sz w:val="21"/>
                <w:szCs w:val="21"/>
              </w:rPr>
            </w:pPr>
            <w:r w:rsidRPr="00FE59CF">
              <w:rPr>
                <w:rFonts w:ascii="Times New Roman" w:hAnsi="Times New Roman" w:cs="Times New Roman"/>
                <w:color w:val="000000"/>
                <w:sz w:val="21"/>
                <w:szCs w:val="21"/>
              </w:rPr>
              <w:t>4.375</w:t>
            </w:r>
          </w:p>
        </w:tc>
        <w:tc>
          <w:tcPr>
            <w:tcW w:w="718" w:type="pct"/>
            <w:vAlign w:val="center"/>
          </w:tcPr>
          <w:p w14:paraId="6605BF42" w14:textId="44FDDCB1" w:rsidR="003A047C" w:rsidRPr="00FE59CF" w:rsidRDefault="003A047C" w:rsidP="003A047C">
            <w:pPr>
              <w:pStyle w:val="af0"/>
              <w:spacing w:line="240" w:lineRule="atLeast"/>
              <w:jc w:val="center"/>
              <w:rPr>
                <w:rFonts w:ascii="Times New Roman" w:eastAsia="宋体" w:hAnsi="Times New Roman" w:cs="Times New Roman"/>
                <w:sz w:val="21"/>
                <w:szCs w:val="21"/>
              </w:rPr>
            </w:pPr>
            <w:r w:rsidRPr="00FE59CF">
              <w:rPr>
                <w:rFonts w:ascii="Times New Roman" w:hAnsi="Times New Roman" w:cs="Times New Roman"/>
                <w:color w:val="000000"/>
                <w:sz w:val="21"/>
                <w:szCs w:val="21"/>
              </w:rPr>
              <w:t>1</w:t>
            </w:r>
          </w:p>
        </w:tc>
      </w:tr>
      <w:tr w:rsidR="003A047C" w:rsidRPr="00FE59CF" w14:paraId="74DEFFD8" w14:textId="77777777" w:rsidTr="003A047C">
        <w:trPr>
          <w:trHeight w:val="283"/>
        </w:trPr>
        <w:tc>
          <w:tcPr>
            <w:tcW w:w="3516" w:type="pct"/>
            <w:vAlign w:val="center"/>
          </w:tcPr>
          <w:p w14:paraId="31606F4D" w14:textId="6033A908" w:rsidR="003A047C" w:rsidRPr="00FE59CF" w:rsidRDefault="003A047C" w:rsidP="003A047C">
            <w:pPr>
              <w:pStyle w:val="af0"/>
              <w:spacing w:line="240" w:lineRule="atLeast"/>
              <w:rPr>
                <w:sz w:val="21"/>
                <w:szCs w:val="21"/>
              </w:rPr>
            </w:pPr>
            <w:r w:rsidRPr="00FE59CF">
              <w:rPr>
                <w:rFonts w:hint="eastAsia"/>
                <w:bCs/>
                <w:sz w:val="21"/>
                <w:szCs w:val="21"/>
              </w:rPr>
              <w:t>及时总结并学习项目建设过程中的经验教训</w:t>
            </w:r>
          </w:p>
        </w:tc>
        <w:tc>
          <w:tcPr>
            <w:tcW w:w="766" w:type="pct"/>
            <w:vAlign w:val="center"/>
          </w:tcPr>
          <w:p w14:paraId="5B9AA3DA" w14:textId="4B944D80" w:rsidR="003A047C" w:rsidRPr="00FE59CF" w:rsidRDefault="003A047C" w:rsidP="003A047C">
            <w:pPr>
              <w:pStyle w:val="af0"/>
              <w:spacing w:line="240" w:lineRule="atLeast"/>
              <w:jc w:val="center"/>
              <w:rPr>
                <w:rFonts w:ascii="Times New Roman" w:eastAsia="宋体" w:hAnsi="Times New Roman" w:cs="Times New Roman"/>
                <w:sz w:val="21"/>
                <w:szCs w:val="21"/>
              </w:rPr>
            </w:pPr>
            <w:r w:rsidRPr="00FE59CF">
              <w:rPr>
                <w:rFonts w:ascii="Times New Roman" w:hAnsi="Times New Roman" w:cs="Times New Roman"/>
                <w:color w:val="000000"/>
                <w:sz w:val="21"/>
                <w:szCs w:val="21"/>
              </w:rPr>
              <w:t>4.341</w:t>
            </w:r>
          </w:p>
        </w:tc>
        <w:tc>
          <w:tcPr>
            <w:tcW w:w="718" w:type="pct"/>
            <w:vAlign w:val="center"/>
          </w:tcPr>
          <w:p w14:paraId="568CDBF4" w14:textId="5A08459F" w:rsidR="003A047C" w:rsidRPr="00FE59CF" w:rsidRDefault="003A047C" w:rsidP="003A047C">
            <w:pPr>
              <w:pStyle w:val="af0"/>
              <w:spacing w:line="240" w:lineRule="atLeast"/>
              <w:jc w:val="center"/>
              <w:rPr>
                <w:rFonts w:ascii="Times New Roman" w:eastAsia="宋体" w:hAnsi="Times New Roman" w:cs="Times New Roman"/>
                <w:sz w:val="21"/>
                <w:szCs w:val="21"/>
              </w:rPr>
            </w:pPr>
            <w:r w:rsidRPr="00FE59CF">
              <w:rPr>
                <w:rFonts w:ascii="Times New Roman" w:hAnsi="Times New Roman" w:cs="Times New Roman"/>
                <w:color w:val="000000"/>
                <w:sz w:val="21"/>
                <w:szCs w:val="21"/>
              </w:rPr>
              <w:t>11</w:t>
            </w:r>
          </w:p>
        </w:tc>
      </w:tr>
      <w:tr w:rsidR="003A047C" w:rsidRPr="00FE59CF" w14:paraId="43757FC0" w14:textId="77777777" w:rsidTr="003A047C">
        <w:trPr>
          <w:trHeight w:val="283"/>
        </w:trPr>
        <w:tc>
          <w:tcPr>
            <w:tcW w:w="3516" w:type="pct"/>
            <w:vAlign w:val="center"/>
          </w:tcPr>
          <w:p w14:paraId="28D9C721" w14:textId="4BFB348B" w:rsidR="003A047C" w:rsidRPr="00FE59CF" w:rsidRDefault="003A047C" w:rsidP="003A047C">
            <w:pPr>
              <w:pStyle w:val="af0"/>
              <w:spacing w:line="240" w:lineRule="atLeast"/>
              <w:rPr>
                <w:sz w:val="21"/>
                <w:szCs w:val="21"/>
              </w:rPr>
            </w:pPr>
            <w:r w:rsidRPr="00FE59CF">
              <w:rPr>
                <w:rFonts w:hint="eastAsia"/>
                <w:bCs/>
                <w:sz w:val="21"/>
                <w:szCs w:val="21"/>
              </w:rPr>
              <w:t>及时解决项目开发过程中的问题</w:t>
            </w:r>
          </w:p>
        </w:tc>
        <w:tc>
          <w:tcPr>
            <w:tcW w:w="766" w:type="pct"/>
            <w:vAlign w:val="center"/>
          </w:tcPr>
          <w:p w14:paraId="45B8F9C1" w14:textId="136E0C22" w:rsidR="003A047C" w:rsidRPr="00FE59CF" w:rsidRDefault="003A047C" w:rsidP="003A047C">
            <w:pPr>
              <w:pStyle w:val="af0"/>
              <w:spacing w:line="240" w:lineRule="atLeast"/>
              <w:jc w:val="center"/>
              <w:rPr>
                <w:rFonts w:ascii="Times New Roman" w:eastAsia="宋体" w:hAnsi="Times New Roman" w:cs="Times New Roman"/>
                <w:sz w:val="21"/>
                <w:szCs w:val="21"/>
              </w:rPr>
            </w:pPr>
            <w:r w:rsidRPr="00FE59CF">
              <w:rPr>
                <w:rFonts w:ascii="Times New Roman" w:hAnsi="Times New Roman" w:cs="Times New Roman"/>
                <w:color w:val="000000"/>
                <w:sz w:val="21"/>
                <w:szCs w:val="21"/>
              </w:rPr>
              <w:t>4.338</w:t>
            </w:r>
          </w:p>
        </w:tc>
        <w:tc>
          <w:tcPr>
            <w:tcW w:w="718" w:type="pct"/>
            <w:vAlign w:val="center"/>
          </w:tcPr>
          <w:p w14:paraId="645246DD" w14:textId="0A63BE01" w:rsidR="003A047C" w:rsidRPr="00FE59CF" w:rsidRDefault="003A047C" w:rsidP="003A047C">
            <w:pPr>
              <w:pStyle w:val="af0"/>
              <w:spacing w:line="240" w:lineRule="atLeast"/>
              <w:jc w:val="center"/>
              <w:rPr>
                <w:rFonts w:ascii="Times New Roman" w:eastAsia="宋体" w:hAnsi="Times New Roman" w:cs="Times New Roman"/>
                <w:sz w:val="21"/>
                <w:szCs w:val="21"/>
              </w:rPr>
            </w:pPr>
            <w:r w:rsidRPr="00FE59CF">
              <w:rPr>
                <w:rFonts w:ascii="Times New Roman" w:hAnsi="Times New Roman" w:cs="Times New Roman"/>
                <w:color w:val="000000"/>
                <w:sz w:val="21"/>
                <w:szCs w:val="21"/>
              </w:rPr>
              <w:t>13</w:t>
            </w:r>
          </w:p>
        </w:tc>
      </w:tr>
      <w:tr w:rsidR="003A047C" w:rsidRPr="00FE59CF" w14:paraId="59924D9C" w14:textId="77777777" w:rsidTr="003A047C">
        <w:trPr>
          <w:trHeight w:val="283"/>
        </w:trPr>
        <w:tc>
          <w:tcPr>
            <w:tcW w:w="3516" w:type="pct"/>
            <w:vAlign w:val="center"/>
          </w:tcPr>
          <w:p w14:paraId="4A6862B5" w14:textId="7F1BA5BD" w:rsidR="003A047C" w:rsidRPr="00FE59CF" w:rsidRDefault="003A047C" w:rsidP="003A047C">
            <w:pPr>
              <w:pStyle w:val="af0"/>
              <w:spacing w:line="240" w:lineRule="atLeast"/>
              <w:rPr>
                <w:sz w:val="21"/>
                <w:szCs w:val="21"/>
              </w:rPr>
            </w:pPr>
            <w:r w:rsidRPr="00FE59CF">
              <w:rPr>
                <w:rFonts w:hint="eastAsia"/>
                <w:bCs/>
                <w:sz w:val="21"/>
                <w:szCs w:val="21"/>
              </w:rPr>
              <w:t>及时洞察市场需求及其变化趋势</w:t>
            </w:r>
          </w:p>
        </w:tc>
        <w:tc>
          <w:tcPr>
            <w:tcW w:w="766" w:type="pct"/>
            <w:vAlign w:val="center"/>
          </w:tcPr>
          <w:p w14:paraId="219F9611" w14:textId="7FD425A7" w:rsidR="003A047C" w:rsidRPr="00FE59CF" w:rsidRDefault="003A047C" w:rsidP="003A047C">
            <w:pPr>
              <w:pStyle w:val="af0"/>
              <w:spacing w:line="240" w:lineRule="atLeast"/>
              <w:jc w:val="center"/>
              <w:rPr>
                <w:rFonts w:ascii="Times New Roman" w:eastAsia="宋体" w:hAnsi="Times New Roman" w:cs="Times New Roman"/>
                <w:sz w:val="21"/>
                <w:szCs w:val="21"/>
              </w:rPr>
            </w:pPr>
            <w:r w:rsidRPr="00FE59CF">
              <w:rPr>
                <w:rFonts w:ascii="Times New Roman" w:hAnsi="Times New Roman" w:cs="Times New Roman"/>
                <w:color w:val="000000"/>
                <w:sz w:val="21"/>
                <w:szCs w:val="21"/>
              </w:rPr>
              <w:t>4.334</w:t>
            </w:r>
          </w:p>
        </w:tc>
        <w:tc>
          <w:tcPr>
            <w:tcW w:w="718" w:type="pct"/>
            <w:vAlign w:val="center"/>
          </w:tcPr>
          <w:p w14:paraId="024CDBA0" w14:textId="2F7CECA7" w:rsidR="003A047C" w:rsidRPr="00FE59CF" w:rsidRDefault="003A047C" w:rsidP="003A047C">
            <w:pPr>
              <w:pStyle w:val="af0"/>
              <w:spacing w:line="240" w:lineRule="atLeast"/>
              <w:jc w:val="center"/>
              <w:rPr>
                <w:rFonts w:ascii="Times New Roman" w:eastAsia="宋体" w:hAnsi="Times New Roman" w:cs="Times New Roman"/>
                <w:sz w:val="21"/>
                <w:szCs w:val="21"/>
              </w:rPr>
            </w:pPr>
            <w:r w:rsidRPr="00FE59CF">
              <w:rPr>
                <w:rFonts w:ascii="Times New Roman" w:hAnsi="Times New Roman" w:cs="Times New Roman"/>
                <w:color w:val="000000"/>
                <w:sz w:val="21"/>
                <w:szCs w:val="21"/>
              </w:rPr>
              <w:t>14</w:t>
            </w:r>
          </w:p>
        </w:tc>
      </w:tr>
      <w:tr w:rsidR="003A047C" w:rsidRPr="00FE59CF" w14:paraId="7B19A43A" w14:textId="77777777" w:rsidTr="003A047C">
        <w:trPr>
          <w:trHeight w:val="283"/>
        </w:trPr>
        <w:tc>
          <w:tcPr>
            <w:tcW w:w="3516" w:type="pct"/>
            <w:vAlign w:val="center"/>
          </w:tcPr>
          <w:p w14:paraId="63093AF1" w14:textId="62B23D6B" w:rsidR="003A047C" w:rsidRPr="00FE59CF" w:rsidRDefault="003A047C" w:rsidP="003A047C">
            <w:pPr>
              <w:pStyle w:val="af0"/>
              <w:spacing w:line="240" w:lineRule="atLeast"/>
              <w:rPr>
                <w:sz w:val="21"/>
                <w:szCs w:val="21"/>
              </w:rPr>
            </w:pPr>
            <w:r w:rsidRPr="00FE59CF">
              <w:rPr>
                <w:rFonts w:hint="eastAsia"/>
                <w:bCs/>
                <w:sz w:val="21"/>
                <w:szCs w:val="21"/>
              </w:rPr>
              <w:t>根据外部环境（政策、市场、社会、自然环境）变化，及时调整资源配置</w:t>
            </w:r>
          </w:p>
        </w:tc>
        <w:tc>
          <w:tcPr>
            <w:tcW w:w="766" w:type="pct"/>
            <w:vAlign w:val="center"/>
          </w:tcPr>
          <w:p w14:paraId="74271633" w14:textId="08B56571" w:rsidR="003A047C" w:rsidRPr="00FE59CF" w:rsidRDefault="003A047C" w:rsidP="003A047C">
            <w:pPr>
              <w:pStyle w:val="af0"/>
              <w:spacing w:line="240" w:lineRule="atLeast"/>
              <w:jc w:val="center"/>
              <w:rPr>
                <w:rFonts w:ascii="Times New Roman" w:eastAsia="宋体" w:hAnsi="Times New Roman" w:cs="Times New Roman"/>
                <w:sz w:val="21"/>
                <w:szCs w:val="21"/>
              </w:rPr>
            </w:pPr>
            <w:r w:rsidRPr="00FE59CF">
              <w:rPr>
                <w:rFonts w:ascii="Times New Roman" w:hAnsi="Times New Roman" w:cs="Times New Roman"/>
                <w:color w:val="000000"/>
                <w:sz w:val="21"/>
                <w:szCs w:val="21"/>
              </w:rPr>
              <w:t>4.331</w:t>
            </w:r>
          </w:p>
        </w:tc>
        <w:tc>
          <w:tcPr>
            <w:tcW w:w="718" w:type="pct"/>
            <w:vAlign w:val="center"/>
          </w:tcPr>
          <w:p w14:paraId="1A8BAA86" w14:textId="668F96A9" w:rsidR="003A047C" w:rsidRPr="00FE59CF" w:rsidRDefault="003A047C" w:rsidP="003A047C">
            <w:pPr>
              <w:pStyle w:val="af0"/>
              <w:spacing w:line="240" w:lineRule="atLeast"/>
              <w:jc w:val="center"/>
              <w:rPr>
                <w:rFonts w:ascii="Times New Roman" w:eastAsia="宋体" w:hAnsi="Times New Roman" w:cs="Times New Roman"/>
                <w:sz w:val="21"/>
                <w:szCs w:val="21"/>
              </w:rPr>
            </w:pPr>
            <w:r w:rsidRPr="00FE59CF">
              <w:rPr>
                <w:rFonts w:ascii="Times New Roman" w:hAnsi="Times New Roman" w:cs="Times New Roman"/>
                <w:color w:val="000000"/>
                <w:sz w:val="21"/>
                <w:szCs w:val="21"/>
              </w:rPr>
              <w:t>16</w:t>
            </w:r>
          </w:p>
        </w:tc>
      </w:tr>
      <w:tr w:rsidR="003A047C" w:rsidRPr="00FE59CF" w14:paraId="0BD5BE51" w14:textId="77777777" w:rsidTr="003A047C">
        <w:trPr>
          <w:trHeight w:val="283"/>
        </w:trPr>
        <w:tc>
          <w:tcPr>
            <w:tcW w:w="3516" w:type="pct"/>
            <w:vAlign w:val="center"/>
          </w:tcPr>
          <w:p w14:paraId="65B4BBB1" w14:textId="21F2DE67" w:rsidR="003A047C" w:rsidRPr="00FE59CF" w:rsidRDefault="003A047C" w:rsidP="003A047C">
            <w:pPr>
              <w:pStyle w:val="af0"/>
              <w:spacing w:line="240" w:lineRule="atLeast"/>
              <w:jc w:val="center"/>
              <w:rPr>
                <w:bCs/>
                <w:sz w:val="21"/>
                <w:szCs w:val="21"/>
              </w:rPr>
            </w:pPr>
            <w:r w:rsidRPr="00FE59CF">
              <w:rPr>
                <w:rFonts w:hint="eastAsia"/>
                <w:b/>
                <w:bCs/>
                <w:sz w:val="21"/>
                <w:szCs w:val="21"/>
              </w:rPr>
              <w:t>动态优化与创新能力</w:t>
            </w:r>
          </w:p>
        </w:tc>
        <w:tc>
          <w:tcPr>
            <w:tcW w:w="766" w:type="pct"/>
            <w:vAlign w:val="center"/>
          </w:tcPr>
          <w:p w14:paraId="619151C3" w14:textId="77777777" w:rsidR="003A047C" w:rsidRPr="00FE59CF" w:rsidRDefault="003A047C" w:rsidP="003A047C">
            <w:pPr>
              <w:pStyle w:val="af0"/>
              <w:spacing w:line="240" w:lineRule="atLeast"/>
              <w:jc w:val="center"/>
              <w:rPr>
                <w:rFonts w:ascii="Times New Roman" w:eastAsia="宋体" w:hAnsi="Times New Roman" w:cs="Times New Roman"/>
                <w:sz w:val="21"/>
                <w:szCs w:val="21"/>
              </w:rPr>
            </w:pPr>
          </w:p>
        </w:tc>
        <w:tc>
          <w:tcPr>
            <w:tcW w:w="718" w:type="pct"/>
            <w:vAlign w:val="center"/>
          </w:tcPr>
          <w:p w14:paraId="1EFA853A" w14:textId="77777777" w:rsidR="003A047C" w:rsidRPr="00FE59CF" w:rsidRDefault="003A047C" w:rsidP="003A047C">
            <w:pPr>
              <w:pStyle w:val="af0"/>
              <w:spacing w:line="240" w:lineRule="atLeast"/>
              <w:jc w:val="center"/>
              <w:rPr>
                <w:rFonts w:ascii="Times New Roman" w:eastAsia="宋体" w:hAnsi="Times New Roman" w:cs="Times New Roman"/>
                <w:sz w:val="21"/>
                <w:szCs w:val="21"/>
              </w:rPr>
            </w:pPr>
          </w:p>
        </w:tc>
      </w:tr>
      <w:tr w:rsidR="003A047C" w:rsidRPr="00FE59CF" w14:paraId="43309BC3" w14:textId="77777777" w:rsidTr="003A047C">
        <w:trPr>
          <w:trHeight w:val="283"/>
        </w:trPr>
        <w:tc>
          <w:tcPr>
            <w:tcW w:w="3516" w:type="pct"/>
            <w:vAlign w:val="center"/>
          </w:tcPr>
          <w:p w14:paraId="32C95D70" w14:textId="57244BAA" w:rsidR="003A047C" w:rsidRPr="00FE59CF" w:rsidRDefault="003A047C" w:rsidP="003A047C">
            <w:pPr>
              <w:pStyle w:val="af0"/>
              <w:spacing w:line="240" w:lineRule="atLeast"/>
              <w:rPr>
                <w:sz w:val="21"/>
                <w:szCs w:val="21"/>
              </w:rPr>
            </w:pPr>
            <w:r w:rsidRPr="00FE59CF">
              <w:rPr>
                <w:rFonts w:hint="eastAsia"/>
                <w:color w:val="000000"/>
                <w:sz w:val="21"/>
                <w:szCs w:val="21"/>
              </w:rPr>
              <w:t>建有风险管理体系，能够有效辨识并管控项目风险</w:t>
            </w:r>
          </w:p>
        </w:tc>
        <w:tc>
          <w:tcPr>
            <w:tcW w:w="766" w:type="pct"/>
            <w:vAlign w:val="center"/>
          </w:tcPr>
          <w:p w14:paraId="72125BF0" w14:textId="06F7E887" w:rsidR="003A047C" w:rsidRPr="00FE59CF" w:rsidRDefault="003A047C" w:rsidP="003A047C">
            <w:pPr>
              <w:pStyle w:val="af0"/>
              <w:spacing w:line="240" w:lineRule="atLeast"/>
              <w:jc w:val="center"/>
              <w:rPr>
                <w:rFonts w:ascii="Times New Roman" w:eastAsia="宋体" w:hAnsi="Times New Roman" w:cs="Times New Roman"/>
                <w:sz w:val="21"/>
                <w:szCs w:val="21"/>
              </w:rPr>
            </w:pPr>
            <w:r w:rsidRPr="00FE59CF">
              <w:rPr>
                <w:rFonts w:ascii="Times New Roman" w:hAnsi="Times New Roman" w:cs="Times New Roman"/>
                <w:color w:val="000000"/>
                <w:sz w:val="21"/>
                <w:szCs w:val="21"/>
              </w:rPr>
              <w:t>4.355</w:t>
            </w:r>
          </w:p>
        </w:tc>
        <w:tc>
          <w:tcPr>
            <w:tcW w:w="718" w:type="pct"/>
            <w:vAlign w:val="center"/>
          </w:tcPr>
          <w:p w14:paraId="455E069D" w14:textId="70409CD6" w:rsidR="003A047C" w:rsidRPr="00FE59CF" w:rsidRDefault="003A047C" w:rsidP="003A047C">
            <w:pPr>
              <w:pStyle w:val="af0"/>
              <w:spacing w:line="240" w:lineRule="atLeast"/>
              <w:jc w:val="center"/>
              <w:rPr>
                <w:rFonts w:ascii="Times New Roman" w:eastAsia="宋体" w:hAnsi="Times New Roman" w:cs="Times New Roman"/>
                <w:sz w:val="21"/>
                <w:szCs w:val="21"/>
              </w:rPr>
            </w:pPr>
            <w:r w:rsidRPr="00FE59CF">
              <w:rPr>
                <w:rFonts w:ascii="Times New Roman" w:hAnsi="Times New Roman" w:cs="Times New Roman"/>
                <w:color w:val="000000"/>
                <w:sz w:val="21"/>
                <w:szCs w:val="21"/>
              </w:rPr>
              <w:t>6</w:t>
            </w:r>
          </w:p>
        </w:tc>
      </w:tr>
      <w:tr w:rsidR="003A047C" w:rsidRPr="00FE59CF" w14:paraId="7B1BBD58" w14:textId="77777777" w:rsidTr="003A047C">
        <w:trPr>
          <w:trHeight w:val="283"/>
        </w:trPr>
        <w:tc>
          <w:tcPr>
            <w:tcW w:w="3516" w:type="pct"/>
            <w:vAlign w:val="center"/>
          </w:tcPr>
          <w:p w14:paraId="60CD5591" w14:textId="2677AF5F" w:rsidR="003A047C" w:rsidRPr="00FE59CF" w:rsidRDefault="003A047C" w:rsidP="003A047C">
            <w:pPr>
              <w:pStyle w:val="af0"/>
              <w:spacing w:line="240" w:lineRule="atLeast"/>
              <w:rPr>
                <w:sz w:val="21"/>
                <w:szCs w:val="21"/>
              </w:rPr>
            </w:pPr>
            <w:r w:rsidRPr="00FE59CF">
              <w:rPr>
                <w:rFonts w:hint="eastAsia"/>
                <w:color w:val="000000"/>
                <w:sz w:val="21"/>
                <w:szCs w:val="21"/>
              </w:rPr>
              <w:t>充分了解清洁能源、数字化等领域的前沿技术及其发展趋势</w:t>
            </w:r>
          </w:p>
        </w:tc>
        <w:tc>
          <w:tcPr>
            <w:tcW w:w="766" w:type="pct"/>
            <w:vAlign w:val="center"/>
          </w:tcPr>
          <w:p w14:paraId="40587C7C" w14:textId="6FA02F2C" w:rsidR="003A047C" w:rsidRPr="00FE59CF" w:rsidRDefault="003A047C" w:rsidP="003A047C">
            <w:pPr>
              <w:pStyle w:val="af0"/>
              <w:spacing w:line="240" w:lineRule="atLeast"/>
              <w:jc w:val="center"/>
              <w:rPr>
                <w:rFonts w:ascii="Times New Roman" w:eastAsia="宋体" w:hAnsi="Times New Roman" w:cs="Times New Roman"/>
                <w:sz w:val="21"/>
                <w:szCs w:val="21"/>
              </w:rPr>
            </w:pPr>
            <w:r w:rsidRPr="00FE59CF">
              <w:rPr>
                <w:rFonts w:ascii="Times New Roman" w:hAnsi="Times New Roman" w:cs="Times New Roman"/>
                <w:color w:val="000000"/>
                <w:sz w:val="21"/>
                <w:szCs w:val="21"/>
              </w:rPr>
              <w:t>4.341</w:t>
            </w:r>
          </w:p>
        </w:tc>
        <w:tc>
          <w:tcPr>
            <w:tcW w:w="718" w:type="pct"/>
            <w:vAlign w:val="center"/>
          </w:tcPr>
          <w:p w14:paraId="1DAC6E9A" w14:textId="79CDC343" w:rsidR="003A047C" w:rsidRPr="00FE59CF" w:rsidRDefault="003A047C" w:rsidP="003A047C">
            <w:pPr>
              <w:pStyle w:val="af0"/>
              <w:spacing w:line="240" w:lineRule="atLeast"/>
              <w:jc w:val="center"/>
              <w:rPr>
                <w:rFonts w:ascii="Times New Roman" w:eastAsia="宋体" w:hAnsi="Times New Roman" w:cs="Times New Roman"/>
                <w:sz w:val="21"/>
                <w:szCs w:val="21"/>
              </w:rPr>
            </w:pPr>
            <w:r w:rsidRPr="00FE59CF">
              <w:rPr>
                <w:rFonts w:ascii="Times New Roman" w:hAnsi="Times New Roman" w:cs="Times New Roman"/>
                <w:color w:val="000000"/>
                <w:sz w:val="21"/>
                <w:szCs w:val="21"/>
              </w:rPr>
              <w:t>11</w:t>
            </w:r>
          </w:p>
        </w:tc>
      </w:tr>
      <w:tr w:rsidR="003A047C" w:rsidRPr="00FE59CF" w14:paraId="522BAD3B" w14:textId="77777777" w:rsidTr="003A047C">
        <w:trPr>
          <w:trHeight w:val="283"/>
        </w:trPr>
        <w:tc>
          <w:tcPr>
            <w:tcW w:w="3516" w:type="pct"/>
            <w:vAlign w:val="center"/>
          </w:tcPr>
          <w:p w14:paraId="4D3B59A4" w14:textId="588F9797" w:rsidR="003A047C" w:rsidRPr="00FE59CF" w:rsidRDefault="003A047C" w:rsidP="003A047C">
            <w:pPr>
              <w:pStyle w:val="af0"/>
              <w:spacing w:line="240" w:lineRule="atLeast"/>
              <w:rPr>
                <w:sz w:val="21"/>
                <w:szCs w:val="21"/>
              </w:rPr>
            </w:pPr>
            <w:r w:rsidRPr="00FE59CF">
              <w:rPr>
                <w:rFonts w:hint="eastAsia"/>
                <w:color w:val="000000"/>
                <w:sz w:val="21"/>
                <w:szCs w:val="21"/>
              </w:rPr>
              <w:t>根据利益相关方的反馈与需求，及时调整与利益相关方的协作机制</w:t>
            </w:r>
          </w:p>
        </w:tc>
        <w:tc>
          <w:tcPr>
            <w:tcW w:w="766" w:type="pct"/>
            <w:vAlign w:val="center"/>
          </w:tcPr>
          <w:p w14:paraId="78EAC2DD" w14:textId="6F3EAAA9" w:rsidR="003A047C" w:rsidRPr="00FE59CF" w:rsidRDefault="003A047C" w:rsidP="003A047C">
            <w:pPr>
              <w:pStyle w:val="af0"/>
              <w:spacing w:line="240" w:lineRule="atLeast"/>
              <w:jc w:val="center"/>
              <w:rPr>
                <w:rFonts w:ascii="Times New Roman" w:eastAsia="宋体" w:hAnsi="Times New Roman" w:cs="Times New Roman"/>
                <w:sz w:val="21"/>
                <w:szCs w:val="21"/>
              </w:rPr>
            </w:pPr>
            <w:r w:rsidRPr="00FE59CF">
              <w:rPr>
                <w:rFonts w:ascii="Times New Roman" w:hAnsi="Times New Roman" w:cs="Times New Roman"/>
                <w:color w:val="000000"/>
                <w:sz w:val="21"/>
                <w:szCs w:val="21"/>
              </w:rPr>
              <w:t>4.341</w:t>
            </w:r>
          </w:p>
        </w:tc>
        <w:tc>
          <w:tcPr>
            <w:tcW w:w="718" w:type="pct"/>
            <w:vAlign w:val="center"/>
          </w:tcPr>
          <w:p w14:paraId="614293C4" w14:textId="65C8D58D" w:rsidR="003A047C" w:rsidRPr="00FE59CF" w:rsidRDefault="003A047C" w:rsidP="003A047C">
            <w:pPr>
              <w:pStyle w:val="af0"/>
              <w:spacing w:line="240" w:lineRule="atLeast"/>
              <w:jc w:val="center"/>
              <w:rPr>
                <w:rFonts w:ascii="Times New Roman" w:eastAsia="宋体" w:hAnsi="Times New Roman" w:cs="Times New Roman"/>
                <w:sz w:val="21"/>
                <w:szCs w:val="21"/>
              </w:rPr>
            </w:pPr>
            <w:r w:rsidRPr="00FE59CF">
              <w:rPr>
                <w:rFonts w:ascii="Times New Roman" w:hAnsi="Times New Roman" w:cs="Times New Roman"/>
                <w:color w:val="000000"/>
                <w:sz w:val="21"/>
                <w:szCs w:val="21"/>
              </w:rPr>
              <w:t>11</w:t>
            </w:r>
          </w:p>
        </w:tc>
      </w:tr>
      <w:tr w:rsidR="003A047C" w:rsidRPr="00FE59CF" w14:paraId="386315EB" w14:textId="77777777" w:rsidTr="003A047C">
        <w:trPr>
          <w:trHeight w:val="283"/>
        </w:trPr>
        <w:tc>
          <w:tcPr>
            <w:tcW w:w="3516" w:type="pct"/>
            <w:vAlign w:val="center"/>
          </w:tcPr>
          <w:p w14:paraId="313678CB" w14:textId="17B77205" w:rsidR="003A047C" w:rsidRPr="00FE59CF" w:rsidRDefault="003A047C" w:rsidP="003A047C">
            <w:pPr>
              <w:pStyle w:val="af0"/>
              <w:spacing w:line="240" w:lineRule="atLeast"/>
              <w:rPr>
                <w:sz w:val="21"/>
                <w:szCs w:val="21"/>
              </w:rPr>
            </w:pPr>
            <w:r w:rsidRPr="00FE59CF">
              <w:rPr>
                <w:rFonts w:hint="eastAsia"/>
                <w:color w:val="000000"/>
                <w:sz w:val="21"/>
                <w:szCs w:val="21"/>
              </w:rPr>
              <w:t>应用新技术、新工艺、新材料和新装备进行技术创新</w:t>
            </w:r>
          </w:p>
        </w:tc>
        <w:tc>
          <w:tcPr>
            <w:tcW w:w="766" w:type="pct"/>
            <w:vAlign w:val="center"/>
          </w:tcPr>
          <w:p w14:paraId="11C4E442" w14:textId="52260304" w:rsidR="003A047C" w:rsidRPr="00FE59CF" w:rsidRDefault="003A047C" w:rsidP="003A047C">
            <w:pPr>
              <w:pStyle w:val="af0"/>
              <w:spacing w:line="240" w:lineRule="atLeast"/>
              <w:jc w:val="center"/>
              <w:rPr>
                <w:rFonts w:ascii="Times New Roman" w:eastAsia="宋体" w:hAnsi="Times New Roman" w:cs="Times New Roman"/>
                <w:sz w:val="21"/>
                <w:szCs w:val="21"/>
              </w:rPr>
            </w:pPr>
            <w:r w:rsidRPr="00FE59CF">
              <w:rPr>
                <w:rFonts w:ascii="Times New Roman" w:hAnsi="Times New Roman" w:cs="Times New Roman"/>
                <w:color w:val="000000"/>
                <w:sz w:val="21"/>
                <w:szCs w:val="21"/>
              </w:rPr>
              <w:t>4.334</w:t>
            </w:r>
          </w:p>
        </w:tc>
        <w:tc>
          <w:tcPr>
            <w:tcW w:w="718" w:type="pct"/>
            <w:vAlign w:val="center"/>
          </w:tcPr>
          <w:p w14:paraId="497569A7" w14:textId="64B577EF" w:rsidR="003A047C" w:rsidRPr="00FE59CF" w:rsidRDefault="003A047C" w:rsidP="003A047C">
            <w:pPr>
              <w:pStyle w:val="af0"/>
              <w:spacing w:line="240" w:lineRule="atLeast"/>
              <w:jc w:val="center"/>
              <w:rPr>
                <w:rFonts w:ascii="Times New Roman" w:eastAsia="宋体" w:hAnsi="Times New Roman" w:cs="Times New Roman"/>
                <w:sz w:val="21"/>
                <w:szCs w:val="21"/>
              </w:rPr>
            </w:pPr>
            <w:r w:rsidRPr="00FE59CF">
              <w:rPr>
                <w:rFonts w:ascii="Times New Roman" w:hAnsi="Times New Roman" w:cs="Times New Roman"/>
                <w:color w:val="000000"/>
                <w:sz w:val="21"/>
                <w:szCs w:val="21"/>
              </w:rPr>
              <w:t>14</w:t>
            </w:r>
          </w:p>
        </w:tc>
      </w:tr>
      <w:tr w:rsidR="003A047C" w:rsidRPr="00FE59CF" w14:paraId="3665F61F" w14:textId="77777777" w:rsidTr="003A047C">
        <w:trPr>
          <w:trHeight w:val="283"/>
        </w:trPr>
        <w:tc>
          <w:tcPr>
            <w:tcW w:w="3516" w:type="pct"/>
            <w:vAlign w:val="center"/>
          </w:tcPr>
          <w:p w14:paraId="426430E6" w14:textId="0CD19A4E" w:rsidR="003A047C" w:rsidRPr="00FE59CF" w:rsidRDefault="003A047C" w:rsidP="003A047C">
            <w:pPr>
              <w:pStyle w:val="af0"/>
              <w:spacing w:line="240" w:lineRule="atLeast"/>
              <w:rPr>
                <w:sz w:val="21"/>
                <w:szCs w:val="21"/>
              </w:rPr>
            </w:pPr>
            <w:r w:rsidRPr="00FE59CF">
              <w:rPr>
                <w:rFonts w:hint="eastAsia"/>
                <w:color w:val="000000"/>
                <w:sz w:val="21"/>
                <w:szCs w:val="21"/>
              </w:rPr>
              <w:t>根据项目开发需求进行管理创新</w:t>
            </w:r>
          </w:p>
        </w:tc>
        <w:tc>
          <w:tcPr>
            <w:tcW w:w="766" w:type="pct"/>
            <w:vAlign w:val="center"/>
          </w:tcPr>
          <w:p w14:paraId="18B4D1E1" w14:textId="174E8068" w:rsidR="003A047C" w:rsidRPr="00FE59CF" w:rsidRDefault="003A047C" w:rsidP="003A047C">
            <w:pPr>
              <w:pStyle w:val="af0"/>
              <w:spacing w:line="240" w:lineRule="atLeast"/>
              <w:jc w:val="center"/>
              <w:rPr>
                <w:rFonts w:ascii="Times New Roman" w:eastAsia="宋体" w:hAnsi="Times New Roman" w:cs="Times New Roman"/>
                <w:sz w:val="21"/>
                <w:szCs w:val="21"/>
              </w:rPr>
            </w:pPr>
            <w:r w:rsidRPr="00FE59CF">
              <w:rPr>
                <w:rFonts w:ascii="Times New Roman" w:hAnsi="Times New Roman" w:cs="Times New Roman"/>
                <w:color w:val="000000"/>
                <w:sz w:val="21"/>
                <w:szCs w:val="21"/>
              </w:rPr>
              <w:t>4.317</w:t>
            </w:r>
          </w:p>
        </w:tc>
        <w:tc>
          <w:tcPr>
            <w:tcW w:w="718" w:type="pct"/>
            <w:vAlign w:val="center"/>
          </w:tcPr>
          <w:p w14:paraId="6BE474E9" w14:textId="20C6F361" w:rsidR="003A047C" w:rsidRPr="00FE59CF" w:rsidRDefault="003A047C" w:rsidP="003A047C">
            <w:pPr>
              <w:pStyle w:val="af0"/>
              <w:spacing w:line="240" w:lineRule="atLeast"/>
              <w:jc w:val="center"/>
              <w:rPr>
                <w:rFonts w:ascii="Times New Roman" w:eastAsia="宋体" w:hAnsi="Times New Roman" w:cs="Times New Roman"/>
                <w:sz w:val="21"/>
                <w:szCs w:val="21"/>
              </w:rPr>
            </w:pPr>
            <w:r w:rsidRPr="00FE59CF">
              <w:rPr>
                <w:rFonts w:ascii="Times New Roman" w:hAnsi="Times New Roman" w:cs="Times New Roman"/>
                <w:color w:val="000000"/>
                <w:sz w:val="21"/>
                <w:szCs w:val="21"/>
              </w:rPr>
              <w:t>17</w:t>
            </w:r>
          </w:p>
        </w:tc>
      </w:tr>
      <w:tr w:rsidR="003A047C" w:rsidRPr="00FE59CF" w14:paraId="0C828E7D" w14:textId="77777777" w:rsidTr="003A047C">
        <w:trPr>
          <w:trHeight w:val="283"/>
        </w:trPr>
        <w:tc>
          <w:tcPr>
            <w:tcW w:w="3516" w:type="pct"/>
            <w:vAlign w:val="center"/>
          </w:tcPr>
          <w:p w14:paraId="668160B1" w14:textId="601964CC" w:rsidR="003A047C" w:rsidRPr="00FE59CF" w:rsidRDefault="003A047C" w:rsidP="003A047C">
            <w:pPr>
              <w:pStyle w:val="af0"/>
              <w:spacing w:line="240" w:lineRule="atLeast"/>
              <w:rPr>
                <w:sz w:val="21"/>
                <w:szCs w:val="21"/>
              </w:rPr>
            </w:pPr>
            <w:r w:rsidRPr="00FE59CF">
              <w:rPr>
                <w:rFonts w:hint="eastAsia"/>
                <w:color w:val="000000"/>
                <w:sz w:val="21"/>
                <w:szCs w:val="21"/>
              </w:rPr>
              <w:t>通过外部专家咨询和培训等形式，及时学习外部知识</w:t>
            </w:r>
          </w:p>
        </w:tc>
        <w:tc>
          <w:tcPr>
            <w:tcW w:w="766" w:type="pct"/>
            <w:vAlign w:val="center"/>
          </w:tcPr>
          <w:p w14:paraId="0C67617D" w14:textId="39A0C1FD" w:rsidR="003A047C" w:rsidRPr="00FE59CF" w:rsidRDefault="003A047C" w:rsidP="003A047C">
            <w:pPr>
              <w:pStyle w:val="af0"/>
              <w:spacing w:line="240" w:lineRule="atLeast"/>
              <w:jc w:val="center"/>
              <w:rPr>
                <w:rFonts w:ascii="Times New Roman" w:eastAsia="宋体" w:hAnsi="Times New Roman" w:cs="Times New Roman"/>
                <w:sz w:val="21"/>
                <w:szCs w:val="21"/>
              </w:rPr>
            </w:pPr>
            <w:r w:rsidRPr="00FE59CF">
              <w:rPr>
                <w:rFonts w:ascii="Times New Roman" w:hAnsi="Times New Roman" w:cs="Times New Roman"/>
                <w:color w:val="000000"/>
                <w:sz w:val="21"/>
                <w:szCs w:val="21"/>
              </w:rPr>
              <w:t>4.314</w:t>
            </w:r>
          </w:p>
        </w:tc>
        <w:tc>
          <w:tcPr>
            <w:tcW w:w="718" w:type="pct"/>
            <w:vAlign w:val="center"/>
          </w:tcPr>
          <w:p w14:paraId="75139D32" w14:textId="0B7384C4" w:rsidR="003A047C" w:rsidRPr="00FE59CF" w:rsidRDefault="003A047C" w:rsidP="003A047C">
            <w:pPr>
              <w:pStyle w:val="af0"/>
              <w:spacing w:line="240" w:lineRule="atLeast"/>
              <w:jc w:val="center"/>
              <w:rPr>
                <w:rFonts w:ascii="Times New Roman" w:eastAsia="宋体" w:hAnsi="Times New Roman" w:cs="Times New Roman"/>
                <w:sz w:val="21"/>
                <w:szCs w:val="21"/>
              </w:rPr>
            </w:pPr>
            <w:r w:rsidRPr="00FE59CF">
              <w:rPr>
                <w:rFonts w:ascii="Times New Roman" w:hAnsi="Times New Roman" w:cs="Times New Roman"/>
                <w:color w:val="000000"/>
                <w:sz w:val="21"/>
                <w:szCs w:val="21"/>
              </w:rPr>
              <w:t>19</w:t>
            </w:r>
          </w:p>
        </w:tc>
      </w:tr>
      <w:tr w:rsidR="003A047C" w:rsidRPr="00FE59CF" w14:paraId="153D5502" w14:textId="77777777" w:rsidTr="003A047C">
        <w:trPr>
          <w:cnfStyle w:val="010000000000" w:firstRow="0" w:lastRow="1" w:firstColumn="0" w:lastColumn="0" w:oddVBand="0" w:evenVBand="0" w:oddHBand="0" w:evenHBand="0" w:firstRowFirstColumn="0" w:firstRowLastColumn="0" w:lastRowFirstColumn="0" w:lastRowLastColumn="0"/>
          <w:trHeight w:val="283"/>
        </w:trPr>
        <w:tc>
          <w:tcPr>
            <w:tcW w:w="3516" w:type="pct"/>
            <w:vAlign w:val="center"/>
          </w:tcPr>
          <w:p w14:paraId="201CA9AA" w14:textId="18C037A6" w:rsidR="003A047C" w:rsidRPr="00FE59CF" w:rsidRDefault="003A047C" w:rsidP="003A047C">
            <w:pPr>
              <w:pStyle w:val="af0"/>
              <w:spacing w:line="240" w:lineRule="atLeast"/>
              <w:jc w:val="center"/>
              <w:rPr>
                <w:sz w:val="21"/>
                <w:szCs w:val="21"/>
              </w:rPr>
            </w:pPr>
            <w:r w:rsidRPr="00FE59CF">
              <w:rPr>
                <w:rFonts w:ascii="Times" w:hAnsi="Times" w:hint="eastAsia"/>
                <w:sz w:val="21"/>
                <w:szCs w:val="21"/>
              </w:rPr>
              <w:t>均值</w:t>
            </w:r>
          </w:p>
        </w:tc>
        <w:tc>
          <w:tcPr>
            <w:tcW w:w="766" w:type="pct"/>
            <w:vAlign w:val="center"/>
          </w:tcPr>
          <w:p w14:paraId="06A59C81" w14:textId="536AF46E" w:rsidR="003A047C" w:rsidRPr="00FE59CF" w:rsidRDefault="003A047C" w:rsidP="003A047C">
            <w:pPr>
              <w:pStyle w:val="af0"/>
              <w:spacing w:line="240" w:lineRule="atLeast"/>
              <w:jc w:val="center"/>
              <w:rPr>
                <w:rFonts w:ascii="Times New Roman" w:eastAsia="宋体" w:hAnsi="Times New Roman" w:cs="Times New Roman"/>
                <w:sz w:val="21"/>
                <w:szCs w:val="21"/>
              </w:rPr>
            </w:pPr>
            <w:r w:rsidRPr="00FE59CF">
              <w:rPr>
                <w:rFonts w:ascii="Times New Roman" w:hAnsi="Times New Roman" w:cs="Times New Roman"/>
                <w:color w:val="000000"/>
                <w:sz w:val="21"/>
                <w:szCs w:val="21"/>
              </w:rPr>
              <w:t>4.332</w:t>
            </w:r>
          </w:p>
        </w:tc>
        <w:tc>
          <w:tcPr>
            <w:tcW w:w="718" w:type="pct"/>
            <w:vAlign w:val="center"/>
          </w:tcPr>
          <w:p w14:paraId="1A71A7C1" w14:textId="4E501DD2" w:rsidR="003A047C" w:rsidRPr="00FE59CF" w:rsidRDefault="00FE59CF" w:rsidP="003A047C">
            <w:pPr>
              <w:pStyle w:val="af0"/>
              <w:spacing w:line="240" w:lineRule="atLeast"/>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w:t>
            </w:r>
          </w:p>
        </w:tc>
      </w:tr>
    </w:tbl>
    <w:p w14:paraId="788B127B" w14:textId="705CD362" w:rsidR="00A4271D" w:rsidRDefault="00DB4509" w:rsidP="00A3108F">
      <w:pPr>
        <w:spacing w:beforeLines="50" w:before="156"/>
        <w:ind w:firstLine="420"/>
      </w:pPr>
      <w:r>
        <w:rPr>
          <w:rFonts w:hint="eastAsia"/>
        </w:rPr>
        <w:t>如</w:t>
      </w:r>
      <w:r>
        <w:fldChar w:fldCharType="begin"/>
      </w:r>
      <w:r>
        <w:instrText xml:space="preserve"> </w:instrText>
      </w:r>
      <w:r>
        <w:rPr>
          <w:rFonts w:hint="eastAsia"/>
        </w:rPr>
        <w:instrText>REF _Ref174346061 \h</w:instrText>
      </w:r>
      <w:r>
        <w:instrText xml:space="preserve"> </w:instrText>
      </w:r>
      <w:r>
        <w:fldChar w:fldCharType="separate"/>
      </w:r>
      <w:r w:rsidR="000F2689">
        <w:rPr>
          <w:rFonts w:hint="eastAsia"/>
        </w:rPr>
        <w:t>表</w:t>
      </w:r>
      <w:r w:rsidR="000F2689">
        <w:rPr>
          <w:rFonts w:hint="eastAsia"/>
        </w:rPr>
        <w:t xml:space="preserve"> </w:t>
      </w:r>
      <w:r w:rsidR="000F2689">
        <w:rPr>
          <w:noProof/>
        </w:rPr>
        <w:t>3</w:t>
      </w:r>
      <w:r>
        <w:fldChar w:fldCharType="end"/>
      </w:r>
      <w:r>
        <w:rPr>
          <w:rFonts w:hint="eastAsia"/>
        </w:rPr>
        <w:t>所示</w:t>
      </w:r>
      <w:r w:rsidR="00200F61">
        <w:rPr>
          <w:rFonts w:hint="eastAsia"/>
        </w:rPr>
        <w:t>，</w:t>
      </w:r>
      <w:r w:rsidR="00401099" w:rsidRPr="005F1811">
        <w:rPr>
          <w:rFonts w:hint="eastAsia"/>
        </w:rPr>
        <w:t>清洁能源基地</w:t>
      </w:r>
      <w:r w:rsidR="00401099">
        <w:rPr>
          <w:rFonts w:hint="eastAsia"/>
        </w:rPr>
        <w:t>业主项目群管理能力整体表现较好</w:t>
      </w:r>
      <w:r w:rsidR="00200F61">
        <w:rPr>
          <w:rFonts w:hint="eastAsia"/>
        </w:rPr>
        <w:t>。</w:t>
      </w:r>
      <w:r w:rsidR="00401099">
        <w:t>业主能够清晰界定清洁能源基地及其各子项目的建设与运营目标，确保各子项目</w:t>
      </w:r>
      <w:r w:rsidR="00401099">
        <w:rPr>
          <w:rFonts w:hint="eastAsia"/>
        </w:rPr>
        <w:t>的开发</w:t>
      </w:r>
      <w:r w:rsidR="00401099">
        <w:t>协同推进</w:t>
      </w:r>
      <w:r w:rsidR="00401099">
        <w:rPr>
          <w:rFonts w:hint="eastAsia"/>
        </w:rPr>
        <w:t>，也能够在各利益相关方、各开发环节、各项目间起到高效的协调作用。此外，业主具备快速感知政策、法规、市场等外部环境变化，并做出适应性调整的能力。</w:t>
      </w:r>
    </w:p>
    <w:p w14:paraId="6671AD2F" w14:textId="3E3B0066" w:rsidR="006C0984" w:rsidRPr="00401099" w:rsidRDefault="00401099" w:rsidP="00A4271D">
      <w:pPr>
        <w:ind w:firstLine="420"/>
      </w:pPr>
      <w:r>
        <w:rPr>
          <w:rFonts w:hint="eastAsia"/>
        </w:rPr>
        <w:t>相比之下，业主</w:t>
      </w:r>
      <w:r w:rsidRPr="00AC0EF3">
        <w:rPr>
          <w:rFonts w:hint="eastAsia"/>
        </w:rPr>
        <w:t>动态优化与创新能力</w:t>
      </w:r>
      <w:r>
        <w:rPr>
          <w:rFonts w:hint="eastAsia"/>
        </w:rPr>
        <w:t>总体得分较低，</w:t>
      </w:r>
      <w:r>
        <w:rPr>
          <w:rFonts w:hint="eastAsia"/>
          <w:color w:val="000000"/>
        </w:rPr>
        <w:t>反映出</w:t>
      </w:r>
      <w:r w:rsidRPr="00401099">
        <w:rPr>
          <w:rFonts w:hint="eastAsia"/>
          <w:color w:val="000000"/>
        </w:rPr>
        <w:t>业主需根据外部环境变化，动态优化管理策略、实现技术与管理创新，以推动清洁能源基地开发目标的高效实现。</w:t>
      </w:r>
      <w:r>
        <w:rPr>
          <w:rFonts w:hint="eastAsia"/>
          <w:color w:val="000000"/>
        </w:rPr>
        <w:t>业主</w:t>
      </w:r>
      <w:r>
        <w:rPr>
          <w:rFonts w:hint="eastAsia"/>
        </w:rPr>
        <w:t>信息技术应用能力总体得分最低。其中，</w:t>
      </w:r>
      <w:r>
        <w:rPr>
          <w:rFonts w:hint="eastAsia"/>
          <w:bCs/>
        </w:rPr>
        <w:t>“</w:t>
      </w:r>
      <w:r w:rsidRPr="00435F90">
        <w:rPr>
          <w:rFonts w:hint="eastAsia"/>
          <w:bCs/>
        </w:rPr>
        <w:t>能够进行水风光储多能互补智能管控</w:t>
      </w:r>
      <w:r>
        <w:rPr>
          <w:rFonts w:hint="eastAsia"/>
          <w:bCs/>
        </w:rPr>
        <w:t>”得分最低，归因于当前</w:t>
      </w:r>
      <w:r w:rsidRPr="00435F90">
        <w:rPr>
          <w:rFonts w:hint="eastAsia"/>
          <w:bCs/>
        </w:rPr>
        <w:t>水风光储</w:t>
      </w:r>
      <w:r>
        <w:t>多能互补</w:t>
      </w:r>
      <w:r>
        <w:rPr>
          <w:rFonts w:hint="eastAsia"/>
        </w:rPr>
        <w:t>技术</w:t>
      </w:r>
      <w:r>
        <w:t>在系统集成、出力预测精度及调度优化算法等</w:t>
      </w:r>
      <w:r>
        <w:rPr>
          <w:rFonts w:hint="eastAsia"/>
        </w:rPr>
        <w:t>方面水平亟待提升。受访专家也指出“实际应用中对风、光出力预测不够准确，发电计划仍偏保守”，并表示亟需攻克上述技术难点，以减少弃风、弃光。</w:t>
      </w:r>
    </w:p>
    <w:p w14:paraId="78D51C32" w14:textId="0056EB47" w:rsidR="001861F8" w:rsidRDefault="00401099" w:rsidP="001861F8">
      <w:pPr>
        <w:pStyle w:val="2"/>
      </w:pPr>
      <w:bookmarkStart w:id="18" w:name="_Toc198492791"/>
      <w:r>
        <w:rPr>
          <w:rFonts w:hint="eastAsia"/>
        </w:rPr>
        <w:lastRenderedPageBreak/>
        <w:t>清洁能源基地管理制度</w:t>
      </w:r>
      <w:bookmarkEnd w:id="18"/>
    </w:p>
    <w:p w14:paraId="4AEF7F59" w14:textId="0A643F94" w:rsidR="00D07D28" w:rsidRPr="00401099" w:rsidRDefault="00401099" w:rsidP="00401099">
      <w:pPr>
        <w:ind w:firstLine="420"/>
      </w:pPr>
      <w:r w:rsidRPr="00401099">
        <w:rPr>
          <w:rFonts w:hint="eastAsia"/>
        </w:rPr>
        <w:t>清洁能源基地管理制度</w:t>
      </w:r>
      <w:r w:rsidR="00BB7CE2">
        <w:rPr>
          <w:rFonts w:hint="eastAsia"/>
        </w:rPr>
        <w:t>情况</w:t>
      </w:r>
      <w:r w:rsidR="00BB7CE2" w:rsidRPr="00C35659">
        <w:rPr>
          <w:rFonts w:hint="eastAsia"/>
        </w:rPr>
        <w:t>如</w:t>
      </w:r>
      <w:r w:rsidR="00BB7CE2">
        <w:fldChar w:fldCharType="begin"/>
      </w:r>
      <w:r w:rsidR="00BB7CE2">
        <w:instrText xml:space="preserve"> </w:instrText>
      </w:r>
      <w:r w:rsidR="00BB7CE2">
        <w:rPr>
          <w:rFonts w:hint="eastAsia"/>
        </w:rPr>
        <w:instrText>REF _Ref174347394 \h</w:instrText>
      </w:r>
      <w:r w:rsidR="00BB7CE2">
        <w:instrText xml:space="preserve"> </w:instrText>
      </w:r>
      <w:r w:rsidR="00BB7CE2">
        <w:fldChar w:fldCharType="separate"/>
      </w:r>
      <w:r w:rsidR="000F2689">
        <w:rPr>
          <w:rFonts w:hint="eastAsia"/>
        </w:rPr>
        <w:t>表</w:t>
      </w:r>
      <w:r w:rsidR="000F2689">
        <w:rPr>
          <w:rFonts w:hint="eastAsia"/>
        </w:rPr>
        <w:t xml:space="preserve"> </w:t>
      </w:r>
      <w:r w:rsidR="000F2689">
        <w:rPr>
          <w:noProof/>
        </w:rPr>
        <w:t>4</w:t>
      </w:r>
      <w:r w:rsidR="00BB7CE2">
        <w:fldChar w:fldCharType="end"/>
      </w:r>
      <w:r w:rsidR="00BB7CE2" w:rsidRPr="00C35659">
        <w:rPr>
          <w:rFonts w:hint="eastAsia"/>
        </w:rPr>
        <w:t>所示</w:t>
      </w:r>
      <w:r w:rsidR="00BB7CE2">
        <w:rPr>
          <w:rFonts w:hint="eastAsia"/>
        </w:rPr>
        <w:t>，其中</w:t>
      </w:r>
      <w:r w:rsidR="00BB7CE2">
        <w:rPr>
          <w:szCs w:val="21"/>
        </w:rPr>
        <w:t>，</w:t>
      </w:r>
      <w:r w:rsidRPr="00541135">
        <w:rPr>
          <w:rFonts w:hint="eastAsia"/>
        </w:rPr>
        <w:t>1</w:t>
      </w:r>
      <w:r w:rsidRPr="00541135">
        <w:rPr>
          <w:rFonts w:hint="eastAsia"/>
        </w:rPr>
        <w:t>分表示</w:t>
      </w:r>
      <w:r>
        <w:rPr>
          <w:rFonts w:hint="eastAsia"/>
        </w:rPr>
        <w:t>很</w:t>
      </w:r>
      <w:r w:rsidRPr="00541135">
        <w:rPr>
          <w:rFonts w:hint="eastAsia"/>
        </w:rPr>
        <w:t>不符合，</w:t>
      </w:r>
      <w:r w:rsidRPr="00541135">
        <w:rPr>
          <w:rFonts w:hint="eastAsia"/>
        </w:rPr>
        <w:t>5</w:t>
      </w:r>
      <w:r w:rsidRPr="00541135">
        <w:rPr>
          <w:rFonts w:hint="eastAsia"/>
        </w:rPr>
        <w:t>分表示</w:t>
      </w:r>
      <w:r>
        <w:rPr>
          <w:rFonts w:hint="eastAsia"/>
        </w:rPr>
        <w:t>非常</w:t>
      </w:r>
      <w:r w:rsidRPr="00541135">
        <w:rPr>
          <w:rFonts w:hint="eastAsia"/>
        </w:rPr>
        <w:t>符合。</w:t>
      </w:r>
    </w:p>
    <w:p w14:paraId="66E44F6E" w14:textId="7BFC74D9" w:rsidR="00D07D28" w:rsidRDefault="00D07D28" w:rsidP="00EB718D">
      <w:pPr>
        <w:pStyle w:val="afa"/>
        <w:keepNext/>
        <w:spacing w:beforeLines="50" w:before="156"/>
      </w:pPr>
      <w:bookmarkStart w:id="19" w:name="_Ref174347394"/>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0F2689">
        <w:rPr>
          <w:noProof/>
        </w:rPr>
        <w:t>4</w:t>
      </w:r>
      <w:r>
        <w:fldChar w:fldCharType="end"/>
      </w:r>
      <w:bookmarkEnd w:id="19"/>
      <w:r w:rsidR="003079D0">
        <w:rPr>
          <w:rFonts w:hint="eastAsia"/>
        </w:rPr>
        <w:t xml:space="preserve"> </w:t>
      </w:r>
      <w:r w:rsidR="00401099" w:rsidRPr="00401099">
        <w:rPr>
          <w:rFonts w:hint="eastAsia"/>
        </w:rPr>
        <w:t>清洁能源基地管理制度</w:t>
      </w:r>
      <w:r w:rsidR="00401099">
        <w:rPr>
          <w:rFonts w:hint="eastAsia"/>
        </w:rPr>
        <w:t>评价</w:t>
      </w:r>
    </w:p>
    <w:tbl>
      <w:tblPr>
        <w:tblStyle w:val="22"/>
        <w:tblW w:w="5000" w:type="pct"/>
        <w:tblLook w:val="0660" w:firstRow="1" w:lastRow="1" w:firstColumn="0" w:lastColumn="0" w:noHBand="1" w:noVBand="1"/>
      </w:tblPr>
      <w:tblGrid>
        <w:gridCol w:w="3119"/>
        <w:gridCol w:w="850"/>
        <w:gridCol w:w="665"/>
      </w:tblGrid>
      <w:tr w:rsidR="00F179A0" w:rsidRPr="00FE59CF" w14:paraId="655EB78B" w14:textId="77777777" w:rsidTr="00401099">
        <w:trPr>
          <w:cnfStyle w:val="100000000000" w:firstRow="1" w:lastRow="0" w:firstColumn="0" w:lastColumn="0" w:oddVBand="0" w:evenVBand="0" w:oddHBand="0" w:evenHBand="0" w:firstRowFirstColumn="0" w:firstRowLastColumn="0" w:lastRowFirstColumn="0" w:lastRowLastColumn="0"/>
          <w:trHeight w:val="283"/>
        </w:trPr>
        <w:tc>
          <w:tcPr>
            <w:tcW w:w="3365" w:type="pct"/>
            <w:vAlign w:val="center"/>
            <w:hideMark/>
          </w:tcPr>
          <w:p w14:paraId="2708EDEF" w14:textId="77777777" w:rsidR="00F179A0" w:rsidRPr="00FE59CF" w:rsidRDefault="00F179A0" w:rsidP="00D840F1">
            <w:pPr>
              <w:pStyle w:val="af0"/>
              <w:spacing w:line="240" w:lineRule="atLeast"/>
              <w:jc w:val="center"/>
              <w:rPr>
                <w:rFonts w:ascii="Times New Roman" w:eastAsia="宋体" w:hAnsi="Times New Roman"/>
                <w:bCs w:val="0"/>
                <w:sz w:val="21"/>
                <w:szCs w:val="21"/>
              </w:rPr>
            </w:pPr>
            <w:r w:rsidRPr="00FE59CF">
              <w:rPr>
                <w:rFonts w:ascii="Times New Roman" w:eastAsia="宋体" w:hAnsi="Times New Roman" w:hint="eastAsia"/>
                <w:bCs w:val="0"/>
                <w:sz w:val="21"/>
                <w:szCs w:val="21"/>
              </w:rPr>
              <w:t>指标</w:t>
            </w:r>
          </w:p>
        </w:tc>
        <w:tc>
          <w:tcPr>
            <w:tcW w:w="917" w:type="pct"/>
            <w:vAlign w:val="center"/>
            <w:hideMark/>
          </w:tcPr>
          <w:p w14:paraId="1C9CB475" w14:textId="77777777" w:rsidR="00F179A0" w:rsidRPr="00FE59CF" w:rsidRDefault="00F179A0" w:rsidP="00D840F1">
            <w:pPr>
              <w:pStyle w:val="af0"/>
              <w:spacing w:line="240" w:lineRule="atLeast"/>
              <w:jc w:val="center"/>
              <w:rPr>
                <w:rFonts w:ascii="Times New Roman" w:eastAsia="宋体" w:hAnsi="Times New Roman"/>
                <w:bCs w:val="0"/>
                <w:sz w:val="21"/>
                <w:szCs w:val="21"/>
              </w:rPr>
            </w:pPr>
            <w:r w:rsidRPr="00FE59CF">
              <w:rPr>
                <w:rFonts w:ascii="Times New Roman" w:eastAsia="宋体" w:hAnsi="Times New Roman"/>
                <w:bCs w:val="0"/>
                <w:sz w:val="21"/>
                <w:szCs w:val="21"/>
              </w:rPr>
              <w:t>得分</w:t>
            </w:r>
          </w:p>
        </w:tc>
        <w:tc>
          <w:tcPr>
            <w:tcW w:w="718" w:type="pct"/>
            <w:vAlign w:val="center"/>
            <w:hideMark/>
          </w:tcPr>
          <w:p w14:paraId="42C39CAF" w14:textId="77777777" w:rsidR="00F179A0" w:rsidRPr="00FE59CF" w:rsidRDefault="00F179A0" w:rsidP="00D840F1">
            <w:pPr>
              <w:pStyle w:val="af0"/>
              <w:spacing w:line="240" w:lineRule="atLeast"/>
              <w:jc w:val="center"/>
              <w:rPr>
                <w:rFonts w:ascii="Times New Roman" w:eastAsia="宋体" w:hAnsi="Times New Roman"/>
                <w:bCs w:val="0"/>
                <w:sz w:val="21"/>
                <w:szCs w:val="21"/>
              </w:rPr>
            </w:pPr>
            <w:r w:rsidRPr="00FE59CF">
              <w:rPr>
                <w:rFonts w:ascii="Times New Roman" w:eastAsia="宋体" w:hAnsi="Times New Roman"/>
                <w:bCs w:val="0"/>
                <w:sz w:val="21"/>
                <w:szCs w:val="21"/>
              </w:rPr>
              <w:t>排序</w:t>
            </w:r>
          </w:p>
        </w:tc>
      </w:tr>
      <w:tr w:rsidR="00401099" w:rsidRPr="00FE59CF" w14:paraId="5BF9E47E" w14:textId="77777777" w:rsidTr="00401099">
        <w:trPr>
          <w:trHeight w:val="283"/>
        </w:trPr>
        <w:tc>
          <w:tcPr>
            <w:tcW w:w="3365" w:type="pct"/>
            <w:vAlign w:val="center"/>
          </w:tcPr>
          <w:p w14:paraId="7DB444C1" w14:textId="165E7A43" w:rsidR="00401099" w:rsidRPr="00FE59CF" w:rsidRDefault="00401099" w:rsidP="00401099">
            <w:pPr>
              <w:pStyle w:val="af0"/>
              <w:spacing w:line="240" w:lineRule="atLeast"/>
              <w:jc w:val="center"/>
              <w:rPr>
                <w:rFonts w:ascii="Times New Roman" w:eastAsia="宋体" w:hAnsi="Times New Roman"/>
                <w:bCs/>
                <w:sz w:val="21"/>
                <w:szCs w:val="21"/>
              </w:rPr>
            </w:pPr>
            <w:r w:rsidRPr="00FE59CF">
              <w:rPr>
                <w:rFonts w:ascii="Times" w:hAnsi="Times" w:hint="eastAsia"/>
                <w:b/>
                <w:bCs/>
                <w:sz w:val="21"/>
                <w:szCs w:val="21"/>
              </w:rPr>
              <w:t>项目开发管理制度</w:t>
            </w:r>
          </w:p>
        </w:tc>
        <w:tc>
          <w:tcPr>
            <w:tcW w:w="917" w:type="pct"/>
            <w:vAlign w:val="center"/>
          </w:tcPr>
          <w:p w14:paraId="07BEAA96" w14:textId="53DD7C7E" w:rsidR="00401099" w:rsidRPr="00FE59CF" w:rsidRDefault="00401099" w:rsidP="00401099">
            <w:pPr>
              <w:pStyle w:val="af0"/>
              <w:spacing w:line="240" w:lineRule="atLeast"/>
              <w:jc w:val="center"/>
              <w:rPr>
                <w:rFonts w:ascii="Times New Roman" w:eastAsia="宋体" w:hAnsi="Times New Roman"/>
                <w:bCs/>
                <w:sz w:val="21"/>
                <w:szCs w:val="21"/>
              </w:rPr>
            </w:pPr>
          </w:p>
        </w:tc>
        <w:tc>
          <w:tcPr>
            <w:tcW w:w="718" w:type="pct"/>
            <w:vAlign w:val="center"/>
          </w:tcPr>
          <w:p w14:paraId="38A2E361" w14:textId="6E439E6A" w:rsidR="00401099" w:rsidRPr="00FE59CF" w:rsidRDefault="00401099" w:rsidP="00401099">
            <w:pPr>
              <w:pStyle w:val="af0"/>
              <w:spacing w:line="240" w:lineRule="atLeast"/>
              <w:jc w:val="center"/>
              <w:rPr>
                <w:rFonts w:ascii="Times New Roman" w:eastAsia="宋体" w:hAnsi="Times New Roman"/>
                <w:bCs/>
                <w:sz w:val="21"/>
                <w:szCs w:val="21"/>
              </w:rPr>
            </w:pPr>
          </w:p>
        </w:tc>
      </w:tr>
      <w:tr w:rsidR="00401099" w:rsidRPr="00FE59CF" w14:paraId="03E25565" w14:textId="77777777" w:rsidTr="00401099">
        <w:trPr>
          <w:trHeight w:val="283"/>
        </w:trPr>
        <w:tc>
          <w:tcPr>
            <w:tcW w:w="3365" w:type="pct"/>
            <w:vAlign w:val="center"/>
          </w:tcPr>
          <w:p w14:paraId="1CBF90F7" w14:textId="25D2DB1C" w:rsidR="00401099" w:rsidRPr="00FE59CF" w:rsidRDefault="00401099" w:rsidP="00401099">
            <w:pPr>
              <w:pStyle w:val="af0"/>
              <w:spacing w:line="240" w:lineRule="atLeast"/>
              <w:rPr>
                <w:rFonts w:ascii="Times New Roman" w:eastAsia="宋体" w:hAnsi="Times New Roman"/>
                <w:bCs/>
                <w:sz w:val="21"/>
                <w:szCs w:val="21"/>
              </w:rPr>
            </w:pPr>
            <w:r w:rsidRPr="00FE59CF">
              <w:rPr>
                <w:rFonts w:hint="eastAsia"/>
                <w:color w:val="000000"/>
                <w:sz w:val="21"/>
                <w:szCs w:val="21"/>
              </w:rPr>
              <w:t>风险管理体系完善</w:t>
            </w:r>
          </w:p>
        </w:tc>
        <w:tc>
          <w:tcPr>
            <w:tcW w:w="917" w:type="pct"/>
            <w:vAlign w:val="bottom"/>
          </w:tcPr>
          <w:p w14:paraId="7C290960" w14:textId="74941D89" w:rsidR="00401099" w:rsidRPr="00FE59CF" w:rsidRDefault="00401099" w:rsidP="00401099">
            <w:pPr>
              <w:pStyle w:val="af0"/>
              <w:spacing w:line="240" w:lineRule="atLeast"/>
              <w:jc w:val="center"/>
              <w:rPr>
                <w:rFonts w:ascii="Times New Roman" w:eastAsia="宋体" w:hAnsi="Times New Roman" w:cs="Times New Roman"/>
                <w:bCs/>
                <w:sz w:val="21"/>
                <w:szCs w:val="21"/>
              </w:rPr>
            </w:pPr>
            <w:r w:rsidRPr="00FE59CF">
              <w:rPr>
                <w:rFonts w:ascii="Times New Roman" w:hAnsi="Times New Roman" w:cs="Times New Roman"/>
                <w:color w:val="000000"/>
                <w:sz w:val="21"/>
                <w:szCs w:val="21"/>
              </w:rPr>
              <w:t>4.304</w:t>
            </w:r>
          </w:p>
        </w:tc>
        <w:tc>
          <w:tcPr>
            <w:tcW w:w="718" w:type="pct"/>
            <w:vAlign w:val="bottom"/>
          </w:tcPr>
          <w:p w14:paraId="4D59AA2D" w14:textId="4A651D2B" w:rsidR="00401099" w:rsidRPr="00FE59CF" w:rsidRDefault="00401099" w:rsidP="00401099">
            <w:pPr>
              <w:pStyle w:val="af0"/>
              <w:spacing w:line="240" w:lineRule="atLeast"/>
              <w:jc w:val="center"/>
              <w:rPr>
                <w:rFonts w:ascii="Times New Roman" w:eastAsia="宋体" w:hAnsi="Times New Roman" w:cs="Times New Roman"/>
                <w:bCs/>
                <w:sz w:val="21"/>
                <w:szCs w:val="21"/>
              </w:rPr>
            </w:pPr>
            <w:r w:rsidRPr="00FE59CF">
              <w:rPr>
                <w:rFonts w:ascii="Times New Roman" w:hAnsi="Times New Roman" w:cs="Times New Roman"/>
                <w:color w:val="000000"/>
                <w:sz w:val="21"/>
                <w:szCs w:val="21"/>
              </w:rPr>
              <w:t>1</w:t>
            </w:r>
          </w:p>
        </w:tc>
      </w:tr>
      <w:tr w:rsidR="00401099" w:rsidRPr="00FE59CF" w14:paraId="14336846" w14:textId="77777777" w:rsidTr="00401099">
        <w:trPr>
          <w:trHeight w:val="283"/>
        </w:trPr>
        <w:tc>
          <w:tcPr>
            <w:tcW w:w="3365" w:type="pct"/>
            <w:vAlign w:val="center"/>
          </w:tcPr>
          <w:p w14:paraId="1CF2BD63" w14:textId="252C8582" w:rsidR="00401099" w:rsidRPr="00FE59CF" w:rsidRDefault="00401099" w:rsidP="00401099">
            <w:pPr>
              <w:pStyle w:val="af0"/>
              <w:spacing w:line="240" w:lineRule="atLeast"/>
              <w:rPr>
                <w:rFonts w:ascii="Times New Roman" w:eastAsia="宋体" w:hAnsi="Times New Roman"/>
                <w:bCs/>
                <w:sz w:val="21"/>
                <w:szCs w:val="21"/>
              </w:rPr>
            </w:pPr>
            <w:r w:rsidRPr="00FE59CF">
              <w:rPr>
                <w:rFonts w:hint="eastAsia"/>
                <w:color w:val="000000"/>
                <w:sz w:val="21"/>
                <w:szCs w:val="21"/>
              </w:rPr>
              <w:t>利益相关方责权划分明确</w:t>
            </w:r>
          </w:p>
        </w:tc>
        <w:tc>
          <w:tcPr>
            <w:tcW w:w="917" w:type="pct"/>
            <w:vAlign w:val="bottom"/>
          </w:tcPr>
          <w:p w14:paraId="27585390" w14:textId="713E0C66" w:rsidR="00401099" w:rsidRPr="00FE59CF" w:rsidRDefault="00401099" w:rsidP="00401099">
            <w:pPr>
              <w:pStyle w:val="af0"/>
              <w:spacing w:line="240" w:lineRule="atLeast"/>
              <w:jc w:val="center"/>
              <w:rPr>
                <w:rFonts w:ascii="Times New Roman" w:eastAsia="宋体" w:hAnsi="Times New Roman" w:cs="Times New Roman"/>
                <w:bCs/>
                <w:sz w:val="21"/>
                <w:szCs w:val="21"/>
              </w:rPr>
            </w:pPr>
            <w:r w:rsidRPr="00FE59CF">
              <w:rPr>
                <w:rFonts w:ascii="Times New Roman" w:hAnsi="Times New Roman" w:cs="Times New Roman"/>
                <w:color w:val="000000"/>
                <w:sz w:val="21"/>
                <w:szCs w:val="21"/>
              </w:rPr>
              <w:t>4.276</w:t>
            </w:r>
          </w:p>
        </w:tc>
        <w:tc>
          <w:tcPr>
            <w:tcW w:w="718" w:type="pct"/>
            <w:vAlign w:val="bottom"/>
          </w:tcPr>
          <w:p w14:paraId="028A7191" w14:textId="241CC9E6" w:rsidR="00401099" w:rsidRPr="00FE59CF" w:rsidRDefault="00401099" w:rsidP="00401099">
            <w:pPr>
              <w:pStyle w:val="af0"/>
              <w:spacing w:line="240" w:lineRule="atLeast"/>
              <w:jc w:val="center"/>
              <w:rPr>
                <w:rFonts w:ascii="Times New Roman" w:eastAsia="宋体" w:hAnsi="Times New Roman" w:cs="Times New Roman"/>
                <w:bCs/>
                <w:sz w:val="21"/>
                <w:szCs w:val="21"/>
              </w:rPr>
            </w:pPr>
            <w:r w:rsidRPr="00FE59CF">
              <w:rPr>
                <w:rFonts w:ascii="Times New Roman" w:hAnsi="Times New Roman" w:cs="Times New Roman"/>
                <w:color w:val="000000"/>
                <w:sz w:val="21"/>
                <w:szCs w:val="21"/>
              </w:rPr>
              <w:t>3</w:t>
            </w:r>
          </w:p>
        </w:tc>
      </w:tr>
      <w:tr w:rsidR="00401099" w:rsidRPr="00FE59CF" w14:paraId="2D6585FC" w14:textId="77777777" w:rsidTr="00401099">
        <w:trPr>
          <w:trHeight w:val="283"/>
        </w:trPr>
        <w:tc>
          <w:tcPr>
            <w:tcW w:w="3365" w:type="pct"/>
            <w:vAlign w:val="center"/>
          </w:tcPr>
          <w:p w14:paraId="1333F96F" w14:textId="380A98E1" w:rsidR="00401099" w:rsidRPr="00FE59CF" w:rsidRDefault="00401099" w:rsidP="00401099">
            <w:pPr>
              <w:pStyle w:val="af0"/>
              <w:spacing w:line="240" w:lineRule="atLeast"/>
              <w:rPr>
                <w:rFonts w:ascii="Times New Roman" w:eastAsia="宋体" w:hAnsi="Times New Roman"/>
                <w:bCs/>
                <w:sz w:val="21"/>
                <w:szCs w:val="21"/>
              </w:rPr>
            </w:pPr>
            <w:r w:rsidRPr="00FE59CF">
              <w:rPr>
                <w:rFonts w:hint="eastAsia"/>
                <w:color w:val="000000"/>
                <w:sz w:val="21"/>
                <w:szCs w:val="21"/>
              </w:rPr>
              <w:t>管理流程清晰</w:t>
            </w:r>
          </w:p>
        </w:tc>
        <w:tc>
          <w:tcPr>
            <w:tcW w:w="917" w:type="pct"/>
            <w:vAlign w:val="bottom"/>
          </w:tcPr>
          <w:p w14:paraId="4BF4E40D" w14:textId="746E9A2A" w:rsidR="00401099" w:rsidRPr="00FE59CF" w:rsidRDefault="00401099" w:rsidP="00401099">
            <w:pPr>
              <w:pStyle w:val="af0"/>
              <w:spacing w:line="240" w:lineRule="atLeast"/>
              <w:jc w:val="center"/>
              <w:rPr>
                <w:rFonts w:ascii="Times New Roman" w:eastAsia="宋体" w:hAnsi="Times New Roman" w:cs="Times New Roman"/>
                <w:bCs/>
                <w:sz w:val="21"/>
                <w:szCs w:val="21"/>
              </w:rPr>
            </w:pPr>
            <w:r w:rsidRPr="00FE59CF">
              <w:rPr>
                <w:rFonts w:ascii="Times New Roman" w:hAnsi="Times New Roman" w:cs="Times New Roman"/>
                <w:color w:val="000000"/>
                <w:sz w:val="21"/>
                <w:szCs w:val="21"/>
              </w:rPr>
              <w:t>4.276</w:t>
            </w:r>
          </w:p>
        </w:tc>
        <w:tc>
          <w:tcPr>
            <w:tcW w:w="718" w:type="pct"/>
            <w:vAlign w:val="bottom"/>
          </w:tcPr>
          <w:p w14:paraId="0CDDA091" w14:textId="7F7A36C5" w:rsidR="00401099" w:rsidRPr="00FE59CF" w:rsidRDefault="00401099" w:rsidP="00401099">
            <w:pPr>
              <w:pStyle w:val="af0"/>
              <w:spacing w:line="240" w:lineRule="atLeast"/>
              <w:jc w:val="center"/>
              <w:rPr>
                <w:rFonts w:ascii="Times New Roman" w:eastAsia="宋体" w:hAnsi="Times New Roman" w:cs="Times New Roman"/>
                <w:bCs/>
                <w:sz w:val="21"/>
                <w:szCs w:val="21"/>
              </w:rPr>
            </w:pPr>
            <w:r w:rsidRPr="00FE59CF">
              <w:rPr>
                <w:rFonts w:ascii="Times New Roman" w:hAnsi="Times New Roman" w:cs="Times New Roman"/>
                <w:color w:val="000000"/>
                <w:sz w:val="21"/>
                <w:szCs w:val="21"/>
              </w:rPr>
              <w:t>3</w:t>
            </w:r>
          </w:p>
        </w:tc>
      </w:tr>
      <w:tr w:rsidR="00401099" w:rsidRPr="00FE59CF" w14:paraId="7A305AB3" w14:textId="77777777" w:rsidTr="00401099">
        <w:trPr>
          <w:trHeight w:val="283"/>
        </w:trPr>
        <w:tc>
          <w:tcPr>
            <w:tcW w:w="3365" w:type="pct"/>
            <w:vAlign w:val="center"/>
          </w:tcPr>
          <w:p w14:paraId="226501BE" w14:textId="0997C29D" w:rsidR="00401099" w:rsidRPr="00FE59CF" w:rsidRDefault="00401099" w:rsidP="00401099">
            <w:pPr>
              <w:pStyle w:val="af0"/>
              <w:spacing w:line="240" w:lineRule="atLeast"/>
              <w:rPr>
                <w:rFonts w:ascii="Times New Roman" w:eastAsia="宋体" w:hAnsi="Times New Roman"/>
                <w:bCs/>
                <w:sz w:val="21"/>
                <w:szCs w:val="21"/>
              </w:rPr>
            </w:pPr>
            <w:r w:rsidRPr="00FE59CF">
              <w:rPr>
                <w:rFonts w:hint="eastAsia"/>
                <w:color w:val="000000"/>
                <w:sz w:val="21"/>
                <w:szCs w:val="21"/>
              </w:rPr>
              <w:t>运行管理制度完善</w:t>
            </w:r>
          </w:p>
        </w:tc>
        <w:tc>
          <w:tcPr>
            <w:tcW w:w="917" w:type="pct"/>
            <w:vAlign w:val="bottom"/>
          </w:tcPr>
          <w:p w14:paraId="1800AA2C" w14:textId="521D39DD" w:rsidR="00401099" w:rsidRPr="00FE59CF" w:rsidRDefault="00401099" w:rsidP="00401099">
            <w:pPr>
              <w:pStyle w:val="af0"/>
              <w:spacing w:line="240" w:lineRule="atLeast"/>
              <w:jc w:val="center"/>
              <w:rPr>
                <w:rFonts w:ascii="Times New Roman" w:eastAsia="宋体" w:hAnsi="Times New Roman" w:cs="Times New Roman"/>
                <w:bCs/>
                <w:sz w:val="21"/>
                <w:szCs w:val="21"/>
              </w:rPr>
            </w:pPr>
            <w:r w:rsidRPr="00FE59CF">
              <w:rPr>
                <w:rFonts w:ascii="Times New Roman" w:hAnsi="Times New Roman" w:cs="Times New Roman"/>
                <w:color w:val="000000"/>
                <w:sz w:val="21"/>
                <w:szCs w:val="21"/>
              </w:rPr>
              <w:t>4.273</w:t>
            </w:r>
          </w:p>
        </w:tc>
        <w:tc>
          <w:tcPr>
            <w:tcW w:w="718" w:type="pct"/>
            <w:vAlign w:val="bottom"/>
          </w:tcPr>
          <w:p w14:paraId="6C8D0CC9" w14:textId="0E9428F1" w:rsidR="00401099" w:rsidRPr="00FE59CF" w:rsidRDefault="00401099" w:rsidP="00401099">
            <w:pPr>
              <w:pStyle w:val="af0"/>
              <w:spacing w:line="240" w:lineRule="atLeast"/>
              <w:jc w:val="center"/>
              <w:rPr>
                <w:rFonts w:ascii="Times New Roman" w:eastAsia="宋体" w:hAnsi="Times New Roman" w:cs="Times New Roman"/>
                <w:bCs/>
                <w:sz w:val="21"/>
                <w:szCs w:val="21"/>
              </w:rPr>
            </w:pPr>
            <w:r w:rsidRPr="00FE59CF">
              <w:rPr>
                <w:rFonts w:ascii="Times New Roman" w:hAnsi="Times New Roman" w:cs="Times New Roman"/>
                <w:color w:val="000000"/>
                <w:sz w:val="21"/>
                <w:szCs w:val="21"/>
              </w:rPr>
              <w:t>5</w:t>
            </w:r>
          </w:p>
        </w:tc>
      </w:tr>
      <w:tr w:rsidR="00401099" w:rsidRPr="00FE59CF" w14:paraId="04B0F4E5" w14:textId="77777777" w:rsidTr="00401099">
        <w:trPr>
          <w:trHeight w:val="283"/>
        </w:trPr>
        <w:tc>
          <w:tcPr>
            <w:tcW w:w="3365" w:type="pct"/>
            <w:vAlign w:val="center"/>
          </w:tcPr>
          <w:p w14:paraId="620FAF2B" w14:textId="1E11B078" w:rsidR="00401099" w:rsidRPr="00FE59CF" w:rsidRDefault="00401099" w:rsidP="00401099">
            <w:pPr>
              <w:pStyle w:val="af0"/>
              <w:spacing w:line="240" w:lineRule="atLeast"/>
              <w:rPr>
                <w:rFonts w:ascii="Times New Roman" w:eastAsia="宋体" w:hAnsi="Times New Roman"/>
                <w:bCs/>
                <w:sz w:val="21"/>
                <w:szCs w:val="21"/>
              </w:rPr>
            </w:pPr>
            <w:r w:rsidRPr="00FE59CF">
              <w:rPr>
                <w:rFonts w:hint="eastAsia"/>
                <w:color w:val="000000"/>
                <w:sz w:val="21"/>
                <w:szCs w:val="21"/>
              </w:rPr>
              <w:t>建设管理制度完善</w:t>
            </w:r>
          </w:p>
        </w:tc>
        <w:tc>
          <w:tcPr>
            <w:tcW w:w="917" w:type="pct"/>
            <w:vAlign w:val="bottom"/>
          </w:tcPr>
          <w:p w14:paraId="0EBFEDF9" w14:textId="4641AFD2" w:rsidR="00401099" w:rsidRPr="00FE59CF" w:rsidRDefault="00401099" w:rsidP="00401099">
            <w:pPr>
              <w:pStyle w:val="af0"/>
              <w:spacing w:line="240" w:lineRule="atLeast"/>
              <w:jc w:val="center"/>
              <w:rPr>
                <w:rFonts w:ascii="Times New Roman" w:eastAsia="宋体" w:hAnsi="Times New Roman" w:cs="Times New Roman"/>
                <w:bCs/>
                <w:sz w:val="21"/>
                <w:szCs w:val="21"/>
              </w:rPr>
            </w:pPr>
            <w:r w:rsidRPr="00FE59CF">
              <w:rPr>
                <w:rFonts w:ascii="Times New Roman" w:hAnsi="Times New Roman" w:cs="Times New Roman"/>
                <w:color w:val="000000"/>
                <w:sz w:val="21"/>
                <w:szCs w:val="21"/>
              </w:rPr>
              <w:t>4.270</w:t>
            </w:r>
          </w:p>
        </w:tc>
        <w:tc>
          <w:tcPr>
            <w:tcW w:w="718" w:type="pct"/>
            <w:vAlign w:val="bottom"/>
          </w:tcPr>
          <w:p w14:paraId="74192BC4" w14:textId="64F36550" w:rsidR="00401099" w:rsidRPr="00FE59CF" w:rsidRDefault="00401099" w:rsidP="00401099">
            <w:pPr>
              <w:pStyle w:val="af0"/>
              <w:spacing w:line="240" w:lineRule="atLeast"/>
              <w:jc w:val="center"/>
              <w:rPr>
                <w:rFonts w:ascii="Times New Roman" w:eastAsia="宋体" w:hAnsi="Times New Roman" w:cs="Times New Roman"/>
                <w:bCs/>
                <w:sz w:val="21"/>
                <w:szCs w:val="21"/>
              </w:rPr>
            </w:pPr>
            <w:r w:rsidRPr="00FE59CF">
              <w:rPr>
                <w:rFonts w:ascii="Times New Roman" w:hAnsi="Times New Roman" w:cs="Times New Roman"/>
                <w:color w:val="000000"/>
                <w:sz w:val="21"/>
                <w:szCs w:val="21"/>
              </w:rPr>
              <w:t>6</w:t>
            </w:r>
          </w:p>
        </w:tc>
      </w:tr>
      <w:tr w:rsidR="00401099" w:rsidRPr="00FE59CF" w14:paraId="79680832" w14:textId="77777777" w:rsidTr="00401099">
        <w:trPr>
          <w:trHeight w:val="283"/>
        </w:trPr>
        <w:tc>
          <w:tcPr>
            <w:tcW w:w="3365" w:type="pct"/>
            <w:vAlign w:val="center"/>
          </w:tcPr>
          <w:p w14:paraId="709BAEC9" w14:textId="27AB9E3F" w:rsidR="00401099" w:rsidRPr="00FE59CF" w:rsidRDefault="00401099" w:rsidP="00401099">
            <w:pPr>
              <w:pStyle w:val="af0"/>
              <w:spacing w:line="240" w:lineRule="atLeast"/>
              <w:rPr>
                <w:rFonts w:ascii="Times New Roman" w:eastAsia="宋体" w:hAnsi="Times New Roman"/>
                <w:bCs/>
                <w:sz w:val="21"/>
                <w:szCs w:val="21"/>
              </w:rPr>
            </w:pPr>
            <w:r w:rsidRPr="00FE59CF">
              <w:rPr>
                <w:rFonts w:hint="eastAsia"/>
                <w:color w:val="000000"/>
                <w:sz w:val="21"/>
                <w:szCs w:val="21"/>
              </w:rPr>
              <w:t>数字化管理制度完善</w:t>
            </w:r>
          </w:p>
        </w:tc>
        <w:tc>
          <w:tcPr>
            <w:tcW w:w="917" w:type="pct"/>
            <w:vAlign w:val="bottom"/>
          </w:tcPr>
          <w:p w14:paraId="1F8D4304" w14:textId="6102F1A4" w:rsidR="00401099" w:rsidRPr="00FE59CF" w:rsidRDefault="00401099" w:rsidP="00401099">
            <w:pPr>
              <w:pStyle w:val="af0"/>
              <w:spacing w:line="240" w:lineRule="atLeast"/>
              <w:jc w:val="center"/>
              <w:rPr>
                <w:rFonts w:ascii="Times New Roman" w:eastAsia="宋体" w:hAnsi="Times New Roman" w:cs="Times New Roman"/>
                <w:bCs/>
                <w:sz w:val="21"/>
                <w:szCs w:val="21"/>
              </w:rPr>
            </w:pPr>
            <w:r w:rsidRPr="00FE59CF">
              <w:rPr>
                <w:rFonts w:ascii="Times New Roman" w:hAnsi="Times New Roman" w:cs="Times New Roman"/>
                <w:color w:val="000000"/>
                <w:sz w:val="21"/>
                <w:szCs w:val="21"/>
              </w:rPr>
              <w:t>4.235</w:t>
            </w:r>
          </w:p>
        </w:tc>
        <w:tc>
          <w:tcPr>
            <w:tcW w:w="718" w:type="pct"/>
            <w:vAlign w:val="bottom"/>
          </w:tcPr>
          <w:p w14:paraId="0950BCCF" w14:textId="68829E01" w:rsidR="00401099" w:rsidRPr="00FE59CF" w:rsidRDefault="00401099" w:rsidP="00401099">
            <w:pPr>
              <w:pStyle w:val="af0"/>
              <w:spacing w:line="240" w:lineRule="atLeast"/>
              <w:jc w:val="center"/>
              <w:rPr>
                <w:rFonts w:ascii="Times New Roman" w:eastAsia="宋体" w:hAnsi="Times New Roman" w:cs="Times New Roman"/>
                <w:bCs/>
                <w:sz w:val="21"/>
                <w:szCs w:val="21"/>
              </w:rPr>
            </w:pPr>
            <w:r w:rsidRPr="00FE59CF">
              <w:rPr>
                <w:rFonts w:ascii="Times New Roman" w:hAnsi="Times New Roman" w:cs="Times New Roman"/>
                <w:color w:val="000000"/>
                <w:sz w:val="21"/>
                <w:szCs w:val="21"/>
              </w:rPr>
              <w:t>8</w:t>
            </w:r>
          </w:p>
        </w:tc>
      </w:tr>
      <w:tr w:rsidR="00401099" w:rsidRPr="00FE59CF" w14:paraId="15384B35" w14:textId="77777777" w:rsidTr="00401099">
        <w:trPr>
          <w:trHeight w:val="283"/>
        </w:trPr>
        <w:tc>
          <w:tcPr>
            <w:tcW w:w="3365" w:type="pct"/>
            <w:vAlign w:val="bottom"/>
          </w:tcPr>
          <w:p w14:paraId="42551798" w14:textId="68393B13" w:rsidR="00401099" w:rsidRPr="00FE59CF" w:rsidRDefault="00401099" w:rsidP="00401099">
            <w:pPr>
              <w:pStyle w:val="af0"/>
              <w:spacing w:line="240" w:lineRule="atLeast"/>
              <w:jc w:val="center"/>
              <w:rPr>
                <w:rFonts w:ascii="Times New Roman" w:eastAsia="宋体" w:hAnsi="Times New Roman"/>
                <w:bCs/>
                <w:sz w:val="21"/>
                <w:szCs w:val="21"/>
              </w:rPr>
            </w:pPr>
            <w:r w:rsidRPr="00FE59CF">
              <w:rPr>
                <w:rFonts w:hint="eastAsia"/>
                <w:b/>
                <w:bCs/>
                <w:color w:val="000000"/>
                <w:sz w:val="21"/>
                <w:szCs w:val="21"/>
              </w:rPr>
              <w:t>组织发展管理制度</w:t>
            </w:r>
          </w:p>
        </w:tc>
        <w:tc>
          <w:tcPr>
            <w:tcW w:w="917" w:type="pct"/>
            <w:vAlign w:val="bottom"/>
          </w:tcPr>
          <w:p w14:paraId="5576E92D" w14:textId="77777777" w:rsidR="00401099" w:rsidRPr="00FE59CF" w:rsidRDefault="00401099" w:rsidP="00401099">
            <w:pPr>
              <w:pStyle w:val="af0"/>
              <w:spacing w:line="240" w:lineRule="atLeast"/>
              <w:jc w:val="center"/>
              <w:rPr>
                <w:rFonts w:ascii="Times New Roman" w:eastAsia="宋体" w:hAnsi="Times New Roman" w:cs="Times New Roman"/>
                <w:bCs/>
                <w:sz w:val="21"/>
                <w:szCs w:val="21"/>
              </w:rPr>
            </w:pPr>
          </w:p>
        </w:tc>
        <w:tc>
          <w:tcPr>
            <w:tcW w:w="718" w:type="pct"/>
            <w:vAlign w:val="bottom"/>
          </w:tcPr>
          <w:p w14:paraId="4DDC3DB6" w14:textId="77777777" w:rsidR="00401099" w:rsidRPr="00FE59CF" w:rsidRDefault="00401099" w:rsidP="00401099">
            <w:pPr>
              <w:pStyle w:val="af0"/>
              <w:spacing w:line="240" w:lineRule="atLeast"/>
              <w:jc w:val="center"/>
              <w:rPr>
                <w:rFonts w:ascii="Times New Roman" w:eastAsia="宋体" w:hAnsi="Times New Roman" w:cs="Times New Roman"/>
                <w:bCs/>
                <w:sz w:val="21"/>
                <w:szCs w:val="21"/>
              </w:rPr>
            </w:pPr>
          </w:p>
        </w:tc>
      </w:tr>
      <w:tr w:rsidR="00401099" w:rsidRPr="00FE59CF" w14:paraId="1BC3F9B6" w14:textId="77777777" w:rsidTr="00401099">
        <w:trPr>
          <w:trHeight w:val="283"/>
        </w:trPr>
        <w:tc>
          <w:tcPr>
            <w:tcW w:w="3365" w:type="pct"/>
            <w:vAlign w:val="center"/>
          </w:tcPr>
          <w:p w14:paraId="1B75D549" w14:textId="7DE2A8A1" w:rsidR="00401099" w:rsidRPr="00FE59CF" w:rsidRDefault="00401099" w:rsidP="00401099">
            <w:pPr>
              <w:pStyle w:val="af0"/>
              <w:spacing w:line="240" w:lineRule="atLeast"/>
              <w:rPr>
                <w:rFonts w:ascii="Times New Roman" w:eastAsia="宋体" w:hAnsi="Times New Roman"/>
                <w:bCs/>
                <w:sz w:val="21"/>
                <w:szCs w:val="21"/>
              </w:rPr>
            </w:pPr>
            <w:r w:rsidRPr="00FE59CF">
              <w:rPr>
                <w:rFonts w:hint="eastAsia"/>
                <w:color w:val="000000"/>
                <w:sz w:val="21"/>
                <w:szCs w:val="21"/>
              </w:rPr>
              <w:t>考核评价体系完善</w:t>
            </w:r>
          </w:p>
        </w:tc>
        <w:tc>
          <w:tcPr>
            <w:tcW w:w="917" w:type="pct"/>
            <w:vAlign w:val="bottom"/>
          </w:tcPr>
          <w:p w14:paraId="128415B5" w14:textId="48FCFF10" w:rsidR="00401099" w:rsidRPr="00FE59CF" w:rsidRDefault="00401099" w:rsidP="00401099">
            <w:pPr>
              <w:pStyle w:val="af0"/>
              <w:spacing w:line="240" w:lineRule="atLeast"/>
              <w:jc w:val="center"/>
              <w:rPr>
                <w:rFonts w:ascii="Times New Roman" w:eastAsia="宋体" w:hAnsi="Times New Roman" w:cs="Times New Roman"/>
                <w:bCs/>
                <w:sz w:val="21"/>
                <w:szCs w:val="21"/>
              </w:rPr>
            </w:pPr>
            <w:r w:rsidRPr="00FE59CF">
              <w:rPr>
                <w:rFonts w:ascii="Times New Roman" w:hAnsi="Times New Roman" w:cs="Times New Roman"/>
                <w:color w:val="000000"/>
                <w:sz w:val="21"/>
                <w:szCs w:val="21"/>
              </w:rPr>
              <w:t>4.280</w:t>
            </w:r>
          </w:p>
        </w:tc>
        <w:tc>
          <w:tcPr>
            <w:tcW w:w="718" w:type="pct"/>
            <w:vAlign w:val="bottom"/>
          </w:tcPr>
          <w:p w14:paraId="70417F77" w14:textId="75F47470" w:rsidR="00401099" w:rsidRPr="00FE59CF" w:rsidRDefault="00401099" w:rsidP="00401099">
            <w:pPr>
              <w:pStyle w:val="af0"/>
              <w:spacing w:line="240" w:lineRule="atLeast"/>
              <w:jc w:val="center"/>
              <w:rPr>
                <w:rFonts w:ascii="Times New Roman" w:eastAsia="宋体" w:hAnsi="Times New Roman" w:cs="Times New Roman"/>
                <w:bCs/>
                <w:sz w:val="21"/>
                <w:szCs w:val="21"/>
              </w:rPr>
            </w:pPr>
            <w:r w:rsidRPr="00FE59CF">
              <w:rPr>
                <w:rFonts w:ascii="Times New Roman" w:hAnsi="Times New Roman" w:cs="Times New Roman"/>
                <w:color w:val="000000"/>
                <w:sz w:val="21"/>
                <w:szCs w:val="21"/>
              </w:rPr>
              <w:t>2</w:t>
            </w:r>
          </w:p>
        </w:tc>
      </w:tr>
      <w:tr w:rsidR="00401099" w:rsidRPr="00FE59CF" w14:paraId="032AE76E" w14:textId="77777777" w:rsidTr="00401099">
        <w:trPr>
          <w:trHeight w:val="283"/>
        </w:trPr>
        <w:tc>
          <w:tcPr>
            <w:tcW w:w="3365" w:type="pct"/>
            <w:vAlign w:val="center"/>
          </w:tcPr>
          <w:p w14:paraId="0415C995" w14:textId="7B6C2F35" w:rsidR="00401099" w:rsidRPr="00FE59CF" w:rsidRDefault="00401099" w:rsidP="00401099">
            <w:pPr>
              <w:pStyle w:val="af0"/>
              <w:spacing w:line="240" w:lineRule="atLeast"/>
              <w:rPr>
                <w:rFonts w:ascii="Times New Roman" w:eastAsia="宋体" w:hAnsi="Times New Roman"/>
                <w:bCs/>
                <w:sz w:val="21"/>
                <w:szCs w:val="21"/>
              </w:rPr>
            </w:pPr>
            <w:r w:rsidRPr="00FE59CF">
              <w:rPr>
                <w:rFonts w:hint="eastAsia"/>
                <w:color w:val="000000"/>
                <w:sz w:val="21"/>
                <w:szCs w:val="21"/>
              </w:rPr>
              <w:t>知识管理体系完善</w:t>
            </w:r>
          </w:p>
        </w:tc>
        <w:tc>
          <w:tcPr>
            <w:tcW w:w="917" w:type="pct"/>
            <w:vAlign w:val="bottom"/>
          </w:tcPr>
          <w:p w14:paraId="52E301BD" w14:textId="2CD1E487" w:rsidR="00401099" w:rsidRPr="00FE59CF" w:rsidRDefault="00401099" w:rsidP="00401099">
            <w:pPr>
              <w:pStyle w:val="af0"/>
              <w:spacing w:line="240" w:lineRule="atLeast"/>
              <w:jc w:val="center"/>
              <w:rPr>
                <w:rFonts w:ascii="Times New Roman" w:eastAsia="宋体" w:hAnsi="Times New Roman" w:cs="Times New Roman"/>
                <w:bCs/>
                <w:sz w:val="21"/>
                <w:szCs w:val="21"/>
              </w:rPr>
            </w:pPr>
            <w:r w:rsidRPr="00FE59CF">
              <w:rPr>
                <w:rFonts w:ascii="Times New Roman" w:hAnsi="Times New Roman" w:cs="Times New Roman"/>
                <w:color w:val="000000"/>
                <w:sz w:val="21"/>
                <w:szCs w:val="21"/>
              </w:rPr>
              <w:t>4.263</w:t>
            </w:r>
          </w:p>
        </w:tc>
        <w:tc>
          <w:tcPr>
            <w:tcW w:w="718" w:type="pct"/>
            <w:vAlign w:val="bottom"/>
          </w:tcPr>
          <w:p w14:paraId="69C69ABB" w14:textId="3E23D1FE" w:rsidR="00401099" w:rsidRPr="00FE59CF" w:rsidRDefault="00401099" w:rsidP="00401099">
            <w:pPr>
              <w:pStyle w:val="af0"/>
              <w:spacing w:line="240" w:lineRule="atLeast"/>
              <w:jc w:val="center"/>
              <w:rPr>
                <w:rFonts w:ascii="Times New Roman" w:eastAsia="宋体" w:hAnsi="Times New Roman" w:cs="Times New Roman"/>
                <w:bCs/>
                <w:sz w:val="21"/>
                <w:szCs w:val="21"/>
              </w:rPr>
            </w:pPr>
            <w:r w:rsidRPr="00FE59CF">
              <w:rPr>
                <w:rFonts w:ascii="Times New Roman" w:hAnsi="Times New Roman" w:cs="Times New Roman"/>
                <w:color w:val="000000"/>
                <w:sz w:val="21"/>
                <w:szCs w:val="21"/>
              </w:rPr>
              <w:t>7</w:t>
            </w:r>
          </w:p>
        </w:tc>
      </w:tr>
      <w:tr w:rsidR="00401099" w:rsidRPr="00FE59CF" w14:paraId="169CD447" w14:textId="77777777" w:rsidTr="00401099">
        <w:trPr>
          <w:trHeight w:val="283"/>
        </w:trPr>
        <w:tc>
          <w:tcPr>
            <w:tcW w:w="3365" w:type="pct"/>
            <w:vAlign w:val="center"/>
          </w:tcPr>
          <w:p w14:paraId="6FDB3AFC" w14:textId="005BF4E0" w:rsidR="00401099" w:rsidRPr="00FE59CF" w:rsidRDefault="00401099" w:rsidP="00401099">
            <w:pPr>
              <w:pStyle w:val="af0"/>
              <w:spacing w:line="240" w:lineRule="atLeast"/>
              <w:rPr>
                <w:rFonts w:ascii="Times New Roman" w:eastAsia="宋体" w:hAnsi="Times New Roman"/>
                <w:bCs/>
                <w:sz w:val="21"/>
                <w:szCs w:val="21"/>
              </w:rPr>
            </w:pPr>
            <w:r w:rsidRPr="00FE59CF">
              <w:rPr>
                <w:rFonts w:hint="eastAsia"/>
                <w:color w:val="000000"/>
                <w:sz w:val="21"/>
                <w:szCs w:val="21"/>
              </w:rPr>
              <w:t>专业技能培训机制完善</w:t>
            </w:r>
          </w:p>
        </w:tc>
        <w:tc>
          <w:tcPr>
            <w:tcW w:w="917" w:type="pct"/>
            <w:vAlign w:val="bottom"/>
          </w:tcPr>
          <w:p w14:paraId="4872D5E6" w14:textId="1D6E2444" w:rsidR="00401099" w:rsidRPr="00FE59CF" w:rsidRDefault="00401099" w:rsidP="00401099">
            <w:pPr>
              <w:pStyle w:val="af0"/>
              <w:spacing w:line="240" w:lineRule="atLeast"/>
              <w:jc w:val="center"/>
              <w:rPr>
                <w:rFonts w:ascii="Times New Roman" w:eastAsia="宋体" w:hAnsi="Times New Roman" w:cs="Times New Roman"/>
                <w:bCs/>
                <w:sz w:val="21"/>
                <w:szCs w:val="21"/>
              </w:rPr>
            </w:pPr>
            <w:r w:rsidRPr="00FE59CF">
              <w:rPr>
                <w:rFonts w:ascii="Times New Roman" w:hAnsi="Times New Roman" w:cs="Times New Roman"/>
                <w:color w:val="000000"/>
                <w:sz w:val="21"/>
                <w:szCs w:val="21"/>
              </w:rPr>
              <w:t>4.229</w:t>
            </w:r>
          </w:p>
        </w:tc>
        <w:tc>
          <w:tcPr>
            <w:tcW w:w="718" w:type="pct"/>
            <w:vAlign w:val="bottom"/>
          </w:tcPr>
          <w:p w14:paraId="7884B83C" w14:textId="334B6124" w:rsidR="00401099" w:rsidRPr="00FE59CF" w:rsidRDefault="00401099" w:rsidP="00401099">
            <w:pPr>
              <w:pStyle w:val="af0"/>
              <w:spacing w:line="240" w:lineRule="atLeast"/>
              <w:jc w:val="center"/>
              <w:rPr>
                <w:rFonts w:ascii="Times New Roman" w:eastAsia="宋体" w:hAnsi="Times New Roman" w:cs="Times New Roman"/>
                <w:bCs/>
                <w:sz w:val="21"/>
                <w:szCs w:val="21"/>
              </w:rPr>
            </w:pPr>
            <w:r w:rsidRPr="00FE59CF">
              <w:rPr>
                <w:rFonts w:ascii="Times New Roman" w:hAnsi="Times New Roman" w:cs="Times New Roman"/>
                <w:color w:val="000000"/>
                <w:sz w:val="21"/>
                <w:szCs w:val="21"/>
              </w:rPr>
              <w:t>9</w:t>
            </w:r>
          </w:p>
        </w:tc>
      </w:tr>
      <w:tr w:rsidR="00401099" w:rsidRPr="00FE59CF" w14:paraId="08CB8B57" w14:textId="77777777" w:rsidTr="00401099">
        <w:trPr>
          <w:trHeight w:val="283"/>
        </w:trPr>
        <w:tc>
          <w:tcPr>
            <w:tcW w:w="3365" w:type="pct"/>
            <w:vAlign w:val="center"/>
          </w:tcPr>
          <w:p w14:paraId="7BCA4F96" w14:textId="62CDE926" w:rsidR="00401099" w:rsidRPr="00FE59CF" w:rsidRDefault="00401099" w:rsidP="00401099">
            <w:pPr>
              <w:pStyle w:val="af0"/>
              <w:spacing w:line="240" w:lineRule="atLeast"/>
              <w:rPr>
                <w:color w:val="000000"/>
                <w:sz w:val="21"/>
                <w:szCs w:val="21"/>
              </w:rPr>
            </w:pPr>
            <w:r w:rsidRPr="00FE59CF">
              <w:rPr>
                <w:rFonts w:hint="eastAsia"/>
                <w:color w:val="000000"/>
                <w:sz w:val="21"/>
                <w:szCs w:val="21"/>
              </w:rPr>
              <w:t>激励机制完善</w:t>
            </w:r>
          </w:p>
        </w:tc>
        <w:tc>
          <w:tcPr>
            <w:tcW w:w="917" w:type="pct"/>
            <w:vAlign w:val="bottom"/>
          </w:tcPr>
          <w:p w14:paraId="1B5C1D5D" w14:textId="2571F5EF" w:rsidR="00401099" w:rsidRPr="00FE59CF" w:rsidRDefault="00401099" w:rsidP="00401099">
            <w:pPr>
              <w:pStyle w:val="af0"/>
              <w:spacing w:line="240" w:lineRule="atLeast"/>
              <w:jc w:val="center"/>
              <w:rPr>
                <w:rFonts w:ascii="Times New Roman" w:eastAsia="宋体" w:hAnsi="Times New Roman" w:cs="Times New Roman"/>
                <w:bCs/>
                <w:sz w:val="21"/>
                <w:szCs w:val="21"/>
              </w:rPr>
            </w:pPr>
            <w:r w:rsidRPr="00FE59CF">
              <w:rPr>
                <w:rFonts w:ascii="Times New Roman" w:hAnsi="Times New Roman" w:cs="Times New Roman"/>
                <w:color w:val="000000"/>
                <w:sz w:val="21"/>
                <w:szCs w:val="21"/>
              </w:rPr>
              <w:t>4.201</w:t>
            </w:r>
          </w:p>
        </w:tc>
        <w:tc>
          <w:tcPr>
            <w:tcW w:w="718" w:type="pct"/>
            <w:vAlign w:val="bottom"/>
          </w:tcPr>
          <w:p w14:paraId="37DF339B" w14:textId="6DDA8368" w:rsidR="00401099" w:rsidRPr="00FE59CF" w:rsidRDefault="00401099" w:rsidP="00401099">
            <w:pPr>
              <w:pStyle w:val="af0"/>
              <w:spacing w:line="240" w:lineRule="atLeast"/>
              <w:jc w:val="center"/>
              <w:rPr>
                <w:rFonts w:ascii="Times New Roman" w:eastAsia="宋体" w:hAnsi="Times New Roman" w:cs="Times New Roman"/>
                <w:bCs/>
                <w:sz w:val="21"/>
                <w:szCs w:val="21"/>
              </w:rPr>
            </w:pPr>
            <w:r w:rsidRPr="00FE59CF">
              <w:rPr>
                <w:rFonts w:ascii="Times New Roman" w:hAnsi="Times New Roman" w:cs="Times New Roman"/>
                <w:color w:val="000000"/>
                <w:sz w:val="21"/>
                <w:szCs w:val="21"/>
              </w:rPr>
              <w:t>10</w:t>
            </w:r>
          </w:p>
        </w:tc>
      </w:tr>
      <w:tr w:rsidR="00401099" w:rsidRPr="00FE59CF" w14:paraId="3A535A51" w14:textId="77777777" w:rsidTr="00401099">
        <w:trPr>
          <w:cnfStyle w:val="010000000000" w:firstRow="0" w:lastRow="1" w:firstColumn="0" w:lastColumn="0" w:oddVBand="0" w:evenVBand="0" w:oddHBand="0" w:evenHBand="0" w:firstRowFirstColumn="0" w:firstRowLastColumn="0" w:lastRowFirstColumn="0" w:lastRowLastColumn="0"/>
          <w:trHeight w:val="283"/>
        </w:trPr>
        <w:tc>
          <w:tcPr>
            <w:tcW w:w="3365" w:type="pct"/>
            <w:vAlign w:val="center"/>
            <w:hideMark/>
          </w:tcPr>
          <w:p w14:paraId="2AD1EDF0" w14:textId="77777777" w:rsidR="00401099" w:rsidRPr="00FE59CF" w:rsidRDefault="00401099" w:rsidP="00401099">
            <w:pPr>
              <w:pStyle w:val="af0"/>
              <w:spacing w:line="240" w:lineRule="atLeast"/>
              <w:jc w:val="center"/>
              <w:rPr>
                <w:rFonts w:ascii="Times New Roman" w:eastAsia="宋体" w:hAnsi="Times New Roman"/>
                <w:bCs w:val="0"/>
                <w:sz w:val="21"/>
                <w:szCs w:val="21"/>
              </w:rPr>
            </w:pPr>
            <w:r w:rsidRPr="00FE59CF">
              <w:rPr>
                <w:rFonts w:ascii="Times New Roman" w:eastAsia="宋体" w:hAnsi="Times New Roman" w:hint="eastAsia"/>
                <w:bCs w:val="0"/>
                <w:sz w:val="21"/>
                <w:szCs w:val="21"/>
              </w:rPr>
              <w:t>均值</w:t>
            </w:r>
          </w:p>
        </w:tc>
        <w:tc>
          <w:tcPr>
            <w:tcW w:w="917" w:type="pct"/>
            <w:vAlign w:val="center"/>
            <w:hideMark/>
          </w:tcPr>
          <w:p w14:paraId="52A1DE69" w14:textId="049BF646" w:rsidR="00401099" w:rsidRPr="00FE59CF" w:rsidRDefault="00401099" w:rsidP="00401099">
            <w:pPr>
              <w:pStyle w:val="af0"/>
              <w:spacing w:line="240" w:lineRule="atLeast"/>
              <w:jc w:val="center"/>
              <w:rPr>
                <w:rFonts w:ascii="Times New Roman" w:eastAsia="宋体" w:hAnsi="Times New Roman" w:cs="Times New Roman"/>
                <w:bCs w:val="0"/>
                <w:sz w:val="21"/>
                <w:szCs w:val="21"/>
              </w:rPr>
            </w:pPr>
            <w:r w:rsidRPr="00FE59CF">
              <w:rPr>
                <w:rFonts w:ascii="Times New Roman" w:hAnsi="Times New Roman" w:cs="Times New Roman"/>
                <w:color w:val="000000"/>
                <w:sz w:val="21"/>
                <w:szCs w:val="21"/>
              </w:rPr>
              <w:t>4.261</w:t>
            </w:r>
          </w:p>
        </w:tc>
        <w:tc>
          <w:tcPr>
            <w:tcW w:w="718" w:type="pct"/>
            <w:vAlign w:val="center"/>
            <w:hideMark/>
          </w:tcPr>
          <w:p w14:paraId="26DE5443" w14:textId="72F02B1C" w:rsidR="00401099" w:rsidRPr="00FE59CF" w:rsidRDefault="00401099" w:rsidP="00401099">
            <w:pPr>
              <w:pStyle w:val="af0"/>
              <w:spacing w:line="240" w:lineRule="atLeast"/>
              <w:jc w:val="center"/>
              <w:rPr>
                <w:rFonts w:ascii="Times New Roman" w:eastAsia="宋体" w:hAnsi="Times New Roman" w:cs="Times New Roman"/>
                <w:bCs w:val="0"/>
                <w:sz w:val="21"/>
                <w:szCs w:val="21"/>
              </w:rPr>
            </w:pPr>
          </w:p>
        </w:tc>
      </w:tr>
    </w:tbl>
    <w:p w14:paraId="5A455BC3" w14:textId="444D2C82" w:rsidR="00635236" w:rsidRPr="00635236" w:rsidRDefault="00BB7CE2" w:rsidP="004D2EE8">
      <w:pPr>
        <w:spacing w:beforeLines="50" w:before="156"/>
        <w:ind w:firstLine="420"/>
      </w:pPr>
      <w:r>
        <w:rPr>
          <w:rFonts w:hint="eastAsia"/>
        </w:rPr>
        <w:t>如</w:t>
      </w:r>
      <w:r>
        <w:fldChar w:fldCharType="begin"/>
      </w:r>
      <w:r>
        <w:instrText xml:space="preserve"> </w:instrText>
      </w:r>
      <w:r>
        <w:rPr>
          <w:rFonts w:hint="eastAsia"/>
        </w:rPr>
        <w:instrText>REF _Ref174347394 \h</w:instrText>
      </w:r>
      <w:r>
        <w:instrText xml:space="preserve"> </w:instrText>
      </w:r>
      <w:r>
        <w:fldChar w:fldCharType="separate"/>
      </w:r>
      <w:r w:rsidR="000F2689">
        <w:rPr>
          <w:rFonts w:hint="eastAsia"/>
        </w:rPr>
        <w:t>表</w:t>
      </w:r>
      <w:r w:rsidR="000F2689">
        <w:rPr>
          <w:rFonts w:hint="eastAsia"/>
        </w:rPr>
        <w:t xml:space="preserve"> </w:t>
      </w:r>
      <w:r w:rsidR="000F2689">
        <w:rPr>
          <w:noProof/>
        </w:rPr>
        <w:t>4</w:t>
      </w:r>
      <w:r>
        <w:fldChar w:fldCharType="end"/>
      </w:r>
      <w:r>
        <w:rPr>
          <w:rFonts w:hint="eastAsia"/>
        </w:rPr>
        <w:t>所示，</w:t>
      </w:r>
      <w:r w:rsidR="00401099" w:rsidRPr="005F1811">
        <w:rPr>
          <w:rFonts w:hint="eastAsia"/>
        </w:rPr>
        <w:t>清洁能源基地</w:t>
      </w:r>
      <w:r w:rsidR="00401099">
        <w:rPr>
          <w:rFonts w:hint="eastAsia"/>
        </w:rPr>
        <w:t>整体上制定了完善的管理制度。</w:t>
      </w:r>
      <w:r w:rsidR="00635236" w:rsidRPr="00A569F5">
        <w:rPr>
          <w:rFonts w:hint="eastAsia"/>
        </w:rPr>
        <w:t>项目开发管理制度</w:t>
      </w:r>
      <w:r w:rsidR="00635236">
        <w:rPr>
          <w:rFonts w:hint="eastAsia"/>
        </w:rPr>
        <w:t>方面，清洁能源基地针对各环节、流程与利益相关方协同建立了系统完善的管理体系。其中，“清洁能源项目数字化管理制度完善”得分最低，体现出清洁能源基地仍需根据项目特征与需求，有针对性地完善数字化管理制度、流程与标准。</w:t>
      </w:r>
      <w:r w:rsidR="00635236" w:rsidRPr="00A569F5">
        <w:rPr>
          <w:rFonts w:hint="eastAsia"/>
        </w:rPr>
        <w:t>组织发展管理制度</w:t>
      </w:r>
      <w:r w:rsidR="00635236">
        <w:rPr>
          <w:rFonts w:hint="eastAsia"/>
        </w:rPr>
        <w:t>方面，当前制度体系能够较好地推进项目技术与管理人员能力的不断发展，持续提升清洁能源基地开发与管理的效率。</w:t>
      </w:r>
      <w:r w:rsidR="004D2EE8">
        <w:rPr>
          <w:rFonts w:hint="eastAsia"/>
        </w:rPr>
        <w:t>其中，</w:t>
      </w:r>
      <w:r w:rsidR="00635236">
        <w:rPr>
          <w:rFonts w:hint="eastAsia"/>
          <w:color w:val="000000"/>
        </w:rPr>
        <w:t>“清洁能源项目激励机制完善”得分较低，表明尽管调研对象与受访专家对考核评价体系总体认可，但认为仍需进一步完善与其配套的激励机制。</w:t>
      </w:r>
    </w:p>
    <w:p w14:paraId="7161171F" w14:textId="54B26EF8" w:rsidR="001861F8" w:rsidRDefault="00635236" w:rsidP="001861F8">
      <w:pPr>
        <w:pStyle w:val="2"/>
      </w:pPr>
      <w:bookmarkStart w:id="20" w:name="_Toc198492792"/>
      <w:r>
        <w:rPr>
          <w:rFonts w:hint="eastAsia"/>
        </w:rPr>
        <w:t>清洁能源基地资源配置</w:t>
      </w:r>
      <w:bookmarkEnd w:id="20"/>
    </w:p>
    <w:p w14:paraId="694A1702" w14:textId="50CABCE2" w:rsidR="003D4BEB" w:rsidRPr="00BB7CE2" w:rsidRDefault="00635236" w:rsidP="003D4BEB">
      <w:pPr>
        <w:ind w:firstLine="420"/>
      </w:pPr>
      <w:r w:rsidRPr="005F1811">
        <w:rPr>
          <w:rFonts w:hint="eastAsia"/>
        </w:rPr>
        <w:t>清洁能源基地</w:t>
      </w:r>
      <w:r>
        <w:rPr>
          <w:rFonts w:hint="eastAsia"/>
        </w:rPr>
        <w:t>资源配置</w:t>
      </w:r>
      <w:r w:rsidR="003D4BEB">
        <w:rPr>
          <w:rFonts w:hint="eastAsia"/>
        </w:rPr>
        <w:t>情况</w:t>
      </w:r>
      <w:r w:rsidR="003D4BEB" w:rsidRPr="00C35659">
        <w:rPr>
          <w:rFonts w:hint="eastAsia"/>
        </w:rPr>
        <w:t>如</w:t>
      </w:r>
      <w:r w:rsidR="003D4BEB">
        <w:fldChar w:fldCharType="begin"/>
      </w:r>
      <w:r w:rsidR="003D4BEB">
        <w:instrText xml:space="preserve"> REF _Ref174347553 \h </w:instrText>
      </w:r>
      <w:r w:rsidR="003D4BEB">
        <w:fldChar w:fldCharType="separate"/>
      </w:r>
      <w:r w:rsidR="000F2689">
        <w:rPr>
          <w:rFonts w:hint="eastAsia"/>
        </w:rPr>
        <w:t>表</w:t>
      </w:r>
      <w:r w:rsidR="000F2689">
        <w:rPr>
          <w:rFonts w:hint="eastAsia"/>
        </w:rPr>
        <w:t xml:space="preserve"> </w:t>
      </w:r>
      <w:r w:rsidR="000F2689">
        <w:rPr>
          <w:noProof/>
        </w:rPr>
        <w:t>5</w:t>
      </w:r>
      <w:r w:rsidR="003D4BEB">
        <w:fldChar w:fldCharType="end"/>
      </w:r>
      <w:r w:rsidR="003D4BEB" w:rsidRPr="00C35659">
        <w:rPr>
          <w:rFonts w:hint="eastAsia"/>
        </w:rPr>
        <w:t>所示</w:t>
      </w:r>
      <w:r w:rsidR="003D4BEB">
        <w:rPr>
          <w:rFonts w:hint="eastAsia"/>
        </w:rPr>
        <w:t>，其中</w:t>
      </w:r>
      <w:r w:rsidRPr="00541135">
        <w:rPr>
          <w:rFonts w:hint="eastAsia"/>
        </w:rPr>
        <w:t>，</w:t>
      </w:r>
      <w:r w:rsidRPr="00541135">
        <w:rPr>
          <w:rFonts w:hint="eastAsia"/>
        </w:rPr>
        <w:t>1</w:t>
      </w:r>
      <w:r w:rsidRPr="00541135">
        <w:rPr>
          <w:rFonts w:hint="eastAsia"/>
        </w:rPr>
        <w:t>分表示</w:t>
      </w:r>
      <w:r>
        <w:rPr>
          <w:rFonts w:hint="eastAsia"/>
        </w:rPr>
        <w:t>很</w:t>
      </w:r>
      <w:r w:rsidRPr="00541135">
        <w:rPr>
          <w:rFonts w:hint="eastAsia"/>
        </w:rPr>
        <w:t>不符合，</w:t>
      </w:r>
      <w:r w:rsidRPr="00541135">
        <w:rPr>
          <w:rFonts w:hint="eastAsia"/>
        </w:rPr>
        <w:t>5</w:t>
      </w:r>
      <w:r w:rsidRPr="00541135">
        <w:rPr>
          <w:rFonts w:hint="eastAsia"/>
        </w:rPr>
        <w:t>分表示</w:t>
      </w:r>
      <w:r>
        <w:rPr>
          <w:rFonts w:hint="eastAsia"/>
        </w:rPr>
        <w:t>非常</w:t>
      </w:r>
      <w:r w:rsidRPr="00541135">
        <w:rPr>
          <w:rFonts w:hint="eastAsia"/>
        </w:rPr>
        <w:t>符合</w:t>
      </w:r>
      <w:r w:rsidR="003D4BEB">
        <w:rPr>
          <w:rFonts w:hint="eastAsia"/>
          <w:szCs w:val="21"/>
        </w:rPr>
        <w:t>。</w:t>
      </w:r>
    </w:p>
    <w:p w14:paraId="5847186E" w14:textId="66D3B75A" w:rsidR="00304090" w:rsidRDefault="00304090" w:rsidP="00EB718D">
      <w:pPr>
        <w:pStyle w:val="afa"/>
        <w:keepNext/>
        <w:spacing w:beforeLines="50" w:before="156"/>
      </w:pPr>
      <w:bookmarkStart w:id="21" w:name="_Ref174347553"/>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0F2689">
        <w:rPr>
          <w:noProof/>
        </w:rPr>
        <w:t>5</w:t>
      </w:r>
      <w:r>
        <w:fldChar w:fldCharType="end"/>
      </w:r>
      <w:bookmarkEnd w:id="21"/>
      <w:r>
        <w:rPr>
          <w:rFonts w:hint="eastAsia"/>
        </w:rPr>
        <w:t xml:space="preserve"> </w:t>
      </w:r>
      <w:r w:rsidR="00635236" w:rsidRPr="005F1811">
        <w:rPr>
          <w:rFonts w:hint="eastAsia"/>
        </w:rPr>
        <w:t>清洁能源基地</w:t>
      </w:r>
      <w:r w:rsidR="00635236">
        <w:rPr>
          <w:rFonts w:hint="eastAsia"/>
        </w:rPr>
        <w:t>资源配置</w:t>
      </w:r>
      <w:r w:rsidR="000F2689">
        <w:rPr>
          <w:rFonts w:hint="eastAsia"/>
        </w:rPr>
        <w:t>评价</w:t>
      </w:r>
    </w:p>
    <w:tbl>
      <w:tblPr>
        <w:tblStyle w:val="22"/>
        <w:tblW w:w="5000" w:type="pct"/>
        <w:tblLook w:val="0660" w:firstRow="1" w:lastRow="1" w:firstColumn="0" w:lastColumn="0" w:noHBand="1" w:noVBand="1"/>
      </w:tblPr>
      <w:tblGrid>
        <w:gridCol w:w="3119"/>
        <w:gridCol w:w="850"/>
        <w:gridCol w:w="665"/>
      </w:tblGrid>
      <w:tr w:rsidR="00F179A0" w:rsidRPr="00FE59CF" w14:paraId="2DDB7EAA" w14:textId="77777777" w:rsidTr="00635236">
        <w:trPr>
          <w:cnfStyle w:val="100000000000" w:firstRow="1" w:lastRow="0" w:firstColumn="0" w:lastColumn="0" w:oddVBand="0" w:evenVBand="0" w:oddHBand="0" w:evenHBand="0" w:firstRowFirstColumn="0" w:firstRowLastColumn="0" w:lastRowFirstColumn="0" w:lastRowLastColumn="0"/>
          <w:trHeight w:val="283"/>
        </w:trPr>
        <w:tc>
          <w:tcPr>
            <w:tcW w:w="3365" w:type="pct"/>
            <w:vAlign w:val="center"/>
            <w:hideMark/>
          </w:tcPr>
          <w:p w14:paraId="7B46A2B6" w14:textId="77777777" w:rsidR="00F179A0" w:rsidRPr="00FE59CF" w:rsidRDefault="00F179A0" w:rsidP="00D840F1">
            <w:pPr>
              <w:pStyle w:val="af0"/>
              <w:spacing w:line="240" w:lineRule="atLeast"/>
              <w:jc w:val="center"/>
              <w:rPr>
                <w:rFonts w:ascii="Times New Roman" w:eastAsia="宋体" w:hAnsi="Times New Roman"/>
                <w:bCs w:val="0"/>
                <w:sz w:val="21"/>
                <w:szCs w:val="21"/>
              </w:rPr>
            </w:pPr>
            <w:r w:rsidRPr="00FE59CF">
              <w:rPr>
                <w:rFonts w:ascii="Times New Roman" w:eastAsia="宋体" w:hAnsi="Times New Roman" w:hint="eastAsia"/>
                <w:bCs w:val="0"/>
                <w:sz w:val="21"/>
                <w:szCs w:val="21"/>
              </w:rPr>
              <w:t>指标</w:t>
            </w:r>
          </w:p>
        </w:tc>
        <w:tc>
          <w:tcPr>
            <w:tcW w:w="917" w:type="pct"/>
            <w:vAlign w:val="center"/>
            <w:hideMark/>
          </w:tcPr>
          <w:p w14:paraId="5FDD28DC" w14:textId="77777777" w:rsidR="00F179A0" w:rsidRPr="00FE59CF" w:rsidRDefault="00F179A0" w:rsidP="00D840F1">
            <w:pPr>
              <w:pStyle w:val="af0"/>
              <w:spacing w:line="240" w:lineRule="atLeast"/>
              <w:jc w:val="center"/>
              <w:rPr>
                <w:rFonts w:ascii="Times New Roman" w:eastAsia="宋体" w:hAnsi="Times New Roman"/>
                <w:bCs w:val="0"/>
                <w:sz w:val="21"/>
                <w:szCs w:val="21"/>
              </w:rPr>
            </w:pPr>
            <w:r w:rsidRPr="00FE59CF">
              <w:rPr>
                <w:rFonts w:ascii="Times New Roman" w:eastAsia="宋体" w:hAnsi="Times New Roman"/>
                <w:bCs w:val="0"/>
                <w:sz w:val="21"/>
                <w:szCs w:val="21"/>
              </w:rPr>
              <w:t>得分</w:t>
            </w:r>
          </w:p>
        </w:tc>
        <w:tc>
          <w:tcPr>
            <w:tcW w:w="718" w:type="pct"/>
            <w:vAlign w:val="center"/>
            <w:hideMark/>
          </w:tcPr>
          <w:p w14:paraId="42756CCB" w14:textId="77777777" w:rsidR="00F179A0" w:rsidRPr="00FE59CF" w:rsidRDefault="00F179A0" w:rsidP="00D840F1">
            <w:pPr>
              <w:pStyle w:val="af0"/>
              <w:spacing w:line="240" w:lineRule="atLeast"/>
              <w:jc w:val="center"/>
              <w:rPr>
                <w:rFonts w:ascii="Times New Roman" w:eastAsia="宋体" w:hAnsi="Times New Roman"/>
                <w:bCs w:val="0"/>
                <w:sz w:val="21"/>
                <w:szCs w:val="21"/>
              </w:rPr>
            </w:pPr>
            <w:r w:rsidRPr="00FE59CF">
              <w:rPr>
                <w:rFonts w:ascii="Times New Roman" w:eastAsia="宋体" w:hAnsi="Times New Roman"/>
                <w:bCs w:val="0"/>
                <w:sz w:val="21"/>
                <w:szCs w:val="21"/>
              </w:rPr>
              <w:t>排序</w:t>
            </w:r>
          </w:p>
        </w:tc>
      </w:tr>
      <w:tr w:rsidR="00635236" w:rsidRPr="00FE59CF" w14:paraId="6CEBA4C4" w14:textId="77777777" w:rsidTr="00635236">
        <w:trPr>
          <w:trHeight w:val="283"/>
        </w:trPr>
        <w:tc>
          <w:tcPr>
            <w:tcW w:w="3365" w:type="pct"/>
            <w:vAlign w:val="center"/>
          </w:tcPr>
          <w:p w14:paraId="58970E35" w14:textId="14416CB6" w:rsidR="00635236" w:rsidRPr="00FE59CF" w:rsidRDefault="00635236" w:rsidP="00635236">
            <w:pPr>
              <w:pStyle w:val="af0"/>
              <w:spacing w:line="240" w:lineRule="atLeast"/>
              <w:jc w:val="center"/>
              <w:rPr>
                <w:rFonts w:ascii="Times New Roman" w:eastAsia="宋体" w:hAnsi="Times New Roman"/>
                <w:bCs/>
                <w:sz w:val="21"/>
                <w:szCs w:val="21"/>
              </w:rPr>
            </w:pPr>
            <w:r w:rsidRPr="00FE59CF">
              <w:rPr>
                <w:rFonts w:ascii="Times" w:hAnsi="Times" w:hint="eastAsia"/>
                <w:b/>
                <w:bCs/>
                <w:sz w:val="21"/>
                <w:szCs w:val="21"/>
              </w:rPr>
              <w:t>资源及时供应</w:t>
            </w:r>
          </w:p>
        </w:tc>
        <w:tc>
          <w:tcPr>
            <w:tcW w:w="917" w:type="pct"/>
            <w:vAlign w:val="center"/>
          </w:tcPr>
          <w:p w14:paraId="3608E7EA" w14:textId="71873B09" w:rsidR="00635236" w:rsidRPr="00FE59CF" w:rsidRDefault="00635236" w:rsidP="00635236">
            <w:pPr>
              <w:pStyle w:val="af0"/>
              <w:spacing w:line="240" w:lineRule="atLeast"/>
              <w:jc w:val="center"/>
              <w:rPr>
                <w:rFonts w:ascii="Times New Roman" w:eastAsia="宋体" w:hAnsi="Times New Roman"/>
                <w:bCs/>
                <w:sz w:val="21"/>
                <w:szCs w:val="21"/>
              </w:rPr>
            </w:pPr>
          </w:p>
        </w:tc>
        <w:tc>
          <w:tcPr>
            <w:tcW w:w="718" w:type="pct"/>
            <w:vAlign w:val="center"/>
          </w:tcPr>
          <w:p w14:paraId="0EB5BBA0" w14:textId="10F0660A" w:rsidR="00635236" w:rsidRPr="00FE59CF" w:rsidRDefault="00635236" w:rsidP="00635236">
            <w:pPr>
              <w:pStyle w:val="af0"/>
              <w:spacing w:line="240" w:lineRule="atLeast"/>
              <w:jc w:val="center"/>
              <w:rPr>
                <w:rFonts w:ascii="Times New Roman" w:eastAsia="宋体" w:hAnsi="Times New Roman"/>
                <w:bCs/>
                <w:sz w:val="21"/>
                <w:szCs w:val="21"/>
              </w:rPr>
            </w:pPr>
          </w:p>
        </w:tc>
      </w:tr>
      <w:tr w:rsidR="00635236" w:rsidRPr="00FE59CF" w14:paraId="69B33B89" w14:textId="77777777" w:rsidTr="00635236">
        <w:trPr>
          <w:trHeight w:val="283"/>
        </w:trPr>
        <w:tc>
          <w:tcPr>
            <w:tcW w:w="3365" w:type="pct"/>
            <w:vAlign w:val="center"/>
          </w:tcPr>
          <w:p w14:paraId="271CE386" w14:textId="4EC7C9FE" w:rsidR="00635236" w:rsidRPr="00FE59CF" w:rsidRDefault="00635236" w:rsidP="00635236">
            <w:pPr>
              <w:pStyle w:val="af0"/>
              <w:spacing w:line="240" w:lineRule="atLeast"/>
              <w:rPr>
                <w:rFonts w:ascii="Times New Roman" w:eastAsia="宋体" w:hAnsi="Times New Roman"/>
                <w:bCs/>
                <w:sz w:val="21"/>
                <w:szCs w:val="21"/>
              </w:rPr>
            </w:pPr>
            <w:r w:rsidRPr="00FE59CF">
              <w:rPr>
                <w:rFonts w:hint="eastAsia"/>
                <w:color w:val="000000"/>
                <w:sz w:val="21"/>
                <w:szCs w:val="21"/>
              </w:rPr>
              <w:t>资金投入充分</w:t>
            </w:r>
          </w:p>
        </w:tc>
        <w:tc>
          <w:tcPr>
            <w:tcW w:w="917" w:type="pct"/>
            <w:vAlign w:val="center"/>
          </w:tcPr>
          <w:p w14:paraId="1A5149F3" w14:textId="68ED0155" w:rsidR="00635236" w:rsidRPr="00FE59CF" w:rsidRDefault="00635236" w:rsidP="00635236">
            <w:pPr>
              <w:pStyle w:val="af0"/>
              <w:spacing w:line="240" w:lineRule="atLeast"/>
              <w:jc w:val="center"/>
              <w:rPr>
                <w:rFonts w:ascii="Times New Roman" w:eastAsia="宋体" w:hAnsi="Times New Roman" w:cs="Times New Roman"/>
                <w:bCs/>
                <w:sz w:val="21"/>
                <w:szCs w:val="21"/>
              </w:rPr>
            </w:pPr>
            <w:r w:rsidRPr="00FE59CF">
              <w:rPr>
                <w:rFonts w:ascii="Times New Roman" w:hAnsi="Times New Roman" w:cs="Times New Roman"/>
                <w:color w:val="000000"/>
                <w:sz w:val="21"/>
                <w:szCs w:val="21"/>
              </w:rPr>
              <w:t>4.355</w:t>
            </w:r>
          </w:p>
        </w:tc>
        <w:tc>
          <w:tcPr>
            <w:tcW w:w="718" w:type="pct"/>
            <w:vAlign w:val="center"/>
          </w:tcPr>
          <w:p w14:paraId="3B8EA095" w14:textId="0402C86B" w:rsidR="00635236" w:rsidRPr="00FE59CF" w:rsidRDefault="00635236" w:rsidP="00635236">
            <w:pPr>
              <w:pStyle w:val="af0"/>
              <w:spacing w:line="240" w:lineRule="atLeast"/>
              <w:jc w:val="center"/>
              <w:rPr>
                <w:rFonts w:ascii="Times New Roman" w:eastAsia="宋体" w:hAnsi="Times New Roman" w:cs="Times New Roman"/>
                <w:bCs/>
                <w:sz w:val="21"/>
                <w:szCs w:val="21"/>
              </w:rPr>
            </w:pPr>
            <w:r w:rsidRPr="00FE59CF">
              <w:rPr>
                <w:rFonts w:ascii="Times New Roman" w:hAnsi="Times New Roman" w:cs="Times New Roman"/>
                <w:color w:val="000000"/>
                <w:sz w:val="21"/>
                <w:szCs w:val="21"/>
              </w:rPr>
              <w:t>1</w:t>
            </w:r>
          </w:p>
        </w:tc>
      </w:tr>
      <w:tr w:rsidR="00635236" w:rsidRPr="00FE59CF" w14:paraId="2C86C965" w14:textId="77777777" w:rsidTr="00635236">
        <w:trPr>
          <w:trHeight w:val="283"/>
        </w:trPr>
        <w:tc>
          <w:tcPr>
            <w:tcW w:w="3365" w:type="pct"/>
            <w:vAlign w:val="center"/>
          </w:tcPr>
          <w:p w14:paraId="1BFFD495" w14:textId="619CF21C" w:rsidR="00635236" w:rsidRPr="00FE59CF" w:rsidRDefault="00635236" w:rsidP="00635236">
            <w:pPr>
              <w:pStyle w:val="af0"/>
              <w:spacing w:line="240" w:lineRule="atLeast"/>
              <w:rPr>
                <w:rFonts w:ascii="Times New Roman" w:eastAsia="宋体" w:hAnsi="Times New Roman"/>
                <w:bCs/>
                <w:sz w:val="21"/>
                <w:szCs w:val="21"/>
              </w:rPr>
            </w:pPr>
            <w:r w:rsidRPr="00FE59CF">
              <w:rPr>
                <w:rFonts w:hint="eastAsia"/>
                <w:color w:val="000000"/>
                <w:sz w:val="21"/>
                <w:szCs w:val="21"/>
              </w:rPr>
              <w:t>施工设备投入充足</w:t>
            </w:r>
          </w:p>
        </w:tc>
        <w:tc>
          <w:tcPr>
            <w:tcW w:w="917" w:type="pct"/>
            <w:vAlign w:val="center"/>
          </w:tcPr>
          <w:p w14:paraId="408B1B7D" w14:textId="6758FEBB" w:rsidR="00635236" w:rsidRPr="00FE59CF" w:rsidRDefault="00635236" w:rsidP="00635236">
            <w:pPr>
              <w:pStyle w:val="af0"/>
              <w:spacing w:line="240" w:lineRule="atLeast"/>
              <w:jc w:val="center"/>
              <w:rPr>
                <w:rFonts w:ascii="Times New Roman" w:eastAsia="宋体" w:hAnsi="Times New Roman" w:cs="Times New Roman"/>
                <w:bCs/>
                <w:sz w:val="21"/>
                <w:szCs w:val="21"/>
              </w:rPr>
            </w:pPr>
            <w:r w:rsidRPr="00FE59CF">
              <w:rPr>
                <w:rFonts w:ascii="Times New Roman" w:hAnsi="Times New Roman" w:cs="Times New Roman"/>
                <w:color w:val="000000"/>
                <w:sz w:val="21"/>
                <w:szCs w:val="21"/>
              </w:rPr>
              <w:t>4.287</w:t>
            </w:r>
          </w:p>
        </w:tc>
        <w:tc>
          <w:tcPr>
            <w:tcW w:w="718" w:type="pct"/>
            <w:vAlign w:val="center"/>
          </w:tcPr>
          <w:p w14:paraId="33AA6F90" w14:textId="79CF59B4" w:rsidR="00635236" w:rsidRPr="00FE59CF" w:rsidRDefault="00635236" w:rsidP="00635236">
            <w:pPr>
              <w:pStyle w:val="af0"/>
              <w:spacing w:line="240" w:lineRule="atLeast"/>
              <w:jc w:val="center"/>
              <w:rPr>
                <w:rFonts w:ascii="Times New Roman" w:eastAsia="宋体" w:hAnsi="Times New Roman" w:cs="Times New Roman"/>
                <w:bCs/>
                <w:sz w:val="21"/>
                <w:szCs w:val="21"/>
              </w:rPr>
            </w:pPr>
            <w:r w:rsidRPr="00FE59CF">
              <w:rPr>
                <w:rFonts w:ascii="Times New Roman" w:hAnsi="Times New Roman" w:cs="Times New Roman"/>
                <w:color w:val="000000"/>
                <w:sz w:val="21"/>
                <w:szCs w:val="21"/>
              </w:rPr>
              <w:t>4</w:t>
            </w:r>
          </w:p>
        </w:tc>
      </w:tr>
      <w:tr w:rsidR="00635236" w:rsidRPr="00FE59CF" w14:paraId="760CA270" w14:textId="77777777" w:rsidTr="00635236">
        <w:trPr>
          <w:trHeight w:val="283"/>
        </w:trPr>
        <w:tc>
          <w:tcPr>
            <w:tcW w:w="3365" w:type="pct"/>
            <w:vAlign w:val="center"/>
          </w:tcPr>
          <w:p w14:paraId="3E0BF2F6" w14:textId="5D00F808" w:rsidR="00635236" w:rsidRPr="00FE59CF" w:rsidRDefault="00635236" w:rsidP="00635236">
            <w:pPr>
              <w:pStyle w:val="af0"/>
              <w:spacing w:line="240" w:lineRule="atLeast"/>
              <w:rPr>
                <w:rFonts w:ascii="Times New Roman" w:eastAsia="宋体" w:hAnsi="Times New Roman"/>
                <w:bCs/>
                <w:sz w:val="21"/>
                <w:szCs w:val="21"/>
              </w:rPr>
            </w:pPr>
            <w:r w:rsidRPr="00FE59CF">
              <w:rPr>
                <w:rFonts w:hint="eastAsia"/>
                <w:color w:val="000000"/>
                <w:sz w:val="21"/>
                <w:szCs w:val="21"/>
              </w:rPr>
              <w:t>资源能够精准敏捷调度</w:t>
            </w:r>
          </w:p>
        </w:tc>
        <w:tc>
          <w:tcPr>
            <w:tcW w:w="917" w:type="pct"/>
            <w:vAlign w:val="center"/>
          </w:tcPr>
          <w:p w14:paraId="6B748F85" w14:textId="5C313881" w:rsidR="00635236" w:rsidRPr="00FE59CF" w:rsidRDefault="00635236" w:rsidP="00635236">
            <w:pPr>
              <w:pStyle w:val="af0"/>
              <w:spacing w:line="240" w:lineRule="atLeast"/>
              <w:jc w:val="center"/>
              <w:rPr>
                <w:rFonts w:ascii="Times New Roman" w:eastAsia="宋体" w:hAnsi="Times New Roman" w:cs="Times New Roman"/>
                <w:bCs/>
                <w:sz w:val="21"/>
                <w:szCs w:val="21"/>
              </w:rPr>
            </w:pPr>
            <w:r w:rsidRPr="00FE59CF">
              <w:rPr>
                <w:rFonts w:ascii="Times New Roman" w:hAnsi="Times New Roman" w:cs="Times New Roman"/>
                <w:color w:val="000000"/>
                <w:sz w:val="21"/>
                <w:szCs w:val="21"/>
              </w:rPr>
              <w:t>4.280</w:t>
            </w:r>
          </w:p>
        </w:tc>
        <w:tc>
          <w:tcPr>
            <w:tcW w:w="718" w:type="pct"/>
            <w:vAlign w:val="center"/>
          </w:tcPr>
          <w:p w14:paraId="71B2DE72" w14:textId="22B14E5F" w:rsidR="00635236" w:rsidRPr="00FE59CF" w:rsidRDefault="00635236" w:rsidP="00635236">
            <w:pPr>
              <w:pStyle w:val="af0"/>
              <w:spacing w:line="240" w:lineRule="atLeast"/>
              <w:jc w:val="center"/>
              <w:rPr>
                <w:rFonts w:ascii="Times New Roman" w:eastAsia="宋体" w:hAnsi="Times New Roman" w:cs="Times New Roman"/>
                <w:bCs/>
                <w:sz w:val="21"/>
                <w:szCs w:val="21"/>
              </w:rPr>
            </w:pPr>
            <w:r w:rsidRPr="00FE59CF">
              <w:rPr>
                <w:rFonts w:ascii="Times New Roman" w:hAnsi="Times New Roman" w:cs="Times New Roman"/>
                <w:color w:val="000000"/>
                <w:sz w:val="21"/>
                <w:szCs w:val="21"/>
              </w:rPr>
              <w:t>7</w:t>
            </w:r>
          </w:p>
        </w:tc>
      </w:tr>
      <w:tr w:rsidR="00635236" w:rsidRPr="00FE59CF" w14:paraId="031FAA66" w14:textId="77777777" w:rsidTr="00635236">
        <w:trPr>
          <w:trHeight w:val="283"/>
        </w:trPr>
        <w:tc>
          <w:tcPr>
            <w:tcW w:w="3365" w:type="pct"/>
            <w:vAlign w:val="center"/>
          </w:tcPr>
          <w:p w14:paraId="416426A7" w14:textId="09383F46" w:rsidR="00635236" w:rsidRPr="00FE59CF" w:rsidRDefault="00635236" w:rsidP="00635236">
            <w:pPr>
              <w:pStyle w:val="af0"/>
              <w:spacing w:line="240" w:lineRule="atLeast"/>
              <w:rPr>
                <w:rFonts w:ascii="Times New Roman" w:eastAsia="宋体" w:hAnsi="Times New Roman"/>
                <w:bCs/>
                <w:sz w:val="21"/>
                <w:szCs w:val="21"/>
              </w:rPr>
            </w:pPr>
            <w:r w:rsidRPr="00FE59CF">
              <w:rPr>
                <w:rFonts w:hint="eastAsia"/>
                <w:color w:val="000000"/>
                <w:sz w:val="21"/>
                <w:szCs w:val="21"/>
              </w:rPr>
              <w:t>信息化设备投入充足</w:t>
            </w:r>
          </w:p>
        </w:tc>
        <w:tc>
          <w:tcPr>
            <w:tcW w:w="917" w:type="pct"/>
            <w:vAlign w:val="center"/>
          </w:tcPr>
          <w:p w14:paraId="3A2BA54B" w14:textId="67518E45" w:rsidR="00635236" w:rsidRPr="00FE59CF" w:rsidRDefault="00635236" w:rsidP="00635236">
            <w:pPr>
              <w:pStyle w:val="af0"/>
              <w:spacing w:line="240" w:lineRule="atLeast"/>
              <w:jc w:val="center"/>
              <w:rPr>
                <w:rFonts w:ascii="Times New Roman" w:eastAsia="宋体" w:hAnsi="Times New Roman" w:cs="Times New Roman"/>
                <w:bCs/>
                <w:sz w:val="21"/>
                <w:szCs w:val="21"/>
              </w:rPr>
            </w:pPr>
            <w:r w:rsidRPr="00FE59CF">
              <w:rPr>
                <w:rFonts w:ascii="Times New Roman" w:hAnsi="Times New Roman" w:cs="Times New Roman"/>
                <w:color w:val="000000"/>
                <w:sz w:val="21"/>
                <w:szCs w:val="21"/>
              </w:rPr>
              <w:t>4.270</w:t>
            </w:r>
          </w:p>
        </w:tc>
        <w:tc>
          <w:tcPr>
            <w:tcW w:w="718" w:type="pct"/>
            <w:vAlign w:val="center"/>
          </w:tcPr>
          <w:p w14:paraId="3770F2CE" w14:textId="07184F48" w:rsidR="00635236" w:rsidRPr="00FE59CF" w:rsidRDefault="00635236" w:rsidP="00635236">
            <w:pPr>
              <w:pStyle w:val="af0"/>
              <w:spacing w:line="240" w:lineRule="atLeast"/>
              <w:jc w:val="center"/>
              <w:rPr>
                <w:rFonts w:ascii="Times New Roman" w:eastAsia="宋体" w:hAnsi="Times New Roman" w:cs="Times New Roman"/>
                <w:bCs/>
                <w:sz w:val="21"/>
                <w:szCs w:val="21"/>
              </w:rPr>
            </w:pPr>
            <w:r w:rsidRPr="00FE59CF">
              <w:rPr>
                <w:rFonts w:ascii="Times New Roman" w:hAnsi="Times New Roman" w:cs="Times New Roman"/>
                <w:color w:val="000000"/>
                <w:sz w:val="21"/>
                <w:szCs w:val="21"/>
              </w:rPr>
              <w:t>8</w:t>
            </w:r>
          </w:p>
        </w:tc>
      </w:tr>
      <w:tr w:rsidR="00635236" w:rsidRPr="00FE59CF" w14:paraId="1C69CFA7" w14:textId="77777777" w:rsidTr="00635236">
        <w:trPr>
          <w:trHeight w:val="283"/>
        </w:trPr>
        <w:tc>
          <w:tcPr>
            <w:tcW w:w="3365" w:type="pct"/>
            <w:vAlign w:val="center"/>
          </w:tcPr>
          <w:p w14:paraId="6C24D145" w14:textId="4DE01747" w:rsidR="00635236" w:rsidRPr="00FE59CF" w:rsidRDefault="00635236" w:rsidP="00635236">
            <w:pPr>
              <w:pStyle w:val="af0"/>
              <w:spacing w:line="240" w:lineRule="atLeast"/>
              <w:rPr>
                <w:rFonts w:ascii="Times New Roman" w:eastAsia="宋体" w:hAnsi="Times New Roman"/>
                <w:bCs/>
                <w:sz w:val="21"/>
                <w:szCs w:val="21"/>
              </w:rPr>
            </w:pPr>
            <w:r w:rsidRPr="00FE59CF">
              <w:rPr>
                <w:rFonts w:hint="eastAsia"/>
                <w:color w:val="000000"/>
                <w:sz w:val="21"/>
                <w:szCs w:val="21"/>
              </w:rPr>
              <w:t>人力资源投入充足</w:t>
            </w:r>
          </w:p>
        </w:tc>
        <w:tc>
          <w:tcPr>
            <w:tcW w:w="917" w:type="pct"/>
            <w:vAlign w:val="center"/>
          </w:tcPr>
          <w:p w14:paraId="5B7D42FE" w14:textId="3ECBCC00" w:rsidR="00635236" w:rsidRPr="00FE59CF" w:rsidRDefault="00635236" w:rsidP="00635236">
            <w:pPr>
              <w:pStyle w:val="af0"/>
              <w:spacing w:line="240" w:lineRule="atLeast"/>
              <w:jc w:val="center"/>
              <w:rPr>
                <w:rFonts w:ascii="Times New Roman" w:eastAsia="宋体" w:hAnsi="Times New Roman" w:cs="Times New Roman"/>
                <w:bCs/>
                <w:sz w:val="21"/>
                <w:szCs w:val="21"/>
              </w:rPr>
            </w:pPr>
            <w:r w:rsidRPr="00FE59CF">
              <w:rPr>
                <w:rFonts w:ascii="Times New Roman" w:hAnsi="Times New Roman" w:cs="Times New Roman"/>
                <w:color w:val="000000"/>
                <w:sz w:val="21"/>
                <w:szCs w:val="21"/>
              </w:rPr>
              <w:t>4.246</w:t>
            </w:r>
          </w:p>
        </w:tc>
        <w:tc>
          <w:tcPr>
            <w:tcW w:w="718" w:type="pct"/>
            <w:vAlign w:val="center"/>
          </w:tcPr>
          <w:p w14:paraId="6F7FFF16" w14:textId="4AA63C8C" w:rsidR="00635236" w:rsidRPr="00FE59CF" w:rsidRDefault="00635236" w:rsidP="00635236">
            <w:pPr>
              <w:pStyle w:val="af0"/>
              <w:spacing w:line="240" w:lineRule="atLeast"/>
              <w:jc w:val="center"/>
              <w:rPr>
                <w:rFonts w:ascii="Times New Roman" w:eastAsia="宋体" w:hAnsi="Times New Roman" w:cs="Times New Roman"/>
                <w:bCs/>
                <w:sz w:val="21"/>
                <w:szCs w:val="21"/>
              </w:rPr>
            </w:pPr>
            <w:r w:rsidRPr="00FE59CF">
              <w:rPr>
                <w:rFonts w:ascii="Times New Roman" w:hAnsi="Times New Roman" w:cs="Times New Roman"/>
                <w:color w:val="000000"/>
                <w:sz w:val="21"/>
                <w:szCs w:val="21"/>
              </w:rPr>
              <w:t>9</w:t>
            </w:r>
          </w:p>
        </w:tc>
      </w:tr>
      <w:tr w:rsidR="00635236" w:rsidRPr="00FE59CF" w14:paraId="4B4797C7" w14:textId="77777777" w:rsidTr="002D1967">
        <w:trPr>
          <w:trHeight w:val="283"/>
        </w:trPr>
        <w:tc>
          <w:tcPr>
            <w:tcW w:w="3365" w:type="pct"/>
            <w:vAlign w:val="bottom"/>
          </w:tcPr>
          <w:p w14:paraId="11CC8D47" w14:textId="072A6880" w:rsidR="00635236" w:rsidRPr="00FE59CF" w:rsidRDefault="00635236" w:rsidP="00635236">
            <w:pPr>
              <w:pStyle w:val="af0"/>
              <w:spacing w:line="240" w:lineRule="atLeast"/>
              <w:jc w:val="center"/>
              <w:rPr>
                <w:rFonts w:ascii="Times New Roman" w:eastAsia="宋体" w:hAnsi="Times New Roman"/>
                <w:bCs/>
                <w:sz w:val="21"/>
                <w:szCs w:val="21"/>
              </w:rPr>
            </w:pPr>
            <w:r w:rsidRPr="00FE59CF">
              <w:rPr>
                <w:rFonts w:hint="eastAsia"/>
                <w:b/>
                <w:bCs/>
                <w:color w:val="000000"/>
                <w:sz w:val="21"/>
                <w:szCs w:val="21"/>
              </w:rPr>
              <w:t>内外部资源共享</w:t>
            </w:r>
          </w:p>
        </w:tc>
        <w:tc>
          <w:tcPr>
            <w:tcW w:w="917" w:type="pct"/>
            <w:vAlign w:val="bottom"/>
          </w:tcPr>
          <w:p w14:paraId="6F54A0E6" w14:textId="77777777" w:rsidR="00635236" w:rsidRPr="00FE59CF" w:rsidRDefault="00635236" w:rsidP="00635236">
            <w:pPr>
              <w:pStyle w:val="af0"/>
              <w:spacing w:line="240" w:lineRule="atLeast"/>
              <w:jc w:val="center"/>
              <w:rPr>
                <w:rFonts w:ascii="Times New Roman" w:eastAsia="宋体" w:hAnsi="Times New Roman" w:cs="Times New Roman"/>
                <w:bCs/>
                <w:sz w:val="21"/>
                <w:szCs w:val="21"/>
              </w:rPr>
            </w:pPr>
          </w:p>
        </w:tc>
        <w:tc>
          <w:tcPr>
            <w:tcW w:w="718" w:type="pct"/>
            <w:vAlign w:val="bottom"/>
          </w:tcPr>
          <w:p w14:paraId="1CAD9C08" w14:textId="77777777" w:rsidR="00635236" w:rsidRPr="00FE59CF" w:rsidRDefault="00635236" w:rsidP="00635236">
            <w:pPr>
              <w:pStyle w:val="af0"/>
              <w:spacing w:line="240" w:lineRule="atLeast"/>
              <w:jc w:val="center"/>
              <w:rPr>
                <w:rFonts w:ascii="Times New Roman" w:eastAsia="宋体" w:hAnsi="Times New Roman" w:cs="Times New Roman"/>
                <w:bCs/>
                <w:sz w:val="21"/>
                <w:szCs w:val="21"/>
              </w:rPr>
            </w:pPr>
          </w:p>
        </w:tc>
      </w:tr>
      <w:tr w:rsidR="00635236" w:rsidRPr="00FE59CF" w14:paraId="12D7A02E" w14:textId="77777777" w:rsidTr="00635236">
        <w:trPr>
          <w:trHeight w:val="283"/>
        </w:trPr>
        <w:tc>
          <w:tcPr>
            <w:tcW w:w="3365" w:type="pct"/>
            <w:vAlign w:val="center"/>
          </w:tcPr>
          <w:p w14:paraId="6733C6FC" w14:textId="28E9D723" w:rsidR="00635236" w:rsidRPr="00FE59CF" w:rsidRDefault="00635236" w:rsidP="00635236">
            <w:pPr>
              <w:pStyle w:val="af0"/>
              <w:spacing w:line="240" w:lineRule="atLeast"/>
              <w:rPr>
                <w:rFonts w:ascii="Times New Roman" w:eastAsia="宋体" w:hAnsi="Times New Roman"/>
                <w:bCs/>
                <w:sz w:val="21"/>
                <w:szCs w:val="21"/>
              </w:rPr>
            </w:pPr>
            <w:r w:rsidRPr="00FE59CF">
              <w:rPr>
                <w:rFonts w:hint="eastAsia"/>
                <w:color w:val="000000"/>
                <w:sz w:val="21"/>
                <w:szCs w:val="21"/>
              </w:rPr>
              <w:t>能够及时获得外部技术支持</w:t>
            </w:r>
          </w:p>
        </w:tc>
        <w:tc>
          <w:tcPr>
            <w:tcW w:w="917" w:type="pct"/>
            <w:vAlign w:val="center"/>
          </w:tcPr>
          <w:p w14:paraId="48659EDE" w14:textId="2B5DFB29" w:rsidR="00635236" w:rsidRPr="00FE59CF" w:rsidRDefault="00635236" w:rsidP="00635236">
            <w:pPr>
              <w:pStyle w:val="af0"/>
              <w:spacing w:line="240" w:lineRule="atLeast"/>
              <w:jc w:val="center"/>
              <w:rPr>
                <w:rFonts w:ascii="Times New Roman" w:eastAsia="宋体" w:hAnsi="Times New Roman" w:cs="Times New Roman"/>
                <w:bCs/>
                <w:sz w:val="21"/>
                <w:szCs w:val="21"/>
              </w:rPr>
            </w:pPr>
            <w:r w:rsidRPr="00FE59CF">
              <w:rPr>
                <w:rFonts w:ascii="Times New Roman" w:hAnsi="Times New Roman" w:cs="Times New Roman"/>
                <w:color w:val="000000"/>
                <w:sz w:val="21"/>
                <w:szCs w:val="21"/>
              </w:rPr>
              <w:t>4.311</w:t>
            </w:r>
          </w:p>
        </w:tc>
        <w:tc>
          <w:tcPr>
            <w:tcW w:w="718" w:type="pct"/>
            <w:vAlign w:val="center"/>
          </w:tcPr>
          <w:p w14:paraId="7D8C8502" w14:textId="666D93F5" w:rsidR="00635236" w:rsidRPr="00FE59CF" w:rsidRDefault="00635236" w:rsidP="00635236">
            <w:pPr>
              <w:pStyle w:val="af0"/>
              <w:spacing w:line="240" w:lineRule="atLeast"/>
              <w:jc w:val="center"/>
              <w:rPr>
                <w:rFonts w:ascii="Times New Roman" w:eastAsia="宋体" w:hAnsi="Times New Roman" w:cs="Times New Roman"/>
                <w:bCs/>
                <w:sz w:val="21"/>
                <w:szCs w:val="21"/>
              </w:rPr>
            </w:pPr>
            <w:r w:rsidRPr="00FE59CF">
              <w:rPr>
                <w:rFonts w:ascii="Times New Roman" w:hAnsi="Times New Roman" w:cs="Times New Roman"/>
                <w:color w:val="000000"/>
                <w:sz w:val="21"/>
                <w:szCs w:val="21"/>
              </w:rPr>
              <w:t>2</w:t>
            </w:r>
          </w:p>
        </w:tc>
      </w:tr>
      <w:tr w:rsidR="00635236" w:rsidRPr="00FE59CF" w14:paraId="28A2DE7F" w14:textId="77777777" w:rsidTr="00635236">
        <w:trPr>
          <w:trHeight w:val="283"/>
        </w:trPr>
        <w:tc>
          <w:tcPr>
            <w:tcW w:w="3365" w:type="pct"/>
            <w:vAlign w:val="center"/>
          </w:tcPr>
          <w:p w14:paraId="3C43F4CF" w14:textId="74C573F1" w:rsidR="00635236" w:rsidRPr="00FE59CF" w:rsidRDefault="00635236" w:rsidP="00635236">
            <w:pPr>
              <w:pStyle w:val="af0"/>
              <w:spacing w:line="240" w:lineRule="atLeast"/>
              <w:rPr>
                <w:rFonts w:ascii="Times New Roman" w:eastAsia="宋体" w:hAnsi="Times New Roman"/>
                <w:bCs/>
                <w:sz w:val="21"/>
                <w:szCs w:val="21"/>
              </w:rPr>
            </w:pPr>
            <w:r w:rsidRPr="00FE59CF">
              <w:rPr>
                <w:rFonts w:hint="eastAsia"/>
                <w:color w:val="000000"/>
                <w:sz w:val="21"/>
                <w:szCs w:val="21"/>
              </w:rPr>
              <w:t>项目间经验和知识充分共享</w:t>
            </w:r>
          </w:p>
        </w:tc>
        <w:tc>
          <w:tcPr>
            <w:tcW w:w="917" w:type="pct"/>
            <w:vAlign w:val="center"/>
          </w:tcPr>
          <w:p w14:paraId="16138C1C" w14:textId="4F792198" w:rsidR="00635236" w:rsidRPr="00FE59CF" w:rsidRDefault="00635236" w:rsidP="00635236">
            <w:pPr>
              <w:pStyle w:val="af0"/>
              <w:spacing w:line="240" w:lineRule="atLeast"/>
              <w:jc w:val="center"/>
              <w:rPr>
                <w:rFonts w:ascii="Times New Roman" w:eastAsia="宋体" w:hAnsi="Times New Roman" w:cs="Times New Roman"/>
                <w:bCs/>
                <w:sz w:val="21"/>
                <w:szCs w:val="21"/>
              </w:rPr>
            </w:pPr>
            <w:r w:rsidRPr="00FE59CF">
              <w:rPr>
                <w:rFonts w:ascii="Times New Roman" w:hAnsi="Times New Roman" w:cs="Times New Roman"/>
                <w:color w:val="000000"/>
                <w:sz w:val="21"/>
                <w:szCs w:val="21"/>
              </w:rPr>
              <w:t>4.300</w:t>
            </w:r>
          </w:p>
        </w:tc>
        <w:tc>
          <w:tcPr>
            <w:tcW w:w="718" w:type="pct"/>
            <w:vAlign w:val="center"/>
          </w:tcPr>
          <w:p w14:paraId="06F2B8A9" w14:textId="14D21AB0" w:rsidR="00635236" w:rsidRPr="00FE59CF" w:rsidRDefault="00635236" w:rsidP="00635236">
            <w:pPr>
              <w:pStyle w:val="af0"/>
              <w:spacing w:line="240" w:lineRule="atLeast"/>
              <w:jc w:val="center"/>
              <w:rPr>
                <w:rFonts w:ascii="Times New Roman" w:eastAsia="宋体" w:hAnsi="Times New Roman" w:cs="Times New Roman"/>
                <w:bCs/>
                <w:sz w:val="21"/>
                <w:szCs w:val="21"/>
              </w:rPr>
            </w:pPr>
            <w:r w:rsidRPr="00FE59CF">
              <w:rPr>
                <w:rFonts w:ascii="Times New Roman" w:hAnsi="Times New Roman" w:cs="Times New Roman"/>
                <w:color w:val="000000"/>
                <w:sz w:val="21"/>
                <w:szCs w:val="21"/>
              </w:rPr>
              <w:t>3</w:t>
            </w:r>
          </w:p>
        </w:tc>
      </w:tr>
      <w:tr w:rsidR="00635236" w:rsidRPr="00FE59CF" w14:paraId="4E4125B3" w14:textId="77777777" w:rsidTr="00635236">
        <w:trPr>
          <w:trHeight w:val="283"/>
        </w:trPr>
        <w:tc>
          <w:tcPr>
            <w:tcW w:w="3365" w:type="pct"/>
            <w:vAlign w:val="center"/>
          </w:tcPr>
          <w:p w14:paraId="05A13612" w14:textId="47BCF841" w:rsidR="00635236" w:rsidRPr="00FE59CF" w:rsidRDefault="00635236" w:rsidP="00635236">
            <w:pPr>
              <w:pStyle w:val="af0"/>
              <w:spacing w:line="240" w:lineRule="atLeast"/>
              <w:rPr>
                <w:rFonts w:ascii="Times New Roman" w:eastAsia="宋体" w:hAnsi="Times New Roman"/>
                <w:bCs/>
                <w:sz w:val="21"/>
                <w:szCs w:val="21"/>
              </w:rPr>
            </w:pPr>
            <w:r w:rsidRPr="00FE59CF">
              <w:rPr>
                <w:rFonts w:hint="eastAsia"/>
                <w:color w:val="000000"/>
                <w:sz w:val="21"/>
                <w:szCs w:val="21"/>
              </w:rPr>
              <w:t>规划设计、采购、施工、运营环节间信息资源合理共享</w:t>
            </w:r>
          </w:p>
        </w:tc>
        <w:tc>
          <w:tcPr>
            <w:tcW w:w="917" w:type="pct"/>
            <w:vAlign w:val="center"/>
          </w:tcPr>
          <w:p w14:paraId="14A4001F" w14:textId="750AABEB" w:rsidR="00635236" w:rsidRPr="00FE59CF" w:rsidRDefault="00635236" w:rsidP="00635236">
            <w:pPr>
              <w:pStyle w:val="af0"/>
              <w:spacing w:line="240" w:lineRule="atLeast"/>
              <w:jc w:val="center"/>
              <w:rPr>
                <w:rFonts w:ascii="Times New Roman" w:eastAsia="宋体" w:hAnsi="Times New Roman" w:cs="Times New Roman"/>
                <w:bCs/>
                <w:sz w:val="21"/>
                <w:szCs w:val="21"/>
              </w:rPr>
            </w:pPr>
            <w:r w:rsidRPr="00FE59CF">
              <w:rPr>
                <w:rFonts w:ascii="Times New Roman" w:hAnsi="Times New Roman" w:cs="Times New Roman"/>
                <w:color w:val="000000"/>
                <w:sz w:val="21"/>
                <w:szCs w:val="21"/>
              </w:rPr>
              <w:t>4.283</w:t>
            </w:r>
          </w:p>
        </w:tc>
        <w:tc>
          <w:tcPr>
            <w:tcW w:w="718" w:type="pct"/>
            <w:vAlign w:val="center"/>
          </w:tcPr>
          <w:p w14:paraId="72A565D9" w14:textId="5B568F01" w:rsidR="00635236" w:rsidRPr="00FE59CF" w:rsidRDefault="00635236" w:rsidP="00635236">
            <w:pPr>
              <w:pStyle w:val="af0"/>
              <w:spacing w:line="240" w:lineRule="atLeast"/>
              <w:jc w:val="center"/>
              <w:rPr>
                <w:rFonts w:ascii="Times New Roman" w:eastAsia="宋体" w:hAnsi="Times New Roman" w:cs="Times New Roman"/>
                <w:bCs/>
                <w:sz w:val="21"/>
                <w:szCs w:val="21"/>
              </w:rPr>
            </w:pPr>
            <w:r w:rsidRPr="00FE59CF">
              <w:rPr>
                <w:rFonts w:ascii="Times New Roman" w:hAnsi="Times New Roman" w:cs="Times New Roman"/>
                <w:color w:val="000000"/>
                <w:sz w:val="21"/>
                <w:szCs w:val="21"/>
              </w:rPr>
              <w:t>5</w:t>
            </w:r>
          </w:p>
        </w:tc>
      </w:tr>
      <w:tr w:rsidR="00635236" w:rsidRPr="00FE59CF" w14:paraId="52C96044" w14:textId="77777777" w:rsidTr="00635236">
        <w:trPr>
          <w:trHeight w:val="283"/>
        </w:trPr>
        <w:tc>
          <w:tcPr>
            <w:tcW w:w="3365" w:type="pct"/>
            <w:vAlign w:val="center"/>
          </w:tcPr>
          <w:p w14:paraId="716E1ACC" w14:textId="55FDD158" w:rsidR="00635236" w:rsidRPr="00FE59CF" w:rsidRDefault="00635236" w:rsidP="00635236">
            <w:pPr>
              <w:pStyle w:val="af0"/>
              <w:spacing w:line="240" w:lineRule="atLeast"/>
              <w:rPr>
                <w:rFonts w:ascii="Times New Roman" w:eastAsia="宋体" w:hAnsi="Times New Roman"/>
                <w:bCs/>
                <w:sz w:val="21"/>
                <w:szCs w:val="21"/>
              </w:rPr>
            </w:pPr>
            <w:r w:rsidRPr="00FE59CF">
              <w:rPr>
                <w:rFonts w:hint="eastAsia"/>
                <w:color w:val="000000"/>
                <w:sz w:val="21"/>
                <w:szCs w:val="21"/>
              </w:rPr>
              <w:t>利益相关方信息资源合理共享</w:t>
            </w:r>
          </w:p>
        </w:tc>
        <w:tc>
          <w:tcPr>
            <w:tcW w:w="917" w:type="pct"/>
            <w:vAlign w:val="center"/>
          </w:tcPr>
          <w:p w14:paraId="2807054A" w14:textId="35723F32" w:rsidR="00635236" w:rsidRPr="00FE59CF" w:rsidRDefault="00635236" w:rsidP="00635236">
            <w:pPr>
              <w:pStyle w:val="af0"/>
              <w:spacing w:line="240" w:lineRule="atLeast"/>
              <w:jc w:val="center"/>
              <w:rPr>
                <w:rFonts w:ascii="Times New Roman" w:eastAsia="宋体" w:hAnsi="Times New Roman" w:cs="Times New Roman"/>
                <w:bCs/>
                <w:sz w:val="21"/>
                <w:szCs w:val="21"/>
              </w:rPr>
            </w:pPr>
            <w:r w:rsidRPr="00FE59CF">
              <w:rPr>
                <w:rFonts w:ascii="Times New Roman" w:hAnsi="Times New Roman" w:cs="Times New Roman"/>
                <w:color w:val="000000"/>
                <w:sz w:val="21"/>
                <w:szCs w:val="21"/>
              </w:rPr>
              <w:t>4.283</w:t>
            </w:r>
          </w:p>
        </w:tc>
        <w:tc>
          <w:tcPr>
            <w:tcW w:w="718" w:type="pct"/>
            <w:vAlign w:val="center"/>
          </w:tcPr>
          <w:p w14:paraId="3062A10E" w14:textId="22B8F4A1" w:rsidR="00635236" w:rsidRPr="00FE59CF" w:rsidRDefault="00635236" w:rsidP="00635236">
            <w:pPr>
              <w:pStyle w:val="af0"/>
              <w:spacing w:line="240" w:lineRule="atLeast"/>
              <w:jc w:val="center"/>
              <w:rPr>
                <w:rFonts w:ascii="Times New Roman" w:eastAsia="宋体" w:hAnsi="Times New Roman" w:cs="Times New Roman"/>
                <w:bCs/>
                <w:sz w:val="21"/>
                <w:szCs w:val="21"/>
              </w:rPr>
            </w:pPr>
            <w:r w:rsidRPr="00FE59CF">
              <w:rPr>
                <w:rFonts w:ascii="Times New Roman" w:hAnsi="Times New Roman" w:cs="Times New Roman"/>
                <w:color w:val="000000"/>
                <w:sz w:val="21"/>
                <w:szCs w:val="21"/>
              </w:rPr>
              <w:t>5</w:t>
            </w:r>
          </w:p>
        </w:tc>
      </w:tr>
      <w:tr w:rsidR="00635236" w:rsidRPr="00FE59CF" w14:paraId="216F581D" w14:textId="77777777" w:rsidTr="00635236">
        <w:trPr>
          <w:cnfStyle w:val="010000000000" w:firstRow="0" w:lastRow="1" w:firstColumn="0" w:lastColumn="0" w:oddVBand="0" w:evenVBand="0" w:oddHBand="0" w:evenHBand="0" w:firstRowFirstColumn="0" w:firstRowLastColumn="0" w:lastRowFirstColumn="0" w:lastRowLastColumn="0"/>
          <w:trHeight w:val="283"/>
        </w:trPr>
        <w:tc>
          <w:tcPr>
            <w:tcW w:w="3365" w:type="pct"/>
            <w:vAlign w:val="center"/>
            <w:hideMark/>
          </w:tcPr>
          <w:p w14:paraId="39E5D096" w14:textId="77777777" w:rsidR="00635236" w:rsidRPr="00FE59CF" w:rsidRDefault="00635236" w:rsidP="00635236">
            <w:pPr>
              <w:pStyle w:val="af0"/>
              <w:spacing w:line="240" w:lineRule="atLeast"/>
              <w:jc w:val="center"/>
              <w:rPr>
                <w:rFonts w:ascii="Times New Roman" w:eastAsia="宋体" w:hAnsi="Times New Roman"/>
                <w:bCs w:val="0"/>
                <w:sz w:val="21"/>
                <w:szCs w:val="21"/>
              </w:rPr>
            </w:pPr>
            <w:r w:rsidRPr="00FE59CF">
              <w:rPr>
                <w:rFonts w:ascii="Times New Roman" w:eastAsia="宋体" w:hAnsi="Times New Roman" w:hint="eastAsia"/>
                <w:bCs w:val="0"/>
                <w:sz w:val="21"/>
                <w:szCs w:val="21"/>
              </w:rPr>
              <w:t>均值</w:t>
            </w:r>
          </w:p>
        </w:tc>
        <w:tc>
          <w:tcPr>
            <w:tcW w:w="917" w:type="pct"/>
            <w:vAlign w:val="center"/>
            <w:hideMark/>
          </w:tcPr>
          <w:p w14:paraId="407FE1EF" w14:textId="65AC3EC3" w:rsidR="00635236" w:rsidRPr="00FE59CF" w:rsidRDefault="00635236" w:rsidP="00635236">
            <w:pPr>
              <w:pStyle w:val="af0"/>
              <w:spacing w:line="240" w:lineRule="atLeast"/>
              <w:jc w:val="center"/>
              <w:rPr>
                <w:rFonts w:ascii="Times New Roman" w:eastAsia="宋体" w:hAnsi="Times New Roman" w:cs="Times New Roman"/>
                <w:bCs w:val="0"/>
                <w:sz w:val="21"/>
                <w:szCs w:val="21"/>
              </w:rPr>
            </w:pPr>
            <w:r w:rsidRPr="00FE59CF">
              <w:rPr>
                <w:rFonts w:ascii="Times New Roman" w:hAnsi="Times New Roman" w:cs="Times New Roman"/>
                <w:color w:val="000000"/>
                <w:sz w:val="21"/>
                <w:szCs w:val="21"/>
              </w:rPr>
              <w:t>4.291</w:t>
            </w:r>
          </w:p>
        </w:tc>
        <w:tc>
          <w:tcPr>
            <w:tcW w:w="718" w:type="pct"/>
            <w:vAlign w:val="center"/>
            <w:hideMark/>
          </w:tcPr>
          <w:p w14:paraId="050B66B1" w14:textId="77777777" w:rsidR="00635236" w:rsidRPr="00FE59CF" w:rsidRDefault="00635236" w:rsidP="00635236">
            <w:pPr>
              <w:pStyle w:val="af0"/>
              <w:spacing w:line="240" w:lineRule="atLeast"/>
              <w:jc w:val="center"/>
              <w:rPr>
                <w:rFonts w:ascii="Times New Roman" w:eastAsia="宋体" w:hAnsi="Times New Roman" w:cs="Times New Roman"/>
                <w:bCs w:val="0"/>
                <w:sz w:val="21"/>
                <w:szCs w:val="21"/>
              </w:rPr>
            </w:pPr>
            <w:r w:rsidRPr="00FE59CF">
              <w:rPr>
                <w:rFonts w:ascii="Times New Roman" w:eastAsia="宋体" w:hAnsi="Times New Roman" w:cs="Times New Roman"/>
                <w:bCs w:val="0"/>
                <w:sz w:val="21"/>
                <w:szCs w:val="21"/>
              </w:rPr>
              <w:t>-</w:t>
            </w:r>
          </w:p>
        </w:tc>
      </w:tr>
    </w:tbl>
    <w:p w14:paraId="39862E7E" w14:textId="10F7ED07" w:rsidR="003D4BEB" w:rsidRDefault="003D4BEB" w:rsidP="00A4271D">
      <w:pPr>
        <w:spacing w:beforeLines="50" w:before="156"/>
        <w:ind w:firstLine="420"/>
      </w:pPr>
      <w:r w:rsidRPr="00C35659">
        <w:rPr>
          <w:rFonts w:hint="eastAsia"/>
        </w:rPr>
        <w:t>如</w:t>
      </w:r>
      <w:r>
        <w:fldChar w:fldCharType="begin"/>
      </w:r>
      <w:r>
        <w:instrText xml:space="preserve"> REF _Ref174347553 \h </w:instrText>
      </w:r>
      <w:r>
        <w:fldChar w:fldCharType="separate"/>
      </w:r>
      <w:r w:rsidR="000F2689">
        <w:rPr>
          <w:rFonts w:hint="eastAsia"/>
        </w:rPr>
        <w:t>表</w:t>
      </w:r>
      <w:r w:rsidR="000F2689">
        <w:rPr>
          <w:rFonts w:hint="eastAsia"/>
        </w:rPr>
        <w:t xml:space="preserve"> </w:t>
      </w:r>
      <w:r w:rsidR="000F2689">
        <w:rPr>
          <w:noProof/>
        </w:rPr>
        <w:t>5</w:t>
      </w:r>
      <w:r>
        <w:fldChar w:fldCharType="end"/>
      </w:r>
      <w:r w:rsidRPr="00C35659">
        <w:rPr>
          <w:rFonts w:hint="eastAsia"/>
        </w:rPr>
        <w:t>所示</w:t>
      </w:r>
      <w:r>
        <w:rPr>
          <w:rFonts w:hint="eastAsia"/>
        </w:rPr>
        <w:t>，</w:t>
      </w:r>
      <w:r w:rsidR="00635236">
        <w:rPr>
          <w:rFonts w:hint="eastAsia"/>
        </w:rPr>
        <w:t>总体上清洁能源基地进行了高效的资源配置</w:t>
      </w:r>
      <w:r w:rsidR="00E4410C">
        <w:rPr>
          <w:rFonts w:hint="eastAsia"/>
        </w:rPr>
        <w:t>。</w:t>
      </w:r>
      <w:r w:rsidR="00635236" w:rsidRPr="008113B0">
        <w:rPr>
          <w:rFonts w:hint="eastAsia"/>
        </w:rPr>
        <w:t>资源及时供应</w:t>
      </w:r>
      <w:r w:rsidR="00635236">
        <w:rPr>
          <w:rFonts w:hint="eastAsia"/>
        </w:rPr>
        <w:t>方面，清洁能源基地开发能够为各子项目及时供应资金、设备、材料等资源。其中，</w:t>
      </w:r>
      <w:r w:rsidR="00635236" w:rsidRPr="00635236">
        <w:rPr>
          <w:rFonts w:hint="eastAsia"/>
        </w:rPr>
        <w:t>“清洁能源项目人力资源投入充足”得分最低，表明清洁能源基地开发仍需补充高素质专业人才。</w:t>
      </w:r>
      <w:r w:rsidR="00635236" w:rsidRPr="00332B61">
        <w:rPr>
          <w:rFonts w:hint="eastAsia"/>
        </w:rPr>
        <w:t>内外部资源共享</w:t>
      </w:r>
      <w:r w:rsidR="00635236">
        <w:rPr>
          <w:rFonts w:hint="eastAsia"/>
        </w:rPr>
        <w:t>方面，清洁能源基地开发过程中信息、经验等资源在内部能够高效共享，技术支持、专家咨询等外部资源也能够及时补充。其中，</w:t>
      </w:r>
      <w:r w:rsidR="00635236" w:rsidRPr="00635236">
        <w:rPr>
          <w:rFonts w:hint="eastAsia"/>
        </w:rPr>
        <w:t>“清洁能源项目规划设计、采购、施工、运营环节间信息资源合理共享”、“清洁能源项目利益相关方信息资源合理共享”得分较低，表明各环节、参建各方间的信息整合和流通仍有提升空间。</w:t>
      </w:r>
    </w:p>
    <w:p w14:paraId="5EA9D2DC" w14:textId="64B7C3C2" w:rsidR="00A4271D" w:rsidRDefault="00A4271D" w:rsidP="00A4271D">
      <w:pPr>
        <w:pStyle w:val="2"/>
      </w:pPr>
      <w:r w:rsidRPr="00A4271D">
        <w:rPr>
          <w:rFonts w:hint="eastAsia"/>
        </w:rPr>
        <w:t>清洁能源基地伙伴关系</w:t>
      </w:r>
    </w:p>
    <w:p w14:paraId="16EAAA59" w14:textId="0AD19113" w:rsidR="00A4271D" w:rsidRPr="00BB7CE2" w:rsidRDefault="00A4271D" w:rsidP="00A4271D">
      <w:pPr>
        <w:ind w:firstLine="420"/>
      </w:pPr>
      <w:r w:rsidRPr="00A4271D">
        <w:rPr>
          <w:rFonts w:hint="eastAsia"/>
        </w:rPr>
        <w:t>清洁能源基地伙伴关系</w:t>
      </w:r>
      <w:r>
        <w:rPr>
          <w:rFonts w:hint="eastAsia"/>
        </w:rPr>
        <w:t>情况</w:t>
      </w:r>
      <w:r w:rsidRPr="00C35659">
        <w:rPr>
          <w:rFonts w:hint="eastAsia"/>
        </w:rPr>
        <w:t>如</w:t>
      </w:r>
      <w:r>
        <w:fldChar w:fldCharType="begin"/>
      </w:r>
      <w:r>
        <w:instrText xml:space="preserve"> </w:instrText>
      </w:r>
      <w:r>
        <w:rPr>
          <w:rFonts w:hint="eastAsia"/>
        </w:rPr>
        <w:instrText>REF _Ref200169093 \h</w:instrText>
      </w:r>
      <w:r>
        <w:instrText xml:space="preserve"> </w:instrText>
      </w:r>
      <w:r>
        <w:fldChar w:fldCharType="separate"/>
      </w:r>
      <w:r w:rsidR="000F2689">
        <w:rPr>
          <w:rFonts w:hint="eastAsia"/>
        </w:rPr>
        <w:t>表</w:t>
      </w:r>
      <w:r w:rsidR="000F2689">
        <w:rPr>
          <w:rFonts w:hint="eastAsia"/>
        </w:rPr>
        <w:t xml:space="preserve"> </w:t>
      </w:r>
      <w:r w:rsidR="000F2689">
        <w:rPr>
          <w:noProof/>
        </w:rPr>
        <w:t>6</w:t>
      </w:r>
      <w:r>
        <w:fldChar w:fldCharType="end"/>
      </w:r>
      <w:r w:rsidRPr="00C35659">
        <w:rPr>
          <w:rFonts w:hint="eastAsia"/>
        </w:rPr>
        <w:t>所示</w:t>
      </w:r>
      <w:r>
        <w:rPr>
          <w:rFonts w:hint="eastAsia"/>
        </w:rPr>
        <w:t>，其中</w:t>
      </w:r>
      <w:r w:rsidRPr="00541135">
        <w:rPr>
          <w:rFonts w:hint="eastAsia"/>
        </w:rPr>
        <w:t>，</w:t>
      </w:r>
      <w:r w:rsidRPr="00541135">
        <w:rPr>
          <w:rFonts w:hint="eastAsia"/>
        </w:rPr>
        <w:t>1</w:t>
      </w:r>
      <w:r w:rsidRPr="00541135">
        <w:rPr>
          <w:rFonts w:hint="eastAsia"/>
        </w:rPr>
        <w:t>分表示</w:t>
      </w:r>
      <w:r>
        <w:rPr>
          <w:rFonts w:hint="eastAsia"/>
        </w:rPr>
        <w:t>很</w:t>
      </w:r>
      <w:r w:rsidRPr="00541135">
        <w:rPr>
          <w:rFonts w:hint="eastAsia"/>
        </w:rPr>
        <w:t>不符合，</w:t>
      </w:r>
      <w:r w:rsidRPr="00541135">
        <w:rPr>
          <w:rFonts w:hint="eastAsia"/>
        </w:rPr>
        <w:t>5</w:t>
      </w:r>
      <w:r w:rsidRPr="00541135">
        <w:rPr>
          <w:rFonts w:hint="eastAsia"/>
        </w:rPr>
        <w:t>分表示</w:t>
      </w:r>
      <w:r>
        <w:rPr>
          <w:rFonts w:hint="eastAsia"/>
        </w:rPr>
        <w:t>非常</w:t>
      </w:r>
      <w:r w:rsidRPr="00541135">
        <w:rPr>
          <w:rFonts w:hint="eastAsia"/>
        </w:rPr>
        <w:t>符合</w:t>
      </w:r>
      <w:r>
        <w:rPr>
          <w:rFonts w:hint="eastAsia"/>
          <w:szCs w:val="21"/>
        </w:rPr>
        <w:t>。</w:t>
      </w:r>
    </w:p>
    <w:p w14:paraId="4395E2F6" w14:textId="1439AAC3" w:rsidR="00A4271D" w:rsidRDefault="00A4271D" w:rsidP="00EB718D">
      <w:pPr>
        <w:pStyle w:val="afa"/>
        <w:keepNext/>
        <w:spacing w:beforeLines="50" w:before="156"/>
      </w:pPr>
      <w:bookmarkStart w:id="22" w:name="_Ref200169093"/>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0F2689">
        <w:rPr>
          <w:noProof/>
        </w:rPr>
        <w:t>6</w:t>
      </w:r>
      <w:r>
        <w:fldChar w:fldCharType="end"/>
      </w:r>
      <w:bookmarkEnd w:id="22"/>
      <w:r>
        <w:rPr>
          <w:rFonts w:hint="eastAsia"/>
        </w:rPr>
        <w:t xml:space="preserve"> </w:t>
      </w:r>
      <w:r w:rsidRPr="00A4271D">
        <w:rPr>
          <w:rFonts w:hint="eastAsia"/>
        </w:rPr>
        <w:t>清洁能源基地伙伴关系</w:t>
      </w:r>
      <w:r w:rsidR="000F2689">
        <w:rPr>
          <w:rFonts w:hint="eastAsia"/>
        </w:rPr>
        <w:t>评价</w:t>
      </w:r>
    </w:p>
    <w:tbl>
      <w:tblPr>
        <w:tblStyle w:val="22"/>
        <w:tblW w:w="5000" w:type="pct"/>
        <w:tblLook w:val="0660" w:firstRow="1" w:lastRow="1" w:firstColumn="0" w:lastColumn="0" w:noHBand="1" w:noVBand="1"/>
      </w:tblPr>
      <w:tblGrid>
        <w:gridCol w:w="2817"/>
        <w:gridCol w:w="1110"/>
        <w:gridCol w:w="707"/>
      </w:tblGrid>
      <w:tr w:rsidR="00A4271D" w:rsidRPr="00FE59CF" w14:paraId="5C23F0B6" w14:textId="77777777" w:rsidTr="00522153">
        <w:trPr>
          <w:cnfStyle w:val="100000000000" w:firstRow="1" w:lastRow="0" w:firstColumn="0" w:lastColumn="0" w:oddVBand="0" w:evenVBand="0" w:oddHBand="0" w:evenHBand="0" w:firstRowFirstColumn="0" w:firstRowLastColumn="0" w:lastRowFirstColumn="0" w:lastRowLastColumn="0"/>
          <w:trHeight w:val="283"/>
        </w:trPr>
        <w:tc>
          <w:tcPr>
            <w:tcW w:w="3039" w:type="pct"/>
            <w:vAlign w:val="center"/>
            <w:hideMark/>
          </w:tcPr>
          <w:p w14:paraId="6830CDE8" w14:textId="77777777" w:rsidR="00A4271D" w:rsidRPr="00FE59CF" w:rsidRDefault="00A4271D" w:rsidP="00A4271D">
            <w:pPr>
              <w:pStyle w:val="af0"/>
              <w:spacing w:line="240" w:lineRule="atLeast"/>
              <w:jc w:val="center"/>
              <w:rPr>
                <w:rFonts w:ascii="Times New Roman" w:eastAsia="宋体" w:hAnsi="Times New Roman"/>
                <w:bCs w:val="0"/>
                <w:sz w:val="21"/>
                <w:szCs w:val="21"/>
              </w:rPr>
            </w:pPr>
            <w:r w:rsidRPr="00FE59CF">
              <w:rPr>
                <w:rFonts w:ascii="Times New Roman" w:eastAsia="宋体" w:hAnsi="Times New Roman" w:hint="eastAsia"/>
                <w:bCs w:val="0"/>
                <w:sz w:val="21"/>
                <w:szCs w:val="21"/>
              </w:rPr>
              <w:t>指标</w:t>
            </w:r>
          </w:p>
        </w:tc>
        <w:tc>
          <w:tcPr>
            <w:tcW w:w="1198" w:type="pct"/>
            <w:vAlign w:val="center"/>
            <w:hideMark/>
          </w:tcPr>
          <w:p w14:paraId="3358359E" w14:textId="77777777" w:rsidR="00A4271D" w:rsidRPr="00FE59CF" w:rsidRDefault="00A4271D" w:rsidP="00A4271D">
            <w:pPr>
              <w:pStyle w:val="af0"/>
              <w:spacing w:line="240" w:lineRule="atLeast"/>
              <w:jc w:val="center"/>
              <w:rPr>
                <w:rFonts w:ascii="Times New Roman" w:eastAsia="宋体" w:hAnsi="Times New Roman"/>
                <w:bCs w:val="0"/>
                <w:sz w:val="21"/>
                <w:szCs w:val="21"/>
              </w:rPr>
            </w:pPr>
            <w:r w:rsidRPr="00FE59CF">
              <w:rPr>
                <w:rFonts w:ascii="Times New Roman" w:eastAsia="宋体" w:hAnsi="Times New Roman"/>
                <w:bCs w:val="0"/>
                <w:sz w:val="21"/>
                <w:szCs w:val="21"/>
              </w:rPr>
              <w:t>得分</w:t>
            </w:r>
          </w:p>
        </w:tc>
        <w:tc>
          <w:tcPr>
            <w:tcW w:w="763" w:type="pct"/>
            <w:vAlign w:val="center"/>
            <w:hideMark/>
          </w:tcPr>
          <w:p w14:paraId="5A0DBD4C" w14:textId="77777777" w:rsidR="00A4271D" w:rsidRPr="00FE59CF" w:rsidRDefault="00A4271D" w:rsidP="00A4271D">
            <w:pPr>
              <w:pStyle w:val="af0"/>
              <w:spacing w:line="240" w:lineRule="atLeast"/>
              <w:jc w:val="center"/>
              <w:rPr>
                <w:rFonts w:ascii="Times New Roman" w:eastAsia="宋体" w:hAnsi="Times New Roman"/>
                <w:bCs w:val="0"/>
                <w:sz w:val="21"/>
                <w:szCs w:val="21"/>
              </w:rPr>
            </w:pPr>
            <w:r w:rsidRPr="00FE59CF">
              <w:rPr>
                <w:rFonts w:ascii="Times New Roman" w:eastAsia="宋体" w:hAnsi="Times New Roman"/>
                <w:bCs w:val="0"/>
                <w:sz w:val="21"/>
                <w:szCs w:val="21"/>
              </w:rPr>
              <w:t>排序</w:t>
            </w:r>
          </w:p>
        </w:tc>
      </w:tr>
      <w:tr w:rsidR="00A4271D" w:rsidRPr="00FE59CF" w14:paraId="274EF924" w14:textId="77777777" w:rsidTr="00522153">
        <w:trPr>
          <w:trHeight w:val="283"/>
        </w:trPr>
        <w:tc>
          <w:tcPr>
            <w:tcW w:w="3039" w:type="pct"/>
            <w:vAlign w:val="center"/>
          </w:tcPr>
          <w:p w14:paraId="69D669BB" w14:textId="6C80993A" w:rsidR="00A4271D" w:rsidRPr="00FE59CF" w:rsidRDefault="00A4271D" w:rsidP="00A4271D">
            <w:pPr>
              <w:pStyle w:val="af0"/>
              <w:spacing w:line="240" w:lineRule="atLeast"/>
              <w:jc w:val="center"/>
              <w:rPr>
                <w:rFonts w:ascii="Times New Roman" w:eastAsia="宋体" w:hAnsi="Times New Roman"/>
                <w:bCs/>
                <w:sz w:val="21"/>
                <w:szCs w:val="21"/>
              </w:rPr>
            </w:pPr>
            <w:r w:rsidRPr="00FE59CF">
              <w:rPr>
                <w:rFonts w:ascii="Times" w:hAnsi="Times" w:hint="eastAsia"/>
                <w:b/>
                <w:bCs/>
                <w:sz w:val="21"/>
                <w:szCs w:val="21"/>
              </w:rPr>
              <w:t>态度要素</w:t>
            </w:r>
          </w:p>
        </w:tc>
        <w:tc>
          <w:tcPr>
            <w:tcW w:w="1198" w:type="pct"/>
            <w:vAlign w:val="center"/>
          </w:tcPr>
          <w:p w14:paraId="61A30F30" w14:textId="106312F9" w:rsidR="00A4271D" w:rsidRPr="00FE59CF" w:rsidRDefault="00A4271D" w:rsidP="00A4271D">
            <w:pPr>
              <w:pStyle w:val="af0"/>
              <w:spacing w:line="240" w:lineRule="atLeast"/>
              <w:jc w:val="center"/>
              <w:rPr>
                <w:rFonts w:ascii="Times New Roman" w:eastAsia="宋体" w:hAnsi="Times New Roman"/>
                <w:bCs/>
                <w:sz w:val="21"/>
                <w:szCs w:val="21"/>
              </w:rPr>
            </w:pPr>
          </w:p>
        </w:tc>
        <w:tc>
          <w:tcPr>
            <w:tcW w:w="763" w:type="pct"/>
            <w:vAlign w:val="center"/>
          </w:tcPr>
          <w:p w14:paraId="478A7FA0" w14:textId="5A6FDC4B" w:rsidR="00A4271D" w:rsidRPr="00FE59CF" w:rsidRDefault="00A4271D" w:rsidP="00A4271D">
            <w:pPr>
              <w:pStyle w:val="af0"/>
              <w:spacing w:line="240" w:lineRule="atLeast"/>
              <w:jc w:val="center"/>
              <w:rPr>
                <w:rFonts w:ascii="Times New Roman" w:eastAsia="宋体" w:hAnsi="Times New Roman"/>
                <w:bCs/>
                <w:sz w:val="21"/>
                <w:szCs w:val="21"/>
              </w:rPr>
            </w:pPr>
          </w:p>
        </w:tc>
      </w:tr>
      <w:tr w:rsidR="00A4271D" w:rsidRPr="00FE59CF" w14:paraId="3FC1B50D" w14:textId="77777777" w:rsidTr="00522153">
        <w:trPr>
          <w:trHeight w:val="283"/>
        </w:trPr>
        <w:tc>
          <w:tcPr>
            <w:tcW w:w="3039" w:type="pct"/>
            <w:vAlign w:val="center"/>
          </w:tcPr>
          <w:p w14:paraId="1BB88FA8" w14:textId="6C3B6D68" w:rsidR="00A4271D" w:rsidRPr="00FE59CF" w:rsidRDefault="00A4271D" w:rsidP="00A4271D">
            <w:pPr>
              <w:pStyle w:val="af0"/>
              <w:spacing w:line="240" w:lineRule="atLeast"/>
              <w:rPr>
                <w:rFonts w:ascii="Times New Roman" w:eastAsia="宋体" w:hAnsi="Times New Roman"/>
                <w:bCs/>
                <w:sz w:val="21"/>
                <w:szCs w:val="21"/>
              </w:rPr>
            </w:pPr>
            <w:r w:rsidRPr="00FE59CF">
              <w:rPr>
                <w:rFonts w:hint="eastAsia"/>
                <w:color w:val="000000"/>
                <w:sz w:val="21"/>
                <w:szCs w:val="21"/>
              </w:rPr>
              <w:t>各方目标达成一致，并致力于实现这些目标</w:t>
            </w:r>
          </w:p>
        </w:tc>
        <w:tc>
          <w:tcPr>
            <w:tcW w:w="1198" w:type="pct"/>
            <w:vAlign w:val="center"/>
          </w:tcPr>
          <w:p w14:paraId="126BCEA4" w14:textId="4A943A6A" w:rsidR="00A4271D" w:rsidRPr="00FE59CF" w:rsidRDefault="00A4271D" w:rsidP="00A4271D">
            <w:pPr>
              <w:pStyle w:val="af0"/>
              <w:spacing w:line="240" w:lineRule="atLeast"/>
              <w:jc w:val="center"/>
              <w:rPr>
                <w:rFonts w:ascii="Times New Roman" w:eastAsia="宋体" w:hAnsi="Times New Roman" w:cs="Times New Roman"/>
                <w:bCs/>
                <w:sz w:val="21"/>
                <w:szCs w:val="21"/>
              </w:rPr>
            </w:pPr>
            <w:r w:rsidRPr="00FE59CF">
              <w:rPr>
                <w:rFonts w:ascii="Times New Roman" w:hAnsi="Times New Roman" w:cs="Times New Roman"/>
                <w:color w:val="000000"/>
                <w:sz w:val="21"/>
                <w:szCs w:val="21"/>
              </w:rPr>
              <w:t>4.420</w:t>
            </w:r>
          </w:p>
        </w:tc>
        <w:tc>
          <w:tcPr>
            <w:tcW w:w="763" w:type="pct"/>
            <w:vAlign w:val="center"/>
          </w:tcPr>
          <w:p w14:paraId="4CE31C4E" w14:textId="3F20E3C5" w:rsidR="00A4271D" w:rsidRPr="00FE59CF" w:rsidRDefault="00A4271D" w:rsidP="00A4271D">
            <w:pPr>
              <w:pStyle w:val="af0"/>
              <w:spacing w:line="240" w:lineRule="atLeast"/>
              <w:jc w:val="center"/>
              <w:rPr>
                <w:rFonts w:ascii="Times New Roman" w:eastAsia="宋体" w:hAnsi="Times New Roman" w:cs="Times New Roman"/>
                <w:bCs/>
                <w:sz w:val="21"/>
                <w:szCs w:val="21"/>
              </w:rPr>
            </w:pPr>
            <w:r w:rsidRPr="00FE59CF">
              <w:rPr>
                <w:rFonts w:ascii="Times New Roman" w:hAnsi="Times New Roman" w:cs="Times New Roman"/>
                <w:color w:val="000000"/>
                <w:sz w:val="21"/>
                <w:szCs w:val="21"/>
              </w:rPr>
              <w:t>1</w:t>
            </w:r>
          </w:p>
        </w:tc>
      </w:tr>
      <w:tr w:rsidR="00A4271D" w:rsidRPr="00FE59CF" w14:paraId="03B7E1FA" w14:textId="77777777" w:rsidTr="00522153">
        <w:trPr>
          <w:trHeight w:val="283"/>
        </w:trPr>
        <w:tc>
          <w:tcPr>
            <w:tcW w:w="3039" w:type="pct"/>
            <w:vAlign w:val="center"/>
          </w:tcPr>
          <w:p w14:paraId="0556AB24" w14:textId="3EE11DFA" w:rsidR="00A4271D" w:rsidRPr="00FE59CF" w:rsidRDefault="00A4271D" w:rsidP="00A4271D">
            <w:pPr>
              <w:pStyle w:val="af0"/>
              <w:spacing w:line="240" w:lineRule="atLeast"/>
              <w:rPr>
                <w:rFonts w:cs="Times New Roman"/>
                <w:sz w:val="21"/>
                <w:szCs w:val="21"/>
              </w:rPr>
            </w:pPr>
            <w:r w:rsidRPr="00FE59CF">
              <w:rPr>
                <w:rFonts w:hint="eastAsia"/>
                <w:color w:val="000000"/>
                <w:sz w:val="21"/>
                <w:szCs w:val="21"/>
              </w:rPr>
              <w:t>对他方提议态度积极</w:t>
            </w:r>
          </w:p>
        </w:tc>
        <w:tc>
          <w:tcPr>
            <w:tcW w:w="1198" w:type="pct"/>
            <w:vAlign w:val="center"/>
          </w:tcPr>
          <w:p w14:paraId="68F03049" w14:textId="3391C774" w:rsidR="00A4271D" w:rsidRPr="00FE59CF" w:rsidRDefault="00A4271D" w:rsidP="00A4271D">
            <w:pPr>
              <w:pStyle w:val="af0"/>
              <w:spacing w:line="240" w:lineRule="atLeast"/>
              <w:jc w:val="center"/>
              <w:rPr>
                <w:rFonts w:ascii="Times New Roman" w:eastAsia="宋体" w:hAnsi="Times New Roman" w:cs="Times New Roman"/>
                <w:bCs/>
                <w:sz w:val="21"/>
                <w:szCs w:val="21"/>
              </w:rPr>
            </w:pPr>
            <w:r w:rsidRPr="00FE59CF">
              <w:rPr>
                <w:rFonts w:ascii="Times New Roman" w:hAnsi="Times New Roman" w:cs="Times New Roman"/>
                <w:color w:val="000000"/>
                <w:sz w:val="21"/>
                <w:szCs w:val="21"/>
              </w:rPr>
              <w:t>4.379</w:t>
            </w:r>
          </w:p>
        </w:tc>
        <w:tc>
          <w:tcPr>
            <w:tcW w:w="763" w:type="pct"/>
            <w:vAlign w:val="center"/>
          </w:tcPr>
          <w:p w14:paraId="617940CD" w14:textId="6BCED175" w:rsidR="00A4271D" w:rsidRPr="00FE59CF" w:rsidRDefault="00A4271D" w:rsidP="00A4271D">
            <w:pPr>
              <w:pStyle w:val="af0"/>
              <w:spacing w:line="240" w:lineRule="atLeast"/>
              <w:jc w:val="center"/>
              <w:rPr>
                <w:rFonts w:ascii="Times New Roman" w:eastAsia="宋体" w:hAnsi="Times New Roman" w:cs="Times New Roman"/>
                <w:bCs/>
                <w:sz w:val="21"/>
                <w:szCs w:val="21"/>
              </w:rPr>
            </w:pPr>
            <w:r w:rsidRPr="00FE59CF">
              <w:rPr>
                <w:rFonts w:ascii="Times New Roman" w:hAnsi="Times New Roman" w:cs="Times New Roman"/>
                <w:color w:val="000000"/>
                <w:sz w:val="21"/>
                <w:szCs w:val="21"/>
              </w:rPr>
              <w:t>2</w:t>
            </w:r>
          </w:p>
        </w:tc>
      </w:tr>
      <w:tr w:rsidR="00A4271D" w:rsidRPr="00FE59CF" w14:paraId="42E48970" w14:textId="77777777" w:rsidTr="00522153">
        <w:trPr>
          <w:trHeight w:val="283"/>
        </w:trPr>
        <w:tc>
          <w:tcPr>
            <w:tcW w:w="3039" w:type="pct"/>
            <w:vAlign w:val="center"/>
          </w:tcPr>
          <w:p w14:paraId="710CCBD1" w14:textId="5D47C893" w:rsidR="00A4271D" w:rsidRPr="00FE59CF" w:rsidRDefault="00A4271D" w:rsidP="00A4271D">
            <w:pPr>
              <w:pStyle w:val="af0"/>
              <w:spacing w:line="240" w:lineRule="atLeast"/>
              <w:rPr>
                <w:rFonts w:cs="Times New Roman"/>
                <w:sz w:val="21"/>
                <w:szCs w:val="21"/>
              </w:rPr>
            </w:pPr>
            <w:r w:rsidRPr="00FE59CF">
              <w:rPr>
                <w:rFonts w:hint="eastAsia"/>
                <w:color w:val="000000"/>
                <w:sz w:val="21"/>
                <w:szCs w:val="21"/>
              </w:rPr>
              <w:t>各方信守承诺</w:t>
            </w:r>
          </w:p>
        </w:tc>
        <w:tc>
          <w:tcPr>
            <w:tcW w:w="1198" w:type="pct"/>
            <w:vAlign w:val="center"/>
          </w:tcPr>
          <w:p w14:paraId="12F41614" w14:textId="7A9D89E6" w:rsidR="00A4271D" w:rsidRPr="00FE59CF" w:rsidRDefault="00A4271D" w:rsidP="00A4271D">
            <w:pPr>
              <w:pStyle w:val="af0"/>
              <w:spacing w:line="240" w:lineRule="atLeast"/>
              <w:jc w:val="center"/>
              <w:rPr>
                <w:rFonts w:ascii="Times New Roman" w:eastAsia="宋体" w:hAnsi="Times New Roman" w:cs="Times New Roman"/>
                <w:bCs/>
                <w:sz w:val="21"/>
                <w:szCs w:val="21"/>
              </w:rPr>
            </w:pPr>
            <w:r w:rsidRPr="00FE59CF">
              <w:rPr>
                <w:rFonts w:ascii="Times New Roman" w:hAnsi="Times New Roman" w:cs="Times New Roman"/>
                <w:color w:val="000000"/>
                <w:sz w:val="21"/>
                <w:szCs w:val="21"/>
              </w:rPr>
              <w:t>4.365</w:t>
            </w:r>
          </w:p>
        </w:tc>
        <w:tc>
          <w:tcPr>
            <w:tcW w:w="763" w:type="pct"/>
            <w:vAlign w:val="center"/>
          </w:tcPr>
          <w:p w14:paraId="38FFA833" w14:textId="78466DFC" w:rsidR="00A4271D" w:rsidRPr="00FE59CF" w:rsidRDefault="00A4271D" w:rsidP="00A4271D">
            <w:pPr>
              <w:pStyle w:val="af0"/>
              <w:spacing w:line="240" w:lineRule="atLeast"/>
              <w:jc w:val="center"/>
              <w:rPr>
                <w:rFonts w:ascii="Times New Roman" w:eastAsia="宋体" w:hAnsi="Times New Roman" w:cs="Times New Roman"/>
                <w:bCs/>
                <w:sz w:val="21"/>
                <w:szCs w:val="21"/>
              </w:rPr>
            </w:pPr>
            <w:r w:rsidRPr="00FE59CF">
              <w:rPr>
                <w:rFonts w:ascii="Times New Roman" w:hAnsi="Times New Roman" w:cs="Times New Roman"/>
                <w:color w:val="000000"/>
                <w:sz w:val="21"/>
                <w:szCs w:val="21"/>
              </w:rPr>
              <w:t>3</w:t>
            </w:r>
          </w:p>
        </w:tc>
      </w:tr>
      <w:tr w:rsidR="00A4271D" w:rsidRPr="00FE59CF" w14:paraId="4B42E23C" w14:textId="77777777" w:rsidTr="00522153">
        <w:trPr>
          <w:trHeight w:val="283"/>
        </w:trPr>
        <w:tc>
          <w:tcPr>
            <w:tcW w:w="3039" w:type="pct"/>
            <w:vAlign w:val="center"/>
          </w:tcPr>
          <w:p w14:paraId="6DBAF8C9" w14:textId="25E6978E" w:rsidR="00A4271D" w:rsidRPr="00FE59CF" w:rsidRDefault="00A4271D" w:rsidP="00A4271D">
            <w:pPr>
              <w:pStyle w:val="af0"/>
              <w:spacing w:line="240" w:lineRule="atLeast"/>
              <w:rPr>
                <w:rFonts w:cs="Times New Roman"/>
                <w:sz w:val="21"/>
                <w:szCs w:val="21"/>
              </w:rPr>
            </w:pPr>
            <w:r w:rsidRPr="00FE59CF">
              <w:rPr>
                <w:rFonts w:hint="eastAsia"/>
                <w:color w:val="000000"/>
                <w:sz w:val="21"/>
                <w:szCs w:val="21"/>
              </w:rPr>
              <w:t>各方处事公正</w:t>
            </w:r>
          </w:p>
        </w:tc>
        <w:tc>
          <w:tcPr>
            <w:tcW w:w="1198" w:type="pct"/>
            <w:vAlign w:val="center"/>
          </w:tcPr>
          <w:p w14:paraId="38E71E0C" w14:textId="08C037D1" w:rsidR="00A4271D" w:rsidRPr="00FE59CF" w:rsidRDefault="00A4271D" w:rsidP="00A4271D">
            <w:pPr>
              <w:pStyle w:val="af0"/>
              <w:spacing w:line="240" w:lineRule="atLeast"/>
              <w:jc w:val="center"/>
              <w:rPr>
                <w:rFonts w:ascii="Times New Roman" w:eastAsia="宋体" w:hAnsi="Times New Roman" w:cs="Times New Roman"/>
                <w:bCs/>
                <w:sz w:val="21"/>
                <w:szCs w:val="21"/>
              </w:rPr>
            </w:pPr>
            <w:r w:rsidRPr="00FE59CF">
              <w:rPr>
                <w:rFonts w:ascii="Times New Roman" w:hAnsi="Times New Roman" w:cs="Times New Roman"/>
                <w:color w:val="000000"/>
                <w:sz w:val="21"/>
                <w:szCs w:val="21"/>
              </w:rPr>
              <w:t>4.331</w:t>
            </w:r>
          </w:p>
        </w:tc>
        <w:tc>
          <w:tcPr>
            <w:tcW w:w="763" w:type="pct"/>
            <w:vAlign w:val="center"/>
          </w:tcPr>
          <w:p w14:paraId="157882E9" w14:textId="40F65FBF" w:rsidR="00A4271D" w:rsidRPr="00FE59CF" w:rsidRDefault="00A4271D" w:rsidP="00A4271D">
            <w:pPr>
              <w:pStyle w:val="af0"/>
              <w:spacing w:line="240" w:lineRule="atLeast"/>
              <w:jc w:val="center"/>
              <w:rPr>
                <w:rFonts w:ascii="Times New Roman" w:eastAsia="宋体" w:hAnsi="Times New Roman" w:cs="Times New Roman"/>
                <w:bCs/>
                <w:sz w:val="21"/>
                <w:szCs w:val="21"/>
              </w:rPr>
            </w:pPr>
            <w:r w:rsidRPr="00FE59CF">
              <w:rPr>
                <w:rFonts w:ascii="Times New Roman" w:hAnsi="Times New Roman" w:cs="Times New Roman"/>
                <w:color w:val="000000"/>
                <w:sz w:val="21"/>
                <w:szCs w:val="21"/>
              </w:rPr>
              <w:t>6</w:t>
            </w:r>
          </w:p>
        </w:tc>
      </w:tr>
      <w:tr w:rsidR="00A4271D" w:rsidRPr="00FE59CF" w14:paraId="68419281" w14:textId="77777777" w:rsidTr="00522153">
        <w:trPr>
          <w:trHeight w:val="283"/>
        </w:trPr>
        <w:tc>
          <w:tcPr>
            <w:tcW w:w="3039" w:type="pct"/>
            <w:vAlign w:val="center"/>
          </w:tcPr>
          <w:p w14:paraId="7D1EE581" w14:textId="1A50E87F" w:rsidR="00A4271D" w:rsidRPr="00FE59CF" w:rsidRDefault="00A4271D" w:rsidP="00A4271D">
            <w:pPr>
              <w:pStyle w:val="af0"/>
              <w:spacing w:line="240" w:lineRule="atLeast"/>
              <w:rPr>
                <w:rFonts w:cs="Times New Roman"/>
                <w:sz w:val="21"/>
                <w:szCs w:val="21"/>
              </w:rPr>
            </w:pPr>
            <w:r w:rsidRPr="00FE59CF">
              <w:rPr>
                <w:rFonts w:hint="eastAsia"/>
                <w:color w:val="000000"/>
                <w:sz w:val="21"/>
                <w:szCs w:val="21"/>
              </w:rPr>
              <w:t>各方相互信任</w:t>
            </w:r>
          </w:p>
        </w:tc>
        <w:tc>
          <w:tcPr>
            <w:tcW w:w="1198" w:type="pct"/>
            <w:vAlign w:val="center"/>
          </w:tcPr>
          <w:p w14:paraId="255780E6" w14:textId="5129F8C2" w:rsidR="00A4271D" w:rsidRPr="00FE59CF" w:rsidRDefault="00A4271D" w:rsidP="00A4271D">
            <w:pPr>
              <w:pStyle w:val="af0"/>
              <w:spacing w:line="240" w:lineRule="atLeast"/>
              <w:jc w:val="center"/>
              <w:rPr>
                <w:rFonts w:ascii="Times New Roman" w:eastAsia="宋体" w:hAnsi="Times New Roman" w:cs="Times New Roman"/>
                <w:bCs/>
                <w:sz w:val="21"/>
                <w:szCs w:val="21"/>
              </w:rPr>
            </w:pPr>
            <w:r w:rsidRPr="00FE59CF">
              <w:rPr>
                <w:rFonts w:ascii="Times New Roman" w:hAnsi="Times New Roman" w:cs="Times New Roman"/>
                <w:color w:val="000000"/>
                <w:sz w:val="21"/>
                <w:szCs w:val="21"/>
              </w:rPr>
              <w:t>4.307</w:t>
            </w:r>
          </w:p>
        </w:tc>
        <w:tc>
          <w:tcPr>
            <w:tcW w:w="763" w:type="pct"/>
            <w:vAlign w:val="center"/>
          </w:tcPr>
          <w:p w14:paraId="28F8B4EC" w14:textId="46C3FE53" w:rsidR="00A4271D" w:rsidRPr="00FE59CF" w:rsidRDefault="00A4271D" w:rsidP="00A4271D">
            <w:pPr>
              <w:pStyle w:val="af0"/>
              <w:spacing w:line="240" w:lineRule="atLeast"/>
              <w:jc w:val="center"/>
              <w:rPr>
                <w:rFonts w:ascii="Times New Roman" w:eastAsia="宋体" w:hAnsi="Times New Roman" w:cs="Times New Roman"/>
                <w:bCs/>
                <w:sz w:val="21"/>
                <w:szCs w:val="21"/>
              </w:rPr>
            </w:pPr>
            <w:r w:rsidRPr="00FE59CF">
              <w:rPr>
                <w:rFonts w:ascii="Times New Roman" w:hAnsi="Times New Roman" w:cs="Times New Roman"/>
                <w:color w:val="000000"/>
                <w:sz w:val="21"/>
                <w:szCs w:val="21"/>
              </w:rPr>
              <w:t>9</w:t>
            </w:r>
          </w:p>
        </w:tc>
      </w:tr>
      <w:tr w:rsidR="00A4271D" w:rsidRPr="00FE59CF" w14:paraId="76FC2C14" w14:textId="77777777" w:rsidTr="00522153">
        <w:trPr>
          <w:trHeight w:val="283"/>
        </w:trPr>
        <w:tc>
          <w:tcPr>
            <w:tcW w:w="3039" w:type="pct"/>
            <w:vAlign w:val="bottom"/>
          </w:tcPr>
          <w:p w14:paraId="5537DB31" w14:textId="5A5A803E" w:rsidR="00A4271D" w:rsidRPr="00FE59CF" w:rsidRDefault="00A4271D" w:rsidP="00A4271D">
            <w:pPr>
              <w:pStyle w:val="af0"/>
              <w:spacing w:line="240" w:lineRule="atLeast"/>
              <w:jc w:val="center"/>
              <w:rPr>
                <w:rFonts w:cs="Times New Roman"/>
                <w:sz w:val="21"/>
                <w:szCs w:val="21"/>
              </w:rPr>
            </w:pPr>
            <w:r w:rsidRPr="00FE59CF">
              <w:rPr>
                <w:rFonts w:hint="eastAsia"/>
                <w:b/>
                <w:bCs/>
                <w:color w:val="000000"/>
                <w:sz w:val="21"/>
                <w:szCs w:val="21"/>
              </w:rPr>
              <w:t>交流要素</w:t>
            </w:r>
          </w:p>
        </w:tc>
        <w:tc>
          <w:tcPr>
            <w:tcW w:w="1198" w:type="pct"/>
            <w:vAlign w:val="center"/>
          </w:tcPr>
          <w:p w14:paraId="5AE0C9EE" w14:textId="77777777" w:rsidR="00A4271D" w:rsidRPr="00FE59CF" w:rsidRDefault="00A4271D" w:rsidP="00A4271D">
            <w:pPr>
              <w:pStyle w:val="af0"/>
              <w:spacing w:line="240" w:lineRule="atLeast"/>
              <w:jc w:val="center"/>
              <w:rPr>
                <w:rFonts w:ascii="Times New Roman" w:eastAsia="宋体" w:hAnsi="Times New Roman" w:cs="Times New Roman"/>
                <w:bCs/>
                <w:sz w:val="21"/>
                <w:szCs w:val="21"/>
              </w:rPr>
            </w:pPr>
          </w:p>
        </w:tc>
        <w:tc>
          <w:tcPr>
            <w:tcW w:w="763" w:type="pct"/>
            <w:vAlign w:val="center"/>
          </w:tcPr>
          <w:p w14:paraId="7CAF9536" w14:textId="77777777" w:rsidR="00A4271D" w:rsidRPr="00FE59CF" w:rsidRDefault="00A4271D" w:rsidP="00A4271D">
            <w:pPr>
              <w:pStyle w:val="af0"/>
              <w:spacing w:line="240" w:lineRule="atLeast"/>
              <w:jc w:val="center"/>
              <w:rPr>
                <w:rFonts w:ascii="Times New Roman" w:eastAsia="宋体" w:hAnsi="Times New Roman" w:cs="Times New Roman"/>
                <w:bCs/>
                <w:sz w:val="21"/>
                <w:szCs w:val="21"/>
              </w:rPr>
            </w:pPr>
          </w:p>
        </w:tc>
      </w:tr>
      <w:tr w:rsidR="00A4271D" w:rsidRPr="00FE59CF" w14:paraId="1B7CC570" w14:textId="77777777" w:rsidTr="00522153">
        <w:trPr>
          <w:trHeight w:val="283"/>
        </w:trPr>
        <w:tc>
          <w:tcPr>
            <w:tcW w:w="3039" w:type="pct"/>
            <w:vAlign w:val="center"/>
          </w:tcPr>
          <w:p w14:paraId="6A8EA2A3" w14:textId="2CF415AC" w:rsidR="00A4271D" w:rsidRPr="00FE59CF" w:rsidRDefault="00A4271D" w:rsidP="00A4271D">
            <w:pPr>
              <w:pStyle w:val="af0"/>
              <w:spacing w:line="240" w:lineRule="atLeast"/>
              <w:rPr>
                <w:rFonts w:cs="Times New Roman"/>
                <w:sz w:val="21"/>
                <w:szCs w:val="21"/>
              </w:rPr>
            </w:pPr>
            <w:r w:rsidRPr="00FE59CF">
              <w:rPr>
                <w:rFonts w:hint="eastAsia"/>
                <w:color w:val="000000"/>
                <w:sz w:val="21"/>
                <w:szCs w:val="21"/>
              </w:rPr>
              <w:t>相互间有开放的氛围，鼓励信息分享</w:t>
            </w:r>
          </w:p>
        </w:tc>
        <w:tc>
          <w:tcPr>
            <w:tcW w:w="1198" w:type="pct"/>
            <w:vAlign w:val="center"/>
          </w:tcPr>
          <w:p w14:paraId="7D023129" w14:textId="193F01DC" w:rsidR="00A4271D" w:rsidRPr="00FE59CF" w:rsidRDefault="00A4271D" w:rsidP="00A4271D">
            <w:pPr>
              <w:pStyle w:val="af0"/>
              <w:spacing w:line="240" w:lineRule="atLeast"/>
              <w:jc w:val="center"/>
              <w:rPr>
                <w:rFonts w:ascii="Times New Roman" w:eastAsia="宋体" w:hAnsi="Times New Roman" w:cs="Times New Roman"/>
                <w:bCs/>
                <w:sz w:val="21"/>
                <w:szCs w:val="21"/>
              </w:rPr>
            </w:pPr>
            <w:r w:rsidRPr="00FE59CF">
              <w:rPr>
                <w:rFonts w:ascii="Times New Roman" w:hAnsi="Times New Roman" w:cs="Times New Roman"/>
                <w:color w:val="000000"/>
                <w:sz w:val="21"/>
                <w:szCs w:val="21"/>
              </w:rPr>
              <w:t>4.358</w:t>
            </w:r>
          </w:p>
        </w:tc>
        <w:tc>
          <w:tcPr>
            <w:tcW w:w="763" w:type="pct"/>
            <w:vAlign w:val="center"/>
          </w:tcPr>
          <w:p w14:paraId="5824EBF4" w14:textId="3698D262" w:rsidR="00A4271D" w:rsidRPr="00FE59CF" w:rsidRDefault="00A4271D" w:rsidP="00A4271D">
            <w:pPr>
              <w:pStyle w:val="af0"/>
              <w:spacing w:line="240" w:lineRule="atLeast"/>
              <w:jc w:val="center"/>
              <w:rPr>
                <w:rFonts w:ascii="Times New Roman" w:eastAsia="宋体" w:hAnsi="Times New Roman" w:cs="Times New Roman"/>
                <w:bCs/>
                <w:sz w:val="21"/>
                <w:szCs w:val="21"/>
              </w:rPr>
            </w:pPr>
            <w:r w:rsidRPr="00FE59CF">
              <w:rPr>
                <w:rFonts w:ascii="Times New Roman" w:hAnsi="Times New Roman" w:cs="Times New Roman"/>
                <w:color w:val="000000"/>
                <w:sz w:val="21"/>
                <w:szCs w:val="21"/>
              </w:rPr>
              <w:t>4</w:t>
            </w:r>
          </w:p>
        </w:tc>
      </w:tr>
      <w:tr w:rsidR="00A4271D" w:rsidRPr="00FE59CF" w14:paraId="1E53985F" w14:textId="77777777" w:rsidTr="00522153">
        <w:trPr>
          <w:trHeight w:val="283"/>
        </w:trPr>
        <w:tc>
          <w:tcPr>
            <w:tcW w:w="3039" w:type="pct"/>
            <w:vAlign w:val="center"/>
          </w:tcPr>
          <w:p w14:paraId="3D8D70B5" w14:textId="2AF0308B" w:rsidR="00A4271D" w:rsidRPr="00FE59CF" w:rsidRDefault="00A4271D" w:rsidP="00A4271D">
            <w:pPr>
              <w:pStyle w:val="af0"/>
              <w:spacing w:line="240" w:lineRule="atLeast"/>
              <w:rPr>
                <w:rFonts w:cs="Times New Roman"/>
                <w:sz w:val="21"/>
                <w:szCs w:val="21"/>
              </w:rPr>
            </w:pPr>
            <w:r w:rsidRPr="00FE59CF">
              <w:rPr>
                <w:rFonts w:hint="eastAsia"/>
                <w:color w:val="000000"/>
                <w:sz w:val="21"/>
                <w:szCs w:val="21"/>
              </w:rPr>
              <w:t>相互间信息反馈迅速，能够及时调控项目活动</w:t>
            </w:r>
          </w:p>
        </w:tc>
        <w:tc>
          <w:tcPr>
            <w:tcW w:w="1198" w:type="pct"/>
            <w:vAlign w:val="center"/>
          </w:tcPr>
          <w:p w14:paraId="7629A35F" w14:textId="2137107E" w:rsidR="00A4271D" w:rsidRPr="00FE59CF" w:rsidRDefault="00A4271D" w:rsidP="00A4271D">
            <w:pPr>
              <w:pStyle w:val="af0"/>
              <w:spacing w:line="240" w:lineRule="atLeast"/>
              <w:jc w:val="center"/>
              <w:rPr>
                <w:rFonts w:ascii="Times New Roman" w:eastAsia="宋体" w:hAnsi="Times New Roman" w:cs="Times New Roman"/>
                <w:bCs/>
                <w:sz w:val="21"/>
                <w:szCs w:val="21"/>
              </w:rPr>
            </w:pPr>
            <w:r w:rsidRPr="00FE59CF">
              <w:rPr>
                <w:rFonts w:ascii="Times New Roman" w:hAnsi="Times New Roman" w:cs="Times New Roman"/>
                <w:color w:val="000000"/>
                <w:sz w:val="21"/>
                <w:szCs w:val="21"/>
              </w:rPr>
              <w:t>4.345</w:t>
            </w:r>
          </w:p>
        </w:tc>
        <w:tc>
          <w:tcPr>
            <w:tcW w:w="763" w:type="pct"/>
            <w:vAlign w:val="center"/>
          </w:tcPr>
          <w:p w14:paraId="366D68A0" w14:textId="1FCBC61B" w:rsidR="00A4271D" w:rsidRPr="00FE59CF" w:rsidRDefault="00A4271D" w:rsidP="00A4271D">
            <w:pPr>
              <w:pStyle w:val="af0"/>
              <w:spacing w:line="240" w:lineRule="atLeast"/>
              <w:jc w:val="center"/>
              <w:rPr>
                <w:rFonts w:ascii="Times New Roman" w:eastAsia="宋体" w:hAnsi="Times New Roman" w:cs="Times New Roman"/>
                <w:bCs/>
                <w:sz w:val="21"/>
                <w:szCs w:val="21"/>
              </w:rPr>
            </w:pPr>
            <w:r w:rsidRPr="00FE59CF">
              <w:rPr>
                <w:rFonts w:ascii="Times New Roman" w:hAnsi="Times New Roman" w:cs="Times New Roman"/>
                <w:color w:val="000000"/>
                <w:sz w:val="21"/>
                <w:szCs w:val="21"/>
              </w:rPr>
              <w:t>5</w:t>
            </w:r>
          </w:p>
        </w:tc>
      </w:tr>
      <w:tr w:rsidR="00A4271D" w:rsidRPr="00FE59CF" w14:paraId="4EEBCD8E" w14:textId="77777777" w:rsidTr="00522153">
        <w:trPr>
          <w:trHeight w:val="283"/>
        </w:trPr>
        <w:tc>
          <w:tcPr>
            <w:tcW w:w="3039" w:type="pct"/>
            <w:vAlign w:val="center"/>
          </w:tcPr>
          <w:p w14:paraId="0C8FEF2A" w14:textId="5B82FBCB" w:rsidR="00A4271D" w:rsidRPr="00FE59CF" w:rsidRDefault="00A4271D" w:rsidP="00A4271D">
            <w:pPr>
              <w:pStyle w:val="af0"/>
              <w:spacing w:line="240" w:lineRule="atLeast"/>
              <w:rPr>
                <w:rFonts w:cs="Times New Roman"/>
                <w:sz w:val="21"/>
                <w:szCs w:val="21"/>
              </w:rPr>
            </w:pPr>
            <w:r w:rsidRPr="00FE59CF">
              <w:rPr>
                <w:rFonts w:hint="eastAsia"/>
                <w:color w:val="000000"/>
                <w:sz w:val="21"/>
                <w:szCs w:val="21"/>
              </w:rPr>
              <w:t>相互间建立有完善有效的问题解决机制</w:t>
            </w:r>
          </w:p>
        </w:tc>
        <w:tc>
          <w:tcPr>
            <w:tcW w:w="1198" w:type="pct"/>
            <w:vAlign w:val="center"/>
          </w:tcPr>
          <w:p w14:paraId="08D6E79E" w14:textId="588074C2" w:rsidR="00A4271D" w:rsidRPr="00FE59CF" w:rsidRDefault="00A4271D" w:rsidP="00A4271D">
            <w:pPr>
              <w:pStyle w:val="af0"/>
              <w:spacing w:line="240" w:lineRule="atLeast"/>
              <w:jc w:val="center"/>
              <w:rPr>
                <w:rFonts w:ascii="Times New Roman" w:eastAsia="宋体" w:hAnsi="Times New Roman" w:cs="Times New Roman"/>
                <w:bCs/>
                <w:sz w:val="21"/>
                <w:szCs w:val="21"/>
              </w:rPr>
            </w:pPr>
            <w:r w:rsidRPr="00FE59CF">
              <w:rPr>
                <w:rFonts w:ascii="Times New Roman" w:hAnsi="Times New Roman" w:cs="Times New Roman"/>
                <w:color w:val="000000"/>
                <w:sz w:val="21"/>
                <w:szCs w:val="21"/>
              </w:rPr>
              <w:t>4.328</w:t>
            </w:r>
          </w:p>
        </w:tc>
        <w:tc>
          <w:tcPr>
            <w:tcW w:w="763" w:type="pct"/>
            <w:vAlign w:val="center"/>
          </w:tcPr>
          <w:p w14:paraId="37804535" w14:textId="677BBEBE" w:rsidR="00A4271D" w:rsidRPr="00FE59CF" w:rsidRDefault="00A4271D" w:rsidP="00A4271D">
            <w:pPr>
              <w:pStyle w:val="af0"/>
              <w:spacing w:line="240" w:lineRule="atLeast"/>
              <w:jc w:val="center"/>
              <w:rPr>
                <w:rFonts w:ascii="Times New Roman" w:eastAsia="宋体" w:hAnsi="Times New Roman" w:cs="Times New Roman"/>
                <w:bCs/>
                <w:sz w:val="21"/>
                <w:szCs w:val="21"/>
              </w:rPr>
            </w:pPr>
            <w:r w:rsidRPr="00FE59CF">
              <w:rPr>
                <w:rFonts w:ascii="Times New Roman" w:hAnsi="Times New Roman" w:cs="Times New Roman"/>
                <w:color w:val="000000"/>
                <w:sz w:val="21"/>
                <w:szCs w:val="21"/>
              </w:rPr>
              <w:t>7</w:t>
            </w:r>
          </w:p>
        </w:tc>
      </w:tr>
      <w:tr w:rsidR="00A4271D" w:rsidRPr="00FE59CF" w14:paraId="4E7985E7" w14:textId="77777777" w:rsidTr="00522153">
        <w:trPr>
          <w:trHeight w:val="283"/>
        </w:trPr>
        <w:tc>
          <w:tcPr>
            <w:tcW w:w="3039" w:type="pct"/>
            <w:vAlign w:val="center"/>
          </w:tcPr>
          <w:p w14:paraId="054B8FF7" w14:textId="4B027688" w:rsidR="00A4271D" w:rsidRPr="00FE59CF" w:rsidRDefault="00A4271D" w:rsidP="00A4271D">
            <w:pPr>
              <w:pStyle w:val="af0"/>
              <w:spacing w:line="240" w:lineRule="atLeast"/>
              <w:rPr>
                <w:rFonts w:ascii="Times New Roman" w:eastAsia="宋体" w:hAnsi="Times New Roman"/>
                <w:bCs/>
                <w:sz w:val="21"/>
                <w:szCs w:val="21"/>
              </w:rPr>
            </w:pPr>
            <w:r w:rsidRPr="00FE59CF">
              <w:rPr>
                <w:rFonts w:hint="eastAsia"/>
                <w:color w:val="000000"/>
                <w:sz w:val="21"/>
                <w:szCs w:val="21"/>
              </w:rPr>
              <w:t>相互间有多元信息沟通渠道与平台，沟通高效</w:t>
            </w:r>
          </w:p>
        </w:tc>
        <w:tc>
          <w:tcPr>
            <w:tcW w:w="1198" w:type="pct"/>
            <w:vAlign w:val="center"/>
          </w:tcPr>
          <w:p w14:paraId="3EDE9AD9" w14:textId="1313EB7F" w:rsidR="00A4271D" w:rsidRPr="00FE59CF" w:rsidRDefault="00A4271D" w:rsidP="00A4271D">
            <w:pPr>
              <w:pStyle w:val="af0"/>
              <w:spacing w:line="240" w:lineRule="atLeast"/>
              <w:jc w:val="center"/>
              <w:rPr>
                <w:rFonts w:ascii="Times New Roman" w:eastAsia="宋体" w:hAnsi="Times New Roman" w:cs="Times New Roman"/>
                <w:bCs/>
                <w:sz w:val="21"/>
                <w:szCs w:val="21"/>
              </w:rPr>
            </w:pPr>
            <w:r w:rsidRPr="00FE59CF">
              <w:rPr>
                <w:rFonts w:ascii="Times New Roman" w:hAnsi="Times New Roman" w:cs="Times New Roman"/>
                <w:color w:val="000000"/>
                <w:sz w:val="21"/>
                <w:szCs w:val="21"/>
              </w:rPr>
              <w:t>4.314</w:t>
            </w:r>
          </w:p>
        </w:tc>
        <w:tc>
          <w:tcPr>
            <w:tcW w:w="763" w:type="pct"/>
            <w:vAlign w:val="center"/>
          </w:tcPr>
          <w:p w14:paraId="7CE73F6F" w14:textId="796BE0B6" w:rsidR="00A4271D" w:rsidRPr="00FE59CF" w:rsidRDefault="00A4271D" w:rsidP="00A4271D">
            <w:pPr>
              <w:pStyle w:val="af0"/>
              <w:spacing w:line="240" w:lineRule="atLeast"/>
              <w:jc w:val="center"/>
              <w:rPr>
                <w:rFonts w:ascii="Times New Roman" w:eastAsia="宋体" w:hAnsi="Times New Roman" w:cs="Times New Roman"/>
                <w:bCs/>
                <w:sz w:val="21"/>
                <w:szCs w:val="21"/>
              </w:rPr>
            </w:pPr>
            <w:r w:rsidRPr="00FE59CF">
              <w:rPr>
                <w:rFonts w:ascii="Times New Roman" w:hAnsi="Times New Roman" w:cs="Times New Roman"/>
                <w:color w:val="000000"/>
                <w:sz w:val="21"/>
                <w:szCs w:val="21"/>
              </w:rPr>
              <w:t>8</w:t>
            </w:r>
          </w:p>
        </w:tc>
      </w:tr>
      <w:tr w:rsidR="00A4271D" w:rsidRPr="00FE59CF" w14:paraId="0E3A857D" w14:textId="77777777" w:rsidTr="00522153">
        <w:trPr>
          <w:trHeight w:val="283"/>
        </w:trPr>
        <w:tc>
          <w:tcPr>
            <w:tcW w:w="3039" w:type="pct"/>
            <w:vAlign w:val="center"/>
          </w:tcPr>
          <w:p w14:paraId="66D51248" w14:textId="388A2CCD" w:rsidR="00A4271D" w:rsidRPr="00FE59CF" w:rsidRDefault="00A4271D" w:rsidP="00A4271D">
            <w:pPr>
              <w:pStyle w:val="af0"/>
              <w:spacing w:line="240" w:lineRule="atLeast"/>
              <w:rPr>
                <w:rFonts w:cs="Times New Roman"/>
                <w:sz w:val="21"/>
                <w:szCs w:val="21"/>
              </w:rPr>
            </w:pPr>
            <w:r w:rsidRPr="00FE59CF">
              <w:rPr>
                <w:rFonts w:hint="eastAsia"/>
                <w:color w:val="000000"/>
                <w:sz w:val="21"/>
                <w:szCs w:val="21"/>
              </w:rPr>
              <w:t>相互间协作默契</w:t>
            </w:r>
          </w:p>
        </w:tc>
        <w:tc>
          <w:tcPr>
            <w:tcW w:w="1198" w:type="pct"/>
            <w:vAlign w:val="center"/>
          </w:tcPr>
          <w:p w14:paraId="172B3A10" w14:textId="7E3E0FD2" w:rsidR="00A4271D" w:rsidRPr="00FE59CF" w:rsidRDefault="00A4271D" w:rsidP="00A4271D">
            <w:pPr>
              <w:pStyle w:val="af0"/>
              <w:spacing w:line="240" w:lineRule="atLeast"/>
              <w:jc w:val="center"/>
              <w:rPr>
                <w:rFonts w:ascii="Times New Roman" w:eastAsia="宋体" w:hAnsi="Times New Roman" w:cs="Times New Roman"/>
                <w:bCs/>
                <w:sz w:val="21"/>
                <w:szCs w:val="21"/>
              </w:rPr>
            </w:pPr>
            <w:r w:rsidRPr="00FE59CF">
              <w:rPr>
                <w:rFonts w:ascii="Times New Roman" w:hAnsi="Times New Roman" w:cs="Times New Roman"/>
                <w:color w:val="000000"/>
                <w:sz w:val="21"/>
                <w:szCs w:val="21"/>
              </w:rPr>
              <w:t>4.273</w:t>
            </w:r>
          </w:p>
        </w:tc>
        <w:tc>
          <w:tcPr>
            <w:tcW w:w="763" w:type="pct"/>
            <w:vAlign w:val="center"/>
          </w:tcPr>
          <w:p w14:paraId="705F2C7C" w14:textId="3A98A545" w:rsidR="00A4271D" w:rsidRPr="00FE59CF" w:rsidRDefault="00A4271D" w:rsidP="00A4271D">
            <w:pPr>
              <w:pStyle w:val="af0"/>
              <w:spacing w:line="240" w:lineRule="atLeast"/>
              <w:jc w:val="center"/>
              <w:rPr>
                <w:rFonts w:ascii="Times New Roman" w:eastAsia="宋体" w:hAnsi="Times New Roman" w:cs="Times New Roman"/>
                <w:bCs/>
                <w:sz w:val="21"/>
                <w:szCs w:val="21"/>
              </w:rPr>
            </w:pPr>
            <w:r w:rsidRPr="00FE59CF">
              <w:rPr>
                <w:rFonts w:ascii="Times New Roman" w:hAnsi="Times New Roman" w:cs="Times New Roman"/>
                <w:color w:val="000000"/>
                <w:sz w:val="21"/>
                <w:szCs w:val="21"/>
              </w:rPr>
              <w:t>10</w:t>
            </w:r>
          </w:p>
        </w:tc>
      </w:tr>
      <w:tr w:rsidR="00A4271D" w:rsidRPr="00FE59CF" w14:paraId="0FE12365" w14:textId="77777777" w:rsidTr="00522153">
        <w:trPr>
          <w:cnfStyle w:val="010000000000" w:firstRow="0" w:lastRow="1" w:firstColumn="0" w:lastColumn="0" w:oddVBand="0" w:evenVBand="0" w:oddHBand="0" w:evenHBand="0" w:firstRowFirstColumn="0" w:firstRowLastColumn="0" w:lastRowFirstColumn="0" w:lastRowLastColumn="0"/>
          <w:trHeight w:val="283"/>
        </w:trPr>
        <w:tc>
          <w:tcPr>
            <w:tcW w:w="3039" w:type="pct"/>
            <w:vAlign w:val="center"/>
            <w:hideMark/>
          </w:tcPr>
          <w:p w14:paraId="34AD0585" w14:textId="77777777" w:rsidR="00A4271D" w:rsidRPr="00FE59CF" w:rsidRDefault="00A4271D" w:rsidP="00A4271D">
            <w:pPr>
              <w:pStyle w:val="af0"/>
              <w:spacing w:line="240" w:lineRule="atLeast"/>
              <w:jc w:val="center"/>
              <w:rPr>
                <w:rFonts w:ascii="Times New Roman" w:eastAsia="宋体" w:hAnsi="Times New Roman"/>
                <w:bCs w:val="0"/>
                <w:sz w:val="21"/>
                <w:szCs w:val="21"/>
              </w:rPr>
            </w:pPr>
            <w:r w:rsidRPr="00FE59CF">
              <w:rPr>
                <w:rFonts w:ascii="Times New Roman" w:eastAsia="宋体" w:hAnsi="Times New Roman" w:hint="eastAsia"/>
                <w:bCs w:val="0"/>
                <w:sz w:val="21"/>
                <w:szCs w:val="21"/>
              </w:rPr>
              <w:t>均值</w:t>
            </w:r>
          </w:p>
        </w:tc>
        <w:tc>
          <w:tcPr>
            <w:tcW w:w="1198" w:type="pct"/>
            <w:vAlign w:val="center"/>
            <w:hideMark/>
          </w:tcPr>
          <w:p w14:paraId="6CB98333" w14:textId="32C4CB0A" w:rsidR="00A4271D" w:rsidRPr="00FE59CF" w:rsidRDefault="00A4271D" w:rsidP="00A4271D">
            <w:pPr>
              <w:pStyle w:val="af0"/>
              <w:spacing w:line="240" w:lineRule="atLeast"/>
              <w:jc w:val="center"/>
              <w:rPr>
                <w:rFonts w:ascii="Times New Roman" w:eastAsia="宋体" w:hAnsi="Times New Roman" w:cs="Times New Roman"/>
                <w:bCs w:val="0"/>
                <w:sz w:val="21"/>
                <w:szCs w:val="21"/>
              </w:rPr>
            </w:pPr>
            <w:r w:rsidRPr="00FE59CF">
              <w:rPr>
                <w:rFonts w:ascii="Times New Roman" w:hAnsi="Times New Roman" w:cs="Times New Roman"/>
                <w:color w:val="000000"/>
                <w:sz w:val="21"/>
                <w:szCs w:val="21"/>
              </w:rPr>
              <w:t>4.342</w:t>
            </w:r>
          </w:p>
        </w:tc>
        <w:tc>
          <w:tcPr>
            <w:tcW w:w="763" w:type="pct"/>
            <w:vAlign w:val="center"/>
            <w:hideMark/>
          </w:tcPr>
          <w:p w14:paraId="23EB2B19" w14:textId="77777777" w:rsidR="00A4271D" w:rsidRPr="00FE59CF" w:rsidRDefault="00A4271D" w:rsidP="00A4271D">
            <w:pPr>
              <w:pStyle w:val="af0"/>
              <w:spacing w:line="240" w:lineRule="atLeast"/>
              <w:jc w:val="center"/>
              <w:rPr>
                <w:rFonts w:ascii="Times New Roman" w:eastAsia="宋体" w:hAnsi="Times New Roman" w:cs="Times New Roman"/>
                <w:bCs w:val="0"/>
                <w:sz w:val="21"/>
                <w:szCs w:val="21"/>
              </w:rPr>
            </w:pPr>
            <w:r w:rsidRPr="00FE59CF">
              <w:rPr>
                <w:rFonts w:ascii="Times New Roman" w:eastAsia="宋体" w:hAnsi="Times New Roman" w:cs="Times New Roman"/>
                <w:bCs w:val="0"/>
                <w:sz w:val="21"/>
                <w:szCs w:val="21"/>
              </w:rPr>
              <w:t>-</w:t>
            </w:r>
          </w:p>
        </w:tc>
      </w:tr>
    </w:tbl>
    <w:p w14:paraId="17168880" w14:textId="77B8A8D3" w:rsidR="00A4271D" w:rsidRPr="00A4271D" w:rsidRDefault="00A4271D" w:rsidP="00A4271D">
      <w:pPr>
        <w:spacing w:beforeLines="50" w:before="156"/>
        <w:ind w:firstLine="420"/>
      </w:pPr>
      <w:r w:rsidRPr="00C35659">
        <w:rPr>
          <w:rFonts w:hint="eastAsia"/>
        </w:rPr>
        <w:t>如</w:t>
      </w:r>
      <w:r>
        <w:fldChar w:fldCharType="begin"/>
      </w:r>
      <w:r>
        <w:instrText xml:space="preserve"> </w:instrText>
      </w:r>
      <w:r>
        <w:rPr>
          <w:rFonts w:hint="eastAsia"/>
        </w:rPr>
        <w:instrText>REF _Ref200169093 \h</w:instrText>
      </w:r>
      <w:r>
        <w:instrText xml:space="preserve"> </w:instrText>
      </w:r>
      <w:r>
        <w:fldChar w:fldCharType="separate"/>
      </w:r>
      <w:r w:rsidR="000F2689">
        <w:rPr>
          <w:rFonts w:hint="eastAsia"/>
        </w:rPr>
        <w:t>表</w:t>
      </w:r>
      <w:r w:rsidR="000F2689">
        <w:rPr>
          <w:rFonts w:hint="eastAsia"/>
        </w:rPr>
        <w:t xml:space="preserve"> </w:t>
      </w:r>
      <w:r w:rsidR="000F2689">
        <w:rPr>
          <w:noProof/>
        </w:rPr>
        <w:t>6</w:t>
      </w:r>
      <w:r>
        <w:fldChar w:fldCharType="end"/>
      </w:r>
      <w:r w:rsidRPr="00C35659">
        <w:rPr>
          <w:rFonts w:hint="eastAsia"/>
        </w:rPr>
        <w:t>所示</w:t>
      </w:r>
      <w:r>
        <w:rPr>
          <w:rFonts w:hint="eastAsia"/>
        </w:rPr>
        <w:t>，清洁能源基地开发过程中各方间建立了良好的伙伴关系。态度要素方面，清洁能源基地利益相关方</w:t>
      </w:r>
      <w:r>
        <w:t>在开发目标上达成</w:t>
      </w:r>
      <w:r>
        <w:rPr>
          <w:rFonts w:hint="eastAsia"/>
        </w:rPr>
        <w:t>了</w:t>
      </w:r>
      <w:r>
        <w:t>共识</w:t>
      </w:r>
      <w:r>
        <w:rPr>
          <w:rFonts w:hint="eastAsia"/>
        </w:rPr>
        <w:t>，并构建</w:t>
      </w:r>
      <w:r>
        <w:rPr>
          <w:rFonts w:hint="eastAsia"/>
        </w:rPr>
        <w:lastRenderedPageBreak/>
        <w:t>了信任关系。其中，</w:t>
      </w:r>
      <w:r>
        <w:rPr>
          <w:rFonts w:hint="eastAsia"/>
          <w:color w:val="000000"/>
        </w:rPr>
        <w:t>“各方相互信任”得分较低，反映出</w:t>
      </w:r>
      <w:r w:rsidRPr="00F9407F">
        <w:rPr>
          <w:rFonts w:hint="eastAsia"/>
          <w:color w:val="000000"/>
        </w:rPr>
        <w:t>尽管整体合作氛围良好，</w:t>
      </w:r>
      <w:r>
        <w:rPr>
          <w:rFonts w:hint="eastAsia"/>
          <w:color w:val="000000"/>
        </w:rPr>
        <w:t>仍需进一步提升信任水平。</w:t>
      </w:r>
      <w:r>
        <w:rPr>
          <w:rFonts w:hint="eastAsia"/>
        </w:rPr>
        <w:t>交流要素方面，</w:t>
      </w:r>
      <w:r w:rsidRPr="00747A8E">
        <w:rPr>
          <w:rFonts w:hint="eastAsia"/>
        </w:rPr>
        <w:t>清洁能源基地</w:t>
      </w:r>
      <w:r>
        <w:rPr>
          <w:rFonts w:hint="eastAsia"/>
        </w:rPr>
        <w:t>各方</w:t>
      </w:r>
      <w:r w:rsidRPr="00747A8E">
        <w:rPr>
          <w:rFonts w:hint="eastAsia"/>
        </w:rPr>
        <w:t>在信息共享、问题解决和沟通方面表现良好。</w:t>
      </w:r>
      <w:r>
        <w:rPr>
          <w:rFonts w:hint="eastAsia"/>
        </w:rPr>
        <w:t>其中，</w:t>
      </w:r>
      <w:r>
        <w:rPr>
          <w:rFonts w:hint="eastAsia"/>
          <w:color w:val="000000"/>
        </w:rPr>
        <w:t>“相互间协作默契”得分最低，表明</w:t>
      </w:r>
      <w:r w:rsidRPr="00073CD1">
        <w:rPr>
          <w:rFonts w:hint="eastAsia"/>
          <w:color w:val="000000"/>
        </w:rPr>
        <w:t>清洁能源基地</w:t>
      </w:r>
      <w:r>
        <w:rPr>
          <w:rFonts w:hint="eastAsia"/>
          <w:color w:val="000000"/>
        </w:rPr>
        <w:t>各方协作仍需磨合，默契程度有待提升。</w:t>
      </w:r>
    </w:p>
    <w:p w14:paraId="5ABBE1DA" w14:textId="645D7C32" w:rsidR="001861F8" w:rsidRPr="001861F8" w:rsidRDefault="007445F2" w:rsidP="001861F8">
      <w:pPr>
        <w:pStyle w:val="2"/>
      </w:pPr>
      <w:r w:rsidRPr="007445F2">
        <w:rPr>
          <w:rFonts w:hint="eastAsia"/>
        </w:rPr>
        <w:t>清洁能源基地实施情况</w:t>
      </w:r>
    </w:p>
    <w:p w14:paraId="62090524" w14:textId="615988F4" w:rsidR="003D4BEB" w:rsidRPr="00BB7CE2" w:rsidRDefault="007445F2" w:rsidP="003D4BEB">
      <w:pPr>
        <w:ind w:firstLine="420"/>
      </w:pPr>
      <w:r w:rsidRPr="007445F2">
        <w:rPr>
          <w:rFonts w:hint="eastAsia"/>
        </w:rPr>
        <w:t>清洁能源基地实施情况</w:t>
      </w:r>
      <w:r w:rsidR="003D4BEB" w:rsidRPr="00C35659">
        <w:rPr>
          <w:rFonts w:hint="eastAsia"/>
        </w:rPr>
        <w:t>如</w:t>
      </w:r>
      <w:r w:rsidR="003D4BEB">
        <w:fldChar w:fldCharType="begin"/>
      </w:r>
      <w:r w:rsidR="003D4BEB">
        <w:instrText xml:space="preserve"> </w:instrText>
      </w:r>
      <w:r w:rsidR="003D4BEB">
        <w:rPr>
          <w:rFonts w:hint="eastAsia"/>
        </w:rPr>
        <w:instrText>REF _Ref174347537 \h</w:instrText>
      </w:r>
      <w:r w:rsidR="003D4BEB">
        <w:instrText xml:space="preserve"> </w:instrText>
      </w:r>
      <w:r w:rsidR="003D4BEB">
        <w:fldChar w:fldCharType="separate"/>
      </w:r>
      <w:r w:rsidR="000F2689">
        <w:rPr>
          <w:rFonts w:hint="eastAsia"/>
        </w:rPr>
        <w:t>表</w:t>
      </w:r>
      <w:r w:rsidR="000F2689">
        <w:rPr>
          <w:rFonts w:hint="eastAsia"/>
        </w:rPr>
        <w:t xml:space="preserve"> </w:t>
      </w:r>
      <w:r w:rsidR="000F2689">
        <w:rPr>
          <w:noProof/>
        </w:rPr>
        <w:t>7</w:t>
      </w:r>
      <w:r w:rsidR="003D4BEB">
        <w:fldChar w:fldCharType="end"/>
      </w:r>
      <w:r w:rsidR="003D4BEB" w:rsidRPr="00C35659">
        <w:rPr>
          <w:rFonts w:hint="eastAsia"/>
        </w:rPr>
        <w:t>所示</w:t>
      </w:r>
      <w:r w:rsidR="003D4BEB">
        <w:rPr>
          <w:rFonts w:hint="eastAsia"/>
        </w:rPr>
        <w:t>，其中</w:t>
      </w:r>
      <w:r w:rsidRPr="00541135">
        <w:rPr>
          <w:rFonts w:hint="eastAsia"/>
        </w:rPr>
        <w:t>，</w:t>
      </w:r>
      <w:r w:rsidRPr="00541135">
        <w:rPr>
          <w:rFonts w:hint="eastAsia"/>
        </w:rPr>
        <w:t>1</w:t>
      </w:r>
      <w:r w:rsidRPr="00541135">
        <w:rPr>
          <w:rFonts w:hint="eastAsia"/>
        </w:rPr>
        <w:t>分表示</w:t>
      </w:r>
      <w:r>
        <w:rPr>
          <w:rFonts w:hint="eastAsia"/>
        </w:rPr>
        <w:t>很</w:t>
      </w:r>
      <w:r w:rsidRPr="00541135">
        <w:rPr>
          <w:rFonts w:hint="eastAsia"/>
        </w:rPr>
        <w:t>不符合，</w:t>
      </w:r>
      <w:r w:rsidRPr="00541135">
        <w:rPr>
          <w:rFonts w:hint="eastAsia"/>
        </w:rPr>
        <w:t>5</w:t>
      </w:r>
      <w:r w:rsidRPr="00541135">
        <w:rPr>
          <w:rFonts w:hint="eastAsia"/>
        </w:rPr>
        <w:t>分表示</w:t>
      </w:r>
      <w:r>
        <w:rPr>
          <w:rFonts w:hint="eastAsia"/>
        </w:rPr>
        <w:t>非常</w:t>
      </w:r>
      <w:r w:rsidRPr="00541135">
        <w:rPr>
          <w:rFonts w:hint="eastAsia"/>
        </w:rPr>
        <w:t>符合</w:t>
      </w:r>
      <w:r w:rsidR="003D4BEB">
        <w:rPr>
          <w:rFonts w:hint="eastAsia"/>
          <w:szCs w:val="21"/>
        </w:rPr>
        <w:t>。</w:t>
      </w:r>
    </w:p>
    <w:p w14:paraId="2A47B780" w14:textId="27D53BF8" w:rsidR="00304090" w:rsidRDefault="00304090" w:rsidP="00EB718D">
      <w:pPr>
        <w:pStyle w:val="afa"/>
        <w:keepNext/>
        <w:spacing w:beforeLines="50" w:before="156"/>
      </w:pPr>
      <w:bookmarkStart w:id="23" w:name="_Ref174347537"/>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0F2689">
        <w:rPr>
          <w:noProof/>
        </w:rPr>
        <w:t>7</w:t>
      </w:r>
      <w:r>
        <w:fldChar w:fldCharType="end"/>
      </w:r>
      <w:bookmarkEnd w:id="23"/>
      <w:r>
        <w:rPr>
          <w:rFonts w:hint="eastAsia"/>
        </w:rPr>
        <w:t xml:space="preserve"> </w:t>
      </w:r>
      <w:bookmarkStart w:id="24" w:name="_Toc198492794"/>
      <w:r w:rsidR="007445F2">
        <w:rPr>
          <w:rFonts w:hint="eastAsia"/>
        </w:rPr>
        <w:t>清洁能源基地实施情况</w:t>
      </w:r>
      <w:bookmarkEnd w:id="24"/>
    </w:p>
    <w:tbl>
      <w:tblPr>
        <w:tblStyle w:val="22"/>
        <w:tblW w:w="5000" w:type="pct"/>
        <w:tblLook w:val="0660" w:firstRow="1" w:lastRow="1" w:firstColumn="0" w:lastColumn="0" w:noHBand="1" w:noVBand="1"/>
      </w:tblPr>
      <w:tblGrid>
        <w:gridCol w:w="3261"/>
        <w:gridCol w:w="708"/>
        <w:gridCol w:w="665"/>
      </w:tblGrid>
      <w:tr w:rsidR="00F179A0" w:rsidRPr="007445F2" w14:paraId="3E0B3DD6" w14:textId="77777777" w:rsidTr="007445F2">
        <w:trPr>
          <w:cnfStyle w:val="100000000000" w:firstRow="1" w:lastRow="0" w:firstColumn="0" w:lastColumn="0" w:oddVBand="0" w:evenVBand="0" w:oddHBand="0" w:evenHBand="0" w:firstRowFirstColumn="0" w:firstRowLastColumn="0" w:lastRowFirstColumn="0" w:lastRowLastColumn="0"/>
          <w:trHeight w:val="283"/>
        </w:trPr>
        <w:tc>
          <w:tcPr>
            <w:tcW w:w="3519" w:type="pct"/>
            <w:vAlign w:val="center"/>
            <w:hideMark/>
          </w:tcPr>
          <w:p w14:paraId="4765B0E1" w14:textId="77777777" w:rsidR="00F179A0" w:rsidRPr="007445F2" w:rsidRDefault="00F179A0" w:rsidP="00D840F1">
            <w:pPr>
              <w:pStyle w:val="af0"/>
              <w:spacing w:line="240" w:lineRule="atLeast"/>
              <w:jc w:val="center"/>
              <w:rPr>
                <w:rFonts w:ascii="Times New Roman" w:eastAsia="宋体" w:hAnsi="Times New Roman"/>
                <w:bCs w:val="0"/>
                <w:sz w:val="21"/>
                <w:szCs w:val="21"/>
              </w:rPr>
            </w:pPr>
            <w:r w:rsidRPr="007445F2">
              <w:rPr>
                <w:rFonts w:ascii="Times New Roman" w:eastAsia="宋体" w:hAnsi="Times New Roman" w:hint="eastAsia"/>
                <w:bCs w:val="0"/>
                <w:sz w:val="21"/>
                <w:szCs w:val="21"/>
              </w:rPr>
              <w:t>指标</w:t>
            </w:r>
          </w:p>
        </w:tc>
        <w:tc>
          <w:tcPr>
            <w:tcW w:w="764" w:type="pct"/>
            <w:vAlign w:val="center"/>
            <w:hideMark/>
          </w:tcPr>
          <w:p w14:paraId="233F72AB" w14:textId="77777777" w:rsidR="00F179A0" w:rsidRPr="007445F2" w:rsidRDefault="00F179A0" w:rsidP="00D840F1">
            <w:pPr>
              <w:pStyle w:val="af0"/>
              <w:spacing w:line="240" w:lineRule="atLeast"/>
              <w:jc w:val="center"/>
              <w:rPr>
                <w:rFonts w:ascii="Times New Roman" w:eastAsia="宋体" w:hAnsi="Times New Roman"/>
                <w:bCs w:val="0"/>
                <w:sz w:val="21"/>
                <w:szCs w:val="21"/>
              </w:rPr>
            </w:pPr>
            <w:r w:rsidRPr="007445F2">
              <w:rPr>
                <w:rFonts w:ascii="Times New Roman" w:eastAsia="宋体" w:hAnsi="Times New Roman"/>
                <w:bCs w:val="0"/>
                <w:sz w:val="21"/>
                <w:szCs w:val="21"/>
              </w:rPr>
              <w:t>得分</w:t>
            </w:r>
          </w:p>
        </w:tc>
        <w:tc>
          <w:tcPr>
            <w:tcW w:w="718" w:type="pct"/>
            <w:vAlign w:val="center"/>
            <w:hideMark/>
          </w:tcPr>
          <w:p w14:paraId="541ED62C" w14:textId="77777777" w:rsidR="00F179A0" w:rsidRPr="007445F2" w:rsidRDefault="00F179A0" w:rsidP="00D840F1">
            <w:pPr>
              <w:pStyle w:val="af0"/>
              <w:spacing w:line="240" w:lineRule="atLeast"/>
              <w:jc w:val="center"/>
              <w:rPr>
                <w:rFonts w:ascii="Times New Roman" w:eastAsia="宋体" w:hAnsi="Times New Roman"/>
                <w:bCs w:val="0"/>
                <w:sz w:val="21"/>
                <w:szCs w:val="21"/>
              </w:rPr>
            </w:pPr>
            <w:r w:rsidRPr="007445F2">
              <w:rPr>
                <w:rFonts w:ascii="Times New Roman" w:eastAsia="宋体" w:hAnsi="Times New Roman"/>
                <w:bCs w:val="0"/>
                <w:sz w:val="21"/>
                <w:szCs w:val="21"/>
              </w:rPr>
              <w:t>排序</w:t>
            </w:r>
          </w:p>
        </w:tc>
      </w:tr>
      <w:tr w:rsidR="007445F2" w:rsidRPr="007445F2" w14:paraId="4B1190F6" w14:textId="77777777" w:rsidTr="007445F2">
        <w:trPr>
          <w:trHeight w:val="283"/>
        </w:trPr>
        <w:tc>
          <w:tcPr>
            <w:tcW w:w="3519" w:type="pct"/>
            <w:vAlign w:val="center"/>
          </w:tcPr>
          <w:p w14:paraId="50500B24" w14:textId="09477C5F" w:rsidR="007445F2" w:rsidRPr="007445F2" w:rsidRDefault="007445F2" w:rsidP="007445F2">
            <w:pPr>
              <w:pStyle w:val="af0"/>
              <w:spacing w:line="240" w:lineRule="atLeast"/>
              <w:jc w:val="center"/>
              <w:rPr>
                <w:rFonts w:ascii="Times New Roman" w:eastAsia="宋体" w:hAnsi="Times New Roman"/>
                <w:bCs/>
                <w:sz w:val="21"/>
                <w:szCs w:val="21"/>
              </w:rPr>
            </w:pPr>
            <w:r w:rsidRPr="007445F2">
              <w:rPr>
                <w:rFonts w:ascii="Times New Roman" w:eastAsia="宋体" w:hAnsi="Times New Roman" w:hint="eastAsia"/>
                <w:b/>
                <w:bCs/>
                <w:sz w:val="21"/>
                <w:szCs w:val="21"/>
              </w:rPr>
              <w:t>设计</w:t>
            </w:r>
          </w:p>
        </w:tc>
        <w:tc>
          <w:tcPr>
            <w:tcW w:w="764" w:type="pct"/>
            <w:vAlign w:val="center"/>
          </w:tcPr>
          <w:p w14:paraId="29C83A19" w14:textId="167AEFC7" w:rsidR="007445F2" w:rsidRPr="007445F2" w:rsidRDefault="007445F2" w:rsidP="007445F2">
            <w:pPr>
              <w:pStyle w:val="af0"/>
              <w:spacing w:line="240" w:lineRule="atLeast"/>
              <w:jc w:val="center"/>
              <w:rPr>
                <w:rFonts w:ascii="Times New Roman" w:eastAsia="宋体" w:hAnsi="Times New Roman"/>
                <w:bCs/>
                <w:sz w:val="21"/>
                <w:szCs w:val="21"/>
              </w:rPr>
            </w:pPr>
          </w:p>
        </w:tc>
        <w:tc>
          <w:tcPr>
            <w:tcW w:w="718" w:type="pct"/>
            <w:vAlign w:val="center"/>
          </w:tcPr>
          <w:p w14:paraId="016998A5" w14:textId="0D3A3284" w:rsidR="007445F2" w:rsidRPr="007445F2" w:rsidRDefault="007445F2" w:rsidP="007445F2">
            <w:pPr>
              <w:pStyle w:val="af0"/>
              <w:spacing w:line="240" w:lineRule="atLeast"/>
              <w:jc w:val="center"/>
              <w:rPr>
                <w:rFonts w:ascii="Times New Roman" w:eastAsia="宋体" w:hAnsi="Times New Roman"/>
                <w:bCs/>
                <w:sz w:val="21"/>
                <w:szCs w:val="21"/>
              </w:rPr>
            </w:pPr>
          </w:p>
        </w:tc>
      </w:tr>
      <w:tr w:rsidR="007445F2" w:rsidRPr="007445F2" w14:paraId="44BCE576" w14:textId="77777777" w:rsidTr="007445F2">
        <w:trPr>
          <w:trHeight w:val="283"/>
        </w:trPr>
        <w:tc>
          <w:tcPr>
            <w:tcW w:w="3519" w:type="pct"/>
            <w:vAlign w:val="center"/>
          </w:tcPr>
          <w:p w14:paraId="7BF30ED9" w14:textId="301B9AC7" w:rsidR="007445F2" w:rsidRPr="007445F2" w:rsidRDefault="007445F2" w:rsidP="007445F2">
            <w:pPr>
              <w:pStyle w:val="af0"/>
              <w:spacing w:line="240" w:lineRule="atLeast"/>
              <w:rPr>
                <w:rFonts w:ascii="Times New Roman" w:eastAsia="宋体" w:hAnsi="Times New Roman"/>
                <w:bCs/>
                <w:sz w:val="21"/>
                <w:szCs w:val="21"/>
              </w:rPr>
            </w:pPr>
            <w:r w:rsidRPr="007445F2">
              <w:rPr>
                <w:rFonts w:ascii="Times New Roman" w:eastAsia="宋体" w:hAnsi="Times New Roman" w:hint="eastAsia"/>
                <w:color w:val="000000"/>
                <w:sz w:val="21"/>
                <w:szCs w:val="21"/>
              </w:rPr>
              <w:t>设计方案具备技术可行性</w:t>
            </w:r>
          </w:p>
        </w:tc>
        <w:tc>
          <w:tcPr>
            <w:tcW w:w="764" w:type="pct"/>
            <w:vAlign w:val="center"/>
          </w:tcPr>
          <w:p w14:paraId="368D8C33" w14:textId="73D5B219" w:rsidR="007445F2" w:rsidRPr="007445F2" w:rsidRDefault="007445F2" w:rsidP="007445F2">
            <w:pPr>
              <w:pStyle w:val="af0"/>
              <w:spacing w:line="240" w:lineRule="atLeast"/>
              <w:jc w:val="center"/>
              <w:rPr>
                <w:rFonts w:ascii="Times New Roman" w:eastAsia="宋体" w:hAnsi="Times New Roman"/>
                <w:bCs/>
                <w:sz w:val="21"/>
                <w:szCs w:val="21"/>
              </w:rPr>
            </w:pPr>
            <w:r w:rsidRPr="007445F2">
              <w:rPr>
                <w:rFonts w:ascii="Times New Roman" w:eastAsia="宋体" w:hAnsi="Times New Roman" w:hint="eastAsia"/>
                <w:color w:val="000000"/>
                <w:sz w:val="21"/>
                <w:szCs w:val="21"/>
              </w:rPr>
              <w:t>4.410</w:t>
            </w:r>
          </w:p>
        </w:tc>
        <w:tc>
          <w:tcPr>
            <w:tcW w:w="718" w:type="pct"/>
            <w:vAlign w:val="center"/>
          </w:tcPr>
          <w:p w14:paraId="6F48539F" w14:textId="4F7D1E8B" w:rsidR="007445F2" w:rsidRPr="007445F2" w:rsidRDefault="007445F2" w:rsidP="007445F2">
            <w:pPr>
              <w:pStyle w:val="af0"/>
              <w:spacing w:line="240" w:lineRule="atLeast"/>
              <w:jc w:val="center"/>
              <w:rPr>
                <w:rFonts w:ascii="Times New Roman" w:eastAsia="宋体" w:hAnsi="Times New Roman"/>
                <w:bCs/>
                <w:sz w:val="21"/>
                <w:szCs w:val="21"/>
              </w:rPr>
            </w:pPr>
            <w:r w:rsidRPr="007445F2">
              <w:rPr>
                <w:rFonts w:ascii="Times New Roman" w:eastAsia="宋体" w:hAnsi="Times New Roman" w:hint="eastAsia"/>
                <w:color w:val="000000"/>
                <w:sz w:val="21"/>
                <w:szCs w:val="21"/>
              </w:rPr>
              <w:t>1</w:t>
            </w:r>
          </w:p>
        </w:tc>
      </w:tr>
      <w:tr w:rsidR="007445F2" w:rsidRPr="007445F2" w14:paraId="5BA52072" w14:textId="77777777" w:rsidTr="007445F2">
        <w:trPr>
          <w:trHeight w:val="283"/>
        </w:trPr>
        <w:tc>
          <w:tcPr>
            <w:tcW w:w="3519" w:type="pct"/>
            <w:vAlign w:val="center"/>
          </w:tcPr>
          <w:p w14:paraId="1DBBAC85" w14:textId="2E0D8C9A" w:rsidR="007445F2" w:rsidRPr="007445F2" w:rsidRDefault="007445F2" w:rsidP="007445F2">
            <w:pPr>
              <w:pStyle w:val="af0"/>
              <w:spacing w:line="240" w:lineRule="atLeast"/>
              <w:rPr>
                <w:rFonts w:ascii="Times New Roman" w:eastAsia="宋体" w:hAnsi="Times New Roman"/>
                <w:bCs/>
                <w:sz w:val="21"/>
                <w:szCs w:val="21"/>
              </w:rPr>
            </w:pPr>
            <w:r w:rsidRPr="007445F2">
              <w:rPr>
                <w:rFonts w:ascii="Times New Roman" w:eastAsia="宋体" w:hAnsi="Times New Roman" w:hint="eastAsia"/>
                <w:color w:val="000000"/>
                <w:sz w:val="21"/>
                <w:szCs w:val="21"/>
              </w:rPr>
              <w:t>设计方案能够满足施工作业的需求</w:t>
            </w:r>
          </w:p>
        </w:tc>
        <w:tc>
          <w:tcPr>
            <w:tcW w:w="764" w:type="pct"/>
            <w:vAlign w:val="center"/>
          </w:tcPr>
          <w:p w14:paraId="43D63D30" w14:textId="7F15CF87" w:rsidR="007445F2" w:rsidRPr="007445F2" w:rsidRDefault="007445F2" w:rsidP="007445F2">
            <w:pPr>
              <w:pStyle w:val="af0"/>
              <w:spacing w:line="240" w:lineRule="atLeast"/>
              <w:jc w:val="center"/>
              <w:rPr>
                <w:rFonts w:ascii="Times New Roman" w:eastAsia="宋体" w:hAnsi="Times New Roman"/>
                <w:bCs/>
                <w:sz w:val="21"/>
                <w:szCs w:val="21"/>
              </w:rPr>
            </w:pPr>
            <w:r w:rsidRPr="007445F2">
              <w:rPr>
                <w:rFonts w:ascii="Times New Roman" w:eastAsia="宋体" w:hAnsi="Times New Roman" w:hint="eastAsia"/>
                <w:color w:val="000000"/>
                <w:sz w:val="21"/>
                <w:szCs w:val="21"/>
              </w:rPr>
              <w:t>4.403</w:t>
            </w:r>
          </w:p>
        </w:tc>
        <w:tc>
          <w:tcPr>
            <w:tcW w:w="718" w:type="pct"/>
            <w:vAlign w:val="center"/>
          </w:tcPr>
          <w:p w14:paraId="0CF6303C" w14:textId="0E09A07A" w:rsidR="007445F2" w:rsidRPr="007445F2" w:rsidRDefault="007445F2" w:rsidP="007445F2">
            <w:pPr>
              <w:pStyle w:val="af0"/>
              <w:spacing w:line="240" w:lineRule="atLeast"/>
              <w:jc w:val="center"/>
              <w:rPr>
                <w:rFonts w:ascii="Times New Roman" w:eastAsia="宋体" w:hAnsi="Times New Roman"/>
                <w:bCs/>
                <w:sz w:val="21"/>
                <w:szCs w:val="21"/>
              </w:rPr>
            </w:pPr>
            <w:r w:rsidRPr="007445F2">
              <w:rPr>
                <w:rFonts w:ascii="Times New Roman" w:eastAsia="宋体" w:hAnsi="Times New Roman" w:hint="eastAsia"/>
                <w:color w:val="000000"/>
                <w:sz w:val="21"/>
                <w:szCs w:val="21"/>
              </w:rPr>
              <w:t>2</w:t>
            </w:r>
          </w:p>
        </w:tc>
      </w:tr>
      <w:tr w:rsidR="007445F2" w:rsidRPr="007445F2" w14:paraId="6D8FE2C6" w14:textId="77777777" w:rsidTr="007445F2">
        <w:trPr>
          <w:trHeight w:val="283"/>
        </w:trPr>
        <w:tc>
          <w:tcPr>
            <w:tcW w:w="3519" w:type="pct"/>
            <w:vAlign w:val="center"/>
          </w:tcPr>
          <w:p w14:paraId="52964B90" w14:textId="58D7AE49" w:rsidR="007445F2" w:rsidRPr="007445F2" w:rsidRDefault="007445F2" w:rsidP="007445F2">
            <w:pPr>
              <w:pStyle w:val="af0"/>
              <w:spacing w:line="240" w:lineRule="atLeast"/>
              <w:rPr>
                <w:rFonts w:ascii="Times New Roman" w:eastAsia="宋体" w:hAnsi="Times New Roman"/>
                <w:bCs/>
                <w:sz w:val="21"/>
                <w:szCs w:val="21"/>
              </w:rPr>
            </w:pPr>
            <w:r w:rsidRPr="007445F2">
              <w:rPr>
                <w:rFonts w:ascii="Times New Roman" w:eastAsia="宋体" w:hAnsi="Times New Roman" w:hint="eastAsia"/>
                <w:color w:val="000000"/>
                <w:sz w:val="21"/>
                <w:szCs w:val="21"/>
              </w:rPr>
              <w:t>设计成果能够及时交付</w:t>
            </w:r>
          </w:p>
        </w:tc>
        <w:tc>
          <w:tcPr>
            <w:tcW w:w="764" w:type="pct"/>
            <w:vAlign w:val="center"/>
          </w:tcPr>
          <w:p w14:paraId="6ADDAAE7" w14:textId="273089B1" w:rsidR="007445F2" w:rsidRPr="007445F2" w:rsidRDefault="007445F2" w:rsidP="007445F2">
            <w:pPr>
              <w:pStyle w:val="af0"/>
              <w:spacing w:line="240" w:lineRule="atLeast"/>
              <w:jc w:val="center"/>
              <w:rPr>
                <w:rFonts w:ascii="Times New Roman" w:eastAsia="宋体" w:hAnsi="Times New Roman"/>
                <w:bCs/>
                <w:sz w:val="21"/>
                <w:szCs w:val="21"/>
              </w:rPr>
            </w:pPr>
            <w:r w:rsidRPr="007445F2">
              <w:rPr>
                <w:rFonts w:ascii="Times New Roman" w:eastAsia="宋体" w:hAnsi="Times New Roman" w:hint="eastAsia"/>
                <w:color w:val="000000"/>
                <w:sz w:val="21"/>
                <w:szCs w:val="21"/>
              </w:rPr>
              <w:t>4.362</w:t>
            </w:r>
          </w:p>
        </w:tc>
        <w:tc>
          <w:tcPr>
            <w:tcW w:w="718" w:type="pct"/>
            <w:vAlign w:val="center"/>
          </w:tcPr>
          <w:p w14:paraId="54F246B8" w14:textId="225E23F7" w:rsidR="007445F2" w:rsidRPr="007445F2" w:rsidRDefault="007445F2" w:rsidP="007445F2">
            <w:pPr>
              <w:pStyle w:val="af0"/>
              <w:spacing w:line="240" w:lineRule="atLeast"/>
              <w:jc w:val="center"/>
              <w:rPr>
                <w:rFonts w:ascii="Times New Roman" w:eastAsia="宋体" w:hAnsi="Times New Roman"/>
                <w:bCs/>
                <w:sz w:val="21"/>
                <w:szCs w:val="21"/>
              </w:rPr>
            </w:pPr>
            <w:r w:rsidRPr="007445F2">
              <w:rPr>
                <w:rFonts w:ascii="Times New Roman" w:eastAsia="宋体" w:hAnsi="Times New Roman" w:hint="eastAsia"/>
                <w:color w:val="000000"/>
                <w:sz w:val="21"/>
                <w:szCs w:val="21"/>
              </w:rPr>
              <w:t>4</w:t>
            </w:r>
          </w:p>
        </w:tc>
      </w:tr>
      <w:tr w:rsidR="007445F2" w:rsidRPr="007445F2" w14:paraId="48191BA1" w14:textId="77777777" w:rsidTr="007445F2">
        <w:trPr>
          <w:trHeight w:val="283"/>
        </w:trPr>
        <w:tc>
          <w:tcPr>
            <w:tcW w:w="3519" w:type="pct"/>
            <w:vAlign w:val="center"/>
          </w:tcPr>
          <w:p w14:paraId="6193A7DF" w14:textId="65460527" w:rsidR="007445F2" w:rsidRPr="007445F2" w:rsidRDefault="007445F2" w:rsidP="007445F2">
            <w:pPr>
              <w:pStyle w:val="af0"/>
              <w:spacing w:line="240" w:lineRule="atLeast"/>
              <w:rPr>
                <w:rFonts w:ascii="Times New Roman" w:eastAsia="宋体" w:hAnsi="Times New Roman"/>
                <w:bCs/>
                <w:sz w:val="21"/>
                <w:szCs w:val="21"/>
              </w:rPr>
            </w:pPr>
            <w:r w:rsidRPr="007445F2">
              <w:rPr>
                <w:rFonts w:ascii="Times New Roman" w:eastAsia="宋体" w:hAnsi="Times New Roman" w:hint="eastAsia"/>
                <w:color w:val="000000"/>
                <w:sz w:val="21"/>
                <w:szCs w:val="21"/>
              </w:rPr>
              <w:t>设计深度能够满足设备、材料采购的需求</w:t>
            </w:r>
          </w:p>
        </w:tc>
        <w:tc>
          <w:tcPr>
            <w:tcW w:w="764" w:type="pct"/>
            <w:vAlign w:val="center"/>
          </w:tcPr>
          <w:p w14:paraId="789BF924" w14:textId="1E03D43E" w:rsidR="007445F2" w:rsidRPr="007445F2" w:rsidRDefault="007445F2" w:rsidP="007445F2">
            <w:pPr>
              <w:pStyle w:val="af0"/>
              <w:spacing w:line="240" w:lineRule="atLeast"/>
              <w:jc w:val="center"/>
              <w:rPr>
                <w:rFonts w:ascii="Times New Roman" w:eastAsia="宋体" w:hAnsi="Times New Roman"/>
                <w:bCs/>
                <w:sz w:val="21"/>
                <w:szCs w:val="21"/>
              </w:rPr>
            </w:pPr>
            <w:r w:rsidRPr="007445F2">
              <w:rPr>
                <w:rFonts w:ascii="Times New Roman" w:eastAsia="宋体" w:hAnsi="Times New Roman" w:hint="eastAsia"/>
                <w:color w:val="000000"/>
                <w:sz w:val="21"/>
                <w:szCs w:val="21"/>
              </w:rPr>
              <w:t>4.352</w:t>
            </w:r>
          </w:p>
        </w:tc>
        <w:tc>
          <w:tcPr>
            <w:tcW w:w="718" w:type="pct"/>
            <w:vAlign w:val="center"/>
          </w:tcPr>
          <w:p w14:paraId="12B1BFD5" w14:textId="109684B0" w:rsidR="007445F2" w:rsidRPr="007445F2" w:rsidRDefault="007445F2" w:rsidP="007445F2">
            <w:pPr>
              <w:pStyle w:val="af0"/>
              <w:spacing w:line="240" w:lineRule="atLeast"/>
              <w:jc w:val="center"/>
              <w:rPr>
                <w:rFonts w:ascii="Times New Roman" w:eastAsia="宋体" w:hAnsi="Times New Roman"/>
                <w:bCs/>
                <w:sz w:val="21"/>
                <w:szCs w:val="21"/>
              </w:rPr>
            </w:pPr>
            <w:r w:rsidRPr="007445F2">
              <w:rPr>
                <w:rFonts w:ascii="Times New Roman" w:eastAsia="宋体" w:hAnsi="Times New Roman" w:hint="eastAsia"/>
                <w:color w:val="000000"/>
                <w:sz w:val="21"/>
                <w:szCs w:val="21"/>
              </w:rPr>
              <w:t>5</w:t>
            </w:r>
          </w:p>
        </w:tc>
      </w:tr>
      <w:tr w:rsidR="007445F2" w:rsidRPr="007445F2" w14:paraId="48B7B047" w14:textId="77777777" w:rsidTr="007445F2">
        <w:trPr>
          <w:trHeight w:val="283"/>
        </w:trPr>
        <w:tc>
          <w:tcPr>
            <w:tcW w:w="3519" w:type="pct"/>
            <w:vAlign w:val="center"/>
          </w:tcPr>
          <w:p w14:paraId="2176E850" w14:textId="4A4092D1" w:rsidR="007445F2" w:rsidRPr="007445F2" w:rsidRDefault="007445F2" w:rsidP="007445F2">
            <w:pPr>
              <w:pStyle w:val="af0"/>
              <w:spacing w:line="240" w:lineRule="atLeast"/>
              <w:rPr>
                <w:rFonts w:ascii="Times New Roman" w:eastAsia="宋体" w:hAnsi="Times New Roman"/>
                <w:bCs/>
                <w:sz w:val="21"/>
                <w:szCs w:val="21"/>
              </w:rPr>
            </w:pPr>
            <w:r w:rsidRPr="007445F2">
              <w:rPr>
                <w:rFonts w:ascii="Times New Roman" w:eastAsia="宋体" w:hAnsi="Times New Roman" w:hint="eastAsia"/>
                <w:color w:val="000000"/>
                <w:sz w:val="21"/>
                <w:szCs w:val="21"/>
              </w:rPr>
              <w:t>设计能够满足各利益相关方的功能需求</w:t>
            </w:r>
          </w:p>
        </w:tc>
        <w:tc>
          <w:tcPr>
            <w:tcW w:w="764" w:type="pct"/>
            <w:vAlign w:val="center"/>
          </w:tcPr>
          <w:p w14:paraId="69BB0426" w14:textId="45ED4F8D" w:rsidR="007445F2" w:rsidRPr="007445F2" w:rsidRDefault="007445F2" w:rsidP="007445F2">
            <w:pPr>
              <w:pStyle w:val="af0"/>
              <w:spacing w:line="240" w:lineRule="atLeast"/>
              <w:jc w:val="center"/>
              <w:rPr>
                <w:rFonts w:ascii="Times New Roman" w:eastAsia="宋体" w:hAnsi="Times New Roman"/>
                <w:bCs/>
                <w:sz w:val="21"/>
                <w:szCs w:val="21"/>
              </w:rPr>
            </w:pPr>
            <w:r w:rsidRPr="007445F2">
              <w:rPr>
                <w:rFonts w:ascii="Times New Roman" w:eastAsia="宋体" w:hAnsi="Times New Roman" w:hint="eastAsia"/>
                <w:color w:val="000000"/>
                <w:sz w:val="21"/>
                <w:szCs w:val="21"/>
              </w:rPr>
              <w:t>4.331</w:t>
            </w:r>
          </w:p>
        </w:tc>
        <w:tc>
          <w:tcPr>
            <w:tcW w:w="718" w:type="pct"/>
            <w:vAlign w:val="center"/>
          </w:tcPr>
          <w:p w14:paraId="469B23C2" w14:textId="796D1220" w:rsidR="007445F2" w:rsidRPr="007445F2" w:rsidRDefault="007445F2" w:rsidP="007445F2">
            <w:pPr>
              <w:pStyle w:val="af0"/>
              <w:spacing w:line="240" w:lineRule="atLeast"/>
              <w:jc w:val="center"/>
              <w:rPr>
                <w:rFonts w:ascii="Times New Roman" w:eastAsia="宋体" w:hAnsi="Times New Roman"/>
                <w:bCs/>
                <w:sz w:val="21"/>
                <w:szCs w:val="21"/>
              </w:rPr>
            </w:pPr>
            <w:r w:rsidRPr="007445F2">
              <w:rPr>
                <w:rFonts w:ascii="Times New Roman" w:eastAsia="宋体" w:hAnsi="Times New Roman" w:hint="eastAsia"/>
                <w:color w:val="000000"/>
                <w:sz w:val="21"/>
                <w:szCs w:val="21"/>
              </w:rPr>
              <w:t>7</w:t>
            </w:r>
          </w:p>
        </w:tc>
      </w:tr>
      <w:tr w:rsidR="007445F2" w:rsidRPr="007445F2" w14:paraId="2DB9F6C7" w14:textId="77777777" w:rsidTr="007445F2">
        <w:trPr>
          <w:trHeight w:val="283"/>
        </w:trPr>
        <w:tc>
          <w:tcPr>
            <w:tcW w:w="3519" w:type="pct"/>
            <w:vAlign w:val="center"/>
          </w:tcPr>
          <w:p w14:paraId="219C1144" w14:textId="2A4D3A1D" w:rsidR="007445F2" w:rsidRPr="007445F2" w:rsidRDefault="007445F2" w:rsidP="007445F2">
            <w:pPr>
              <w:pStyle w:val="af0"/>
              <w:spacing w:line="240" w:lineRule="atLeast"/>
              <w:rPr>
                <w:rFonts w:ascii="Times New Roman" w:eastAsia="宋体" w:hAnsi="Times New Roman"/>
                <w:bCs/>
                <w:sz w:val="21"/>
                <w:szCs w:val="21"/>
              </w:rPr>
            </w:pPr>
            <w:r w:rsidRPr="007445F2">
              <w:rPr>
                <w:rFonts w:ascii="Times New Roman" w:eastAsia="宋体" w:hAnsi="Times New Roman" w:hint="eastAsia"/>
                <w:color w:val="000000"/>
                <w:sz w:val="21"/>
                <w:szCs w:val="21"/>
              </w:rPr>
              <w:t>设计方案充分考虑水风光储多能互补需求</w:t>
            </w:r>
          </w:p>
        </w:tc>
        <w:tc>
          <w:tcPr>
            <w:tcW w:w="764" w:type="pct"/>
            <w:vAlign w:val="center"/>
          </w:tcPr>
          <w:p w14:paraId="7B4F228F" w14:textId="0E85DF85" w:rsidR="007445F2" w:rsidRPr="007445F2" w:rsidRDefault="007445F2" w:rsidP="007445F2">
            <w:pPr>
              <w:pStyle w:val="af0"/>
              <w:spacing w:line="240" w:lineRule="atLeast"/>
              <w:jc w:val="center"/>
              <w:rPr>
                <w:rFonts w:ascii="Times New Roman" w:eastAsia="宋体" w:hAnsi="Times New Roman"/>
                <w:bCs/>
                <w:sz w:val="21"/>
                <w:szCs w:val="21"/>
              </w:rPr>
            </w:pPr>
            <w:r w:rsidRPr="007445F2">
              <w:rPr>
                <w:rFonts w:ascii="Times New Roman" w:eastAsia="宋体" w:hAnsi="Times New Roman" w:hint="eastAsia"/>
                <w:color w:val="000000"/>
                <w:sz w:val="21"/>
                <w:szCs w:val="21"/>
              </w:rPr>
              <w:t>4.331</w:t>
            </w:r>
          </w:p>
        </w:tc>
        <w:tc>
          <w:tcPr>
            <w:tcW w:w="718" w:type="pct"/>
            <w:vAlign w:val="center"/>
          </w:tcPr>
          <w:p w14:paraId="25EDC562" w14:textId="685D4CAF" w:rsidR="007445F2" w:rsidRPr="007445F2" w:rsidRDefault="007445F2" w:rsidP="007445F2">
            <w:pPr>
              <w:pStyle w:val="af0"/>
              <w:spacing w:line="240" w:lineRule="atLeast"/>
              <w:jc w:val="center"/>
              <w:rPr>
                <w:rFonts w:ascii="Times New Roman" w:eastAsia="宋体" w:hAnsi="Times New Roman"/>
                <w:bCs/>
                <w:sz w:val="21"/>
                <w:szCs w:val="21"/>
              </w:rPr>
            </w:pPr>
            <w:r w:rsidRPr="007445F2">
              <w:rPr>
                <w:rFonts w:ascii="Times New Roman" w:eastAsia="宋体" w:hAnsi="Times New Roman" w:hint="eastAsia"/>
                <w:color w:val="000000"/>
                <w:sz w:val="21"/>
                <w:szCs w:val="21"/>
              </w:rPr>
              <w:t>7</w:t>
            </w:r>
          </w:p>
        </w:tc>
      </w:tr>
      <w:tr w:rsidR="007445F2" w:rsidRPr="007445F2" w14:paraId="2EAC2081" w14:textId="77777777" w:rsidTr="007445F2">
        <w:trPr>
          <w:trHeight w:val="283"/>
        </w:trPr>
        <w:tc>
          <w:tcPr>
            <w:tcW w:w="3519" w:type="pct"/>
            <w:vAlign w:val="center"/>
          </w:tcPr>
          <w:p w14:paraId="7747EB03" w14:textId="6FBB2A5F" w:rsidR="007445F2" w:rsidRPr="007445F2" w:rsidRDefault="007445F2" w:rsidP="007445F2">
            <w:pPr>
              <w:pStyle w:val="af0"/>
              <w:spacing w:line="240" w:lineRule="atLeast"/>
              <w:rPr>
                <w:rFonts w:ascii="Times New Roman" w:eastAsia="宋体" w:hAnsi="Times New Roman"/>
                <w:bCs/>
                <w:sz w:val="21"/>
                <w:szCs w:val="21"/>
              </w:rPr>
            </w:pPr>
            <w:r w:rsidRPr="007445F2">
              <w:rPr>
                <w:rFonts w:ascii="Times New Roman" w:eastAsia="宋体" w:hAnsi="Times New Roman" w:hint="eastAsia"/>
                <w:color w:val="000000"/>
                <w:sz w:val="21"/>
                <w:szCs w:val="21"/>
              </w:rPr>
              <w:t>设计方案具备经济可行性</w:t>
            </w:r>
          </w:p>
        </w:tc>
        <w:tc>
          <w:tcPr>
            <w:tcW w:w="764" w:type="pct"/>
            <w:vAlign w:val="center"/>
          </w:tcPr>
          <w:p w14:paraId="1D0FCCE6" w14:textId="6DE3F7CF" w:rsidR="007445F2" w:rsidRPr="007445F2" w:rsidRDefault="007445F2" w:rsidP="007445F2">
            <w:pPr>
              <w:pStyle w:val="af0"/>
              <w:spacing w:line="240" w:lineRule="atLeast"/>
              <w:jc w:val="center"/>
              <w:rPr>
                <w:rFonts w:ascii="Times New Roman" w:eastAsia="宋体" w:hAnsi="Times New Roman"/>
                <w:bCs/>
                <w:sz w:val="21"/>
                <w:szCs w:val="21"/>
              </w:rPr>
            </w:pPr>
            <w:r w:rsidRPr="007445F2">
              <w:rPr>
                <w:rFonts w:ascii="Times New Roman" w:eastAsia="宋体" w:hAnsi="Times New Roman" w:hint="eastAsia"/>
                <w:color w:val="000000"/>
                <w:sz w:val="21"/>
                <w:szCs w:val="21"/>
              </w:rPr>
              <w:t>4.328</w:t>
            </w:r>
          </w:p>
        </w:tc>
        <w:tc>
          <w:tcPr>
            <w:tcW w:w="718" w:type="pct"/>
            <w:vAlign w:val="center"/>
          </w:tcPr>
          <w:p w14:paraId="0234624F" w14:textId="5E53C78A" w:rsidR="007445F2" w:rsidRPr="007445F2" w:rsidRDefault="007445F2" w:rsidP="007445F2">
            <w:pPr>
              <w:pStyle w:val="af0"/>
              <w:spacing w:line="240" w:lineRule="atLeast"/>
              <w:jc w:val="center"/>
              <w:rPr>
                <w:rFonts w:ascii="Times New Roman" w:eastAsia="宋体" w:hAnsi="Times New Roman"/>
                <w:bCs/>
                <w:sz w:val="21"/>
                <w:szCs w:val="21"/>
              </w:rPr>
            </w:pPr>
            <w:r w:rsidRPr="007445F2">
              <w:rPr>
                <w:rFonts w:ascii="Times New Roman" w:eastAsia="宋体" w:hAnsi="Times New Roman" w:hint="eastAsia"/>
                <w:color w:val="000000"/>
                <w:sz w:val="21"/>
                <w:szCs w:val="21"/>
              </w:rPr>
              <w:t>9</w:t>
            </w:r>
          </w:p>
        </w:tc>
      </w:tr>
      <w:tr w:rsidR="007445F2" w:rsidRPr="007445F2" w14:paraId="2B5F3A76" w14:textId="77777777" w:rsidTr="007445F2">
        <w:trPr>
          <w:trHeight w:val="283"/>
        </w:trPr>
        <w:tc>
          <w:tcPr>
            <w:tcW w:w="3519" w:type="pct"/>
            <w:vAlign w:val="bottom"/>
          </w:tcPr>
          <w:p w14:paraId="4FB6CF69" w14:textId="5DA6B59C" w:rsidR="007445F2" w:rsidRPr="007445F2" w:rsidRDefault="007445F2" w:rsidP="007445F2">
            <w:pPr>
              <w:pStyle w:val="af0"/>
              <w:spacing w:line="240" w:lineRule="atLeast"/>
              <w:jc w:val="center"/>
              <w:rPr>
                <w:rFonts w:ascii="Times New Roman" w:eastAsia="宋体" w:hAnsi="Times New Roman"/>
                <w:bCs/>
                <w:sz w:val="21"/>
                <w:szCs w:val="21"/>
              </w:rPr>
            </w:pPr>
            <w:r w:rsidRPr="007445F2">
              <w:rPr>
                <w:rFonts w:ascii="Times New Roman" w:eastAsia="宋体" w:hAnsi="Times New Roman" w:hint="eastAsia"/>
                <w:b/>
                <w:bCs/>
                <w:color w:val="000000"/>
                <w:sz w:val="21"/>
                <w:szCs w:val="21"/>
              </w:rPr>
              <w:t>采购</w:t>
            </w:r>
          </w:p>
        </w:tc>
        <w:tc>
          <w:tcPr>
            <w:tcW w:w="764" w:type="pct"/>
            <w:vAlign w:val="bottom"/>
          </w:tcPr>
          <w:p w14:paraId="333FD99E" w14:textId="77777777" w:rsidR="007445F2" w:rsidRPr="007445F2" w:rsidRDefault="007445F2" w:rsidP="007445F2">
            <w:pPr>
              <w:pStyle w:val="af0"/>
              <w:spacing w:line="240" w:lineRule="atLeast"/>
              <w:jc w:val="center"/>
              <w:rPr>
                <w:rFonts w:ascii="Times New Roman" w:eastAsia="宋体" w:hAnsi="Times New Roman"/>
                <w:bCs/>
                <w:sz w:val="21"/>
                <w:szCs w:val="21"/>
              </w:rPr>
            </w:pPr>
          </w:p>
        </w:tc>
        <w:tc>
          <w:tcPr>
            <w:tcW w:w="718" w:type="pct"/>
            <w:vAlign w:val="bottom"/>
          </w:tcPr>
          <w:p w14:paraId="338C6082" w14:textId="77777777" w:rsidR="007445F2" w:rsidRPr="007445F2" w:rsidRDefault="007445F2" w:rsidP="007445F2">
            <w:pPr>
              <w:pStyle w:val="af0"/>
              <w:spacing w:line="240" w:lineRule="atLeast"/>
              <w:jc w:val="center"/>
              <w:rPr>
                <w:rFonts w:ascii="Times New Roman" w:eastAsia="宋体" w:hAnsi="Times New Roman"/>
                <w:bCs/>
                <w:sz w:val="21"/>
                <w:szCs w:val="21"/>
              </w:rPr>
            </w:pPr>
          </w:p>
        </w:tc>
      </w:tr>
      <w:tr w:rsidR="007445F2" w:rsidRPr="007445F2" w14:paraId="443D40F4" w14:textId="77777777" w:rsidTr="007445F2">
        <w:trPr>
          <w:trHeight w:val="283"/>
        </w:trPr>
        <w:tc>
          <w:tcPr>
            <w:tcW w:w="3519" w:type="pct"/>
            <w:vAlign w:val="center"/>
          </w:tcPr>
          <w:p w14:paraId="6ADDFC45" w14:textId="7A55756B" w:rsidR="007445F2" w:rsidRPr="007445F2" w:rsidRDefault="007445F2" w:rsidP="007445F2">
            <w:pPr>
              <w:pStyle w:val="af0"/>
              <w:spacing w:line="240" w:lineRule="atLeast"/>
              <w:rPr>
                <w:rFonts w:ascii="Times New Roman" w:eastAsia="宋体" w:hAnsi="Times New Roman"/>
                <w:bCs/>
                <w:sz w:val="21"/>
                <w:szCs w:val="21"/>
              </w:rPr>
            </w:pPr>
            <w:r w:rsidRPr="007445F2">
              <w:rPr>
                <w:rFonts w:ascii="Times New Roman" w:eastAsia="宋体" w:hAnsi="Times New Roman" w:hint="eastAsia"/>
                <w:color w:val="000000"/>
                <w:sz w:val="21"/>
                <w:szCs w:val="21"/>
              </w:rPr>
              <w:t>采购的设备与材料质量符合要求</w:t>
            </w:r>
          </w:p>
        </w:tc>
        <w:tc>
          <w:tcPr>
            <w:tcW w:w="764" w:type="pct"/>
            <w:vAlign w:val="center"/>
          </w:tcPr>
          <w:p w14:paraId="6123E49E" w14:textId="020DF85D" w:rsidR="007445F2" w:rsidRPr="007445F2" w:rsidRDefault="007445F2" w:rsidP="007445F2">
            <w:pPr>
              <w:pStyle w:val="af0"/>
              <w:spacing w:line="240" w:lineRule="atLeast"/>
              <w:jc w:val="center"/>
              <w:rPr>
                <w:rFonts w:ascii="Times New Roman" w:eastAsia="宋体" w:hAnsi="Times New Roman"/>
                <w:bCs/>
                <w:sz w:val="21"/>
                <w:szCs w:val="21"/>
              </w:rPr>
            </w:pPr>
            <w:r w:rsidRPr="007445F2">
              <w:rPr>
                <w:rFonts w:ascii="Times New Roman" w:eastAsia="宋体" w:hAnsi="Times New Roman" w:hint="eastAsia"/>
                <w:color w:val="000000"/>
                <w:sz w:val="21"/>
                <w:szCs w:val="21"/>
              </w:rPr>
              <w:t>4.294</w:t>
            </w:r>
          </w:p>
        </w:tc>
        <w:tc>
          <w:tcPr>
            <w:tcW w:w="718" w:type="pct"/>
            <w:vAlign w:val="center"/>
          </w:tcPr>
          <w:p w14:paraId="39065D7C" w14:textId="4F1ADD89" w:rsidR="007445F2" w:rsidRPr="007445F2" w:rsidRDefault="007445F2" w:rsidP="007445F2">
            <w:pPr>
              <w:pStyle w:val="af0"/>
              <w:spacing w:line="240" w:lineRule="atLeast"/>
              <w:jc w:val="center"/>
              <w:rPr>
                <w:rFonts w:ascii="Times New Roman" w:eastAsia="宋体" w:hAnsi="Times New Roman"/>
                <w:bCs/>
                <w:sz w:val="21"/>
                <w:szCs w:val="21"/>
              </w:rPr>
            </w:pPr>
            <w:r w:rsidRPr="007445F2">
              <w:rPr>
                <w:rFonts w:ascii="Times New Roman" w:eastAsia="宋体" w:hAnsi="Times New Roman" w:hint="eastAsia"/>
                <w:color w:val="000000"/>
                <w:sz w:val="21"/>
                <w:szCs w:val="21"/>
              </w:rPr>
              <w:t>14</w:t>
            </w:r>
          </w:p>
        </w:tc>
      </w:tr>
      <w:tr w:rsidR="007445F2" w:rsidRPr="007445F2" w14:paraId="0F76EA4A" w14:textId="77777777" w:rsidTr="007445F2">
        <w:trPr>
          <w:trHeight w:val="283"/>
        </w:trPr>
        <w:tc>
          <w:tcPr>
            <w:tcW w:w="3519" w:type="pct"/>
            <w:vAlign w:val="center"/>
          </w:tcPr>
          <w:p w14:paraId="2F2D642A" w14:textId="3B869444" w:rsidR="007445F2" w:rsidRPr="007445F2" w:rsidRDefault="007445F2" w:rsidP="007445F2">
            <w:pPr>
              <w:pStyle w:val="af0"/>
              <w:spacing w:line="240" w:lineRule="atLeast"/>
              <w:rPr>
                <w:rFonts w:ascii="Times New Roman" w:eastAsia="宋体" w:hAnsi="Times New Roman"/>
                <w:bCs/>
                <w:sz w:val="21"/>
                <w:szCs w:val="21"/>
              </w:rPr>
            </w:pPr>
            <w:r w:rsidRPr="007445F2">
              <w:rPr>
                <w:rFonts w:ascii="Times New Roman" w:eastAsia="宋体" w:hAnsi="Times New Roman" w:hint="eastAsia"/>
                <w:color w:val="000000"/>
                <w:sz w:val="21"/>
                <w:szCs w:val="21"/>
              </w:rPr>
              <w:t>设备能够顺利安装、交付</w:t>
            </w:r>
          </w:p>
        </w:tc>
        <w:tc>
          <w:tcPr>
            <w:tcW w:w="764" w:type="pct"/>
            <w:vAlign w:val="center"/>
          </w:tcPr>
          <w:p w14:paraId="7B68793E" w14:textId="5E13FEDB" w:rsidR="007445F2" w:rsidRPr="007445F2" w:rsidRDefault="007445F2" w:rsidP="007445F2">
            <w:pPr>
              <w:pStyle w:val="af0"/>
              <w:spacing w:line="240" w:lineRule="atLeast"/>
              <w:jc w:val="center"/>
              <w:rPr>
                <w:rFonts w:ascii="Times New Roman" w:eastAsia="宋体" w:hAnsi="Times New Roman"/>
                <w:bCs/>
                <w:sz w:val="21"/>
                <w:szCs w:val="21"/>
              </w:rPr>
            </w:pPr>
            <w:r w:rsidRPr="007445F2">
              <w:rPr>
                <w:rFonts w:ascii="Times New Roman" w:eastAsia="宋体" w:hAnsi="Times New Roman" w:hint="eastAsia"/>
                <w:color w:val="000000"/>
                <w:sz w:val="21"/>
                <w:szCs w:val="21"/>
              </w:rPr>
              <w:t>4.290</w:t>
            </w:r>
          </w:p>
        </w:tc>
        <w:tc>
          <w:tcPr>
            <w:tcW w:w="718" w:type="pct"/>
            <w:vAlign w:val="center"/>
          </w:tcPr>
          <w:p w14:paraId="7200457E" w14:textId="54B1B9E5" w:rsidR="007445F2" w:rsidRPr="007445F2" w:rsidRDefault="007445F2" w:rsidP="007445F2">
            <w:pPr>
              <w:pStyle w:val="af0"/>
              <w:spacing w:line="240" w:lineRule="atLeast"/>
              <w:jc w:val="center"/>
              <w:rPr>
                <w:rFonts w:ascii="Times New Roman" w:eastAsia="宋体" w:hAnsi="Times New Roman"/>
                <w:bCs/>
                <w:sz w:val="21"/>
                <w:szCs w:val="21"/>
              </w:rPr>
            </w:pPr>
            <w:r w:rsidRPr="007445F2">
              <w:rPr>
                <w:rFonts w:ascii="Times New Roman" w:eastAsia="宋体" w:hAnsi="Times New Roman" w:hint="eastAsia"/>
                <w:color w:val="000000"/>
                <w:sz w:val="21"/>
                <w:szCs w:val="21"/>
              </w:rPr>
              <w:t>15</w:t>
            </w:r>
          </w:p>
        </w:tc>
      </w:tr>
      <w:tr w:rsidR="007445F2" w:rsidRPr="007445F2" w14:paraId="141AF746" w14:textId="77777777" w:rsidTr="007445F2">
        <w:trPr>
          <w:trHeight w:val="283"/>
        </w:trPr>
        <w:tc>
          <w:tcPr>
            <w:tcW w:w="3519" w:type="pct"/>
            <w:vAlign w:val="center"/>
          </w:tcPr>
          <w:p w14:paraId="41560465" w14:textId="34F2BB10" w:rsidR="007445F2" w:rsidRPr="007445F2" w:rsidRDefault="007445F2" w:rsidP="007445F2">
            <w:pPr>
              <w:pStyle w:val="af0"/>
              <w:spacing w:line="240" w:lineRule="atLeast"/>
              <w:rPr>
                <w:rFonts w:ascii="Times New Roman" w:eastAsia="宋体" w:hAnsi="Times New Roman"/>
                <w:bCs/>
                <w:sz w:val="21"/>
                <w:szCs w:val="21"/>
              </w:rPr>
            </w:pPr>
            <w:r w:rsidRPr="007445F2">
              <w:rPr>
                <w:rFonts w:ascii="Times New Roman" w:eastAsia="宋体" w:hAnsi="Times New Roman" w:hint="eastAsia"/>
                <w:color w:val="000000"/>
                <w:sz w:val="21"/>
                <w:szCs w:val="21"/>
              </w:rPr>
              <w:t>物资能够及时供应</w:t>
            </w:r>
          </w:p>
        </w:tc>
        <w:tc>
          <w:tcPr>
            <w:tcW w:w="764" w:type="pct"/>
            <w:vAlign w:val="center"/>
          </w:tcPr>
          <w:p w14:paraId="1BF36059" w14:textId="67220722" w:rsidR="007445F2" w:rsidRPr="007445F2" w:rsidRDefault="007445F2" w:rsidP="007445F2">
            <w:pPr>
              <w:pStyle w:val="af0"/>
              <w:spacing w:line="240" w:lineRule="atLeast"/>
              <w:jc w:val="center"/>
              <w:rPr>
                <w:rFonts w:ascii="Times New Roman" w:eastAsia="宋体" w:hAnsi="Times New Roman"/>
                <w:bCs/>
                <w:sz w:val="21"/>
                <w:szCs w:val="21"/>
              </w:rPr>
            </w:pPr>
            <w:r w:rsidRPr="007445F2">
              <w:rPr>
                <w:rFonts w:ascii="Times New Roman" w:eastAsia="宋体" w:hAnsi="Times New Roman" w:hint="eastAsia"/>
                <w:color w:val="000000"/>
                <w:sz w:val="21"/>
                <w:szCs w:val="21"/>
              </w:rPr>
              <w:t>4.283</w:t>
            </w:r>
          </w:p>
        </w:tc>
        <w:tc>
          <w:tcPr>
            <w:tcW w:w="718" w:type="pct"/>
            <w:vAlign w:val="center"/>
          </w:tcPr>
          <w:p w14:paraId="62C3FF03" w14:textId="413559F6" w:rsidR="007445F2" w:rsidRPr="007445F2" w:rsidRDefault="007445F2" w:rsidP="007445F2">
            <w:pPr>
              <w:pStyle w:val="af0"/>
              <w:spacing w:line="240" w:lineRule="atLeast"/>
              <w:jc w:val="center"/>
              <w:rPr>
                <w:rFonts w:ascii="Times New Roman" w:eastAsia="宋体" w:hAnsi="Times New Roman"/>
                <w:bCs/>
                <w:sz w:val="21"/>
                <w:szCs w:val="21"/>
              </w:rPr>
            </w:pPr>
            <w:r w:rsidRPr="007445F2">
              <w:rPr>
                <w:rFonts w:ascii="Times New Roman" w:eastAsia="宋体" w:hAnsi="Times New Roman" w:hint="eastAsia"/>
                <w:color w:val="000000"/>
                <w:sz w:val="21"/>
                <w:szCs w:val="21"/>
              </w:rPr>
              <w:t>16</w:t>
            </w:r>
          </w:p>
        </w:tc>
      </w:tr>
      <w:tr w:rsidR="007445F2" w:rsidRPr="007445F2" w14:paraId="0B5765A8" w14:textId="77777777" w:rsidTr="007445F2">
        <w:trPr>
          <w:trHeight w:val="283"/>
        </w:trPr>
        <w:tc>
          <w:tcPr>
            <w:tcW w:w="3519" w:type="pct"/>
            <w:vAlign w:val="center"/>
          </w:tcPr>
          <w:p w14:paraId="5BAFD7B5" w14:textId="1F78A069" w:rsidR="007445F2" w:rsidRPr="007445F2" w:rsidRDefault="007445F2" w:rsidP="007445F2">
            <w:pPr>
              <w:pStyle w:val="af0"/>
              <w:spacing w:line="240" w:lineRule="atLeast"/>
              <w:rPr>
                <w:rFonts w:ascii="Times New Roman" w:eastAsia="宋体" w:hAnsi="Times New Roman"/>
                <w:bCs/>
                <w:sz w:val="21"/>
                <w:szCs w:val="21"/>
              </w:rPr>
            </w:pPr>
            <w:r w:rsidRPr="007445F2">
              <w:rPr>
                <w:rFonts w:ascii="Times New Roman" w:eastAsia="宋体" w:hAnsi="Times New Roman" w:hint="eastAsia"/>
                <w:color w:val="000000"/>
                <w:sz w:val="21"/>
                <w:szCs w:val="21"/>
              </w:rPr>
              <w:t>RQ8.</w:t>
            </w:r>
            <w:r w:rsidRPr="007445F2">
              <w:rPr>
                <w:rFonts w:ascii="Times New Roman" w:eastAsia="宋体" w:hAnsi="Times New Roman" w:hint="eastAsia"/>
                <w:color w:val="000000"/>
                <w:sz w:val="21"/>
                <w:szCs w:val="21"/>
              </w:rPr>
              <w:t>清洁能源项目采购计划合理</w:t>
            </w:r>
          </w:p>
        </w:tc>
        <w:tc>
          <w:tcPr>
            <w:tcW w:w="764" w:type="pct"/>
            <w:vAlign w:val="center"/>
          </w:tcPr>
          <w:p w14:paraId="03F33065" w14:textId="71AE95B0" w:rsidR="007445F2" w:rsidRPr="007445F2" w:rsidRDefault="007445F2" w:rsidP="007445F2">
            <w:pPr>
              <w:pStyle w:val="af0"/>
              <w:spacing w:line="240" w:lineRule="atLeast"/>
              <w:jc w:val="center"/>
              <w:rPr>
                <w:rFonts w:ascii="Times New Roman" w:eastAsia="宋体" w:hAnsi="Times New Roman"/>
                <w:bCs/>
                <w:sz w:val="21"/>
                <w:szCs w:val="21"/>
              </w:rPr>
            </w:pPr>
            <w:r w:rsidRPr="007445F2">
              <w:rPr>
                <w:rFonts w:ascii="Times New Roman" w:eastAsia="宋体" w:hAnsi="Times New Roman" w:hint="eastAsia"/>
                <w:color w:val="000000"/>
                <w:sz w:val="21"/>
                <w:szCs w:val="21"/>
              </w:rPr>
              <w:t>4.280</w:t>
            </w:r>
          </w:p>
        </w:tc>
        <w:tc>
          <w:tcPr>
            <w:tcW w:w="718" w:type="pct"/>
            <w:vAlign w:val="center"/>
          </w:tcPr>
          <w:p w14:paraId="23944CEA" w14:textId="36C90F0E" w:rsidR="007445F2" w:rsidRPr="007445F2" w:rsidRDefault="007445F2" w:rsidP="007445F2">
            <w:pPr>
              <w:pStyle w:val="af0"/>
              <w:spacing w:line="240" w:lineRule="atLeast"/>
              <w:jc w:val="center"/>
              <w:rPr>
                <w:rFonts w:ascii="Times New Roman" w:eastAsia="宋体" w:hAnsi="Times New Roman"/>
                <w:bCs/>
                <w:sz w:val="21"/>
                <w:szCs w:val="21"/>
              </w:rPr>
            </w:pPr>
            <w:r w:rsidRPr="007445F2">
              <w:rPr>
                <w:rFonts w:ascii="Times New Roman" w:eastAsia="宋体" w:hAnsi="Times New Roman" w:hint="eastAsia"/>
                <w:color w:val="000000"/>
                <w:sz w:val="21"/>
                <w:szCs w:val="21"/>
              </w:rPr>
              <w:t>17</w:t>
            </w:r>
          </w:p>
        </w:tc>
      </w:tr>
      <w:tr w:rsidR="007445F2" w:rsidRPr="007445F2" w14:paraId="77F842D8" w14:textId="77777777" w:rsidTr="007445F2">
        <w:trPr>
          <w:trHeight w:val="283"/>
        </w:trPr>
        <w:tc>
          <w:tcPr>
            <w:tcW w:w="3519" w:type="pct"/>
            <w:vAlign w:val="center"/>
          </w:tcPr>
          <w:p w14:paraId="0F2E92C4" w14:textId="51B16DF5" w:rsidR="007445F2" w:rsidRPr="007445F2" w:rsidRDefault="007445F2" w:rsidP="007445F2">
            <w:pPr>
              <w:pStyle w:val="af0"/>
              <w:spacing w:line="240" w:lineRule="atLeast"/>
              <w:rPr>
                <w:rFonts w:ascii="Times New Roman" w:eastAsia="宋体" w:hAnsi="Times New Roman"/>
                <w:bCs/>
                <w:sz w:val="21"/>
                <w:szCs w:val="21"/>
              </w:rPr>
            </w:pPr>
            <w:r w:rsidRPr="007445F2">
              <w:rPr>
                <w:rFonts w:ascii="Times New Roman" w:eastAsia="宋体" w:hAnsi="Times New Roman" w:hint="eastAsia"/>
                <w:color w:val="000000"/>
                <w:sz w:val="21"/>
                <w:szCs w:val="21"/>
              </w:rPr>
              <w:t>RQ11.</w:t>
            </w:r>
            <w:r w:rsidRPr="007445F2">
              <w:rPr>
                <w:rFonts w:ascii="Times New Roman" w:eastAsia="宋体" w:hAnsi="Times New Roman" w:hint="eastAsia"/>
                <w:color w:val="000000"/>
                <w:sz w:val="21"/>
                <w:szCs w:val="21"/>
              </w:rPr>
              <w:t>清洁能源项目仓储实现规范管理</w:t>
            </w:r>
          </w:p>
        </w:tc>
        <w:tc>
          <w:tcPr>
            <w:tcW w:w="764" w:type="pct"/>
            <w:vAlign w:val="center"/>
          </w:tcPr>
          <w:p w14:paraId="08C11903" w14:textId="1ED434EF" w:rsidR="007445F2" w:rsidRPr="007445F2" w:rsidRDefault="007445F2" w:rsidP="007445F2">
            <w:pPr>
              <w:pStyle w:val="af0"/>
              <w:spacing w:line="240" w:lineRule="atLeast"/>
              <w:jc w:val="center"/>
              <w:rPr>
                <w:rFonts w:ascii="Times New Roman" w:eastAsia="宋体" w:hAnsi="Times New Roman"/>
                <w:bCs/>
                <w:sz w:val="21"/>
                <w:szCs w:val="21"/>
              </w:rPr>
            </w:pPr>
            <w:r w:rsidRPr="007445F2">
              <w:rPr>
                <w:rFonts w:ascii="Times New Roman" w:eastAsia="宋体" w:hAnsi="Times New Roman" w:hint="eastAsia"/>
                <w:color w:val="000000"/>
                <w:sz w:val="21"/>
                <w:szCs w:val="21"/>
              </w:rPr>
              <w:t>4.246</w:t>
            </w:r>
          </w:p>
        </w:tc>
        <w:tc>
          <w:tcPr>
            <w:tcW w:w="718" w:type="pct"/>
            <w:vAlign w:val="center"/>
          </w:tcPr>
          <w:p w14:paraId="72E93738" w14:textId="5A535A03" w:rsidR="007445F2" w:rsidRPr="007445F2" w:rsidRDefault="007445F2" w:rsidP="007445F2">
            <w:pPr>
              <w:pStyle w:val="af0"/>
              <w:spacing w:line="240" w:lineRule="atLeast"/>
              <w:jc w:val="center"/>
              <w:rPr>
                <w:rFonts w:ascii="Times New Roman" w:eastAsia="宋体" w:hAnsi="Times New Roman"/>
                <w:bCs/>
                <w:sz w:val="21"/>
                <w:szCs w:val="21"/>
              </w:rPr>
            </w:pPr>
            <w:r w:rsidRPr="007445F2">
              <w:rPr>
                <w:rFonts w:ascii="Times New Roman" w:eastAsia="宋体" w:hAnsi="Times New Roman" w:hint="eastAsia"/>
                <w:color w:val="000000"/>
                <w:sz w:val="21"/>
                <w:szCs w:val="21"/>
              </w:rPr>
              <w:t>18</w:t>
            </w:r>
          </w:p>
        </w:tc>
      </w:tr>
      <w:tr w:rsidR="007445F2" w:rsidRPr="007445F2" w14:paraId="47C4F8A1" w14:textId="77777777" w:rsidTr="007445F2">
        <w:trPr>
          <w:trHeight w:val="283"/>
        </w:trPr>
        <w:tc>
          <w:tcPr>
            <w:tcW w:w="3519" w:type="pct"/>
            <w:vAlign w:val="center"/>
          </w:tcPr>
          <w:p w14:paraId="598C5A15" w14:textId="5EFF1DCB" w:rsidR="007445F2" w:rsidRPr="007445F2" w:rsidRDefault="007445F2" w:rsidP="007445F2">
            <w:pPr>
              <w:pStyle w:val="af0"/>
              <w:spacing w:line="240" w:lineRule="atLeast"/>
              <w:rPr>
                <w:rFonts w:ascii="Times New Roman" w:eastAsia="宋体" w:hAnsi="Times New Roman"/>
                <w:bCs/>
                <w:sz w:val="21"/>
                <w:szCs w:val="21"/>
              </w:rPr>
            </w:pPr>
            <w:r w:rsidRPr="007445F2">
              <w:rPr>
                <w:rFonts w:ascii="Times New Roman" w:eastAsia="宋体" w:hAnsi="Times New Roman" w:hint="eastAsia"/>
                <w:color w:val="000000"/>
                <w:sz w:val="21"/>
                <w:szCs w:val="21"/>
              </w:rPr>
              <w:t>采购方案具有高性价比</w:t>
            </w:r>
          </w:p>
        </w:tc>
        <w:tc>
          <w:tcPr>
            <w:tcW w:w="764" w:type="pct"/>
            <w:vAlign w:val="center"/>
          </w:tcPr>
          <w:p w14:paraId="7868C03A" w14:textId="5E2B1749" w:rsidR="007445F2" w:rsidRPr="007445F2" w:rsidRDefault="007445F2" w:rsidP="007445F2">
            <w:pPr>
              <w:pStyle w:val="af0"/>
              <w:spacing w:line="240" w:lineRule="atLeast"/>
              <w:jc w:val="center"/>
              <w:rPr>
                <w:rFonts w:ascii="Times New Roman" w:eastAsia="宋体" w:hAnsi="Times New Roman"/>
                <w:bCs/>
                <w:sz w:val="21"/>
                <w:szCs w:val="21"/>
              </w:rPr>
            </w:pPr>
            <w:r w:rsidRPr="007445F2">
              <w:rPr>
                <w:rFonts w:ascii="Times New Roman" w:eastAsia="宋体" w:hAnsi="Times New Roman" w:hint="eastAsia"/>
                <w:color w:val="000000"/>
                <w:sz w:val="21"/>
                <w:szCs w:val="21"/>
              </w:rPr>
              <w:t>4.229</w:t>
            </w:r>
          </w:p>
        </w:tc>
        <w:tc>
          <w:tcPr>
            <w:tcW w:w="718" w:type="pct"/>
            <w:vAlign w:val="center"/>
          </w:tcPr>
          <w:p w14:paraId="65A360C9" w14:textId="4AB0FB55" w:rsidR="007445F2" w:rsidRPr="007445F2" w:rsidRDefault="007445F2" w:rsidP="007445F2">
            <w:pPr>
              <w:pStyle w:val="af0"/>
              <w:spacing w:line="240" w:lineRule="atLeast"/>
              <w:jc w:val="center"/>
              <w:rPr>
                <w:rFonts w:ascii="Times New Roman" w:eastAsia="宋体" w:hAnsi="Times New Roman"/>
                <w:bCs/>
                <w:sz w:val="21"/>
                <w:szCs w:val="21"/>
              </w:rPr>
            </w:pPr>
            <w:r w:rsidRPr="007445F2">
              <w:rPr>
                <w:rFonts w:ascii="Times New Roman" w:eastAsia="宋体" w:hAnsi="Times New Roman" w:hint="eastAsia"/>
                <w:color w:val="000000"/>
                <w:sz w:val="21"/>
                <w:szCs w:val="21"/>
              </w:rPr>
              <w:t>20</w:t>
            </w:r>
          </w:p>
        </w:tc>
      </w:tr>
      <w:tr w:rsidR="007445F2" w:rsidRPr="007445F2" w14:paraId="18BC18F3" w14:textId="77777777" w:rsidTr="007445F2">
        <w:trPr>
          <w:trHeight w:val="283"/>
        </w:trPr>
        <w:tc>
          <w:tcPr>
            <w:tcW w:w="3519" w:type="pct"/>
            <w:vAlign w:val="bottom"/>
          </w:tcPr>
          <w:p w14:paraId="612E713A" w14:textId="36292AD4" w:rsidR="007445F2" w:rsidRPr="007445F2" w:rsidRDefault="007445F2" w:rsidP="007445F2">
            <w:pPr>
              <w:pStyle w:val="af0"/>
              <w:spacing w:line="240" w:lineRule="atLeast"/>
              <w:jc w:val="center"/>
              <w:rPr>
                <w:rFonts w:ascii="Times New Roman" w:eastAsia="宋体" w:hAnsi="Times New Roman"/>
                <w:bCs/>
                <w:sz w:val="21"/>
                <w:szCs w:val="21"/>
              </w:rPr>
            </w:pPr>
            <w:r w:rsidRPr="007445F2">
              <w:rPr>
                <w:rFonts w:ascii="Times New Roman" w:eastAsia="宋体" w:hAnsi="Times New Roman" w:hint="eastAsia"/>
                <w:b/>
                <w:bCs/>
                <w:color w:val="000000"/>
                <w:sz w:val="21"/>
                <w:szCs w:val="21"/>
              </w:rPr>
              <w:t>施工</w:t>
            </w:r>
          </w:p>
        </w:tc>
        <w:tc>
          <w:tcPr>
            <w:tcW w:w="764" w:type="pct"/>
            <w:vAlign w:val="bottom"/>
          </w:tcPr>
          <w:p w14:paraId="4DBAA219" w14:textId="77777777" w:rsidR="007445F2" w:rsidRPr="007445F2" w:rsidRDefault="007445F2" w:rsidP="007445F2">
            <w:pPr>
              <w:pStyle w:val="af0"/>
              <w:spacing w:line="240" w:lineRule="atLeast"/>
              <w:jc w:val="center"/>
              <w:rPr>
                <w:rFonts w:ascii="Times New Roman" w:eastAsia="宋体" w:hAnsi="Times New Roman"/>
                <w:bCs/>
                <w:sz w:val="21"/>
                <w:szCs w:val="21"/>
              </w:rPr>
            </w:pPr>
          </w:p>
        </w:tc>
        <w:tc>
          <w:tcPr>
            <w:tcW w:w="718" w:type="pct"/>
            <w:vAlign w:val="bottom"/>
          </w:tcPr>
          <w:p w14:paraId="0BE985BB" w14:textId="77777777" w:rsidR="007445F2" w:rsidRPr="007445F2" w:rsidRDefault="007445F2" w:rsidP="007445F2">
            <w:pPr>
              <w:pStyle w:val="af0"/>
              <w:spacing w:line="240" w:lineRule="atLeast"/>
              <w:jc w:val="center"/>
              <w:rPr>
                <w:rFonts w:ascii="Times New Roman" w:eastAsia="宋体" w:hAnsi="Times New Roman"/>
                <w:bCs/>
                <w:sz w:val="21"/>
                <w:szCs w:val="21"/>
              </w:rPr>
            </w:pPr>
          </w:p>
        </w:tc>
      </w:tr>
      <w:tr w:rsidR="007445F2" w:rsidRPr="007445F2" w14:paraId="6A64E73D" w14:textId="77777777" w:rsidTr="007445F2">
        <w:trPr>
          <w:trHeight w:val="283"/>
        </w:trPr>
        <w:tc>
          <w:tcPr>
            <w:tcW w:w="3519" w:type="pct"/>
            <w:vAlign w:val="center"/>
          </w:tcPr>
          <w:p w14:paraId="473AAC21" w14:textId="7C26CB6F" w:rsidR="007445F2" w:rsidRPr="007445F2" w:rsidRDefault="007445F2" w:rsidP="007445F2">
            <w:pPr>
              <w:pStyle w:val="af0"/>
              <w:spacing w:line="240" w:lineRule="atLeast"/>
              <w:rPr>
                <w:rFonts w:ascii="Times New Roman" w:eastAsia="宋体" w:hAnsi="Times New Roman"/>
                <w:bCs/>
                <w:sz w:val="21"/>
                <w:szCs w:val="21"/>
              </w:rPr>
            </w:pPr>
            <w:r w:rsidRPr="007445F2">
              <w:rPr>
                <w:rFonts w:ascii="Times New Roman" w:eastAsia="宋体" w:hAnsi="Times New Roman" w:hint="eastAsia"/>
                <w:color w:val="000000"/>
                <w:sz w:val="21"/>
                <w:szCs w:val="21"/>
              </w:rPr>
              <w:t>制定合理的施工组织设计方案</w:t>
            </w:r>
          </w:p>
        </w:tc>
        <w:tc>
          <w:tcPr>
            <w:tcW w:w="764" w:type="pct"/>
            <w:vAlign w:val="center"/>
          </w:tcPr>
          <w:p w14:paraId="30EA3ADE" w14:textId="5A700020" w:rsidR="007445F2" w:rsidRPr="007445F2" w:rsidRDefault="007445F2" w:rsidP="007445F2">
            <w:pPr>
              <w:pStyle w:val="af0"/>
              <w:spacing w:line="240" w:lineRule="atLeast"/>
              <w:jc w:val="center"/>
              <w:rPr>
                <w:rFonts w:ascii="Times New Roman" w:eastAsia="宋体" w:hAnsi="Times New Roman"/>
                <w:bCs/>
                <w:sz w:val="21"/>
                <w:szCs w:val="21"/>
              </w:rPr>
            </w:pPr>
            <w:r w:rsidRPr="007445F2">
              <w:rPr>
                <w:rFonts w:ascii="Times New Roman" w:eastAsia="宋体" w:hAnsi="Times New Roman" w:hint="eastAsia"/>
                <w:color w:val="000000"/>
                <w:sz w:val="21"/>
                <w:szCs w:val="21"/>
              </w:rPr>
              <w:t>4.365</w:t>
            </w:r>
          </w:p>
        </w:tc>
        <w:tc>
          <w:tcPr>
            <w:tcW w:w="718" w:type="pct"/>
            <w:vAlign w:val="center"/>
          </w:tcPr>
          <w:p w14:paraId="24E11810" w14:textId="02A6C858" w:rsidR="007445F2" w:rsidRPr="007445F2" w:rsidRDefault="007445F2" w:rsidP="007445F2">
            <w:pPr>
              <w:pStyle w:val="af0"/>
              <w:spacing w:line="240" w:lineRule="atLeast"/>
              <w:jc w:val="center"/>
              <w:rPr>
                <w:rFonts w:ascii="Times New Roman" w:eastAsia="宋体" w:hAnsi="Times New Roman"/>
                <w:bCs/>
                <w:sz w:val="21"/>
                <w:szCs w:val="21"/>
              </w:rPr>
            </w:pPr>
            <w:r w:rsidRPr="007445F2">
              <w:rPr>
                <w:rFonts w:ascii="Times New Roman" w:eastAsia="宋体" w:hAnsi="Times New Roman" w:hint="eastAsia"/>
                <w:color w:val="000000"/>
                <w:sz w:val="21"/>
                <w:szCs w:val="21"/>
              </w:rPr>
              <w:t>3</w:t>
            </w:r>
          </w:p>
        </w:tc>
      </w:tr>
      <w:tr w:rsidR="007445F2" w:rsidRPr="007445F2" w14:paraId="761B822F" w14:textId="77777777" w:rsidTr="007445F2">
        <w:trPr>
          <w:trHeight w:val="283"/>
        </w:trPr>
        <w:tc>
          <w:tcPr>
            <w:tcW w:w="3519" w:type="pct"/>
            <w:vAlign w:val="center"/>
          </w:tcPr>
          <w:p w14:paraId="3FFE6167" w14:textId="77576798" w:rsidR="007445F2" w:rsidRPr="007445F2" w:rsidRDefault="007445F2" w:rsidP="007445F2">
            <w:pPr>
              <w:pStyle w:val="af0"/>
              <w:spacing w:line="240" w:lineRule="atLeast"/>
              <w:rPr>
                <w:rFonts w:ascii="Times New Roman" w:eastAsia="宋体" w:hAnsi="Times New Roman"/>
                <w:bCs/>
                <w:sz w:val="21"/>
                <w:szCs w:val="21"/>
              </w:rPr>
            </w:pPr>
            <w:r w:rsidRPr="007445F2">
              <w:rPr>
                <w:rFonts w:ascii="Times New Roman" w:eastAsia="宋体" w:hAnsi="Times New Roman" w:hint="eastAsia"/>
                <w:color w:val="000000"/>
                <w:sz w:val="21"/>
                <w:szCs w:val="21"/>
              </w:rPr>
              <w:t>实现施工环保的有效管控</w:t>
            </w:r>
          </w:p>
        </w:tc>
        <w:tc>
          <w:tcPr>
            <w:tcW w:w="764" w:type="pct"/>
            <w:vAlign w:val="center"/>
          </w:tcPr>
          <w:p w14:paraId="1CEB7A45" w14:textId="43513CBE" w:rsidR="007445F2" w:rsidRPr="007445F2" w:rsidRDefault="007445F2" w:rsidP="007445F2">
            <w:pPr>
              <w:pStyle w:val="af0"/>
              <w:spacing w:line="240" w:lineRule="atLeast"/>
              <w:jc w:val="center"/>
              <w:rPr>
                <w:rFonts w:ascii="Times New Roman" w:eastAsia="宋体" w:hAnsi="Times New Roman"/>
                <w:bCs/>
                <w:sz w:val="21"/>
                <w:szCs w:val="21"/>
              </w:rPr>
            </w:pPr>
            <w:r w:rsidRPr="007445F2">
              <w:rPr>
                <w:rFonts w:ascii="Times New Roman" w:eastAsia="宋体" w:hAnsi="Times New Roman" w:hint="eastAsia"/>
                <w:color w:val="000000"/>
                <w:sz w:val="21"/>
                <w:szCs w:val="21"/>
              </w:rPr>
              <w:t>4.334</w:t>
            </w:r>
          </w:p>
        </w:tc>
        <w:tc>
          <w:tcPr>
            <w:tcW w:w="718" w:type="pct"/>
            <w:vAlign w:val="center"/>
          </w:tcPr>
          <w:p w14:paraId="10BE7858" w14:textId="536090FD" w:rsidR="007445F2" w:rsidRPr="007445F2" w:rsidRDefault="007445F2" w:rsidP="007445F2">
            <w:pPr>
              <w:pStyle w:val="af0"/>
              <w:spacing w:line="240" w:lineRule="atLeast"/>
              <w:jc w:val="center"/>
              <w:rPr>
                <w:rFonts w:ascii="Times New Roman" w:eastAsia="宋体" w:hAnsi="Times New Roman"/>
                <w:bCs/>
                <w:sz w:val="21"/>
                <w:szCs w:val="21"/>
              </w:rPr>
            </w:pPr>
            <w:r w:rsidRPr="007445F2">
              <w:rPr>
                <w:rFonts w:ascii="Times New Roman" w:eastAsia="宋体" w:hAnsi="Times New Roman" w:hint="eastAsia"/>
                <w:color w:val="000000"/>
                <w:sz w:val="21"/>
                <w:szCs w:val="21"/>
              </w:rPr>
              <w:t>6</w:t>
            </w:r>
          </w:p>
        </w:tc>
      </w:tr>
      <w:tr w:rsidR="007445F2" w:rsidRPr="007445F2" w14:paraId="0B202E9A" w14:textId="77777777" w:rsidTr="007445F2">
        <w:trPr>
          <w:trHeight w:val="283"/>
        </w:trPr>
        <w:tc>
          <w:tcPr>
            <w:tcW w:w="3519" w:type="pct"/>
            <w:vAlign w:val="center"/>
          </w:tcPr>
          <w:p w14:paraId="34C3158E" w14:textId="6F2E1F3D" w:rsidR="007445F2" w:rsidRPr="007445F2" w:rsidRDefault="007445F2" w:rsidP="007445F2">
            <w:pPr>
              <w:pStyle w:val="af0"/>
              <w:spacing w:line="240" w:lineRule="atLeast"/>
              <w:rPr>
                <w:rFonts w:ascii="Times New Roman" w:eastAsia="宋体" w:hAnsi="Times New Roman"/>
                <w:bCs/>
                <w:sz w:val="21"/>
                <w:szCs w:val="21"/>
              </w:rPr>
            </w:pPr>
            <w:r w:rsidRPr="007445F2">
              <w:rPr>
                <w:rFonts w:ascii="Times New Roman" w:eastAsia="宋体" w:hAnsi="Times New Roman" w:hint="eastAsia"/>
                <w:color w:val="000000"/>
                <w:sz w:val="21"/>
                <w:szCs w:val="21"/>
              </w:rPr>
              <w:t>实现施工安全的有效管控</w:t>
            </w:r>
          </w:p>
        </w:tc>
        <w:tc>
          <w:tcPr>
            <w:tcW w:w="764" w:type="pct"/>
            <w:vAlign w:val="center"/>
          </w:tcPr>
          <w:p w14:paraId="3B1EC87F" w14:textId="35E93982" w:rsidR="007445F2" w:rsidRPr="007445F2" w:rsidRDefault="007445F2" w:rsidP="007445F2">
            <w:pPr>
              <w:pStyle w:val="af0"/>
              <w:spacing w:line="240" w:lineRule="atLeast"/>
              <w:jc w:val="center"/>
              <w:rPr>
                <w:rFonts w:ascii="Times New Roman" w:eastAsia="宋体" w:hAnsi="Times New Roman"/>
                <w:bCs/>
                <w:sz w:val="21"/>
                <w:szCs w:val="21"/>
              </w:rPr>
            </w:pPr>
            <w:r w:rsidRPr="007445F2">
              <w:rPr>
                <w:rFonts w:ascii="Times New Roman" w:eastAsia="宋体" w:hAnsi="Times New Roman" w:hint="eastAsia"/>
                <w:color w:val="000000"/>
                <w:sz w:val="21"/>
                <w:szCs w:val="21"/>
              </w:rPr>
              <w:t>4.317</w:t>
            </w:r>
          </w:p>
        </w:tc>
        <w:tc>
          <w:tcPr>
            <w:tcW w:w="718" w:type="pct"/>
            <w:vAlign w:val="center"/>
          </w:tcPr>
          <w:p w14:paraId="26FE76CC" w14:textId="3AA71C85" w:rsidR="007445F2" w:rsidRPr="007445F2" w:rsidRDefault="007445F2" w:rsidP="007445F2">
            <w:pPr>
              <w:pStyle w:val="af0"/>
              <w:spacing w:line="240" w:lineRule="atLeast"/>
              <w:jc w:val="center"/>
              <w:rPr>
                <w:rFonts w:ascii="Times New Roman" w:eastAsia="宋体" w:hAnsi="Times New Roman"/>
                <w:bCs/>
                <w:sz w:val="21"/>
                <w:szCs w:val="21"/>
              </w:rPr>
            </w:pPr>
            <w:r w:rsidRPr="007445F2">
              <w:rPr>
                <w:rFonts w:ascii="Times New Roman" w:eastAsia="宋体" w:hAnsi="Times New Roman" w:hint="eastAsia"/>
                <w:color w:val="000000"/>
                <w:sz w:val="21"/>
                <w:szCs w:val="21"/>
              </w:rPr>
              <w:t>10</w:t>
            </w:r>
          </w:p>
        </w:tc>
      </w:tr>
      <w:tr w:rsidR="007445F2" w:rsidRPr="007445F2" w14:paraId="63371419" w14:textId="77777777" w:rsidTr="007445F2">
        <w:trPr>
          <w:trHeight w:val="283"/>
        </w:trPr>
        <w:tc>
          <w:tcPr>
            <w:tcW w:w="3519" w:type="pct"/>
            <w:vAlign w:val="center"/>
          </w:tcPr>
          <w:p w14:paraId="0F08CE83" w14:textId="57714C16" w:rsidR="007445F2" w:rsidRPr="007445F2" w:rsidRDefault="007445F2" w:rsidP="007445F2">
            <w:pPr>
              <w:pStyle w:val="af0"/>
              <w:spacing w:line="240" w:lineRule="atLeast"/>
              <w:rPr>
                <w:rFonts w:ascii="Times New Roman" w:eastAsia="宋体" w:hAnsi="Times New Roman"/>
                <w:bCs/>
                <w:sz w:val="21"/>
                <w:szCs w:val="21"/>
              </w:rPr>
            </w:pPr>
            <w:r w:rsidRPr="007445F2">
              <w:rPr>
                <w:rFonts w:ascii="Times New Roman" w:eastAsia="宋体" w:hAnsi="Times New Roman" w:hint="eastAsia"/>
                <w:color w:val="000000"/>
                <w:sz w:val="21"/>
                <w:szCs w:val="21"/>
              </w:rPr>
              <w:t>实现施工进度的有效管控</w:t>
            </w:r>
          </w:p>
        </w:tc>
        <w:tc>
          <w:tcPr>
            <w:tcW w:w="764" w:type="pct"/>
            <w:vAlign w:val="center"/>
          </w:tcPr>
          <w:p w14:paraId="5FE72F43" w14:textId="48EA6A86" w:rsidR="007445F2" w:rsidRPr="007445F2" w:rsidRDefault="007445F2" w:rsidP="007445F2">
            <w:pPr>
              <w:pStyle w:val="af0"/>
              <w:spacing w:line="240" w:lineRule="atLeast"/>
              <w:jc w:val="center"/>
              <w:rPr>
                <w:rFonts w:ascii="Times New Roman" w:eastAsia="宋体" w:hAnsi="Times New Roman"/>
                <w:bCs/>
                <w:sz w:val="21"/>
                <w:szCs w:val="21"/>
              </w:rPr>
            </w:pPr>
            <w:r w:rsidRPr="007445F2">
              <w:rPr>
                <w:rFonts w:ascii="Times New Roman" w:eastAsia="宋体" w:hAnsi="Times New Roman" w:hint="eastAsia"/>
                <w:color w:val="000000"/>
                <w:sz w:val="21"/>
                <w:szCs w:val="21"/>
              </w:rPr>
              <w:t>4.314</w:t>
            </w:r>
          </w:p>
        </w:tc>
        <w:tc>
          <w:tcPr>
            <w:tcW w:w="718" w:type="pct"/>
            <w:vAlign w:val="center"/>
          </w:tcPr>
          <w:p w14:paraId="430CF59B" w14:textId="37FDE64B" w:rsidR="007445F2" w:rsidRPr="007445F2" w:rsidRDefault="007445F2" w:rsidP="007445F2">
            <w:pPr>
              <w:pStyle w:val="af0"/>
              <w:spacing w:line="240" w:lineRule="atLeast"/>
              <w:jc w:val="center"/>
              <w:rPr>
                <w:rFonts w:ascii="Times New Roman" w:eastAsia="宋体" w:hAnsi="Times New Roman"/>
                <w:bCs/>
                <w:sz w:val="21"/>
                <w:szCs w:val="21"/>
              </w:rPr>
            </w:pPr>
            <w:r w:rsidRPr="007445F2">
              <w:rPr>
                <w:rFonts w:ascii="Times New Roman" w:eastAsia="宋体" w:hAnsi="Times New Roman" w:hint="eastAsia"/>
                <w:color w:val="000000"/>
                <w:sz w:val="21"/>
                <w:szCs w:val="21"/>
              </w:rPr>
              <w:t>11</w:t>
            </w:r>
          </w:p>
        </w:tc>
      </w:tr>
      <w:tr w:rsidR="007445F2" w:rsidRPr="007445F2" w14:paraId="40640556" w14:textId="77777777" w:rsidTr="007445F2">
        <w:trPr>
          <w:trHeight w:val="283"/>
        </w:trPr>
        <w:tc>
          <w:tcPr>
            <w:tcW w:w="3519" w:type="pct"/>
            <w:vAlign w:val="center"/>
          </w:tcPr>
          <w:p w14:paraId="5170A01D" w14:textId="3080DB9C" w:rsidR="007445F2" w:rsidRPr="007445F2" w:rsidRDefault="007445F2" w:rsidP="007445F2">
            <w:pPr>
              <w:pStyle w:val="af0"/>
              <w:spacing w:line="240" w:lineRule="atLeast"/>
              <w:rPr>
                <w:rFonts w:ascii="Times New Roman" w:eastAsia="宋体" w:hAnsi="Times New Roman"/>
                <w:bCs/>
                <w:sz w:val="21"/>
                <w:szCs w:val="21"/>
              </w:rPr>
            </w:pPr>
            <w:r w:rsidRPr="007445F2">
              <w:rPr>
                <w:rFonts w:ascii="Times New Roman" w:eastAsia="宋体" w:hAnsi="Times New Roman" w:hint="eastAsia"/>
                <w:color w:val="000000"/>
                <w:sz w:val="21"/>
                <w:szCs w:val="21"/>
              </w:rPr>
              <w:t>实现施工质量的有效管控</w:t>
            </w:r>
          </w:p>
        </w:tc>
        <w:tc>
          <w:tcPr>
            <w:tcW w:w="764" w:type="pct"/>
            <w:vAlign w:val="center"/>
          </w:tcPr>
          <w:p w14:paraId="68BB4808" w14:textId="423E5305" w:rsidR="007445F2" w:rsidRPr="007445F2" w:rsidRDefault="007445F2" w:rsidP="007445F2">
            <w:pPr>
              <w:pStyle w:val="af0"/>
              <w:spacing w:line="240" w:lineRule="atLeast"/>
              <w:jc w:val="center"/>
              <w:rPr>
                <w:rFonts w:ascii="Times New Roman" w:eastAsia="宋体" w:hAnsi="Times New Roman"/>
                <w:bCs/>
                <w:sz w:val="21"/>
                <w:szCs w:val="21"/>
              </w:rPr>
            </w:pPr>
            <w:r w:rsidRPr="007445F2">
              <w:rPr>
                <w:rFonts w:ascii="Times New Roman" w:eastAsia="宋体" w:hAnsi="Times New Roman" w:hint="eastAsia"/>
                <w:color w:val="000000"/>
                <w:sz w:val="21"/>
                <w:szCs w:val="21"/>
              </w:rPr>
              <w:t>4.311</w:t>
            </w:r>
          </w:p>
        </w:tc>
        <w:tc>
          <w:tcPr>
            <w:tcW w:w="718" w:type="pct"/>
            <w:vAlign w:val="center"/>
          </w:tcPr>
          <w:p w14:paraId="73C75064" w14:textId="2278AC21" w:rsidR="007445F2" w:rsidRPr="007445F2" w:rsidRDefault="007445F2" w:rsidP="007445F2">
            <w:pPr>
              <w:pStyle w:val="af0"/>
              <w:spacing w:line="240" w:lineRule="atLeast"/>
              <w:jc w:val="center"/>
              <w:rPr>
                <w:rFonts w:ascii="Times New Roman" w:eastAsia="宋体" w:hAnsi="Times New Roman"/>
                <w:bCs/>
                <w:sz w:val="21"/>
                <w:szCs w:val="21"/>
              </w:rPr>
            </w:pPr>
            <w:r w:rsidRPr="007445F2">
              <w:rPr>
                <w:rFonts w:ascii="Times New Roman" w:eastAsia="宋体" w:hAnsi="Times New Roman" w:hint="eastAsia"/>
                <w:color w:val="000000"/>
                <w:sz w:val="21"/>
                <w:szCs w:val="21"/>
              </w:rPr>
              <w:t>12</w:t>
            </w:r>
          </w:p>
        </w:tc>
      </w:tr>
      <w:tr w:rsidR="007445F2" w:rsidRPr="007445F2" w14:paraId="084F0131" w14:textId="77777777" w:rsidTr="007445F2">
        <w:trPr>
          <w:trHeight w:val="283"/>
        </w:trPr>
        <w:tc>
          <w:tcPr>
            <w:tcW w:w="3519" w:type="pct"/>
            <w:vAlign w:val="center"/>
          </w:tcPr>
          <w:p w14:paraId="3F4D0FD1" w14:textId="5A75AD90" w:rsidR="007445F2" w:rsidRPr="007445F2" w:rsidRDefault="007445F2" w:rsidP="007445F2">
            <w:pPr>
              <w:pStyle w:val="af0"/>
              <w:spacing w:line="240" w:lineRule="atLeast"/>
              <w:rPr>
                <w:rFonts w:ascii="Times New Roman" w:eastAsia="宋体" w:hAnsi="Times New Roman"/>
                <w:bCs/>
                <w:sz w:val="21"/>
                <w:szCs w:val="21"/>
              </w:rPr>
            </w:pPr>
            <w:r w:rsidRPr="007445F2">
              <w:rPr>
                <w:rFonts w:ascii="Times New Roman" w:eastAsia="宋体" w:hAnsi="Times New Roman" w:hint="eastAsia"/>
                <w:color w:val="000000"/>
                <w:sz w:val="21"/>
                <w:szCs w:val="21"/>
              </w:rPr>
              <w:t>实现施工成本的有效管控</w:t>
            </w:r>
          </w:p>
        </w:tc>
        <w:tc>
          <w:tcPr>
            <w:tcW w:w="764" w:type="pct"/>
            <w:vAlign w:val="center"/>
          </w:tcPr>
          <w:p w14:paraId="0A64A297" w14:textId="6695839E" w:rsidR="007445F2" w:rsidRPr="007445F2" w:rsidRDefault="007445F2" w:rsidP="007445F2">
            <w:pPr>
              <w:pStyle w:val="af0"/>
              <w:spacing w:line="240" w:lineRule="atLeast"/>
              <w:jc w:val="center"/>
              <w:rPr>
                <w:rFonts w:ascii="Times New Roman" w:eastAsia="宋体" w:hAnsi="Times New Roman"/>
                <w:bCs/>
                <w:sz w:val="21"/>
                <w:szCs w:val="21"/>
              </w:rPr>
            </w:pPr>
            <w:r w:rsidRPr="007445F2">
              <w:rPr>
                <w:rFonts w:ascii="Times New Roman" w:eastAsia="宋体" w:hAnsi="Times New Roman" w:hint="eastAsia"/>
                <w:color w:val="000000"/>
                <w:sz w:val="21"/>
                <w:szCs w:val="21"/>
              </w:rPr>
              <w:t>4.304</w:t>
            </w:r>
          </w:p>
        </w:tc>
        <w:tc>
          <w:tcPr>
            <w:tcW w:w="718" w:type="pct"/>
            <w:vAlign w:val="center"/>
          </w:tcPr>
          <w:p w14:paraId="51BE3047" w14:textId="0A704283" w:rsidR="007445F2" w:rsidRPr="007445F2" w:rsidRDefault="007445F2" w:rsidP="007445F2">
            <w:pPr>
              <w:pStyle w:val="af0"/>
              <w:spacing w:line="240" w:lineRule="atLeast"/>
              <w:jc w:val="center"/>
              <w:rPr>
                <w:rFonts w:ascii="Times New Roman" w:eastAsia="宋体" w:hAnsi="Times New Roman"/>
                <w:bCs/>
                <w:sz w:val="21"/>
                <w:szCs w:val="21"/>
              </w:rPr>
            </w:pPr>
            <w:r w:rsidRPr="007445F2">
              <w:rPr>
                <w:rFonts w:ascii="Times New Roman" w:eastAsia="宋体" w:hAnsi="Times New Roman" w:hint="eastAsia"/>
                <w:color w:val="000000"/>
                <w:sz w:val="21"/>
                <w:szCs w:val="21"/>
              </w:rPr>
              <w:t>13</w:t>
            </w:r>
          </w:p>
        </w:tc>
      </w:tr>
      <w:tr w:rsidR="007445F2" w:rsidRPr="007445F2" w14:paraId="6B82C976" w14:textId="77777777" w:rsidTr="007445F2">
        <w:trPr>
          <w:trHeight w:val="283"/>
        </w:trPr>
        <w:tc>
          <w:tcPr>
            <w:tcW w:w="3519" w:type="pct"/>
            <w:vAlign w:val="center"/>
          </w:tcPr>
          <w:p w14:paraId="34C5FA84" w14:textId="6F90487F" w:rsidR="007445F2" w:rsidRPr="007445F2" w:rsidRDefault="007445F2" w:rsidP="007445F2">
            <w:pPr>
              <w:pStyle w:val="af0"/>
              <w:spacing w:line="240" w:lineRule="atLeast"/>
              <w:rPr>
                <w:rFonts w:ascii="Times New Roman" w:eastAsia="宋体" w:hAnsi="Times New Roman"/>
                <w:bCs/>
                <w:sz w:val="21"/>
                <w:szCs w:val="21"/>
              </w:rPr>
            </w:pPr>
            <w:r w:rsidRPr="007445F2">
              <w:rPr>
                <w:rFonts w:ascii="Times New Roman" w:eastAsia="宋体" w:hAnsi="Times New Roman" w:hint="eastAsia"/>
                <w:color w:val="000000"/>
                <w:sz w:val="21"/>
                <w:szCs w:val="21"/>
              </w:rPr>
              <w:t>顺利进行征地移民工作</w:t>
            </w:r>
          </w:p>
        </w:tc>
        <w:tc>
          <w:tcPr>
            <w:tcW w:w="764" w:type="pct"/>
            <w:vAlign w:val="center"/>
          </w:tcPr>
          <w:p w14:paraId="2A2872F8" w14:textId="0DE7572E" w:rsidR="007445F2" w:rsidRPr="007445F2" w:rsidRDefault="007445F2" w:rsidP="007445F2">
            <w:pPr>
              <w:pStyle w:val="af0"/>
              <w:spacing w:line="240" w:lineRule="atLeast"/>
              <w:jc w:val="center"/>
              <w:rPr>
                <w:rFonts w:ascii="Times New Roman" w:eastAsia="宋体" w:hAnsi="Times New Roman"/>
                <w:bCs/>
                <w:sz w:val="21"/>
                <w:szCs w:val="21"/>
              </w:rPr>
            </w:pPr>
            <w:r w:rsidRPr="007445F2">
              <w:rPr>
                <w:rFonts w:ascii="Times New Roman" w:eastAsia="宋体" w:hAnsi="Times New Roman" w:hint="eastAsia"/>
                <w:color w:val="000000"/>
                <w:sz w:val="21"/>
                <w:szCs w:val="21"/>
              </w:rPr>
              <w:t>4.246</w:t>
            </w:r>
          </w:p>
        </w:tc>
        <w:tc>
          <w:tcPr>
            <w:tcW w:w="718" w:type="pct"/>
            <w:vAlign w:val="center"/>
          </w:tcPr>
          <w:p w14:paraId="6CCF65D7" w14:textId="0FB44ADF" w:rsidR="007445F2" w:rsidRPr="007445F2" w:rsidRDefault="007445F2" w:rsidP="007445F2">
            <w:pPr>
              <w:pStyle w:val="af0"/>
              <w:spacing w:line="240" w:lineRule="atLeast"/>
              <w:jc w:val="center"/>
              <w:rPr>
                <w:rFonts w:ascii="Times New Roman" w:eastAsia="宋体" w:hAnsi="Times New Roman"/>
                <w:bCs/>
                <w:sz w:val="21"/>
                <w:szCs w:val="21"/>
              </w:rPr>
            </w:pPr>
            <w:r w:rsidRPr="007445F2">
              <w:rPr>
                <w:rFonts w:ascii="Times New Roman" w:eastAsia="宋体" w:hAnsi="Times New Roman" w:hint="eastAsia"/>
                <w:color w:val="000000"/>
                <w:sz w:val="21"/>
                <w:szCs w:val="21"/>
              </w:rPr>
              <w:t>18</w:t>
            </w:r>
          </w:p>
        </w:tc>
      </w:tr>
      <w:tr w:rsidR="007445F2" w:rsidRPr="007445F2" w14:paraId="755E61C9" w14:textId="77777777" w:rsidTr="007445F2">
        <w:trPr>
          <w:cnfStyle w:val="010000000000" w:firstRow="0" w:lastRow="1" w:firstColumn="0" w:lastColumn="0" w:oddVBand="0" w:evenVBand="0" w:oddHBand="0" w:evenHBand="0" w:firstRowFirstColumn="0" w:firstRowLastColumn="0" w:lastRowFirstColumn="0" w:lastRowLastColumn="0"/>
          <w:trHeight w:val="283"/>
        </w:trPr>
        <w:tc>
          <w:tcPr>
            <w:tcW w:w="3519" w:type="pct"/>
            <w:vAlign w:val="center"/>
            <w:hideMark/>
          </w:tcPr>
          <w:p w14:paraId="68DAAD86" w14:textId="77777777" w:rsidR="007445F2" w:rsidRPr="007445F2" w:rsidRDefault="007445F2" w:rsidP="007445F2">
            <w:pPr>
              <w:pStyle w:val="af0"/>
              <w:spacing w:line="240" w:lineRule="atLeast"/>
              <w:jc w:val="center"/>
              <w:rPr>
                <w:rFonts w:ascii="Times New Roman" w:eastAsia="宋体" w:hAnsi="Times New Roman"/>
                <w:bCs w:val="0"/>
                <w:sz w:val="21"/>
                <w:szCs w:val="21"/>
              </w:rPr>
            </w:pPr>
            <w:r w:rsidRPr="007445F2">
              <w:rPr>
                <w:rFonts w:ascii="Times New Roman" w:eastAsia="宋体" w:hAnsi="Times New Roman" w:hint="eastAsia"/>
                <w:bCs w:val="0"/>
                <w:sz w:val="21"/>
                <w:szCs w:val="21"/>
              </w:rPr>
              <w:t>均值</w:t>
            </w:r>
          </w:p>
        </w:tc>
        <w:tc>
          <w:tcPr>
            <w:tcW w:w="764" w:type="pct"/>
            <w:vAlign w:val="center"/>
            <w:hideMark/>
          </w:tcPr>
          <w:p w14:paraId="283FCE0A" w14:textId="3B9571B6" w:rsidR="007445F2" w:rsidRPr="007445F2" w:rsidRDefault="007445F2" w:rsidP="007445F2">
            <w:pPr>
              <w:pStyle w:val="af0"/>
              <w:spacing w:line="240" w:lineRule="atLeast"/>
              <w:jc w:val="center"/>
              <w:rPr>
                <w:rFonts w:ascii="Times New Roman" w:eastAsia="宋体" w:hAnsi="Times New Roman"/>
                <w:bCs w:val="0"/>
                <w:sz w:val="21"/>
                <w:szCs w:val="21"/>
              </w:rPr>
            </w:pPr>
            <w:r w:rsidRPr="007445F2">
              <w:rPr>
                <w:rFonts w:ascii="Times New Roman" w:eastAsia="宋体" w:hAnsi="Times New Roman" w:hint="eastAsia"/>
                <w:color w:val="000000"/>
                <w:sz w:val="21"/>
                <w:szCs w:val="21"/>
              </w:rPr>
              <w:t>4.317</w:t>
            </w:r>
          </w:p>
        </w:tc>
        <w:tc>
          <w:tcPr>
            <w:tcW w:w="718" w:type="pct"/>
            <w:vAlign w:val="center"/>
            <w:hideMark/>
          </w:tcPr>
          <w:p w14:paraId="32D01FBD" w14:textId="77777777" w:rsidR="007445F2" w:rsidRPr="007445F2" w:rsidRDefault="007445F2" w:rsidP="007445F2">
            <w:pPr>
              <w:pStyle w:val="af0"/>
              <w:spacing w:line="240" w:lineRule="atLeast"/>
              <w:jc w:val="center"/>
              <w:rPr>
                <w:rFonts w:ascii="Times New Roman" w:eastAsia="宋体" w:hAnsi="Times New Roman"/>
                <w:bCs w:val="0"/>
                <w:sz w:val="21"/>
                <w:szCs w:val="21"/>
              </w:rPr>
            </w:pPr>
            <w:r w:rsidRPr="007445F2">
              <w:rPr>
                <w:rFonts w:ascii="Times New Roman" w:eastAsia="宋体" w:hAnsi="Times New Roman"/>
                <w:bCs w:val="0"/>
                <w:sz w:val="21"/>
                <w:szCs w:val="21"/>
              </w:rPr>
              <w:t>-</w:t>
            </w:r>
          </w:p>
        </w:tc>
      </w:tr>
    </w:tbl>
    <w:p w14:paraId="00444074" w14:textId="7A08C5D1" w:rsidR="004D2EE8" w:rsidRDefault="00E4410C" w:rsidP="004D2EE8">
      <w:pPr>
        <w:spacing w:beforeLines="50" w:before="156"/>
        <w:ind w:firstLine="420"/>
        <w:rPr>
          <w:color w:val="000000"/>
        </w:rPr>
      </w:pPr>
      <w:r w:rsidRPr="00C35659">
        <w:rPr>
          <w:rFonts w:hint="eastAsia"/>
        </w:rPr>
        <w:t>如</w:t>
      </w:r>
      <w:r>
        <w:fldChar w:fldCharType="begin"/>
      </w:r>
      <w:r>
        <w:instrText xml:space="preserve"> </w:instrText>
      </w:r>
      <w:r>
        <w:rPr>
          <w:rFonts w:hint="eastAsia"/>
        </w:rPr>
        <w:instrText>REF _Ref174347537 \h</w:instrText>
      </w:r>
      <w:r>
        <w:instrText xml:space="preserve"> </w:instrText>
      </w:r>
      <w:r>
        <w:fldChar w:fldCharType="separate"/>
      </w:r>
      <w:r w:rsidR="000F2689">
        <w:rPr>
          <w:rFonts w:hint="eastAsia"/>
        </w:rPr>
        <w:t>表</w:t>
      </w:r>
      <w:r w:rsidR="000F2689">
        <w:rPr>
          <w:rFonts w:hint="eastAsia"/>
        </w:rPr>
        <w:t xml:space="preserve"> </w:t>
      </w:r>
      <w:r w:rsidR="000F2689">
        <w:rPr>
          <w:noProof/>
        </w:rPr>
        <w:t>7</w:t>
      </w:r>
      <w:r>
        <w:fldChar w:fldCharType="end"/>
      </w:r>
      <w:r w:rsidRPr="00C35659">
        <w:rPr>
          <w:rFonts w:hint="eastAsia"/>
        </w:rPr>
        <w:t>所示</w:t>
      </w:r>
      <w:r>
        <w:rPr>
          <w:rFonts w:hint="eastAsia"/>
        </w:rPr>
        <w:t>，</w:t>
      </w:r>
      <w:r w:rsidR="007445F2">
        <w:rPr>
          <w:rFonts w:hint="eastAsia"/>
        </w:rPr>
        <w:t>当前清洁能源基地实施水平总体良好</w:t>
      </w:r>
      <w:r>
        <w:rPr>
          <w:rFonts w:cs="Times New Roman" w:hint="eastAsia"/>
        </w:rPr>
        <w:t>。</w:t>
      </w:r>
      <w:r w:rsidR="007445F2">
        <w:rPr>
          <w:rFonts w:cs="Times New Roman" w:hint="eastAsia"/>
        </w:rPr>
        <w:t>首先，</w:t>
      </w:r>
      <w:r w:rsidR="007445F2">
        <w:rPr>
          <w:rFonts w:hint="eastAsia"/>
        </w:rPr>
        <w:t>清洁能源基地设计水平整体较好，</w:t>
      </w:r>
      <w:r w:rsidR="004D2EE8">
        <w:rPr>
          <w:rFonts w:hint="eastAsia"/>
        </w:rPr>
        <w:t>总体得分最高，表明当前清洁能源基地设计水平</w:t>
      </w:r>
      <w:r w:rsidR="007445F2">
        <w:rPr>
          <w:rFonts w:hint="eastAsia"/>
        </w:rPr>
        <w:t>能够满足</w:t>
      </w:r>
      <w:r w:rsidR="007445F2">
        <w:t>技术可行性、设备采购适配性</w:t>
      </w:r>
      <w:r w:rsidR="007445F2">
        <w:rPr>
          <w:rFonts w:hint="eastAsia"/>
        </w:rPr>
        <w:t>以及</w:t>
      </w:r>
      <w:r w:rsidR="007445F2">
        <w:t>功能需求</w:t>
      </w:r>
      <w:r w:rsidR="007445F2">
        <w:rPr>
          <w:rFonts w:hint="eastAsia"/>
        </w:rPr>
        <w:t>。清洁能源基地施工水平良好。其中，</w:t>
      </w:r>
      <w:r w:rsidR="007445F2">
        <w:rPr>
          <w:rFonts w:hint="eastAsia"/>
          <w:color w:val="000000"/>
        </w:rPr>
        <w:t>“清洁能源项</w:t>
      </w:r>
      <w:r w:rsidR="007445F2">
        <w:rPr>
          <w:rFonts w:hint="eastAsia"/>
          <w:color w:val="000000"/>
        </w:rPr>
        <w:t>目顺利进行征地移民工作”得分最低，表明征地移民工作是清洁能源基地实施的关键问题，应加强与当地政府、居民的沟通，提高项目的社会认可度，并</w:t>
      </w:r>
      <w:r w:rsidR="007445F2">
        <w:t>优化征地补偿机制</w:t>
      </w:r>
      <w:r w:rsidR="007445F2">
        <w:rPr>
          <w:rFonts w:hint="eastAsia"/>
        </w:rPr>
        <w:t>，以顺利推进土地获取过程。</w:t>
      </w:r>
      <w:r w:rsidR="004D2EE8">
        <w:rPr>
          <w:rFonts w:hint="eastAsia"/>
        </w:rPr>
        <w:t>清洁能源基地采购总体得分最低。</w:t>
      </w:r>
      <w:r w:rsidR="004D2EE8">
        <w:rPr>
          <w:rFonts w:hint="eastAsia"/>
          <w:color w:val="000000"/>
        </w:rPr>
        <w:t>“</w:t>
      </w:r>
      <w:r w:rsidR="004D2EE8" w:rsidRPr="00073C1B">
        <w:rPr>
          <w:rFonts w:hint="eastAsia"/>
          <w:color w:val="000000"/>
        </w:rPr>
        <w:t>采购方案具有高性价比</w:t>
      </w:r>
      <w:r w:rsidR="004D2EE8">
        <w:rPr>
          <w:rFonts w:hint="eastAsia"/>
          <w:color w:val="000000"/>
        </w:rPr>
        <w:t>”得分最低，可归因于当前风、光电站设备市场价格波动较大，需推进供应链一体化管理，优化采购模式，优选供应商，以提高采购方案的经济性。</w:t>
      </w:r>
    </w:p>
    <w:p w14:paraId="2B2578DD" w14:textId="3933F05D" w:rsidR="004D2EE8" w:rsidRDefault="004D2EE8" w:rsidP="004D2EE8">
      <w:pPr>
        <w:pStyle w:val="2"/>
      </w:pPr>
      <w:r>
        <w:rPr>
          <w:rFonts w:hint="eastAsia"/>
        </w:rPr>
        <w:t>清洁能源基地运营情况</w:t>
      </w:r>
    </w:p>
    <w:p w14:paraId="57098905" w14:textId="18949170" w:rsidR="004D2EE8" w:rsidRPr="00BB7CE2" w:rsidRDefault="004D2EE8" w:rsidP="004D2EE8">
      <w:pPr>
        <w:ind w:firstLine="420"/>
      </w:pPr>
      <w:r w:rsidRPr="00A4271D">
        <w:rPr>
          <w:rFonts w:hint="eastAsia"/>
        </w:rPr>
        <w:t>清洁能源基地</w:t>
      </w:r>
      <w:r>
        <w:rPr>
          <w:rFonts w:hint="eastAsia"/>
        </w:rPr>
        <w:t>运营情况</w:t>
      </w:r>
      <w:r w:rsidRPr="00C35659">
        <w:rPr>
          <w:rFonts w:hint="eastAsia"/>
        </w:rPr>
        <w:t>如</w:t>
      </w:r>
      <w:r>
        <w:fldChar w:fldCharType="begin"/>
      </w:r>
      <w:r>
        <w:instrText xml:space="preserve"> </w:instrText>
      </w:r>
      <w:r>
        <w:rPr>
          <w:rFonts w:hint="eastAsia"/>
        </w:rPr>
        <w:instrText>REF _Ref200169756 \h</w:instrText>
      </w:r>
      <w:r>
        <w:instrText xml:space="preserve"> </w:instrText>
      </w:r>
      <w:r>
        <w:fldChar w:fldCharType="separate"/>
      </w:r>
      <w:r w:rsidR="000F2689">
        <w:rPr>
          <w:rFonts w:hint="eastAsia"/>
        </w:rPr>
        <w:t>表</w:t>
      </w:r>
      <w:r w:rsidR="000F2689">
        <w:rPr>
          <w:rFonts w:hint="eastAsia"/>
        </w:rPr>
        <w:t xml:space="preserve"> </w:t>
      </w:r>
      <w:r w:rsidR="000F2689">
        <w:rPr>
          <w:noProof/>
        </w:rPr>
        <w:t>8</w:t>
      </w:r>
      <w:r>
        <w:fldChar w:fldCharType="end"/>
      </w:r>
      <w:r w:rsidRPr="00C35659">
        <w:rPr>
          <w:rFonts w:hint="eastAsia"/>
        </w:rPr>
        <w:t>所示</w:t>
      </w:r>
      <w:r>
        <w:rPr>
          <w:rFonts w:hint="eastAsia"/>
        </w:rPr>
        <w:t>，其中</w:t>
      </w:r>
      <w:r w:rsidRPr="00541135">
        <w:rPr>
          <w:rFonts w:hint="eastAsia"/>
        </w:rPr>
        <w:t>，</w:t>
      </w:r>
      <w:r w:rsidRPr="00541135">
        <w:rPr>
          <w:rFonts w:hint="eastAsia"/>
        </w:rPr>
        <w:t>1</w:t>
      </w:r>
      <w:r w:rsidRPr="00541135">
        <w:rPr>
          <w:rFonts w:hint="eastAsia"/>
        </w:rPr>
        <w:t>分表示</w:t>
      </w:r>
      <w:r>
        <w:rPr>
          <w:rFonts w:hint="eastAsia"/>
        </w:rPr>
        <w:t>很</w:t>
      </w:r>
      <w:r w:rsidRPr="00541135">
        <w:rPr>
          <w:rFonts w:hint="eastAsia"/>
        </w:rPr>
        <w:t>不符合，</w:t>
      </w:r>
      <w:r w:rsidRPr="00541135">
        <w:rPr>
          <w:rFonts w:hint="eastAsia"/>
        </w:rPr>
        <w:t>5</w:t>
      </w:r>
      <w:r w:rsidRPr="00541135">
        <w:rPr>
          <w:rFonts w:hint="eastAsia"/>
        </w:rPr>
        <w:t>分表示</w:t>
      </w:r>
      <w:r>
        <w:rPr>
          <w:rFonts w:hint="eastAsia"/>
        </w:rPr>
        <w:t>非常</w:t>
      </w:r>
      <w:r w:rsidRPr="00541135">
        <w:rPr>
          <w:rFonts w:hint="eastAsia"/>
        </w:rPr>
        <w:t>符合</w:t>
      </w:r>
      <w:r>
        <w:rPr>
          <w:rFonts w:hint="eastAsia"/>
          <w:szCs w:val="21"/>
        </w:rPr>
        <w:t>。</w:t>
      </w:r>
    </w:p>
    <w:p w14:paraId="23DA7057" w14:textId="38531AA1" w:rsidR="004D2EE8" w:rsidRPr="004D2EE8" w:rsidRDefault="004D2EE8" w:rsidP="00EB718D">
      <w:pPr>
        <w:pStyle w:val="afa"/>
        <w:keepNext/>
        <w:spacing w:beforeLines="50" w:before="156"/>
        <w:ind w:firstLine="420"/>
      </w:pPr>
      <w:bookmarkStart w:id="25" w:name="_Ref200169756"/>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0F2689">
        <w:rPr>
          <w:noProof/>
        </w:rPr>
        <w:t>8</w:t>
      </w:r>
      <w:r>
        <w:fldChar w:fldCharType="end"/>
      </w:r>
      <w:bookmarkEnd w:id="25"/>
      <w:r>
        <w:rPr>
          <w:rFonts w:hint="eastAsia"/>
        </w:rPr>
        <w:t xml:space="preserve"> </w:t>
      </w:r>
      <w:r w:rsidRPr="00A4271D">
        <w:rPr>
          <w:rFonts w:hint="eastAsia"/>
        </w:rPr>
        <w:t>清洁能源基地</w:t>
      </w:r>
      <w:r>
        <w:rPr>
          <w:rFonts w:hint="eastAsia"/>
        </w:rPr>
        <w:t>运营情况</w:t>
      </w:r>
    </w:p>
    <w:tbl>
      <w:tblPr>
        <w:tblStyle w:val="22"/>
        <w:tblW w:w="5000" w:type="pct"/>
        <w:tblLook w:val="0660" w:firstRow="1" w:lastRow="1" w:firstColumn="0" w:lastColumn="0" w:noHBand="1" w:noVBand="1"/>
      </w:tblPr>
      <w:tblGrid>
        <w:gridCol w:w="2817"/>
        <w:gridCol w:w="1110"/>
        <w:gridCol w:w="707"/>
      </w:tblGrid>
      <w:tr w:rsidR="004D2EE8" w:rsidRPr="004D2EE8" w14:paraId="46F7B8F0" w14:textId="77777777" w:rsidTr="004D2EE8">
        <w:trPr>
          <w:cnfStyle w:val="100000000000" w:firstRow="1" w:lastRow="0" w:firstColumn="0" w:lastColumn="0" w:oddVBand="0" w:evenVBand="0" w:oddHBand="0" w:evenHBand="0" w:firstRowFirstColumn="0" w:firstRowLastColumn="0" w:lastRowFirstColumn="0" w:lastRowLastColumn="0"/>
          <w:trHeight w:val="283"/>
        </w:trPr>
        <w:tc>
          <w:tcPr>
            <w:tcW w:w="3039" w:type="pct"/>
            <w:vAlign w:val="center"/>
            <w:hideMark/>
          </w:tcPr>
          <w:p w14:paraId="0E148630" w14:textId="77777777" w:rsidR="004D2EE8" w:rsidRPr="004D2EE8" w:rsidRDefault="004D2EE8" w:rsidP="004D2EE8">
            <w:pPr>
              <w:pStyle w:val="af0"/>
              <w:spacing w:line="240" w:lineRule="atLeast"/>
              <w:jc w:val="center"/>
              <w:rPr>
                <w:rFonts w:ascii="Times New Roman" w:eastAsia="宋体" w:hAnsi="Times New Roman"/>
                <w:bCs w:val="0"/>
                <w:sz w:val="21"/>
                <w:szCs w:val="21"/>
              </w:rPr>
            </w:pPr>
            <w:r w:rsidRPr="004D2EE8">
              <w:rPr>
                <w:rFonts w:ascii="Times New Roman" w:eastAsia="宋体" w:hAnsi="Times New Roman" w:hint="eastAsia"/>
                <w:bCs w:val="0"/>
                <w:sz w:val="21"/>
                <w:szCs w:val="21"/>
              </w:rPr>
              <w:t>指标</w:t>
            </w:r>
          </w:p>
        </w:tc>
        <w:tc>
          <w:tcPr>
            <w:tcW w:w="1198" w:type="pct"/>
            <w:vAlign w:val="center"/>
            <w:hideMark/>
          </w:tcPr>
          <w:p w14:paraId="446C84FA" w14:textId="77777777" w:rsidR="004D2EE8" w:rsidRPr="004D2EE8" w:rsidRDefault="004D2EE8" w:rsidP="004D2EE8">
            <w:pPr>
              <w:pStyle w:val="af0"/>
              <w:spacing w:line="240" w:lineRule="atLeast"/>
              <w:jc w:val="center"/>
              <w:rPr>
                <w:rFonts w:ascii="Times New Roman" w:eastAsia="宋体" w:hAnsi="Times New Roman"/>
                <w:bCs w:val="0"/>
                <w:sz w:val="21"/>
                <w:szCs w:val="21"/>
              </w:rPr>
            </w:pPr>
            <w:r w:rsidRPr="004D2EE8">
              <w:rPr>
                <w:rFonts w:ascii="Times New Roman" w:eastAsia="宋体" w:hAnsi="Times New Roman"/>
                <w:bCs w:val="0"/>
                <w:sz w:val="21"/>
                <w:szCs w:val="21"/>
              </w:rPr>
              <w:t>得分</w:t>
            </w:r>
          </w:p>
        </w:tc>
        <w:tc>
          <w:tcPr>
            <w:tcW w:w="763" w:type="pct"/>
            <w:vAlign w:val="center"/>
            <w:hideMark/>
          </w:tcPr>
          <w:p w14:paraId="123644BD" w14:textId="77777777" w:rsidR="004D2EE8" w:rsidRPr="004D2EE8" w:rsidRDefault="004D2EE8" w:rsidP="004D2EE8">
            <w:pPr>
              <w:pStyle w:val="af0"/>
              <w:spacing w:line="240" w:lineRule="atLeast"/>
              <w:jc w:val="center"/>
              <w:rPr>
                <w:rFonts w:ascii="Times New Roman" w:eastAsia="宋体" w:hAnsi="Times New Roman"/>
                <w:bCs w:val="0"/>
                <w:sz w:val="21"/>
                <w:szCs w:val="21"/>
              </w:rPr>
            </w:pPr>
            <w:r w:rsidRPr="004D2EE8">
              <w:rPr>
                <w:rFonts w:ascii="Times New Roman" w:eastAsia="宋体" w:hAnsi="Times New Roman"/>
                <w:bCs w:val="0"/>
                <w:sz w:val="21"/>
                <w:szCs w:val="21"/>
              </w:rPr>
              <w:t>排序</w:t>
            </w:r>
          </w:p>
        </w:tc>
      </w:tr>
      <w:tr w:rsidR="004D2EE8" w:rsidRPr="004D2EE8" w14:paraId="7049E45E" w14:textId="77777777" w:rsidTr="004D2EE8">
        <w:trPr>
          <w:trHeight w:val="283"/>
        </w:trPr>
        <w:tc>
          <w:tcPr>
            <w:tcW w:w="3039" w:type="pct"/>
            <w:vAlign w:val="center"/>
          </w:tcPr>
          <w:p w14:paraId="287EA475" w14:textId="6D4AEAD5" w:rsidR="004D2EE8" w:rsidRPr="004D2EE8" w:rsidRDefault="004D2EE8" w:rsidP="004D2EE8">
            <w:pPr>
              <w:pStyle w:val="af0"/>
              <w:spacing w:line="240" w:lineRule="atLeast"/>
              <w:jc w:val="left"/>
              <w:rPr>
                <w:rFonts w:ascii="Times New Roman" w:eastAsia="宋体" w:hAnsi="Times New Roman"/>
                <w:bCs/>
                <w:sz w:val="21"/>
                <w:szCs w:val="21"/>
              </w:rPr>
            </w:pPr>
            <w:r w:rsidRPr="004D2EE8">
              <w:rPr>
                <w:rFonts w:ascii="Times New Roman" w:eastAsia="宋体" w:hAnsi="Times New Roman" w:hint="eastAsia"/>
                <w:color w:val="000000"/>
                <w:sz w:val="21"/>
                <w:szCs w:val="21"/>
              </w:rPr>
              <w:t>能够实现电站安全稳定运行</w:t>
            </w:r>
          </w:p>
        </w:tc>
        <w:tc>
          <w:tcPr>
            <w:tcW w:w="1198" w:type="pct"/>
            <w:vAlign w:val="center"/>
          </w:tcPr>
          <w:p w14:paraId="1D77EB1B" w14:textId="04990BA8" w:rsidR="004D2EE8" w:rsidRPr="004D2EE8" w:rsidRDefault="004D2EE8" w:rsidP="004D2EE8">
            <w:pPr>
              <w:pStyle w:val="af0"/>
              <w:spacing w:line="240" w:lineRule="atLeast"/>
              <w:jc w:val="center"/>
              <w:rPr>
                <w:rFonts w:ascii="Times New Roman" w:eastAsia="宋体" w:hAnsi="Times New Roman"/>
                <w:bCs/>
                <w:sz w:val="21"/>
                <w:szCs w:val="21"/>
              </w:rPr>
            </w:pPr>
            <w:r w:rsidRPr="004D2EE8">
              <w:rPr>
                <w:rFonts w:ascii="Times New Roman" w:eastAsia="宋体" w:hAnsi="Times New Roman" w:hint="eastAsia"/>
                <w:color w:val="000000"/>
                <w:sz w:val="21"/>
                <w:szCs w:val="21"/>
              </w:rPr>
              <w:t>4.461</w:t>
            </w:r>
          </w:p>
        </w:tc>
        <w:tc>
          <w:tcPr>
            <w:tcW w:w="763" w:type="pct"/>
            <w:vAlign w:val="center"/>
          </w:tcPr>
          <w:p w14:paraId="1C83330B" w14:textId="0BEB5249" w:rsidR="004D2EE8" w:rsidRPr="004D2EE8" w:rsidRDefault="004D2EE8" w:rsidP="004D2EE8">
            <w:pPr>
              <w:pStyle w:val="af0"/>
              <w:spacing w:line="240" w:lineRule="atLeast"/>
              <w:jc w:val="center"/>
              <w:rPr>
                <w:rFonts w:ascii="Times New Roman" w:eastAsia="宋体" w:hAnsi="Times New Roman"/>
                <w:bCs/>
                <w:sz w:val="21"/>
                <w:szCs w:val="21"/>
              </w:rPr>
            </w:pPr>
            <w:r w:rsidRPr="004D2EE8">
              <w:rPr>
                <w:rFonts w:ascii="Times New Roman" w:eastAsia="宋体" w:hAnsi="Times New Roman" w:hint="eastAsia"/>
                <w:color w:val="000000"/>
                <w:sz w:val="21"/>
                <w:szCs w:val="21"/>
              </w:rPr>
              <w:t>1</w:t>
            </w:r>
          </w:p>
        </w:tc>
      </w:tr>
      <w:tr w:rsidR="004D2EE8" w:rsidRPr="004D2EE8" w14:paraId="5ECDD373" w14:textId="77777777" w:rsidTr="004D2EE8">
        <w:trPr>
          <w:trHeight w:val="283"/>
        </w:trPr>
        <w:tc>
          <w:tcPr>
            <w:tcW w:w="3039" w:type="pct"/>
            <w:vAlign w:val="center"/>
          </w:tcPr>
          <w:p w14:paraId="5DCACCE7" w14:textId="6E1FEAE2" w:rsidR="004D2EE8" w:rsidRPr="004D2EE8" w:rsidRDefault="004D2EE8" w:rsidP="004D2EE8">
            <w:pPr>
              <w:pStyle w:val="af0"/>
              <w:spacing w:line="240" w:lineRule="atLeast"/>
              <w:jc w:val="left"/>
              <w:rPr>
                <w:rFonts w:ascii="Times New Roman" w:eastAsia="宋体" w:hAnsi="Times New Roman"/>
                <w:bCs/>
                <w:sz w:val="21"/>
                <w:szCs w:val="21"/>
              </w:rPr>
            </w:pPr>
            <w:r w:rsidRPr="004D2EE8">
              <w:rPr>
                <w:rFonts w:ascii="Times New Roman" w:eastAsia="宋体" w:hAnsi="Times New Roman" w:hint="eastAsia"/>
                <w:color w:val="000000"/>
                <w:sz w:val="21"/>
                <w:szCs w:val="21"/>
              </w:rPr>
              <w:t>所生产电力能够顺利并网</w:t>
            </w:r>
          </w:p>
        </w:tc>
        <w:tc>
          <w:tcPr>
            <w:tcW w:w="1198" w:type="pct"/>
            <w:vAlign w:val="center"/>
          </w:tcPr>
          <w:p w14:paraId="4823A358" w14:textId="66E6BED3" w:rsidR="004D2EE8" w:rsidRPr="004D2EE8" w:rsidRDefault="004D2EE8" w:rsidP="004D2EE8">
            <w:pPr>
              <w:pStyle w:val="af0"/>
              <w:spacing w:line="240" w:lineRule="atLeast"/>
              <w:jc w:val="center"/>
              <w:rPr>
                <w:rFonts w:ascii="Times New Roman" w:eastAsia="宋体" w:hAnsi="Times New Roman" w:cs="Times New Roman"/>
                <w:bCs/>
                <w:sz w:val="21"/>
                <w:szCs w:val="21"/>
              </w:rPr>
            </w:pPr>
            <w:r w:rsidRPr="004D2EE8">
              <w:rPr>
                <w:rFonts w:ascii="Times New Roman" w:eastAsia="宋体" w:hAnsi="Times New Roman" w:hint="eastAsia"/>
                <w:color w:val="000000"/>
                <w:sz w:val="21"/>
                <w:szCs w:val="21"/>
              </w:rPr>
              <w:t>4.454</w:t>
            </w:r>
          </w:p>
        </w:tc>
        <w:tc>
          <w:tcPr>
            <w:tcW w:w="763" w:type="pct"/>
            <w:vAlign w:val="center"/>
          </w:tcPr>
          <w:p w14:paraId="1A3E3040" w14:textId="3C006D86" w:rsidR="004D2EE8" w:rsidRPr="004D2EE8" w:rsidRDefault="004D2EE8" w:rsidP="004D2EE8">
            <w:pPr>
              <w:pStyle w:val="af0"/>
              <w:spacing w:line="240" w:lineRule="atLeast"/>
              <w:jc w:val="center"/>
              <w:rPr>
                <w:rFonts w:ascii="Times New Roman" w:eastAsia="宋体" w:hAnsi="Times New Roman" w:cs="Times New Roman"/>
                <w:bCs/>
                <w:sz w:val="21"/>
                <w:szCs w:val="21"/>
              </w:rPr>
            </w:pPr>
            <w:r w:rsidRPr="004D2EE8">
              <w:rPr>
                <w:rFonts w:ascii="Times New Roman" w:eastAsia="宋体" w:hAnsi="Times New Roman" w:hint="eastAsia"/>
                <w:color w:val="000000"/>
                <w:sz w:val="21"/>
                <w:szCs w:val="21"/>
              </w:rPr>
              <w:t>2</w:t>
            </w:r>
          </w:p>
        </w:tc>
      </w:tr>
      <w:tr w:rsidR="004D2EE8" w:rsidRPr="004D2EE8" w14:paraId="7C003651" w14:textId="77777777" w:rsidTr="004D2EE8">
        <w:trPr>
          <w:trHeight w:val="283"/>
        </w:trPr>
        <w:tc>
          <w:tcPr>
            <w:tcW w:w="3039" w:type="pct"/>
            <w:vAlign w:val="center"/>
          </w:tcPr>
          <w:p w14:paraId="1935D891" w14:textId="5982C388" w:rsidR="004D2EE8" w:rsidRPr="004D2EE8" w:rsidRDefault="004D2EE8" w:rsidP="004D2EE8">
            <w:pPr>
              <w:pStyle w:val="af0"/>
              <w:spacing w:line="240" w:lineRule="atLeast"/>
              <w:jc w:val="left"/>
              <w:rPr>
                <w:rFonts w:ascii="Times New Roman" w:eastAsia="宋体" w:hAnsi="Times New Roman" w:cs="Times New Roman"/>
                <w:sz w:val="21"/>
                <w:szCs w:val="21"/>
              </w:rPr>
            </w:pPr>
            <w:r w:rsidRPr="004D2EE8">
              <w:rPr>
                <w:rFonts w:ascii="Times New Roman" w:eastAsia="宋体" w:hAnsi="Times New Roman" w:hint="eastAsia"/>
                <w:color w:val="000000"/>
                <w:sz w:val="21"/>
                <w:szCs w:val="21"/>
              </w:rPr>
              <w:t>发电能力能够达到项目规划设计目标</w:t>
            </w:r>
          </w:p>
        </w:tc>
        <w:tc>
          <w:tcPr>
            <w:tcW w:w="1198" w:type="pct"/>
            <w:vAlign w:val="center"/>
          </w:tcPr>
          <w:p w14:paraId="41C1FAD5" w14:textId="003443A6" w:rsidR="004D2EE8" w:rsidRPr="004D2EE8" w:rsidRDefault="004D2EE8" w:rsidP="004D2EE8">
            <w:pPr>
              <w:pStyle w:val="af0"/>
              <w:spacing w:line="240" w:lineRule="atLeast"/>
              <w:jc w:val="center"/>
              <w:rPr>
                <w:rFonts w:ascii="Times New Roman" w:eastAsia="宋体" w:hAnsi="Times New Roman" w:cs="Times New Roman"/>
                <w:bCs/>
                <w:sz w:val="21"/>
                <w:szCs w:val="21"/>
              </w:rPr>
            </w:pPr>
            <w:r w:rsidRPr="004D2EE8">
              <w:rPr>
                <w:rFonts w:ascii="Times New Roman" w:eastAsia="宋体" w:hAnsi="Times New Roman" w:hint="eastAsia"/>
                <w:color w:val="000000"/>
                <w:sz w:val="21"/>
                <w:szCs w:val="21"/>
              </w:rPr>
              <w:t>4.440</w:t>
            </w:r>
          </w:p>
        </w:tc>
        <w:tc>
          <w:tcPr>
            <w:tcW w:w="763" w:type="pct"/>
            <w:vAlign w:val="center"/>
          </w:tcPr>
          <w:p w14:paraId="49C09425" w14:textId="16A7889B" w:rsidR="004D2EE8" w:rsidRPr="004D2EE8" w:rsidRDefault="004D2EE8" w:rsidP="004D2EE8">
            <w:pPr>
              <w:pStyle w:val="af0"/>
              <w:spacing w:line="240" w:lineRule="atLeast"/>
              <w:jc w:val="center"/>
              <w:rPr>
                <w:rFonts w:ascii="Times New Roman" w:eastAsia="宋体" w:hAnsi="Times New Roman" w:cs="Times New Roman"/>
                <w:bCs/>
                <w:sz w:val="21"/>
                <w:szCs w:val="21"/>
              </w:rPr>
            </w:pPr>
            <w:r w:rsidRPr="004D2EE8">
              <w:rPr>
                <w:rFonts w:ascii="Times New Roman" w:eastAsia="宋体" w:hAnsi="Times New Roman" w:hint="eastAsia"/>
                <w:color w:val="000000"/>
                <w:sz w:val="21"/>
                <w:szCs w:val="21"/>
              </w:rPr>
              <w:t>3</w:t>
            </w:r>
          </w:p>
        </w:tc>
      </w:tr>
      <w:tr w:rsidR="004D2EE8" w:rsidRPr="004D2EE8" w14:paraId="7B645CD5" w14:textId="77777777" w:rsidTr="004D2EE8">
        <w:trPr>
          <w:trHeight w:val="283"/>
        </w:trPr>
        <w:tc>
          <w:tcPr>
            <w:tcW w:w="3039" w:type="pct"/>
            <w:vAlign w:val="center"/>
          </w:tcPr>
          <w:p w14:paraId="2F30AA54" w14:textId="089413BF" w:rsidR="004D2EE8" w:rsidRPr="004D2EE8" w:rsidRDefault="004D2EE8" w:rsidP="004D2EE8">
            <w:pPr>
              <w:pStyle w:val="af0"/>
              <w:spacing w:line="240" w:lineRule="atLeast"/>
              <w:jc w:val="left"/>
              <w:rPr>
                <w:rFonts w:ascii="Times New Roman" w:eastAsia="宋体" w:hAnsi="Times New Roman" w:cs="Times New Roman"/>
                <w:sz w:val="21"/>
                <w:szCs w:val="21"/>
              </w:rPr>
            </w:pPr>
            <w:r w:rsidRPr="004D2EE8">
              <w:rPr>
                <w:rFonts w:ascii="Times New Roman" w:eastAsia="宋体" w:hAnsi="Times New Roman" w:hint="eastAsia"/>
                <w:color w:val="000000"/>
                <w:sz w:val="21"/>
                <w:szCs w:val="21"/>
              </w:rPr>
              <w:t>能够智能化监测与调控电站运行</w:t>
            </w:r>
          </w:p>
        </w:tc>
        <w:tc>
          <w:tcPr>
            <w:tcW w:w="1198" w:type="pct"/>
            <w:vAlign w:val="center"/>
          </w:tcPr>
          <w:p w14:paraId="79031761" w14:textId="48DD786A" w:rsidR="004D2EE8" w:rsidRPr="004D2EE8" w:rsidRDefault="004D2EE8" w:rsidP="004D2EE8">
            <w:pPr>
              <w:pStyle w:val="af0"/>
              <w:spacing w:line="240" w:lineRule="atLeast"/>
              <w:jc w:val="center"/>
              <w:rPr>
                <w:rFonts w:ascii="Times New Roman" w:eastAsia="宋体" w:hAnsi="Times New Roman" w:cs="Times New Roman"/>
                <w:bCs/>
                <w:sz w:val="21"/>
                <w:szCs w:val="21"/>
              </w:rPr>
            </w:pPr>
            <w:r w:rsidRPr="004D2EE8">
              <w:rPr>
                <w:rFonts w:ascii="Times New Roman" w:eastAsia="宋体" w:hAnsi="Times New Roman" w:hint="eastAsia"/>
                <w:color w:val="000000"/>
                <w:sz w:val="21"/>
                <w:szCs w:val="21"/>
              </w:rPr>
              <w:t>4.399</w:t>
            </w:r>
          </w:p>
        </w:tc>
        <w:tc>
          <w:tcPr>
            <w:tcW w:w="763" w:type="pct"/>
            <w:vAlign w:val="center"/>
          </w:tcPr>
          <w:p w14:paraId="06A4CD4B" w14:textId="40BBEAA3" w:rsidR="004D2EE8" w:rsidRPr="004D2EE8" w:rsidRDefault="004D2EE8" w:rsidP="004D2EE8">
            <w:pPr>
              <w:pStyle w:val="af0"/>
              <w:spacing w:line="240" w:lineRule="atLeast"/>
              <w:jc w:val="center"/>
              <w:rPr>
                <w:rFonts w:ascii="Times New Roman" w:eastAsia="宋体" w:hAnsi="Times New Roman" w:cs="Times New Roman"/>
                <w:bCs/>
                <w:sz w:val="21"/>
                <w:szCs w:val="21"/>
              </w:rPr>
            </w:pPr>
            <w:r w:rsidRPr="004D2EE8">
              <w:rPr>
                <w:rFonts w:ascii="Times New Roman" w:eastAsia="宋体" w:hAnsi="Times New Roman" w:hint="eastAsia"/>
                <w:color w:val="000000"/>
                <w:sz w:val="21"/>
                <w:szCs w:val="21"/>
              </w:rPr>
              <w:t>4</w:t>
            </w:r>
          </w:p>
        </w:tc>
      </w:tr>
      <w:tr w:rsidR="004D2EE8" w:rsidRPr="004D2EE8" w14:paraId="17F42E0D" w14:textId="77777777" w:rsidTr="004D2EE8">
        <w:trPr>
          <w:trHeight w:val="283"/>
        </w:trPr>
        <w:tc>
          <w:tcPr>
            <w:tcW w:w="3039" w:type="pct"/>
            <w:vAlign w:val="center"/>
          </w:tcPr>
          <w:p w14:paraId="544A461F" w14:textId="33C649F9" w:rsidR="004D2EE8" w:rsidRPr="004D2EE8" w:rsidRDefault="004D2EE8" w:rsidP="004D2EE8">
            <w:pPr>
              <w:pStyle w:val="af0"/>
              <w:spacing w:line="240" w:lineRule="atLeast"/>
              <w:jc w:val="left"/>
              <w:rPr>
                <w:rFonts w:ascii="Times New Roman" w:eastAsia="宋体" w:hAnsi="Times New Roman" w:cs="Times New Roman"/>
                <w:sz w:val="21"/>
                <w:szCs w:val="21"/>
              </w:rPr>
            </w:pPr>
            <w:r w:rsidRPr="004D2EE8">
              <w:rPr>
                <w:rFonts w:ascii="Times New Roman" w:eastAsia="宋体" w:hAnsi="Times New Roman" w:hint="eastAsia"/>
                <w:color w:val="000000"/>
                <w:sz w:val="21"/>
                <w:szCs w:val="21"/>
              </w:rPr>
              <w:t>能够通过电力市场交易获得合理收益</w:t>
            </w:r>
          </w:p>
        </w:tc>
        <w:tc>
          <w:tcPr>
            <w:tcW w:w="1198" w:type="pct"/>
            <w:vAlign w:val="center"/>
          </w:tcPr>
          <w:p w14:paraId="4070FF15" w14:textId="76E537E6" w:rsidR="004D2EE8" w:rsidRPr="004D2EE8" w:rsidRDefault="004D2EE8" w:rsidP="004D2EE8">
            <w:pPr>
              <w:pStyle w:val="af0"/>
              <w:spacing w:line="240" w:lineRule="atLeast"/>
              <w:jc w:val="center"/>
              <w:rPr>
                <w:rFonts w:ascii="Times New Roman" w:eastAsia="宋体" w:hAnsi="Times New Roman" w:cs="Times New Roman"/>
                <w:bCs/>
                <w:sz w:val="21"/>
                <w:szCs w:val="21"/>
              </w:rPr>
            </w:pPr>
            <w:r w:rsidRPr="004D2EE8">
              <w:rPr>
                <w:rFonts w:ascii="Times New Roman" w:eastAsia="宋体" w:hAnsi="Times New Roman" w:hint="eastAsia"/>
                <w:color w:val="000000"/>
                <w:sz w:val="21"/>
                <w:szCs w:val="21"/>
              </w:rPr>
              <w:t>4.382</w:t>
            </w:r>
          </w:p>
        </w:tc>
        <w:tc>
          <w:tcPr>
            <w:tcW w:w="763" w:type="pct"/>
            <w:vAlign w:val="center"/>
          </w:tcPr>
          <w:p w14:paraId="49F6B114" w14:textId="22D58DC3" w:rsidR="004D2EE8" w:rsidRPr="004D2EE8" w:rsidRDefault="004D2EE8" w:rsidP="004D2EE8">
            <w:pPr>
              <w:pStyle w:val="af0"/>
              <w:spacing w:line="240" w:lineRule="atLeast"/>
              <w:jc w:val="center"/>
              <w:rPr>
                <w:rFonts w:ascii="Times New Roman" w:eastAsia="宋体" w:hAnsi="Times New Roman" w:cs="Times New Roman"/>
                <w:bCs/>
                <w:sz w:val="21"/>
                <w:szCs w:val="21"/>
              </w:rPr>
            </w:pPr>
            <w:r w:rsidRPr="004D2EE8">
              <w:rPr>
                <w:rFonts w:ascii="Times New Roman" w:eastAsia="宋体" w:hAnsi="Times New Roman" w:hint="eastAsia"/>
                <w:color w:val="000000"/>
                <w:sz w:val="21"/>
                <w:szCs w:val="21"/>
              </w:rPr>
              <w:t>5</w:t>
            </w:r>
          </w:p>
        </w:tc>
      </w:tr>
      <w:tr w:rsidR="004D2EE8" w:rsidRPr="004D2EE8" w14:paraId="017574DC" w14:textId="77777777" w:rsidTr="004D2EE8">
        <w:trPr>
          <w:trHeight w:val="283"/>
        </w:trPr>
        <w:tc>
          <w:tcPr>
            <w:tcW w:w="3039" w:type="pct"/>
            <w:vAlign w:val="center"/>
          </w:tcPr>
          <w:p w14:paraId="0D975DC6" w14:textId="5910A927" w:rsidR="004D2EE8" w:rsidRPr="004D2EE8" w:rsidRDefault="004D2EE8" w:rsidP="004D2EE8">
            <w:pPr>
              <w:pStyle w:val="af0"/>
              <w:spacing w:line="240" w:lineRule="atLeast"/>
              <w:jc w:val="left"/>
              <w:rPr>
                <w:rFonts w:ascii="Times New Roman" w:eastAsia="宋体" w:hAnsi="Times New Roman" w:cs="Times New Roman"/>
                <w:sz w:val="21"/>
                <w:szCs w:val="21"/>
              </w:rPr>
            </w:pPr>
            <w:r w:rsidRPr="004D2EE8">
              <w:rPr>
                <w:rFonts w:ascii="Times New Roman" w:eastAsia="宋体" w:hAnsi="Times New Roman" w:hint="eastAsia"/>
                <w:color w:val="000000"/>
                <w:sz w:val="21"/>
                <w:szCs w:val="21"/>
              </w:rPr>
              <w:t>能够根据负荷需求及时调整出力，实现源网荷储协调</w:t>
            </w:r>
          </w:p>
        </w:tc>
        <w:tc>
          <w:tcPr>
            <w:tcW w:w="1198" w:type="pct"/>
            <w:vAlign w:val="center"/>
          </w:tcPr>
          <w:p w14:paraId="02F53F7D" w14:textId="22ED5681" w:rsidR="004D2EE8" w:rsidRPr="004D2EE8" w:rsidRDefault="004D2EE8" w:rsidP="004D2EE8">
            <w:pPr>
              <w:pStyle w:val="af0"/>
              <w:spacing w:line="240" w:lineRule="atLeast"/>
              <w:jc w:val="center"/>
              <w:rPr>
                <w:rFonts w:ascii="Times New Roman" w:eastAsia="宋体" w:hAnsi="Times New Roman" w:cs="Times New Roman"/>
                <w:bCs/>
                <w:sz w:val="21"/>
                <w:szCs w:val="21"/>
              </w:rPr>
            </w:pPr>
            <w:r w:rsidRPr="004D2EE8">
              <w:rPr>
                <w:rFonts w:ascii="Times New Roman" w:eastAsia="宋体" w:hAnsi="Times New Roman" w:hint="eastAsia"/>
                <w:color w:val="000000"/>
                <w:sz w:val="21"/>
                <w:szCs w:val="21"/>
              </w:rPr>
              <w:t>4.375</w:t>
            </w:r>
          </w:p>
        </w:tc>
        <w:tc>
          <w:tcPr>
            <w:tcW w:w="763" w:type="pct"/>
            <w:vAlign w:val="center"/>
          </w:tcPr>
          <w:p w14:paraId="159147A0" w14:textId="6D5BE9D4" w:rsidR="004D2EE8" w:rsidRPr="004D2EE8" w:rsidRDefault="004D2EE8" w:rsidP="004D2EE8">
            <w:pPr>
              <w:pStyle w:val="af0"/>
              <w:spacing w:line="240" w:lineRule="atLeast"/>
              <w:jc w:val="center"/>
              <w:rPr>
                <w:rFonts w:ascii="Times New Roman" w:eastAsia="宋体" w:hAnsi="Times New Roman" w:cs="Times New Roman"/>
                <w:bCs/>
                <w:sz w:val="21"/>
                <w:szCs w:val="21"/>
              </w:rPr>
            </w:pPr>
            <w:r w:rsidRPr="004D2EE8">
              <w:rPr>
                <w:rFonts w:ascii="Times New Roman" w:eastAsia="宋体" w:hAnsi="Times New Roman" w:hint="eastAsia"/>
                <w:color w:val="000000"/>
                <w:sz w:val="21"/>
                <w:szCs w:val="21"/>
              </w:rPr>
              <w:t>6</w:t>
            </w:r>
          </w:p>
        </w:tc>
      </w:tr>
      <w:tr w:rsidR="004D2EE8" w:rsidRPr="004D2EE8" w14:paraId="5960356F" w14:textId="77777777" w:rsidTr="004D2EE8">
        <w:trPr>
          <w:trHeight w:val="283"/>
        </w:trPr>
        <w:tc>
          <w:tcPr>
            <w:tcW w:w="3039" w:type="pct"/>
            <w:vAlign w:val="center"/>
          </w:tcPr>
          <w:p w14:paraId="44B670E3" w14:textId="6F3612E2" w:rsidR="004D2EE8" w:rsidRPr="004D2EE8" w:rsidRDefault="004D2EE8" w:rsidP="004D2EE8">
            <w:pPr>
              <w:pStyle w:val="af0"/>
              <w:spacing w:line="240" w:lineRule="atLeast"/>
              <w:jc w:val="left"/>
              <w:rPr>
                <w:rFonts w:ascii="Times New Roman" w:eastAsia="宋体" w:hAnsi="Times New Roman"/>
                <w:color w:val="000000"/>
                <w:sz w:val="21"/>
                <w:szCs w:val="21"/>
              </w:rPr>
            </w:pPr>
            <w:r w:rsidRPr="004D2EE8">
              <w:rPr>
                <w:rFonts w:ascii="Times New Roman" w:eastAsia="宋体" w:hAnsi="Times New Roman" w:hint="eastAsia"/>
                <w:color w:val="000000"/>
                <w:sz w:val="21"/>
                <w:szCs w:val="21"/>
              </w:rPr>
              <w:t>能够实现水风光储多能互补</w:t>
            </w:r>
          </w:p>
        </w:tc>
        <w:tc>
          <w:tcPr>
            <w:tcW w:w="1198" w:type="pct"/>
            <w:vAlign w:val="center"/>
          </w:tcPr>
          <w:p w14:paraId="26157FB2" w14:textId="061C4811" w:rsidR="004D2EE8" w:rsidRPr="004D2EE8" w:rsidRDefault="004D2EE8" w:rsidP="004D2EE8">
            <w:pPr>
              <w:pStyle w:val="af0"/>
              <w:spacing w:line="240" w:lineRule="atLeast"/>
              <w:jc w:val="center"/>
              <w:rPr>
                <w:rFonts w:ascii="Times New Roman" w:eastAsia="宋体" w:hAnsi="Times New Roman" w:cs="Times New Roman"/>
                <w:color w:val="000000"/>
                <w:sz w:val="21"/>
                <w:szCs w:val="21"/>
              </w:rPr>
            </w:pPr>
            <w:r w:rsidRPr="004D2EE8">
              <w:rPr>
                <w:rFonts w:ascii="Times New Roman" w:eastAsia="宋体" w:hAnsi="Times New Roman" w:hint="eastAsia"/>
                <w:color w:val="000000"/>
                <w:sz w:val="21"/>
                <w:szCs w:val="21"/>
              </w:rPr>
              <w:t>4.328</w:t>
            </w:r>
          </w:p>
        </w:tc>
        <w:tc>
          <w:tcPr>
            <w:tcW w:w="763" w:type="pct"/>
            <w:vAlign w:val="center"/>
          </w:tcPr>
          <w:p w14:paraId="21D0913A" w14:textId="7A266784" w:rsidR="004D2EE8" w:rsidRPr="004D2EE8" w:rsidRDefault="004D2EE8" w:rsidP="004D2EE8">
            <w:pPr>
              <w:pStyle w:val="af0"/>
              <w:spacing w:line="240" w:lineRule="atLeast"/>
              <w:jc w:val="center"/>
              <w:rPr>
                <w:rFonts w:ascii="Times New Roman" w:eastAsia="宋体" w:hAnsi="Times New Roman" w:cs="Times New Roman"/>
                <w:color w:val="000000"/>
                <w:sz w:val="21"/>
                <w:szCs w:val="21"/>
              </w:rPr>
            </w:pPr>
            <w:r w:rsidRPr="004D2EE8">
              <w:rPr>
                <w:rFonts w:ascii="Times New Roman" w:eastAsia="宋体" w:hAnsi="Times New Roman" w:hint="eastAsia"/>
                <w:color w:val="000000"/>
                <w:sz w:val="21"/>
                <w:szCs w:val="21"/>
              </w:rPr>
              <w:t>7</w:t>
            </w:r>
          </w:p>
        </w:tc>
      </w:tr>
      <w:tr w:rsidR="004D2EE8" w:rsidRPr="004D2EE8" w14:paraId="724EA84F" w14:textId="77777777" w:rsidTr="004D2EE8">
        <w:trPr>
          <w:cnfStyle w:val="010000000000" w:firstRow="0" w:lastRow="1" w:firstColumn="0" w:lastColumn="0" w:oddVBand="0" w:evenVBand="0" w:oddHBand="0" w:evenHBand="0" w:firstRowFirstColumn="0" w:firstRowLastColumn="0" w:lastRowFirstColumn="0" w:lastRowLastColumn="0"/>
          <w:trHeight w:val="283"/>
        </w:trPr>
        <w:tc>
          <w:tcPr>
            <w:tcW w:w="3039" w:type="pct"/>
            <w:vAlign w:val="center"/>
            <w:hideMark/>
          </w:tcPr>
          <w:p w14:paraId="3F2B2CD2" w14:textId="77777777" w:rsidR="004D2EE8" w:rsidRPr="004D2EE8" w:rsidRDefault="004D2EE8" w:rsidP="004D2EE8">
            <w:pPr>
              <w:pStyle w:val="af0"/>
              <w:spacing w:line="240" w:lineRule="atLeast"/>
              <w:jc w:val="center"/>
              <w:rPr>
                <w:rFonts w:ascii="Times New Roman" w:eastAsia="宋体" w:hAnsi="Times New Roman"/>
                <w:bCs w:val="0"/>
                <w:sz w:val="21"/>
                <w:szCs w:val="21"/>
              </w:rPr>
            </w:pPr>
            <w:r w:rsidRPr="004D2EE8">
              <w:rPr>
                <w:rFonts w:ascii="Times New Roman" w:eastAsia="宋体" w:hAnsi="Times New Roman" w:hint="eastAsia"/>
                <w:bCs w:val="0"/>
                <w:sz w:val="21"/>
                <w:szCs w:val="21"/>
              </w:rPr>
              <w:t>均值</w:t>
            </w:r>
          </w:p>
        </w:tc>
        <w:tc>
          <w:tcPr>
            <w:tcW w:w="1198" w:type="pct"/>
            <w:vAlign w:val="center"/>
            <w:hideMark/>
          </w:tcPr>
          <w:p w14:paraId="766354B8" w14:textId="183285AC" w:rsidR="004D2EE8" w:rsidRPr="004D2EE8" w:rsidRDefault="004D2EE8" w:rsidP="004D2EE8">
            <w:pPr>
              <w:pStyle w:val="af0"/>
              <w:spacing w:line="240" w:lineRule="atLeast"/>
              <w:jc w:val="center"/>
              <w:rPr>
                <w:rFonts w:ascii="Times New Roman" w:eastAsia="宋体" w:hAnsi="Times New Roman" w:cs="Times New Roman"/>
                <w:bCs w:val="0"/>
                <w:sz w:val="21"/>
                <w:szCs w:val="21"/>
              </w:rPr>
            </w:pPr>
            <w:r w:rsidRPr="004D2EE8">
              <w:rPr>
                <w:rFonts w:ascii="Times New Roman" w:eastAsia="宋体" w:hAnsi="Times New Roman" w:hint="eastAsia"/>
                <w:color w:val="000000"/>
                <w:sz w:val="21"/>
                <w:szCs w:val="21"/>
              </w:rPr>
              <w:t>4.406</w:t>
            </w:r>
          </w:p>
        </w:tc>
        <w:tc>
          <w:tcPr>
            <w:tcW w:w="763" w:type="pct"/>
            <w:vAlign w:val="center"/>
            <w:hideMark/>
          </w:tcPr>
          <w:p w14:paraId="5BB60E47" w14:textId="77777777" w:rsidR="004D2EE8" w:rsidRPr="004D2EE8" w:rsidRDefault="004D2EE8" w:rsidP="004D2EE8">
            <w:pPr>
              <w:pStyle w:val="af0"/>
              <w:spacing w:line="240" w:lineRule="atLeast"/>
              <w:jc w:val="center"/>
              <w:rPr>
                <w:rFonts w:ascii="Times New Roman" w:eastAsia="宋体" w:hAnsi="Times New Roman" w:cs="Times New Roman"/>
                <w:bCs w:val="0"/>
                <w:sz w:val="21"/>
                <w:szCs w:val="21"/>
              </w:rPr>
            </w:pPr>
            <w:r w:rsidRPr="004D2EE8">
              <w:rPr>
                <w:rFonts w:ascii="Times New Roman" w:eastAsia="宋体" w:hAnsi="Times New Roman" w:cs="Times New Roman"/>
                <w:bCs w:val="0"/>
                <w:sz w:val="21"/>
                <w:szCs w:val="21"/>
              </w:rPr>
              <w:t>-</w:t>
            </w:r>
          </w:p>
        </w:tc>
      </w:tr>
    </w:tbl>
    <w:p w14:paraId="5A674630" w14:textId="1F337F58" w:rsidR="004D2EE8" w:rsidRDefault="004D2EE8" w:rsidP="004D2EE8">
      <w:pPr>
        <w:spacing w:beforeLines="50" w:before="156"/>
        <w:ind w:firstLine="420"/>
      </w:pPr>
      <w:r w:rsidRPr="00C35659">
        <w:rPr>
          <w:rFonts w:hint="eastAsia"/>
        </w:rPr>
        <w:t>如</w:t>
      </w:r>
      <w:r>
        <w:fldChar w:fldCharType="begin"/>
      </w:r>
      <w:r>
        <w:instrText xml:space="preserve"> </w:instrText>
      </w:r>
      <w:r>
        <w:rPr>
          <w:rFonts w:hint="eastAsia"/>
        </w:rPr>
        <w:instrText>REF _Ref200169756 \h</w:instrText>
      </w:r>
      <w:r>
        <w:instrText xml:space="preserve"> </w:instrText>
      </w:r>
      <w:r>
        <w:fldChar w:fldCharType="separate"/>
      </w:r>
      <w:r w:rsidR="000F2689">
        <w:rPr>
          <w:rFonts w:hint="eastAsia"/>
        </w:rPr>
        <w:t>表</w:t>
      </w:r>
      <w:r w:rsidR="000F2689">
        <w:rPr>
          <w:rFonts w:hint="eastAsia"/>
        </w:rPr>
        <w:t xml:space="preserve"> </w:t>
      </w:r>
      <w:r w:rsidR="000F2689">
        <w:rPr>
          <w:noProof/>
        </w:rPr>
        <w:t>8</w:t>
      </w:r>
      <w:r>
        <w:fldChar w:fldCharType="end"/>
      </w:r>
      <w:r w:rsidRPr="00C35659">
        <w:rPr>
          <w:rFonts w:hint="eastAsia"/>
        </w:rPr>
        <w:t>所示</w:t>
      </w:r>
      <w:r>
        <w:rPr>
          <w:rFonts w:hint="eastAsia"/>
        </w:rPr>
        <w:t>，当前清洁能源基地运营水平总体良好。“</w:t>
      </w:r>
      <w:r>
        <w:rPr>
          <w:rFonts w:hint="eastAsia"/>
          <w:color w:val="000000"/>
        </w:rPr>
        <w:t>能够实现电站安全稳定运行”得分最高，</w:t>
      </w:r>
      <w:r>
        <w:rPr>
          <w:rFonts w:hint="eastAsia"/>
        </w:rPr>
        <w:t>表明清洁能源基地运行具备较高的安全性与稳定性。相比之下，“能够实现水风光储多能互补”得分最低，可归因于风、光出力波动性较强，出力预测</w:t>
      </w:r>
      <w:r>
        <w:t>精度</w:t>
      </w:r>
      <w:r>
        <w:rPr>
          <w:rFonts w:hint="eastAsia"/>
        </w:rPr>
        <w:t>、</w:t>
      </w:r>
      <w:r>
        <w:t>智能调度系统的</w:t>
      </w:r>
      <w:r>
        <w:rPr>
          <w:rFonts w:hint="eastAsia"/>
        </w:rPr>
        <w:t>负荷</w:t>
      </w:r>
      <w:r>
        <w:t>响应能力存在优化空间</w:t>
      </w:r>
      <w:r>
        <w:rPr>
          <w:rFonts w:hint="eastAsia"/>
        </w:rPr>
        <w:t>。受访专家也表示“现在为减少风光出力不稳定的影响，在实际运行中对风电站、光伏电站的出力限制很严格、很保守”。</w:t>
      </w:r>
    </w:p>
    <w:p w14:paraId="04969D2B" w14:textId="2862E590" w:rsidR="004D2EE8" w:rsidRDefault="004D2EE8" w:rsidP="00E17813">
      <w:pPr>
        <w:pStyle w:val="2"/>
      </w:pPr>
      <w:r>
        <w:rPr>
          <w:rFonts w:hint="eastAsia"/>
        </w:rPr>
        <w:t>清洁能源基地绩效</w:t>
      </w:r>
    </w:p>
    <w:p w14:paraId="05E646CF" w14:textId="487C7793" w:rsidR="004D2EE8" w:rsidRPr="00BB7CE2" w:rsidRDefault="004D2EE8" w:rsidP="004D2EE8">
      <w:pPr>
        <w:ind w:firstLine="420"/>
      </w:pPr>
      <w:r w:rsidRPr="00A4271D">
        <w:rPr>
          <w:rFonts w:hint="eastAsia"/>
        </w:rPr>
        <w:t>清洁能源基地</w:t>
      </w:r>
      <w:r>
        <w:rPr>
          <w:rFonts w:hint="eastAsia"/>
        </w:rPr>
        <w:t>运营情况</w:t>
      </w:r>
      <w:r w:rsidRPr="00C35659">
        <w:rPr>
          <w:rFonts w:hint="eastAsia"/>
        </w:rPr>
        <w:t>如</w:t>
      </w:r>
      <w:r>
        <w:fldChar w:fldCharType="begin"/>
      </w:r>
      <w:r>
        <w:instrText xml:space="preserve"> </w:instrText>
      </w:r>
      <w:r>
        <w:rPr>
          <w:rFonts w:hint="eastAsia"/>
        </w:rPr>
        <w:instrText>REF _Ref200169973 \h</w:instrText>
      </w:r>
      <w:r>
        <w:instrText xml:space="preserve"> </w:instrText>
      </w:r>
      <w:r>
        <w:fldChar w:fldCharType="separate"/>
      </w:r>
      <w:r w:rsidR="000F2689">
        <w:rPr>
          <w:rFonts w:hint="eastAsia"/>
        </w:rPr>
        <w:t>表</w:t>
      </w:r>
      <w:r w:rsidR="000F2689">
        <w:rPr>
          <w:rFonts w:hint="eastAsia"/>
        </w:rPr>
        <w:t xml:space="preserve"> </w:t>
      </w:r>
      <w:r w:rsidR="000F2689">
        <w:rPr>
          <w:noProof/>
        </w:rPr>
        <w:t>9</w:t>
      </w:r>
      <w:r>
        <w:fldChar w:fldCharType="end"/>
      </w:r>
      <w:r w:rsidRPr="00C35659">
        <w:rPr>
          <w:rFonts w:hint="eastAsia"/>
        </w:rPr>
        <w:t>所示</w:t>
      </w:r>
      <w:r>
        <w:rPr>
          <w:rFonts w:hint="eastAsia"/>
        </w:rPr>
        <w:t>，其中</w:t>
      </w:r>
      <w:r w:rsidRPr="00541135">
        <w:rPr>
          <w:rFonts w:hint="eastAsia"/>
        </w:rPr>
        <w:t>，</w:t>
      </w:r>
      <w:r w:rsidRPr="00541135">
        <w:rPr>
          <w:rFonts w:hint="eastAsia"/>
        </w:rPr>
        <w:t>1</w:t>
      </w:r>
      <w:r w:rsidRPr="00541135">
        <w:rPr>
          <w:rFonts w:hint="eastAsia"/>
        </w:rPr>
        <w:t>分表示</w:t>
      </w:r>
      <w:r>
        <w:rPr>
          <w:rFonts w:hint="eastAsia"/>
        </w:rPr>
        <w:t>很</w:t>
      </w:r>
      <w:r w:rsidRPr="00541135">
        <w:rPr>
          <w:rFonts w:hint="eastAsia"/>
        </w:rPr>
        <w:t>不符合，</w:t>
      </w:r>
      <w:r w:rsidRPr="00541135">
        <w:rPr>
          <w:rFonts w:hint="eastAsia"/>
        </w:rPr>
        <w:t>5</w:t>
      </w:r>
      <w:r w:rsidRPr="00541135">
        <w:rPr>
          <w:rFonts w:hint="eastAsia"/>
        </w:rPr>
        <w:t>分表示</w:t>
      </w:r>
      <w:r>
        <w:rPr>
          <w:rFonts w:hint="eastAsia"/>
        </w:rPr>
        <w:t>非常</w:t>
      </w:r>
      <w:r w:rsidRPr="00541135">
        <w:rPr>
          <w:rFonts w:hint="eastAsia"/>
        </w:rPr>
        <w:t>符合</w:t>
      </w:r>
      <w:r>
        <w:rPr>
          <w:rFonts w:hint="eastAsia"/>
          <w:szCs w:val="21"/>
        </w:rPr>
        <w:t>。</w:t>
      </w:r>
    </w:p>
    <w:p w14:paraId="6E373549" w14:textId="2D509BC7" w:rsidR="004D2EE8" w:rsidRPr="004D2EE8" w:rsidRDefault="004D2EE8" w:rsidP="00EB718D">
      <w:pPr>
        <w:pStyle w:val="afa"/>
        <w:keepNext/>
        <w:spacing w:beforeLines="50" w:before="156"/>
        <w:ind w:firstLine="420"/>
      </w:pPr>
      <w:bookmarkStart w:id="26" w:name="_Ref200169973"/>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0F2689">
        <w:rPr>
          <w:noProof/>
        </w:rPr>
        <w:t>9</w:t>
      </w:r>
      <w:r>
        <w:fldChar w:fldCharType="end"/>
      </w:r>
      <w:bookmarkEnd w:id="26"/>
      <w:r>
        <w:rPr>
          <w:rFonts w:hint="eastAsia"/>
        </w:rPr>
        <w:t xml:space="preserve"> </w:t>
      </w:r>
      <w:r w:rsidRPr="00A4271D">
        <w:rPr>
          <w:rFonts w:hint="eastAsia"/>
        </w:rPr>
        <w:t>清洁能源基地</w:t>
      </w:r>
      <w:r>
        <w:rPr>
          <w:rFonts w:hint="eastAsia"/>
        </w:rPr>
        <w:t>绩效情况</w:t>
      </w:r>
    </w:p>
    <w:tbl>
      <w:tblPr>
        <w:tblStyle w:val="22"/>
        <w:tblW w:w="5000" w:type="pct"/>
        <w:tblLook w:val="0660" w:firstRow="1" w:lastRow="1" w:firstColumn="0" w:lastColumn="0" w:noHBand="1" w:noVBand="1"/>
      </w:tblPr>
      <w:tblGrid>
        <w:gridCol w:w="2784"/>
        <w:gridCol w:w="1109"/>
        <w:gridCol w:w="741"/>
      </w:tblGrid>
      <w:tr w:rsidR="004D2EE8" w:rsidRPr="004D2EE8" w14:paraId="2AD4F3C8" w14:textId="77777777" w:rsidTr="004D2EE8">
        <w:trPr>
          <w:cnfStyle w:val="100000000000" w:firstRow="1" w:lastRow="0" w:firstColumn="0" w:lastColumn="0" w:oddVBand="0" w:evenVBand="0" w:oddHBand="0" w:evenHBand="0" w:firstRowFirstColumn="0" w:firstRowLastColumn="0" w:lastRowFirstColumn="0" w:lastRowLastColumn="0"/>
          <w:trHeight w:val="283"/>
        </w:trPr>
        <w:tc>
          <w:tcPr>
            <w:tcW w:w="3004" w:type="pct"/>
            <w:vAlign w:val="center"/>
            <w:hideMark/>
          </w:tcPr>
          <w:p w14:paraId="5704134D" w14:textId="77777777" w:rsidR="004D2EE8" w:rsidRPr="004D2EE8" w:rsidRDefault="004D2EE8" w:rsidP="002D1967">
            <w:pPr>
              <w:pStyle w:val="af0"/>
              <w:spacing w:line="240" w:lineRule="atLeast"/>
              <w:jc w:val="center"/>
              <w:rPr>
                <w:rFonts w:ascii="Times New Roman" w:eastAsia="宋体" w:hAnsi="Times New Roman"/>
                <w:bCs w:val="0"/>
                <w:sz w:val="21"/>
                <w:szCs w:val="21"/>
              </w:rPr>
            </w:pPr>
            <w:r w:rsidRPr="004D2EE8">
              <w:rPr>
                <w:rFonts w:ascii="Times New Roman" w:eastAsia="宋体" w:hAnsi="Times New Roman" w:hint="eastAsia"/>
                <w:bCs w:val="0"/>
                <w:sz w:val="21"/>
                <w:szCs w:val="21"/>
              </w:rPr>
              <w:t>指标</w:t>
            </w:r>
          </w:p>
        </w:tc>
        <w:tc>
          <w:tcPr>
            <w:tcW w:w="1197" w:type="pct"/>
            <w:vAlign w:val="center"/>
            <w:hideMark/>
          </w:tcPr>
          <w:p w14:paraId="52654C76" w14:textId="77777777" w:rsidR="004D2EE8" w:rsidRPr="004D2EE8" w:rsidRDefault="004D2EE8" w:rsidP="002D1967">
            <w:pPr>
              <w:pStyle w:val="af0"/>
              <w:spacing w:line="240" w:lineRule="atLeast"/>
              <w:jc w:val="center"/>
              <w:rPr>
                <w:rFonts w:ascii="Times New Roman" w:eastAsia="宋体" w:hAnsi="Times New Roman"/>
                <w:bCs w:val="0"/>
                <w:sz w:val="21"/>
                <w:szCs w:val="21"/>
              </w:rPr>
            </w:pPr>
            <w:r w:rsidRPr="004D2EE8">
              <w:rPr>
                <w:rFonts w:ascii="Times New Roman" w:eastAsia="宋体" w:hAnsi="Times New Roman"/>
                <w:bCs w:val="0"/>
                <w:sz w:val="21"/>
                <w:szCs w:val="21"/>
              </w:rPr>
              <w:t>得分</w:t>
            </w:r>
          </w:p>
        </w:tc>
        <w:tc>
          <w:tcPr>
            <w:tcW w:w="800" w:type="pct"/>
            <w:vAlign w:val="center"/>
            <w:hideMark/>
          </w:tcPr>
          <w:p w14:paraId="13331C64" w14:textId="77777777" w:rsidR="004D2EE8" w:rsidRPr="004D2EE8" w:rsidRDefault="004D2EE8" w:rsidP="002D1967">
            <w:pPr>
              <w:pStyle w:val="af0"/>
              <w:spacing w:line="240" w:lineRule="atLeast"/>
              <w:jc w:val="center"/>
              <w:rPr>
                <w:rFonts w:ascii="Times New Roman" w:eastAsia="宋体" w:hAnsi="Times New Roman"/>
                <w:bCs w:val="0"/>
                <w:sz w:val="21"/>
                <w:szCs w:val="21"/>
              </w:rPr>
            </w:pPr>
            <w:r w:rsidRPr="004D2EE8">
              <w:rPr>
                <w:rFonts w:ascii="Times New Roman" w:eastAsia="宋体" w:hAnsi="Times New Roman"/>
                <w:bCs w:val="0"/>
                <w:sz w:val="21"/>
                <w:szCs w:val="21"/>
              </w:rPr>
              <w:t>排序</w:t>
            </w:r>
          </w:p>
        </w:tc>
      </w:tr>
      <w:tr w:rsidR="004D2EE8" w:rsidRPr="004D2EE8" w14:paraId="3658D9F5" w14:textId="77777777" w:rsidTr="004D2EE8">
        <w:trPr>
          <w:trHeight w:val="283"/>
        </w:trPr>
        <w:tc>
          <w:tcPr>
            <w:tcW w:w="3004" w:type="pct"/>
            <w:vAlign w:val="center"/>
          </w:tcPr>
          <w:p w14:paraId="46991620" w14:textId="6FA7D916" w:rsidR="004D2EE8" w:rsidRPr="004D2EE8" w:rsidRDefault="004D2EE8" w:rsidP="004D2EE8">
            <w:pPr>
              <w:pStyle w:val="af0"/>
              <w:spacing w:line="240" w:lineRule="atLeast"/>
              <w:jc w:val="left"/>
              <w:rPr>
                <w:rFonts w:ascii="Times New Roman" w:eastAsia="宋体" w:hAnsi="Times New Roman"/>
                <w:bCs/>
                <w:sz w:val="21"/>
                <w:szCs w:val="21"/>
              </w:rPr>
            </w:pPr>
            <w:r w:rsidRPr="004D2EE8">
              <w:rPr>
                <w:rFonts w:ascii="Times New Roman" w:eastAsia="宋体" w:hAnsi="Times New Roman" w:hint="eastAsia"/>
                <w:color w:val="000000"/>
                <w:sz w:val="21"/>
                <w:szCs w:val="21"/>
              </w:rPr>
              <w:t>环保水保</w:t>
            </w:r>
          </w:p>
        </w:tc>
        <w:tc>
          <w:tcPr>
            <w:tcW w:w="1197" w:type="pct"/>
            <w:vAlign w:val="center"/>
          </w:tcPr>
          <w:p w14:paraId="79F294A0" w14:textId="0CCB8F6A" w:rsidR="004D2EE8" w:rsidRPr="004D2EE8" w:rsidRDefault="004D2EE8" w:rsidP="004D2EE8">
            <w:pPr>
              <w:pStyle w:val="af0"/>
              <w:spacing w:line="240" w:lineRule="atLeast"/>
              <w:jc w:val="center"/>
              <w:rPr>
                <w:rFonts w:ascii="Times New Roman" w:eastAsia="宋体" w:hAnsi="Times New Roman"/>
                <w:bCs/>
                <w:sz w:val="21"/>
                <w:szCs w:val="21"/>
              </w:rPr>
            </w:pPr>
            <w:r w:rsidRPr="004D2EE8">
              <w:rPr>
                <w:rFonts w:ascii="Times New Roman" w:eastAsia="宋体" w:hAnsi="Times New Roman" w:hint="eastAsia"/>
                <w:color w:val="000000"/>
                <w:sz w:val="21"/>
                <w:szCs w:val="21"/>
              </w:rPr>
              <w:t>4.440</w:t>
            </w:r>
          </w:p>
        </w:tc>
        <w:tc>
          <w:tcPr>
            <w:tcW w:w="800" w:type="pct"/>
            <w:vAlign w:val="center"/>
          </w:tcPr>
          <w:p w14:paraId="6A3CB782" w14:textId="3C084B6B" w:rsidR="004D2EE8" w:rsidRPr="004D2EE8" w:rsidRDefault="004D2EE8" w:rsidP="004D2EE8">
            <w:pPr>
              <w:pStyle w:val="af0"/>
              <w:spacing w:line="240" w:lineRule="atLeast"/>
              <w:jc w:val="center"/>
              <w:rPr>
                <w:rFonts w:ascii="Times New Roman" w:eastAsia="宋体" w:hAnsi="Times New Roman"/>
                <w:bCs/>
                <w:sz w:val="21"/>
                <w:szCs w:val="21"/>
              </w:rPr>
            </w:pPr>
            <w:r w:rsidRPr="004D2EE8">
              <w:rPr>
                <w:rFonts w:ascii="Times New Roman" w:eastAsia="宋体" w:hAnsi="Times New Roman" w:hint="eastAsia"/>
                <w:color w:val="000000"/>
                <w:sz w:val="21"/>
                <w:szCs w:val="21"/>
              </w:rPr>
              <w:t>1</w:t>
            </w:r>
          </w:p>
        </w:tc>
      </w:tr>
      <w:tr w:rsidR="004D2EE8" w:rsidRPr="004D2EE8" w14:paraId="481C1049" w14:textId="77777777" w:rsidTr="004D2EE8">
        <w:trPr>
          <w:trHeight w:val="283"/>
        </w:trPr>
        <w:tc>
          <w:tcPr>
            <w:tcW w:w="3004" w:type="pct"/>
            <w:vAlign w:val="center"/>
          </w:tcPr>
          <w:p w14:paraId="09AE5CC8" w14:textId="15401CC7" w:rsidR="004D2EE8" w:rsidRPr="004D2EE8" w:rsidRDefault="004D2EE8" w:rsidP="004D2EE8">
            <w:pPr>
              <w:pStyle w:val="af0"/>
              <w:spacing w:line="240" w:lineRule="atLeast"/>
              <w:jc w:val="left"/>
              <w:rPr>
                <w:rFonts w:ascii="Times New Roman" w:eastAsia="宋体" w:hAnsi="Times New Roman"/>
                <w:bCs/>
                <w:sz w:val="21"/>
                <w:szCs w:val="21"/>
              </w:rPr>
            </w:pPr>
            <w:r w:rsidRPr="004D2EE8">
              <w:rPr>
                <w:rFonts w:ascii="Times New Roman" w:eastAsia="宋体" w:hAnsi="Times New Roman" w:hint="eastAsia"/>
                <w:color w:val="000000"/>
                <w:sz w:val="21"/>
                <w:szCs w:val="21"/>
              </w:rPr>
              <w:t>职业健康与安全</w:t>
            </w:r>
          </w:p>
        </w:tc>
        <w:tc>
          <w:tcPr>
            <w:tcW w:w="1197" w:type="pct"/>
            <w:vAlign w:val="center"/>
          </w:tcPr>
          <w:p w14:paraId="012A10CB" w14:textId="1D1A5D06" w:rsidR="004D2EE8" w:rsidRPr="004D2EE8" w:rsidRDefault="004D2EE8" w:rsidP="004D2EE8">
            <w:pPr>
              <w:pStyle w:val="af0"/>
              <w:spacing w:line="240" w:lineRule="atLeast"/>
              <w:jc w:val="center"/>
              <w:rPr>
                <w:rFonts w:ascii="Times New Roman" w:eastAsia="宋体" w:hAnsi="Times New Roman" w:cs="Times New Roman"/>
                <w:bCs/>
                <w:sz w:val="21"/>
                <w:szCs w:val="21"/>
              </w:rPr>
            </w:pPr>
            <w:r w:rsidRPr="004D2EE8">
              <w:rPr>
                <w:rFonts w:ascii="Times New Roman" w:eastAsia="宋体" w:hAnsi="Times New Roman" w:hint="eastAsia"/>
                <w:color w:val="000000"/>
                <w:sz w:val="21"/>
                <w:szCs w:val="21"/>
              </w:rPr>
              <w:t>4.433</w:t>
            </w:r>
          </w:p>
        </w:tc>
        <w:tc>
          <w:tcPr>
            <w:tcW w:w="800" w:type="pct"/>
            <w:vAlign w:val="center"/>
          </w:tcPr>
          <w:p w14:paraId="45D2EEB3" w14:textId="74C39868" w:rsidR="004D2EE8" w:rsidRPr="004D2EE8" w:rsidRDefault="004D2EE8" w:rsidP="004D2EE8">
            <w:pPr>
              <w:pStyle w:val="af0"/>
              <w:spacing w:line="240" w:lineRule="atLeast"/>
              <w:jc w:val="center"/>
              <w:rPr>
                <w:rFonts w:ascii="Times New Roman" w:eastAsia="宋体" w:hAnsi="Times New Roman" w:cs="Times New Roman"/>
                <w:bCs/>
                <w:sz w:val="21"/>
                <w:szCs w:val="21"/>
              </w:rPr>
            </w:pPr>
            <w:r w:rsidRPr="004D2EE8">
              <w:rPr>
                <w:rFonts w:ascii="Times New Roman" w:eastAsia="宋体" w:hAnsi="Times New Roman" w:hint="eastAsia"/>
                <w:color w:val="000000"/>
                <w:sz w:val="21"/>
                <w:szCs w:val="21"/>
              </w:rPr>
              <w:t>2</w:t>
            </w:r>
          </w:p>
        </w:tc>
      </w:tr>
      <w:tr w:rsidR="004D2EE8" w:rsidRPr="004D2EE8" w14:paraId="78E52331" w14:textId="77777777" w:rsidTr="004D2EE8">
        <w:trPr>
          <w:trHeight w:val="283"/>
        </w:trPr>
        <w:tc>
          <w:tcPr>
            <w:tcW w:w="3004" w:type="pct"/>
            <w:vAlign w:val="center"/>
          </w:tcPr>
          <w:p w14:paraId="77A99BDB" w14:textId="579CB477" w:rsidR="004D2EE8" w:rsidRPr="004D2EE8" w:rsidRDefault="004D2EE8" w:rsidP="004D2EE8">
            <w:pPr>
              <w:pStyle w:val="af0"/>
              <w:spacing w:line="240" w:lineRule="atLeast"/>
              <w:jc w:val="left"/>
              <w:rPr>
                <w:rFonts w:ascii="Times New Roman" w:eastAsia="宋体" w:hAnsi="Times New Roman" w:cs="Times New Roman"/>
                <w:sz w:val="21"/>
                <w:szCs w:val="21"/>
              </w:rPr>
            </w:pPr>
            <w:r w:rsidRPr="004D2EE8">
              <w:rPr>
                <w:rFonts w:ascii="Times New Roman" w:eastAsia="宋体" w:hAnsi="Times New Roman" w:hint="eastAsia"/>
                <w:color w:val="000000"/>
                <w:sz w:val="21"/>
                <w:szCs w:val="21"/>
              </w:rPr>
              <w:t>质量</w:t>
            </w:r>
          </w:p>
        </w:tc>
        <w:tc>
          <w:tcPr>
            <w:tcW w:w="1197" w:type="pct"/>
            <w:vAlign w:val="center"/>
          </w:tcPr>
          <w:p w14:paraId="40CD0A82" w14:textId="7660405D" w:rsidR="004D2EE8" w:rsidRPr="004D2EE8" w:rsidRDefault="004D2EE8" w:rsidP="004D2EE8">
            <w:pPr>
              <w:pStyle w:val="af0"/>
              <w:spacing w:line="240" w:lineRule="atLeast"/>
              <w:jc w:val="center"/>
              <w:rPr>
                <w:rFonts w:ascii="Times New Roman" w:eastAsia="宋体" w:hAnsi="Times New Roman" w:cs="Times New Roman"/>
                <w:bCs/>
                <w:sz w:val="21"/>
                <w:szCs w:val="21"/>
              </w:rPr>
            </w:pPr>
            <w:r w:rsidRPr="004D2EE8">
              <w:rPr>
                <w:rFonts w:ascii="Times New Roman" w:eastAsia="宋体" w:hAnsi="Times New Roman" w:hint="eastAsia"/>
                <w:color w:val="000000"/>
                <w:sz w:val="21"/>
                <w:szCs w:val="21"/>
              </w:rPr>
              <w:t>4.430</w:t>
            </w:r>
          </w:p>
        </w:tc>
        <w:tc>
          <w:tcPr>
            <w:tcW w:w="800" w:type="pct"/>
            <w:vAlign w:val="center"/>
          </w:tcPr>
          <w:p w14:paraId="1518F113" w14:textId="2F774E8E" w:rsidR="004D2EE8" w:rsidRPr="004D2EE8" w:rsidRDefault="004D2EE8" w:rsidP="004D2EE8">
            <w:pPr>
              <w:pStyle w:val="af0"/>
              <w:spacing w:line="240" w:lineRule="atLeast"/>
              <w:jc w:val="center"/>
              <w:rPr>
                <w:rFonts w:ascii="Times New Roman" w:eastAsia="宋体" w:hAnsi="Times New Roman" w:cs="Times New Roman"/>
                <w:bCs/>
                <w:sz w:val="21"/>
                <w:szCs w:val="21"/>
              </w:rPr>
            </w:pPr>
            <w:r w:rsidRPr="004D2EE8">
              <w:rPr>
                <w:rFonts w:ascii="Times New Roman" w:eastAsia="宋体" w:hAnsi="Times New Roman" w:hint="eastAsia"/>
                <w:color w:val="000000"/>
                <w:sz w:val="21"/>
                <w:szCs w:val="21"/>
              </w:rPr>
              <w:t>3</w:t>
            </w:r>
          </w:p>
        </w:tc>
      </w:tr>
      <w:tr w:rsidR="004D2EE8" w:rsidRPr="004D2EE8" w14:paraId="47C8AD1E" w14:textId="77777777" w:rsidTr="004D2EE8">
        <w:trPr>
          <w:trHeight w:val="283"/>
        </w:trPr>
        <w:tc>
          <w:tcPr>
            <w:tcW w:w="3004" w:type="pct"/>
            <w:vAlign w:val="center"/>
          </w:tcPr>
          <w:p w14:paraId="0983FEF9" w14:textId="31C41F95" w:rsidR="004D2EE8" w:rsidRPr="004D2EE8" w:rsidRDefault="004D2EE8" w:rsidP="004D2EE8">
            <w:pPr>
              <w:pStyle w:val="af0"/>
              <w:spacing w:line="240" w:lineRule="atLeast"/>
              <w:jc w:val="left"/>
              <w:rPr>
                <w:rFonts w:ascii="Times New Roman" w:eastAsia="宋体" w:hAnsi="Times New Roman" w:cs="Times New Roman"/>
                <w:sz w:val="21"/>
                <w:szCs w:val="21"/>
              </w:rPr>
            </w:pPr>
            <w:r w:rsidRPr="004D2EE8">
              <w:rPr>
                <w:rFonts w:ascii="Times New Roman" w:eastAsia="宋体" w:hAnsi="Times New Roman" w:hint="eastAsia"/>
                <w:color w:val="000000"/>
                <w:sz w:val="21"/>
                <w:szCs w:val="21"/>
              </w:rPr>
              <w:lastRenderedPageBreak/>
              <w:t>社会效益</w:t>
            </w:r>
          </w:p>
        </w:tc>
        <w:tc>
          <w:tcPr>
            <w:tcW w:w="1197" w:type="pct"/>
            <w:vAlign w:val="center"/>
          </w:tcPr>
          <w:p w14:paraId="27D946CA" w14:textId="7F39284E" w:rsidR="004D2EE8" w:rsidRPr="004D2EE8" w:rsidRDefault="004D2EE8" w:rsidP="004D2EE8">
            <w:pPr>
              <w:pStyle w:val="af0"/>
              <w:spacing w:line="240" w:lineRule="atLeast"/>
              <w:jc w:val="center"/>
              <w:rPr>
                <w:rFonts w:ascii="Times New Roman" w:eastAsia="宋体" w:hAnsi="Times New Roman" w:cs="Times New Roman"/>
                <w:bCs/>
                <w:sz w:val="21"/>
                <w:szCs w:val="21"/>
              </w:rPr>
            </w:pPr>
            <w:r w:rsidRPr="004D2EE8">
              <w:rPr>
                <w:rFonts w:ascii="Times New Roman" w:eastAsia="宋体" w:hAnsi="Times New Roman" w:hint="eastAsia"/>
                <w:color w:val="000000"/>
                <w:sz w:val="21"/>
                <w:szCs w:val="21"/>
              </w:rPr>
              <w:t>4.430</w:t>
            </w:r>
          </w:p>
        </w:tc>
        <w:tc>
          <w:tcPr>
            <w:tcW w:w="800" w:type="pct"/>
            <w:vAlign w:val="center"/>
          </w:tcPr>
          <w:p w14:paraId="557D6CED" w14:textId="0F21EB03" w:rsidR="004D2EE8" w:rsidRPr="004D2EE8" w:rsidRDefault="004D2EE8" w:rsidP="004D2EE8">
            <w:pPr>
              <w:pStyle w:val="af0"/>
              <w:spacing w:line="240" w:lineRule="atLeast"/>
              <w:jc w:val="center"/>
              <w:rPr>
                <w:rFonts w:ascii="Times New Roman" w:eastAsia="宋体" w:hAnsi="Times New Roman" w:cs="Times New Roman"/>
                <w:bCs/>
                <w:sz w:val="21"/>
                <w:szCs w:val="21"/>
              </w:rPr>
            </w:pPr>
            <w:r w:rsidRPr="004D2EE8">
              <w:rPr>
                <w:rFonts w:ascii="Times New Roman" w:eastAsia="宋体" w:hAnsi="Times New Roman" w:hint="eastAsia"/>
                <w:color w:val="000000"/>
                <w:sz w:val="21"/>
                <w:szCs w:val="21"/>
              </w:rPr>
              <w:t>3</w:t>
            </w:r>
          </w:p>
        </w:tc>
      </w:tr>
      <w:tr w:rsidR="004D2EE8" w:rsidRPr="004D2EE8" w14:paraId="47E3C9F8" w14:textId="77777777" w:rsidTr="004D2EE8">
        <w:trPr>
          <w:trHeight w:val="283"/>
        </w:trPr>
        <w:tc>
          <w:tcPr>
            <w:tcW w:w="3004" w:type="pct"/>
            <w:vAlign w:val="center"/>
          </w:tcPr>
          <w:p w14:paraId="78A63CC0" w14:textId="4BFC759D" w:rsidR="004D2EE8" w:rsidRPr="004D2EE8" w:rsidRDefault="004D2EE8" w:rsidP="004D2EE8">
            <w:pPr>
              <w:pStyle w:val="af0"/>
              <w:spacing w:line="240" w:lineRule="atLeast"/>
              <w:jc w:val="left"/>
              <w:rPr>
                <w:rFonts w:ascii="Times New Roman" w:eastAsia="宋体" w:hAnsi="Times New Roman" w:cs="Times New Roman"/>
                <w:sz w:val="21"/>
                <w:szCs w:val="21"/>
              </w:rPr>
            </w:pPr>
            <w:r w:rsidRPr="004D2EE8">
              <w:rPr>
                <w:rFonts w:ascii="Times New Roman" w:eastAsia="宋体" w:hAnsi="Times New Roman" w:hint="eastAsia"/>
                <w:color w:val="000000"/>
                <w:sz w:val="21"/>
                <w:szCs w:val="21"/>
              </w:rPr>
              <w:t>相关方满意度</w:t>
            </w:r>
          </w:p>
        </w:tc>
        <w:tc>
          <w:tcPr>
            <w:tcW w:w="1197" w:type="pct"/>
            <w:vAlign w:val="center"/>
          </w:tcPr>
          <w:p w14:paraId="1C757E53" w14:textId="54D3CA3E" w:rsidR="004D2EE8" w:rsidRPr="004D2EE8" w:rsidRDefault="004D2EE8" w:rsidP="004D2EE8">
            <w:pPr>
              <w:pStyle w:val="af0"/>
              <w:spacing w:line="240" w:lineRule="atLeast"/>
              <w:jc w:val="center"/>
              <w:rPr>
                <w:rFonts w:ascii="Times New Roman" w:eastAsia="宋体" w:hAnsi="Times New Roman" w:cs="Times New Roman"/>
                <w:bCs/>
                <w:sz w:val="21"/>
                <w:szCs w:val="21"/>
              </w:rPr>
            </w:pPr>
            <w:r w:rsidRPr="004D2EE8">
              <w:rPr>
                <w:rFonts w:ascii="Times New Roman" w:eastAsia="宋体" w:hAnsi="Times New Roman" w:hint="eastAsia"/>
                <w:color w:val="000000"/>
                <w:sz w:val="21"/>
                <w:szCs w:val="21"/>
              </w:rPr>
              <w:t>4.430</w:t>
            </w:r>
          </w:p>
        </w:tc>
        <w:tc>
          <w:tcPr>
            <w:tcW w:w="800" w:type="pct"/>
            <w:vAlign w:val="center"/>
          </w:tcPr>
          <w:p w14:paraId="627BF145" w14:textId="22AE08DC" w:rsidR="004D2EE8" w:rsidRPr="004D2EE8" w:rsidRDefault="004D2EE8" w:rsidP="004D2EE8">
            <w:pPr>
              <w:pStyle w:val="af0"/>
              <w:spacing w:line="240" w:lineRule="atLeast"/>
              <w:jc w:val="center"/>
              <w:rPr>
                <w:rFonts w:ascii="Times New Roman" w:eastAsia="宋体" w:hAnsi="Times New Roman" w:cs="Times New Roman"/>
                <w:bCs/>
                <w:sz w:val="21"/>
                <w:szCs w:val="21"/>
              </w:rPr>
            </w:pPr>
            <w:r w:rsidRPr="004D2EE8">
              <w:rPr>
                <w:rFonts w:ascii="Times New Roman" w:eastAsia="宋体" w:hAnsi="Times New Roman" w:hint="eastAsia"/>
                <w:color w:val="000000"/>
                <w:sz w:val="21"/>
                <w:szCs w:val="21"/>
              </w:rPr>
              <w:t>3</w:t>
            </w:r>
          </w:p>
        </w:tc>
      </w:tr>
      <w:tr w:rsidR="004D2EE8" w:rsidRPr="004D2EE8" w14:paraId="0ED22397" w14:textId="77777777" w:rsidTr="004D2EE8">
        <w:trPr>
          <w:trHeight w:val="283"/>
        </w:trPr>
        <w:tc>
          <w:tcPr>
            <w:tcW w:w="3004" w:type="pct"/>
            <w:vAlign w:val="center"/>
          </w:tcPr>
          <w:p w14:paraId="08C80A23" w14:textId="2F38E3C0" w:rsidR="004D2EE8" w:rsidRPr="004D2EE8" w:rsidRDefault="004D2EE8" w:rsidP="004D2EE8">
            <w:pPr>
              <w:pStyle w:val="af0"/>
              <w:spacing w:line="240" w:lineRule="atLeast"/>
              <w:jc w:val="left"/>
              <w:rPr>
                <w:rFonts w:ascii="Times New Roman" w:eastAsia="宋体" w:hAnsi="Times New Roman" w:cs="Times New Roman"/>
                <w:sz w:val="21"/>
                <w:szCs w:val="21"/>
              </w:rPr>
            </w:pPr>
            <w:r w:rsidRPr="004D2EE8">
              <w:rPr>
                <w:rFonts w:ascii="Times New Roman" w:eastAsia="宋体" w:hAnsi="Times New Roman" w:hint="eastAsia"/>
                <w:color w:val="000000"/>
                <w:sz w:val="21"/>
                <w:szCs w:val="21"/>
              </w:rPr>
              <w:t>进度</w:t>
            </w:r>
          </w:p>
        </w:tc>
        <w:tc>
          <w:tcPr>
            <w:tcW w:w="1197" w:type="pct"/>
            <w:vAlign w:val="center"/>
          </w:tcPr>
          <w:p w14:paraId="7D39886C" w14:textId="22AFDA1C" w:rsidR="004D2EE8" w:rsidRPr="004D2EE8" w:rsidRDefault="004D2EE8" w:rsidP="004D2EE8">
            <w:pPr>
              <w:pStyle w:val="af0"/>
              <w:spacing w:line="240" w:lineRule="atLeast"/>
              <w:jc w:val="center"/>
              <w:rPr>
                <w:rFonts w:ascii="Times New Roman" w:eastAsia="宋体" w:hAnsi="Times New Roman" w:cs="Times New Roman"/>
                <w:bCs/>
                <w:sz w:val="21"/>
                <w:szCs w:val="21"/>
              </w:rPr>
            </w:pPr>
            <w:r w:rsidRPr="004D2EE8">
              <w:rPr>
                <w:rFonts w:ascii="Times New Roman" w:eastAsia="宋体" w:hAnsi="Times New Roman" w:hint="eastAsia"/>
                <w:color w:val="000000"/>
                <w:sz w:val="21"/>
                <w:szCs w:val="21"/>
              </w:rPr>
              <w:t>4.423</w:t>
            </w:r>
          </w:p>
        </w:tc>
        <w:tc>
          <w:tcPr>
            <w:tcW w:w="800" w:type="pct"/>
            <w:vAlign w:val="center"/>
          </w:tcPr>
          <w:p w14:paraId="2333A1C7" w14:textId="73C93D62" w:rsidR="004D2EE8" w:rsidRPr="004D2EE8" w:rsidRDefault="004D2EE8" w:rsidP="004D2EE8">
            <w:pPr>
              <w:pStyle w:val="af0"/>
              <w:spacing w:line="240" w:lineRule="atLeast"/>
              <w:jc w:val="center"/>
              <w:rPr>
                <w:rFonts w:ascii="Times New Roman" w:eastAsia="宋体" w:hAnsi="Times New Roman" w:cs="Times New Roman"/>
                <w:bCs/>
                <w:sz w:val="21"/>
                <w:szCs w:val="21"/>
              </w:rPr>
            </w:pPr>
            <w:r w:rsidRPr="004D2EE8">
              <w:rPr>
                <w:rFonts w:ascii="Times New Roman" w:eastAsia="宋体" w:hAnsi="Times New Roman" w:hint="eastAsia"/>
                <w:color w:val="000000"/>
                <w:sz w:val="21"/>
                <w:szCs w:val="21"/>
              </w:rPr>
              <w:t>6</w:t>
            </w:r>
          </w:p>
        </w:tc>
      </w:tr>
      <w:tr w:rsidR="004D2EE8" w:rsidRPr="004D2EE8" w14:paraId="43365026" w14:textId="77777777" w:rsidTr="004D2EE8">
        <w:trPr>
          <w:trHeight w:val="283"/>
        </w:trPr>
        <w:tc>
          <w:tcPr>
            <w:tcW w:w="3004" w:type="pct"/>
            <w:vAlign w:val="center"/>
          </w:tcPr>
          <w:p w14:paraId="2EAC1898" w14:textId="3485FCD1" w:rsidR="004D2EE8" w:rsidRPr="004D2EE8" w:rsidRDefault="004D2EE8" w:rsidP="004D2EE8">
            <w:pPr>
              <w:pStyle w:val="af0"/>
              <w:spacing w:line="240" w:lineRule="atLeast"/>
              <w:jc w:val="left"/>
              <w:rPr>
                <w:rFonts w:ascii="Times New Roman" w:eastAsia="宋体" w:hAnsi="Times New Roman"/>
                <w:color w:val="000000"/>
                <w:sz w:val="21"/>
                <w:szCs w:val="21"/>
              </w:rPr>
            </w:pPr>
            <w:r w:rsidRPr="004D2EE8">
              <w:rPr>
                <w:rFonts w:ascii="Times New Roman" w:eastAsia="宋体" w:hAnsi="Times New Roman" w:hint="eastAsia"/>
                <w:color w:val="000000"/>
                <w:sz w:val="21"/>
                <w:szCs w:val="21"/>
              </w:rPr>
              <w:t>经济效益</w:t>
            </w:r>
          </w:p>
        </w:tc>
        <w:tc>
          <w:tcPr>
            <w:tcW w:w="1197" w:type="pct"/>
            <w:vAlign w:val="center"/>
          </w:tcPr>
          <w:p w14:paraId="1B3856AA" w14:textId="6E21307F" w:rsidR="004D2EE8" w:rsidRPr="004D2EE8" w:rsidRDefault="004D2EE8" w:rsidP="004D2EE8">
            <w:pPr>
              <w:pStyle w:val="af0"/>
              <w:spacing w:line="240" w:lineRule="atLeast"/>
              <w:jc w:val="center"/>
              <w:rPr>
                <w:rFonts w:ascii="Times New Roman" w:eastAsia="宋体" w:hAnsi="Times New Roman" w:cs="Times New Roman"/>
                <w:color w:val="000000"/>
                <w:sz w:val="21"/>
                <w:szCs w:val="21"/>
              </w:rPr>
            </w:pPr>
            <w:r w:rsidRPr="004D2EE8">
              <w:rPr>
                <w:rFonts w:ascii="Times New Roman" w:eastAsia="宋体" w:hAnsi="Times New Roman" w:hint="eastAsia"/>
                <w:color w:val="000000"/>
                <w:sz w:val="21"/>
                <w:szCs w:val="21"/>
              </w:rPr>
              <w:t>4.406</w:t>
            </w:r>
          </w:p>
        </w:tc>
        <w:tc>
          <w:tcPr>
            <w:tcW w:w="800" w:type="pct"/>
            <w:vAlign w:val="center"/>
          </w:tcPr>
          <w:p w14:paraId="5B616A42" w14:textId="0D1BD5B9" w:rsidR="004D2EE8" w:rsidRPr="004D2EE8" w:rsidRDefault="004D2EE8" w:rsidP="004D2EE8">
            <w:pPr>
              <w:pStyle w:val="af0"/>
              <w:spacing w:line="240" w:lineRule="atLeast"/>
              <w:jc w:val="center"/>
              <w:rPr>
                <w:rFonts w:ascii="Times New Roman" w:eastAsia="宋体" w:hAnsi="Times New Roman" w:cs="Times New Roman"/>
                <w:color w:val="000000"/>
                <w:sz w:val="21"/>
                <w:szCs w:val="21"/>
              </w:rPr>
            </w:pPr>
            <w:r w:rsidRPr="004D2EE8">
              <w:rPr>
                <w:rFonts w:ascii="Times New Roman" w:eastAsia="宋体" w:hAnsi="Times New Roman" w:hint="eastAsia"/>
                <w:color w:val="000000"/>
                <w:sz w:val="21"/>
                <w:szCs w:val="21"/>
              </w:rPr>
              <w:t>7</w:t>
            </w:r>
          </w:p>
        </w:tc>
      </w:tr>
      <w:tr w:rsidR="004D2EE8" w:rsidRPr="004D2EE8" w14:paraId="64D56BC5" w14:textId="77777777" w:rsidTr="004D2EE8">
        <w:trPr>
          <w:trHeight w:val="283"/>
        </w:trPr>
        <w:tc>
          <w:tcPr>
            <w:tcW w:w="3004" w:type="pct"/>
            <w:vAlign w:val="center"/>
          </w:tcPr>
          <w:p w14:paraId="6BA38809" w14:textId="13409D05" w:rsidR="004D2EE8" w:rsidRPr="004D2EE8" w:rsidRDefault="004D2EE8" w:rsidP="004D2EE8">
            <w:pPr>
              <w:pStyle w:val="af0"/>
              <w:spacing w:line="240" w:lineRule="atLeast"/>
              <w:jc w:val="left"/>
              <w:rPr>
                <w:rFonts w:ascii="Times New Roman" w:eastAsia="宋体" w:hAnsi="Times New Roman"/>
                <w:color w:val="000000"/>
                <w:sz w:val="21"/>
                <w:szCs w:val="21"/>
              </w:rPr>
            </w:pPr>
            <w:r w:rsidRPr="004D2EE8">
              <w:rPr>
                <w:rFonts w:ascii="Times New Roman" w:eastAsia="宋体" w:hAnsi="Times New Roman" w:hint="eastAsia"/>
                <w:color w:val="000000"/>
                <w:sz w:val="21"/>
                <w:szCs w:val="21"/>
              </w:rPr>
              <w:t>移民</w:t>
            </w:r>
          </w:p>
        </w:tc>
        <w:tc>
          <w:tcPr>
            <w:tcW w:w="1197" w:type="pct"/>
            <w:vAlign w:val="center"/>
          </w:tcPr>
          <w:p w14:paraId="7BA6ABAA" w14:textId="7B3863B8" w:rsidR="004D2EE8" w:rsidRPr="004D2EE8" w:rsidRDefault="004D2EE8" w:rsidP="004D2EE8">
            <w:pPr>
              <w:pStyle w:val="af0"/>
              <w:spacing w:line="240" w:lineRule="atLeast"/>
              <w:jc w:val="center"/>
              <w:rPr>
                <w:rFonts w:ascii="Times New Roman" w:eastAsia="宋体" w:hAnsi="Times New Roman"/>
                <w:color w:val="000000"/>
                <w:sz w:val="21"/>
                <w:szCs w:val="21"/>
              </w:rPr>
            </w:pPr>
            <w:r w:rsidRPr="004D2EE8">
              <w:rPr>
                <w:rFonts w:ascii="Times New Roman" w:eastAsia="宋体" w:hAnsi="Times New Roman" w:hint="eastAsia"/>
                <w:color w:val="000000"/>
                <w:sz w:val="21"/>
                <w:szCs w:val="21"/>
              </w:rPr>
              <w:t>4.386</w:t>
            </w:r>
          </w:p>
        </w:tc>
        <w:tc>
          <w:tcPr>
            <w:tcW w:w="800" w:type="pct"/>
            <w:vAlign w:val="center"/>
          </w:tcPr>
          <w:p w14:paraId="44149643" w14:textId="7FE2D566" w:rsidR="004D2EE8" w:rsidRPr="004D2EE8" w:rsidRDefault="004D2EE8" w:rsidP="004D2EE8">
            <w:pPr>
              <w:pStyle w:val="af0"/>
              <w:spacing w:line="240" w:lineRule="atLeast"/>
              <w:jc w:val="center"/>
              <w:rPr>
                <w:rFonts w:ascii="Times New Roman" w:eastAsia="宋体" w:hAnsi="Times New Roman"/>
                <w:color w:val="000000"/>
                <w:sz w:val="21"/>
                <w:szCs w:val="21"/>
              </w:rPr>
            </w:pPr>
            <w:r w:rsidRPr="004D2EE8">
              <w:rPr>
                <w:rFonts w:ascii="Times New Roman" w:eastAsia="宋体" w:hAnsi="Times New Roman" w:hint="eastAsia"/>
                <w:color w:val="000000"/>
                <w:sz w:val="21"/>
                <w:szCs w:val="21"/>
              </w:rPr>
              <w:t>8</w:t>
            </w:r>
          </w:p>
        </w:tc>
      </w:tr>
      <w:tr w:rsidR="004D2EE8" w:rsidRPr="004D2EE8" w14:paraId="2D4C70E5" w14:textId="77777777" w:rsidTr="002D1967">
        <w:trPr>
          <w:trHeight w:val="283"/>
        </w:trPr>
        <w:tc>
          <w:tcPr>
            <w:tcW w:w="3004" w:type="pct"/>
            <w:vAlign w:val="center"/>
          </w:tcPr>
          <w:p w14:paraId="0BFFA3AC" w14:textId="625ADECC" w:rsidR="004D2EE8" w:rsidRPr="004D2EE8" w:rsidRDefault="004D2EE8" w:rsidP="004D2EE8">
            <w:pPr>
              <w:pStyle w:val="af0"/>
              <w:spacing w:line="240" w:lineRule="atLeast"/>
              <w:jc w:val="left"/>
              <w:rPr>
                <w:rFonts w:ascii="Times New Roman" w:eastAsia="宋体" w:hAnsi="Times New Roman"/>
                <w:color w:val="000000"/>
                <w:sz w:val="21"/>
                <w:szCs w:val="21"/>
              </w:rPr>
            </w:pPr>
            <w:r w:rsidRPr="004D2EE8">
              <w:rPr>
                <w:rFonts w:ascii="Times New Roman" w:eastAsia="宋体" w:hAnsi="Times New Roman" w:hint="eastAsia"/>
                <w:color w:val="000000"/>
                <w:sz w:val="21"/>
                <w:szCs w:val="21"/>
              </w:rPr>
              <w:t>成本</w:t>
            </w:r>
          </w:p>
        </w:tc>
        <w:tc>
          <w:tcPr>
            <w:tcW w:w="1197" w:type="pct"/>
          </w:tcPr>
          <w:p w14:paraId="6936C7A9" w14:textId="3837CB5B" w:rsidR="004D2EE8" w:rsidRPr="004D2EE8" w:rsidRDefault="004D2EE8" w:rsidP="004D2EE8">
            <w:pPr>
              <w:pStyle w:val="af0"/>
              <w:spacing w:line="240" w:lineRule="atLeast"/>
              <w:jc w:val="center"/>
              <w:rPr>
                <w:rFonts w:ascii="Times New Roman" w:eastAsia="宋体" w:hAnsi="Times New Roman"/>
                <w:color w:val="000000"/>
                <w:sz w:val="21"/>
                <w:szCs w:val="21"/>
              </w:rPr>
            </w:pPr>
            <w:r w:rsidRPr="004D2EE8">
              <w:rPr>
                <w:rFonts w:ascii="Times New Roman" w:eastAsia="宋体" w:hAnsi="Times New Roman"/>
                <w:sz w:val="21"/>
                <w:szCs w:val="21"/>
              </w:rPr>
              <w:t xml:space="preserve">4.362 </w:t>
            </w:r>
          </w:p>
        </w:tc>
        <w:tc>
          <w:tcPr>
            <w:tcW w:w="800" w:type="pct"/>
          </w:tcPr>
          <w:p w14:paraId="759697DA" w14:textId="3C2196ED" w:rsidR="004D2EE8" w:rsidRPr="004D2EE8" w:rsidRDefault="004D2EE8" w:rsidP="004D2EE8">
            <w:pPr>
              <w:pStyle w:val="af0"/>
              <w:spacing w:line="240" w:lineRule="atLeast"/>
              <w:jc w:val="center"/>
              <w:rPr>
                <w:rFonts w:ascii="Times New Roman" w:eastAsia="宋体" w:hAnsi="Times New Roman"/>
                <w:color w:val="000000"/>
                <w:sz w:val="21"/>
                <w:szCs w:val="21"/>
              </w:rPr>
            </w:pPr>
            <w:r w:rsidRPr="004D2EE8">
              <w:rPr>
                <w:rFonts w:ascii="Times New Roman" w:eastAsia="宋体" w:hAnsi="Times New Roman"/>
                <w:sz w:val="21"/>
                <w:szCs w:val="21"/>
              </w:rPr>
              <w:t>9</w:t>
            </w:r>
          </w:p>
        </w:tc>
      </w:tr>
      <w:tr w:rsidR="004D2EE8" w:rsidRPr="004D2EE8" w14:paraId="72E2E5C4" w14:textId="77777777" w:rsidTr="004D2EE8">
        <w:trPr>
          <w:cnfStyle w:val="010000000000" w:firstRow="0" w:lastRow="1" w:firstColumn="0" w:lastColumn="0" w:oddVBand="0" w:evenVBand="0" w:oddHBand="0" w:evenHBand="0" w:firstRowFirstColumn="0" w:firstRowLastColumn="0" w:lastRowFirstColumn="0" w:lastRowLastColumn="0"/>
          <w:trHeight w:val="283"/>
        </w:trPr>
        <w:tc>
          <w:tcPr>
            <w:tcW w:w="3004" w:type="pct"/>
            <w:vAlign w:val="center"/>
            <w:hideMark/>
          </w:tcPr>
          <w:p w14:paraId="15ADAA68" w14:textId="77777777" w:rsidR="004D2EE8" w:rsidRPr="004D2EE8" w:rsidRDefault="004D2EE8" w:rsidP="004D2EE8">
            <w:pPr>
              <w:pStyle w:val="af0"/>
              <w:spacing w:line="240" w:lineRule="atLeast"/>
              <w:jc w:val="center"/>
              <w:rPr>
                <w:rFonts w:ascii="Times New Roman" w:eastAsia="宋体" w:hAnsi="Times New Roman"/>
                <w:bCs w:val="0"/>
                <w:sz w:val="21"/>
                <w:szCs w:val="21"/>
              </w:rPr>
            </w:pPr>
            <w:r w:rsidRPr="004D2EE8">
              <w:rPr>
                <w:rFonts w:ascii="Times New Roman" w:eastAsia="宋体" w:hAnsi="Times New Roman" w:hint="eastAsia"/>
                <w:bCs w:val="0"/>
                <w:sz w:val="21"/>
                <w:szCs w:val="21"/>
              </w:rPr>
              <w:t>均值</w:t>
            </w:r>
          </w:p>
        </w:tc>
        <w:tc>
          <w:tcPr>
            <w:tcW w:w="1197" w:type="pct"/>
            <w:vAlign w:val="center"/>
            <w:hideMark/>
          </w:tcPr>
          <w:p w14:paraId="426F2123" w14:textId="6C903707" w:rsidR="004D2EE8" w:rsidRPr="004D2EE8" w:rsidRDefault="004D2EE8" w:rsidP="004D2EE8">
            <w:pPr>
              <w:pStyle w:val="af0"/>
              <w:spacing w:line="240" w:lineRule="atLeast"/>
              <w:jc w:val="center"/>
              <w:rPr>
                <w:rFonts w:ascii="Times New Roman" w:eastAsia="宋体" w:hAnsi="Times New Roman" w:cs="Times New Roman"/>
                <w:sz w:val="21"/>
                <w:szCs w:val="21"/>
              </w:rPr>
            </w:pPr>
            <w:r w:rsidRPr="004D2EE8">
              <w:rPr>
                <w:rFonts w:ascii="Times New Roman" w:eastAsia="宋体" w:hAnsi="Times New Roman" w:hint="eastAsia"/>
                <w:sz w:val="21"/>
                <w:szCs w:val="21"/>
              </w:rPr>
              <w:t>4.416</w:t>
            </w:r>
          </w:p>
        </w:tc>
        <w:tc>
          <w:tcPr>
            <w:tcW w:w="800" w:type="pct"/>
            <w:vAlign w:val="center"/>
            <w:hideMark/>
          </w:tcPr>
          <w:p w14:paraId="3C570EE3" w14:textId="77777777" w:rsidR="004D2EE8" w:rsidRPr="004D2EE8" w:rsidRDefault="004D2EE8" w:rsidP="004D2EE8">
            <w:pPr>
              <w:pStyle w:val="af0"/>
              <w:spacing w:line="240" w:lineRule="atLeast"/>
              <w:jc w:val="center"/>
              <w:rPr>
                <w:rFonts w:ascii="Times New Roman" w:eastAsia="宋体" w:hAnsi="Times New Roman" w:cs="Times New Roman"/>
                <w:bCs w:val="0"/>
                <w:sz w:val="21"/>
                <w:szCs w:val="21"/>
              </w:rPr>
            </w:pPr>
            <w:r w:rsidRPr="004D2EE8">
              <w:rPr>
                <w:rFonts w:ascii="Times New Roman" w:eastAsia="宋体" w:hAnsi="Times New Roman" w:cs="Times New Roman"/>
                <w:bCs w:val="0"/>
                <w:sz w:val="21"/>
                <w:szCs w:val="21"/>
              </w:rPr>
              <w:t>-</w:t>
            </w:r>
          </w:p>
        </w:tc>
      </w:tr>
    </w:tbl>
    <w:p w14:paraId="51020F15" w14:textId="23CBA924" w:rsidR="004D2EE8" w:rsidRPr="004D2EE8" w:rsidRDefault="004D2EE8" w:rsidP="004B581A">
      <w:pPr>
        <w:spacing w:beforeLines="50" w:before="156"/>
        <w:ind w:firstLine="420"/>
      </w:pPr>
      <w:r w:rsidRPr="00C35659">
        <w:rPr>
          <w:rFonts w:hint="eastAsia"/>
        </w:rPr>
        <w:t>如</w:t>
      </w:r>
      <w:r>
        <w:fldChar w:fldCharType="begin"/>
      </w:r>
      <w:r>
        <w:instrText xml:space="preserve"> </w:instrText>
      </w:r>
      <w:r>
        <w:rPr>
          <w:rFonts w:hint="eastAsia"/>
        </w:rPr>
        <w:instrText>REF _Ref200169973 \h</w:instrText>
      </w:r>
      <w:r>
        <w:instrText xml:space="preserve"> </w:instrText>
      </w:r>
      <w:r>
        <w:fldChar w:fldCharType="separate"/>
      </w:r>
      <w:r w:rsidR="000F2689">
        <w:rPr>
          <w:rFonts w:hint="eastAsia"/>
        </w:rPr>
        <w:t>表</w:t>
      </w:r>
      <w:r w:rsidR="000F2689">
        <w:rPr>
          <w:rFonts w:hint="eastAsia"/>
        </w:rPr>
        <w:t xml:space="preserve"> </w:t>
      </w:r>
      <w:r w:rsidR="000F2689">
        <w:rPr>
          <w:noProof/>
        </w:rPr>
        <w:t>9</w:t>
      </w:r>
      <w:r>
        <w:fldChar w:fldCharType="end"/>
      </w:r>
      <w:r w:rsidRPr="00C35659">
        <w:rPr>
          <w:rFonts w:hint="eastAsia"/>
        </w:rPr>
        <w:t>所示</w:t>
      </w:r>
      <w:r>
        <w:rPr>
          <w:rFonts w:hint="eastAsia"/>
        </w:rPr>
        <w:t>，当前清洁能源基地绩效评价较好。“</w:t>
      </w:r>
      <w:r>
        <w:rPr>
          <w:rFonts w:hint="eastAsia"/>
          <w:color w:val="000000"/>
        </w:rPr>
        <w:t>环保水保</w:t>
      </w:r>
      <w:r>
        <w:rPr>
          <w:rFonts w:hint="eastAsia"/>
        </w:rPr>
        <w:t>”得分最高，可归因于清洁能源基地在规划设计阶段</w:t>
      </w:r>
      <w:r>
        <w:rPr>
          <w:rFonts w:ascii="Times" w:hAnsi="Times" w:hint="eastAsia"/>
          <w:color w:val="000000" w:themeColor="text1"/>
        </w:rPr>
        <w:t>优先避让生态红线，且重视避免其建设对周边生态环境的不良影响。此外，</w:t>
      </w:r>
      <w:r>
        <w:rPr>
          <w:rFonts w:hint="eastAsia"/>
        </w:rPr>
        <w:t>基地运营利用清洁能源发电，能够</w:t>
      </w:r>
      <w:r w:rsidRPr="004508AD">
        <w:rPr>
          <w:rFonts w:hint="eastAsia"/>
        </w:rPr>
        <w:t>减少传统化石能源使用</w:t>
      </w:r>
      <w:r>
        <w:rPr>
          <w:rFonts w:hint="eastAsia"/>
        </w:rPr>
        <w:t>，以</w:t>
      </w:r>
      <w:r w:rsidRPr="004508AD">
        <w:rPr>
          <w:rFonts w:hint="eastAsia"/>
        </w:rPr>
        <w:t>降低碳排放</w:t>
      </w:r>
      <w:r>
        <w:rPr>
          <w:rFonts w:hint="eastAsia"/>
        </w:rPr>
        <w:t>。“移民</w:t>
      </w:r>
      <w:r>
        <w:rPr>
          <w:rFonts w:hint="eastAsia"/>
          <w:color w:val="000000"/>
        </w:rPr>
        <w:t>”得分较低，表明</w:t>
      </w:r>
      <w:r>
        <w:t>清洁能源基地在</w:t>
      </w:r>
      <w:r>
        <w:rPr>
          <w:rFonts w:hint="eastAsia"/>
        </w:rPr>
        <w:t>征地</w:t>
      </w:r>
      <w:r>
        <w:t>移民工作方面仍面临一定挑战</w:t>
      </w:r>
      <w:r>
        <w:rPr>
          <w:rFonts w:hint="eastAsia"/>
        </w:rPr>
        <w:t>。“</w:t>
      </w:r>
      <w:r>
        <w:rPr>
          <w:rFonts w:hint="eastAsia"/>
          <w:color w:val="000000"/>
        </w:rPr>
        <w:t>成本</w:t>
      </w:r>
      <w:r>
        <w:rPr>
          <w:rFonts w:hint="eastAsia"/>
        </w:rPr>
        <w:t>”得分最低，</w:t>
      </w:r>
      <w:r w:rsidRPr="004508AD">
        <w:rPr>
          <w:rFonts w:hint="eastAsia"/>
        </w:rPr>
        <w:t>表明清洁能源基地</w:t>
      </w:r>
      <w:r>
        <w:rPr>
          <w:rFonts w:hint="eastAsia"/>
        </w:rPr>
        <w:t>在</w:t>
      </w:r>
      <w:r w:rsidRPr="004508AD">
        <w:rPr>
          <w:rFonts w:hint="eastAsia"/>
        </w:rPr>
        <w:t>成本</w:t>
      </w:r>
      <w:r>
        <w:rPr>
          <w:rFonts w:hint="eastAsia"/>
        </w:rPr>
        <w:t>控制方面</w:t>
      </w:r>
      <w:r w:rsidRPr="004508AD">
        <w:rPr>
          <w:rFonts w:hint="eastAsia"/>
        </w:rPr>
        <w:t>仍存在优化空间</w:t>
      </w:r>
      <w:r>
        <w:rPr>
          <w:rFonts w:hint="eastAsia"/>
        </w:rPr>
        <w:t>，归因于清洁能源基地多位于西南高寒地区，电站建设和电力输送成本较高。</w:t>
      </w:r>
    </w:p>
    <w:p w14:paraId="609B0DB5" w14:textId="3A2557C0" w:rsidR="00CC6409" w:rsidRDefault="00CC6409" w:rsidP="00CC6409">
      <w:pPr>
        <w:pStyle w:val="1"/>
      </w:pPr>
      <w:r>
        <w:rPr>
          <w:rFonts w:hint="eastAsia"/>
        </w:rPr>
        <w:t>模型验证与分析</w:t>
      </w:r>
    </w:p>
    <w:p w14:paraId="44E7ACE1" w14:textId="3C5E9131" w:rsidR="00CC6409" w:rsidRDefault="00CC6409" w:rsidP="00CC6409">
      <w:pPr>
        <w:pStyle w:val="2"/>
      </w:pPr>
      <w:r>
        <w:rPr>
          <w:rFonts w:hint="eastAsia"/>
        </w:rPr>
        <w:t>信度检验</w:t>
      </w:r>
    </w:p>
    <w:p w14:paraId="69576673" w14:textId="7C45E1F3" w:rsidR="00F96078" w:rsidRDefault="003346B5" w:rsidP="00100320">
      <w:pPr>
        <w:ind w:firstLine="420"/>
        <w:rPr>
          <w:rFonts w:cs="Times New Roman"/>
        </w:rPr>
      </w:pPr>
      <w:r w:rsidRPr="00874FF0">
        <w:rPr>
          <w:rFonts w:hint="eastAsia"/>
        </w:rPr>
        <w:t>信度用于</w:t>
      </w:r>
      <w:r>
        <w:t>评估潜变量所对应的测量指标是否具</w:t>
      </w:r>
      <w:r>
        <w:t>有内部一致性</w:t>
      </w:r>
      <w:r w:rsidRPr="00874FF0">
        <w:rPr>
          <w:rFonts w:hint="eastAsia"/>
        </w:rPr>
        <w:t>。</w:t>
      </w:r>
      <w:r>
        <w:rPr>
          <w:kern w:val="0"/>
        </w:rPr>
        <w:fldChar w:fldCharType="begin"/>
      </w:r>
      <w:r>
        <w:rPr>
          <w:kern w:val="0"/>
        </w:rPr>
        <w:instrText xml:space="preserve"> REF _Ref174310397 \h </w:instrText>
      </w:r>
      <w:r>
        <w:rPr>
          <w:kern w:val="0"/>
        </w:rPr>
      </w:r>
      <w:r>
        <w:rPr>
          <w:kern w:val="0"/>
        </w:rPr>
        <w:fldChar w:fldCharType="separate"/>
      </w:r>
      <w:r w:rsidR="000F2689">
        <w:rPr>
          <w:rFonts w:hint="eastAsia"/>
        </w:rPr>
        <w:t>图</w:t>
      </w:r>
      <w:r w:rsidR="000F2689">
        <w:rPr>
          <w:rFonts w:hint="eastAsia"/>
        </w:rPr>
        <w:t xml:space="preserve"> </w:t>
      </w:r>
      <w:r w:rsidR="000F2689">
        <w:rPr>
          <w:noProof/>
        </w:rPr>
        <w:t>1</w:t>
      </w:r>
      <w:r>
        <w:rPr>
          <w:kern w:val="0"/>
        </w:rPr>
        <w:fldChar w:fldCharType="end"/>
      </w:r>
      <w:r>
        <w:rPr>
          <w:rFonts w:hint="eastAsia"/>
        </w:rPr>
        <w:t>所示</w:t>
      </w:r>
      <w:r w:rsidRPr="00874FF0">
        <w:rPr>
          <w:rFonts w:hint="eastAsia"/>
        </w:rPr>
        <w:t>模型中</w:t>
      </w:r>
      <w:r>
        <w:rPr>
          <w:rFonts w:hint="eastAsia"/>
        </w:rPr>
        <w:t>，所有</w:t>
      </w:r>
      <w:r w:rsidRPr="00874FF0">
        <w:rPr>
          <w:rFonts w:hint="eastAsia"/>
        </w:rPr>
        <w:t>潜变量为反映型潜变量，因此本研究</w:t>
      </w:r>
      <w:r>
        <w:rPr>
          <w:rFonts w:hint="eastAsia"/>
        </w:rPr>
        <w:t>选取</w:t>
      </w:r>
      <w:r w:rsidRPr="00874FF0">
        <w:rPr>
          <w:rFonts w:hint="eastAsia"/>
        </w:rPr>
        <w:t>克隆巴赫系数（</w:t>
      </w:r>
      <w:r w:rsidRPr="00874FF0">
        <w:rPr>
          <w:rFonts w:hint="eastAsia"/>
        </w:rPr>
        <w:t>Cronbach</w:t>
      </w:r>
      <w:r>
        <w:t>’</w:t>
      </w:r>
      <w:r w:rsidRPr="00874FF0">
        <w:rPr>
          <w:rFonts w:hint="eastAsia"/>
        </w:rPr>
        <w:t>s</w:t>
      </w:r>
      <w:r>
        <w:rPr>
          <w:rFonts w:hint="eastAsia"/>
        </w:rPr>
        <w:t xml:space="preserve"> </w:t>
      </w:r>
      <m:oMath>
        <m:r>
          <w:rPr>
            <w:rFonts w:ascii="Cambria Math" w:hAnsi="Cambria Math"/>
          </w:rPr>
          <m:t>α</m:t>
        </m:r>
      </m:oMath>
      <w:r w:rsidRPr="00874FF0">
        <w:rPr>
          <w:rFonts w:hint="eastAsia"/>
        </w:rPr>
        <w:t>）、组合信度（</w:t>
      </w:r>
      <w:r w:rsidRPr="00874FF0">
        <w:rPr>
          <w:rFonts w:hint="eastAsia"/>
        </w:rPr>
        <w:t>Composite Reliability, CR</w:t>
      </w:r>
      <w:r w:rsidRPr="00874FF0">
        <w:rPr>
          <w:rFonts w:hint="eastAsia"/>
        </w:rPr>
        <w:t>）</w:t>
      </w:r>
      <w:r>
        <w:rPr>
          <w:rFonts w:hint="eastAsia"/>
        </w:rPr>
        <w:t>以及</w:t>
      </w:r>
      <w:r w:rsidRPr="00874FF0">
        <w:rPr>
          <w:rFonts w:hint="eastAsia"/>
        </w:rPr>
        <w:t>指标权重（</w:t>
      </w:r>
      <w:r w:rsidRPr="00874FF0">
        <w:rPr>
          <w:rFonts w:hint="eastAsia"/>
        </w:rPr>
        <w:t>Indicator loadings</w:t>
      </w:r>
      <w:r w:rsidRPr="00874FF0">
        <w:rPr>
          <w:rFonts w:hint="eastAsia"/>
        </w:rPr>
        <w:t>）</w:t>
      </w:r>
      <w:r>
        <w:t>对信度进行检验</w:t>
      </w:r>
      <w:r>
        <w:fldChar w:fldCharType="begin"/>
      </w:r>
      <w:r w:rsidR="00E17813">
        <w:instrText xml:space="preserve"> ADDIN ZOTERO_ITEM CSL_CITATION {"citationID":"akerhufecb","properties":{"formattedCitation":"\\super [108]\\nosupersub{}","plainCitation":"[108]","noteIndex":0},"citationItems":[{"id":2742,"uris":["http://zotero.org/users/13172592/items/PRMX6FT7"],"itemData":{"id":2742,"type":"article-journal","abstract":"Most methodological fields undertake regular critical reflections to ensure rigorous research and publication practices, and, consequently, acceptance in their domain. Interestingly, relatively little attention has been paid to assessing the use of partial least squares structural equation modeling (PLS-SEM) in marketing research—despite its increasing popularity in recent years. To fill this gap, we conducted an extensive search in the 30 top ranked marketing journals that allowed us to identify 204 PLS-SEM applications published in a 30-year period (1981 to 2010). A critical analysis of these articles addresses, amongst others, the following key methodological issues: reasons for using PLS-SEM, data and model characteristics, outer and inner model evaluations, and reporting. We also give an overview of the interdependencies between researchers’ choices, identify potential problem areas, and discuss their implications. On the basis of our findings, we provide comprehensive guidelines to aid researchers in avoiding common pitfalls in PLS-SEM use. This study is important for researchers and practitioners, as PLS-SEM requires several critical choices that, if not made correctly, can lead to improper findings, interpretations, and conclusions.","call-number":"1","container-title":"Journal of the Academy of Marketing Science","DOI":"10.1007/s11747-011-0261-6","ISSN":"1552-7824","issue":"3","journalAbbreviation":"J. of the Acad. Mark. Sci.","language":"en","license":"2011 Academy of Marketing Science","note":"Company: Springer\nDistributor: Springer\nInstitution: Springer\nLabel: Springer\nnumber: 3\npublisher: Springer US","page":"414-433","source":"9.5","title":"An assessment of the use of partial least squares structural equation modeling in marketing research","volume":"40","author":[{"family":"Hair","given":"Joe F."},{"family":"Sarstedt","given":"Marko"},{"family":"Ringle","given":"Christian M."},{"family":"Mena","given":"Jeannette A."}],"issued":{"date-parts":[["2012",5,1]]}}}],"schema":"https://github.com/citation-style-language/schema/raw/master/csl-citation.json"} </w:instrText>
      </w:r>
      <w:r>
        <w:fldChar w:fldCharType="separate"/>
      </w:r>
      <w:r w:rsidR="00E17813" w:rsidRPr="00E17813">
        <w:rPr>
          <w:rFonts w:cs="Times New Roman"/>
          <w:kern w:val="0"/>
          <w:vertAlign w:val="superscript"/>
        </w:rPr>
        <w:t>[108]</w:t>
      </w:r>
      <w:r>
        <w:fldChar w:fldCharType="end"/>
      </w:r>
      <w:r w:rsidRPr="00874FF0">
        <w:rPr>
          <w:rFonts w:hint="eastAsia"/>
        </w:rPr>
        <w:t>。</w:t>
      </w:r>
      <w:r>
        <w:rPr>
          <w:rFonts w:hint="eastAsia"/>
        </w:rPr>
        <w:t>本研究应</w:t>
      </w:r>
      <w:r w:rsidRPr="00874FF0">
        <w:rPr>
          <w:rFonts w:hint="eastAsia"/>
        </w:rPr>
        <w:t>用</w:t>
      </w:r>
      <w:proofErr w:type="spellStart"/>
      <w:r w:rsidRPr="00874FF0">
        <w:rPr>
          <w:rFonts w:hint="eastAsia"/>
        </w:rPr>
        <w:t>SmartPLS</w:t>
      </w:r>
      <w:proofErr w:type="spellEnd"/>
      <w:r w:rsidRPr="00874FF0">
        <w:rPr>
          <w:rFonts w:hint="eastAsia"/>
        </w:rPr>
        <w:t xml:space="preserve"> </w:t>
      </w:r>
      <w:r>
        <w:rPr>
          <w:rFonts w:hint="eastAsia"/>
        </w:rPr>
        <w:t>4</w:t>
      </w:r>
      <w:r w:rsidRPr="00874FF0">
        <w:rPr>
          <w:rFonts w:hint="eastAsia"/>
        </w:rPr>
        <w:t>计算上述指标，结果如</w:t>
      </w:r>
      <w:r>
        <w:fldChar w:fldCharType="begin"/>
      </w:r>
      <w:r>
        <w:instrText xml:space="preserve"> </w:instrText>
      </w:r>
      <w:r>
        <w:rPr>
          <w:rFonts w:hint="eastAsia"/>
        </w:rPr>
        <w:instrText>REF _Ref174350363 \h</w:instrText>
      </w:r>
      <w:r>
        <w:instrText xml:space="preserve"> </w:instrText>
      </w:r>
      <w:r>
        <w:fldChar w:fldCharType="separate"/>
      </w:r>
      <w:r w:rsidR="000F2689">
        <w:rPr>
          <w:rFonts w:hint="eastAsia"/>
        </w:rPr>
        <w:t>表</w:t>
      </w:r>
      <w:r w:rsidR="000F2689">
        <w:rPr>
          <w:rFonts w:hint="eastAsia"/>
        </w:rPr>
        <w:t xml:space="preserve"> </w:t>
      </w:r>
      <w:r w:rsidR="000F2689">
        <w:rPr>
          <w:noProof/>
        </w:rPr>
        <w:t>10</w:t>
      </w:r>
      <w:r>
        <w:fldChar w:fldCharType="end"/>
      </w:r>
      <w:r w:rsidRPr="00874FF0">
        <w:rPr>
          <w:rFonts w:hint="eastAsia"/>
        </w:rPr>
        <w:t>所示。</w:t>
      </w:r>
      <w:r w:rsidRPr="00874FF0">
        <w:rPr>
          <w:rFonts w:hint="eastAsia"/>
        </w:rPr>
        <w:t>Cronbach</w:t>
      </w:r>
      <w:r>
        <w:t>’</w:t>
      </w:r>
      <w:r w:rsidRPr="00874FF0">
        <w:rPr>
          <w:rFonts w:hint="eastAsia"/>
        </w:rPr>
        <w:t>s</w:t>
      </w:r>
      <w:r>
        <w:rPr>
          <w:rFonts w:hint="eastAsia"/>
        </w:rPr>
        <w:t xml:space="preserve"> </w:t>
      </w:r>
      <m:oMath>
        <m:r>
          <w:rPr>
            <w:rFonts w:ascii="Cambria Math" w:hAnsi="Cambria Math"/>
          </w:rPr>
          <m:t>α</m:t>
        </m:r>
      </m:oMath>
      <w:r w:rsidRPr="00874FF0">
        <w:rPr>
          <w:rFonts w:hint="eastAsia"/>
        </w:rPr>
        <w:t>和</w:t>
      </w:r>
      <w:r w:rsidRPr="00874FF0">
        <w:rPr>
          <w:rFonts w:hint="eastAsia"/>
        </w:rPr>
        <w:t>CR</w:t>
      </w:r>
      <w:r w:rsidRPr="00874FF0">
        <w:rPr>
          <w:rFonts w:hint="eastAsia"/>
        </w:rPr>
        <w:t>均大于</w:t>
      </w:r>
      <w:r w:rsidRPr="00874FF0">
        <w:rPr>
          <w:rFonts w:hint="eastAsia"/>
        </w:rPr>
        <w:t>0.</w:t>
      </w:r>
      <w:r>
        <w:rPr>
          <w:rFonts w:hint="eastAsia"/>
        </w:rPr>
        <w:t>9</w:t>
      </w:r>
      <w:r w:rsidRPr="00874FF0">
        <w:rPr>
          <w:rFonts w:hint="eastAsia"/>
        </w:rPr>
        <w:t>，</w:t>
      </w:r>
      <w:r>
        <w:t>表明各潜变量具有较高的内部一致性</w:t>
      </w:r>
      <w:r w:rsidRPr="00874FF0">
        <w:rPr>
          <w:rFonts w:hint="eastAsia"/>
        </w:rPr>
        <w:t>；指标权重均大于</w:t>
      </w:r>
      <w:r w:rsidRPr="00874FF0">
        <w:rPr>
          <w:rFonts w:hint="eastAsia"/>
        </w:rPr>
        <w:t>0.7</w:t>
      </w:r>
      <w:r w:rsidRPr="00874FF0">
        <w:rPr>
          <w:rFonts w:hint="eastAsia"/>
        </w:rPr>
        <w:t>，</w:t>
      </w:r>
      <w:r>
        <w:t>说明各潜变量能解释其测量指标至少</w:t>
      </w:r>
      <w:r>
        <w:t>50%</w:t>
      </w:r>
      <w:r>
        <w:t>的方差，</w:t>
      </w:r>
      <w:r>
        <w:rPr>
          <w:rFonts w:hint="eastAsia"/>
        </w:rPr>
        <w:t>总体</w:t>
      </w:r>
      <w:r>
        <w:t>满足信度要求</w:t>
      </w:r>
      <w:r w:rsidR="00116F7D" w:rsidRPr="00116F7D">
        <w:rPr>
          <w:rFonts w:cs="Times New Roman" w:hint="eastAsia"/>
        </w:rPr>
        <w:t>。</w:t>
      </w:r>
    </w:p>
    <w:p w14:paraId="0DF357AF" w14:textId="77777777" w:rsidR="003E17F3" w:rsidRDefault="003E17F3" w:rsidP="003E17F3">
      <w:pPr>
        <w:pStyle w:val="2"/>
      </w:pPr>
      <w:r>
        <w:rPr>
          <w:rFonts w:hint="eastAsia"/>
        </w:rPr>
        <w:t>效度检验</w:t>
      </w:r>
    </w:p>
    <w:p w14:paraId="7C04F912" w14:textId="0833BFD6" w:rsidR="003E17F3" w:rsidRDefault="003346B5" w:rsidP="003346B5">
      <w:pPr>
        <w:ind w:firstLine="420"/>
      </w:pPr>
      <w:r w:rsidRPr="009A1E2B">
        <w:rPr>
          <w:rFonts w:hint="eastAsia"/>
        </w:rPr>
        <w:t>效度用于</w:t>
      </w:r>
      <w:r>
        <w:rPr>
          <w:rFonts w:hint="eastAsia"/>
        </w:rPr>
        <w:t>评估</w:t>
      </w:r>
      <w:r w:rsidRPr="009A1E2B">
        <w:rPr>
          <w:rFonts w:hint="eastAsia"/>
        </w:rPr>
        <w:t>量表</w:t>
      </w:r>
      <w:r>
        <w:rPr>
          <w:rFonts w:hint="eastAsia"/>
        </w:rPr>
        <w:t>能</w:t>
      </w:r>
      <w:r w:rsidRPr="009A1E2B">
        <w:rPr>
          <w:rFonts w:hint="eastAsia"/>
        </w:rPr>
        <w:t>否准确反映潜变量</w:t>
      </w:r>
      <w:r>
        <w:rPr>
          <w:rFonts w:hint="eastAsia"/>
        </w:rPr>
        <w:t>，可</w:t>
      </w:r>
      <w:r w:rsidRPr="009A1E2B">
        <w:rPr>
          <w:rFonts w:hint="eastAsia"/>
        </w:rPr>
        <w:t>通过计算平均方差提取量（</w:t>
      </w:r>
      <w:r w:rsidRPr="009A1E2B">
        <w:rPr>
          <w:rFonts w:hint="eastAsia"/>
        </w:rPr>
        <w:t>Average Variance Extracted</w:t>
      </w:r>
      <w:r w:rsidRPr="009A1E2B">
        <w:rPr>
          <w:rFonts w:hint="eastAsia"/>
        </w:rPr>
        <w:t>，</w:t>
      </w:r>
      <w:r w:rsidRPr="009A1E2B">
        <w:rPr>
          <w:rFonts w:hint="eastAsia"/>
        </w:rPr>
        <w:t>AVE</w:t>
      </w:r>
      <w:r w:rsidRPr="009A1E2B">
        <w:rPr>
          <w:rFonts w:hint="eastAsia"/>
        </w:rPr>
        <w:t>）分别</w:t>
      </w:r>
      <w:r>
        <w:rPr>
          <w:rFonts w:hint="eastAsia"/>
        </w:rPr>
        <w:t>检验</w:t>
      </w:r>
      <w:r w:rsidRPr="009A1E2B">
        <w:rPr>
          <w:rFonts w:hint="eastAsia"/>
        </w:rPr>
        <w:t>收敛效度</w:t>
      </w:r>
      <w:r>
        <w:rPr>
          <w:rFonts w:hint="eastAsia"/>
        </w:rPr>
        <w:t>与</w:t>
      </w:r>
      <w:r w:rsidRPr="009A1E2B">
        <w:rPr>
          <w:rFonts w:hint="eastAsia"/>
        </w:rPr>
        <w:t>区分效度。</w:t>
      </w:r>
      <w:r>
        <w:rPr>
          <w:rFonts w:hint="eastAsia"/>
        </w:rPr>
        <w:t>本研究</w:t>
      </w:r>
      <w:r w:rsidRPr="009A1E2B">
        <w:rPr>
          <w:rFonts w:hint="eastAsia"/>
        </w:rPr>
        <w:t>运用</w:t>
      </w:r>
      <w:proofErr w:type="spellStart"/>
      <w:r w:rsidRPr="009A1E2B">
        <w:rPr>
          <w:rFonts w:hint="eastAsia"/>
        </w:rPr>
        <w:t>SmartPLS</w:t>
      </w:r>
      <w:proofErr w:type="spellEnd"/>
      <w:r>
        <w:rPr>
          <w:rFonts w:hint="eastAsia"/>
        </w:rPr>
        <w:t xml:space="preserve"> 4</w:t>
      </w:r>
      <w:r w:rsidRPr="009A1E2B">
        <w:rPr>
          <w:rFonts w:hint="eastAsia"/>
        </w:rPr>
        <w:t>计算</w:t>
      </w:r>
      <w:r w:rsidRPr="009A1E2B">
        <w:rPr>
          <w:rFonts w:hint="eastAsia"/>
        </w:rPr>
        <w:t>AVE</w:t>
      </w:r>
      <w:r>
        <w:rPr>
          <w:rFonts w:hint="eastAsia"/>
        </w:rPr>
        <w:t>及</w:t>
      </w:r>
      <w:r w:rsidRPr="009A1E2B">
        <w:rPr>
          <w:rFonts w:hint="eastAsia"/>
        </w:rPr>
        <w:t>各潜变量</w:t>
      </w:r>
      <w:r>
        <w:rPr>
          <w:rFonts w:hint="eastAsia"/>
        </w:rPr>
        <w:t>间</w:t>
      </w:r>
      <w:r w:rsidRPr="009A1E2B">
        <w:rPr>
          <w:rFonts w:hint="eastAsia"/>
        </w:rPr>
        <w:t>相关系数，结果如</w:t>
      </w:r>
      <w:r>
        <w:fldChar w:fldCharType="begin"/>
      </w:r>
      <w:r>
        <w:instrText xml:space="preserve"> </w:instrText>
      </w:r>
      <w:r>
        <w:rPr>
          <w:rFonts w:hint="eastAsia"/>
        </w:rPr>
        <w:instrText>REF _Ref174355896 \h</w:instrText>
      </w:r>
      <w:r>
        <w:instrText xml:space="preserve"> </w:instrText>
      </w:r>
      <w:r>
        <w:fldChar w:fldCharType="separate"/>
      </w:r>
      <w:r w:rsidR="000F2689">
        <w:rPr>
          <w:rFonts w:hint="eastAsia"/>
        </w:rPr>
        <w:t>表</w:t>
      </w:r>
      <w:r w:rsidR="000F2689">
        <w:rPr>
          <w:rFonts w:hint="eastAsia"/>
        </w:rPr>
        <w:t xml:space="preserve"> </w:t>
      </w:r>
      <w:r w:rsidR="000F2689">
        <w:rPr>
          <w:noProof/>
        </w:rPr>
        <w:t>11</w:t>
      </w:r>
      <w:r>
        <w:fldChar w:fldCharType="end"/>
      </w:r>
      <w:r w:rsidRPr="009A1E2B">
        <w:rPr>
          <w:rFonts w:hint="eastAsia"/>
        </w:rPr>
        <w:t>所示。</w:t>
      </w:r>
      <w:r>
        <w:t>所有潜变量的</w:t>
      </w:r>
      <w:r>
        <w:t>AVE</w:t>
      </w:r>
      <w:r>
        <w:t>值均超过</w:t>
      </w:r>
      <w:r>
        <w:t>0.5</w:t>
      </w:r>
      <w:r>
        <w:t>，表明测量模型具备良好的</w:t>
      </w:r>
      <w:r w:rsidRPr="00EB718D">
        <w:rPr>
          <w:rStyle w:val="a3"/>
          <w:b w:val="0"/>
          <w:bCs w:val="0"/>
        </w:rPr>
        <w:t>收敛效度</w:t>
      </w:r>
      <w:r>
        <w:rPr>
          <w:rFonts w:hint="eastAsia"/>
        </w:rPr>
        <w:t>。此外，</w:t>
      </w:r>
      <w:r w:rsidRPr="009A1E2B">
        <w:rPr>
          <w:rFonts w:hint="eastAsia"/>
        </w:rPr>
        <w:t>基于</w:t>
      </w:r>
      <w:r w:rsidRPr="009A1E2B">
        <w:rPr>
          <w:rFonts w:hint="eastAsia"/>
        </w:rPr>
        <w:t>Fornell-Larcker</w:t>
      </w:r>
      <w:r w:rsidRPr="009A1E2B">
        <w:rPr>
          <w:rFonts w:hint="eastAsia"/>
        </w:rPr>
        <w:t>准则，</w:t>
      </w:r>
      <w:r w:rsidRPr="009A1E2B">
        <w:rPr>
          <w:rFonts w:hint="eastAsia"/>
        </w:rPr>
        <w:t>AVE</w:t>
      </w:r>
      <w:r w:rsidRPr="009A1E2B">
        <w:rPr>
          <w:rFonts w:hint="eastAsia"/>
        </w:rPr>
        <w:t>平方根</w:t>
      </w:r>
      <w:r>
        <w:t>均大于各潜变量间的相关系数</w:t>
      </w:r>
      <w:r w:rsidRPr="009A1E2B">
        <w:rPr>
          <w:rFonts w:hint="eastAsia"/>
        </w:rPr>
        <w:t>，</w:t>
      </w:r>
      <w:r>
        <w:rPr>
          <w:rFonts w:hint="eastAsia"/>
        </w:rPr>
        <w:t>说明</w:t>
      </w:r>
      <w:r w:rsidRPr="009A1E2B">
        <w:rPr>
          <w:rFonts w:hint="eastAsia"/>
        </w:rPr>
        <w:t>测量模型</w:t>
      </w:r>
      <w:r>
        <w:rPr>
          <w:rFonts w:hint="eastAsia"/>
        </w:rPr>
        <w:t>也</w:t>
      </w:r>
      <w:r>
        <w:t>具备良好的</w:t>
      </w:r>
      <w:r w:rsidRPr="009A1E2B">
        <w:rPr>
          <w:rFonts w:hint="eastAsia"/>
        </w:rPr>
        <w:t>区别效度。</w:t>
      </w:r>
    </w:p>
    <w:p w14:paraId="42665B02" w14:textId="61109A2B" w:rsidR="003E17F3" w:rsidRPr="00EF6774" w:rsidRDefault="003E17F3" w:rsidP="003E17F3">
      <w:pPr>
        <w:ind w:firstLine="420"/>
        <w:sectPr w:rsidR="003E17F3" w:rsidRPr="00EF6774" w:rsidSect="003E17F3">
          <w:type w:val="continuous"/>
          <w:pgSz w:w="11906" w:h="16838"/>
          <w:pgMar w:top="1440" w:right="1106" w:bottom="1440" w:left="1106" w:header="851" w:footer="992" w:gutter="0"/>
          <w:cols w:num="2" w:space="425"/>
          <w:titlePg/>
          <w:docGrid w:type="linesAndChars" w:linePitch="312"/>
        </w:sectPr>
      </w:pPr>
    </w:p>
    <w:p w14:paraId="164407C1" w14:textId="0FFCDD1A" w:rsidR="003346B5" w:rsidRDefault="00414C95" w:rsidP="003346B5">
      <w:pPr>
        <w:pStyle w:val="afa"/>
        <w:keepNext/>
        <w:spacing w:beforeLines="50" w:before="156"/>
      </w:pPr>
      <w:bookmarkStart w:id="27" w:name="_Ref174350363"/>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0F2689">
        <w:rPr>
          <w:noProof/>
        </w:rPr>
        <w:t>10</w:t>
      </w:r>
      <w:r>
        <w:fldChar w:fldCharType="end"/>
      </w:r>
      <w:bookmarkEnd w:id="27"/>
      <w:r>
        <w:rPr>
          <w:rFonts w:hint="eastAsia"/>
        </w:rPr>
        <w:t xml:space="preserve"> </w:t>
      </w:r>
      <w:r w:rsidRPr="00414C95">
        <w:rPr>
          <w:rFonts w:hint="eastAsia"/>
        </w:rPr>
        <w:t>测量模型信度检验结果</w:t>
      </w:r>
    </w:p>
    <w:tbl>
      <w:tblPr>
        <w:tblStyle w:val="aff4"/>
        <w:tblW w:w="5000" w:type="pct"/>
        <w:tblLook w:val="04A0" w:firstRow="1" w:lastRow="0" w:firstColumn="1" w:lastColumn="0" w:noHBand="0" w:noVBand="1"/>
      </w:tblPr>
      <w:tblGrid>
        <w:gridCol w:w="4135"/>
        <w:gridCol w:w="1472"/>
        <w:gridCol w:w="1921"/>
        <w:gridCol w:w="2166"/>
      </w:tblGrid>
      <w:tr w:rsidR="003346B5" w:rsidRPr="003346B5" w14:paraId="1AC10627" w14:textId="77777777" w:rsidTr="003346B5">
        <w:trPr>
          <w:cnfStyle w:val="100000000000" w:firstRow="1" w:lastRow="0" w:firstColumn="0" w:lastColumn="0" w:oddVBand="0" w:evenVBand="0" w:oddHBand="0" w:evenHBand="0" w:firstRowFirstColumn="0" w:firstRowLastColumn="0" w:lastRowFirstColumn="0" w:lastRowLastColumn="0"/>
        </w:trPr>
        <w:tc>
          <w:tcPr>
            <w:tcW w:w="2133" w:type="pct"/>
          </w:tcPr>
          <w:p w14:paraId="0D89E8E8" w14:textId="77777777" w:rsidR="003346B5" w:rsidRPr="003346B5" w:rsidRDefault="003346B5" w:rsidP="003346B5">
            <w:pPr>
              <w:pStyle w:val="aff2"/>
              <w:spacing w:before="0" w:after="0"/>
              <w:rPr>
                <w:b/>
                <w:bCs/>
                <w:sz w:val="21"/>
                <w:szCs w:val="21"/>
              </w:rPr>
            </w:pPr>
            <w:r w:rsidRPr="003346B5">
              <w:rPr>
                <w:rFonts w:hint="eastAsia"/>
                <w:b/>
                <w:bCs/>
                <w:sz w:val="21"/>
                <w:szCs w:val="21"/>
              </w:rPr>
              <w:t>潜变量</w:t>
            </w:r>
            <w:r w:rsidRPr="003346B5">
              <w:rPr>
                <w:rFonts w:hint="eastAsia"/>
                <w:b/>
                <w:bCs/>
                <w:sz w:val="21"/>
                <w:szCs w:val="21"/>
              </w:rPr>
              <w:t>/</w:t>
            </w:r>
            <w:r w:rsidRPr="003346B5">
              <w:rPr>
                <w:rFonts w:hint="eastAsia"/>
                <w:b/>
                <w:bCs/>
                <w:sz w:val="21"/>
                <w:szCs w:val="21"/>
              </w:rPr>
              <w:t>指标</w:t>
            </w:r>
          </w:p>
        </w:tc>
        <w:tc>
          <w:tcPr>
            <w:tcW w:w="759" w:type="pct"/>
          </w:tcPr>
          <w:p w14:paraId="7EB8D5EF" w14:textId="77777777" w:rsidR="003346B5" w:rsidRPr="003346B5" w:rsidRDefault="003346B5" w:rsidP="003346B5">
            <w:pPr>
              <w:pStyle w:val="aff2"/>
              <w:spacing w:before="0" w:after="0"/>
              <w:rPr>
                <w:b/>
                <w:bCs/>
                <w:sz w:val="21"/>
                <w:szCs w:val="21"/>
              </w:rPr>
            </w:pPr>
            <w:r w:rsidRPr="003346B5">
              <w:rPr>
                <w:rFonts w:hint="eastAsia"/>
                <w:b/>
                <w:bCs/>
                <w:sz w:val="21"/>
                <w:szCs w:val="21"/>
              </w:rPr>
              <w:t>指标权重</w:t>
            </w:r>
          </w:p>
        </w:tc>
        <w:tc>
          <w:tcPr>
            <w:tcW w:w="991" w:type="pct"/>
          </w:tcPr>
          <w:p w14:paraId="13F420DF" w14:textId="77777777" w:rsidR="003346B5" w:rsidRPr="003346B5" w:rsidRDefault="003346B5" w:rsidP="003346B5">
            <w:pPr>
              <w:pStyle w:val="aff2"/>
              <w:spacing w:before="0" w:after="0"/>
              <w:rPr>
                <w:b/>
                <w:bCs/>
                <w:sz w:val="21"/>
                <w:szCs w:val="21"/>
              </w:rPr>
            </w:pPr>
            <w:r w:rsidRPr="003346B5">
              <w:rPr>
                <w:rFonts w:hint="eastAsia"/>
                <w:b/>
                <w:bCs/>
                <w:sz w:val="21"/>
                <w:szCs w:val="21"/>
              </w:rPr>
              <w:t>C</w:t>
            </w:r>
            <w:r w:rsidRPr="003346B5">
              <w:rPr>
                <w:b/>
                <w:bCs/>
                <w:sz w:val="21"/>
                <w:szCs w:val="21"/>
              </w:rPr>
              <w:t>R</w:t>
            </w:r>
          </w:p>
        </w:tc>
        <w:tc>
          <w:tcPr>
            <w:tcW w:w="1117" w:type="pct"/>
          </w:tcPr>
          <w:p w14:paraId="179DC5FC" w14:textId="77777777" w:rsidR="003346B5" w:rsidRPr="003346B5" w:rsidRDefault="003346B5" w:rsidP="003346B5">
            <w:pPr>
              <w:pStyle w:val="aff2"/>
              <w:spacing w:before="0" w:after="0"/>
              <w:rPr>
                <w:b/>
                <w:bCs/>
                <w:sz w:val="21"/>
                <w:szCs w:val="21"/>
              </w:rPr>
            </w:pPr>
            <w:bookmarkStart w:id="28" w:name="OLE_LINK3"/>
            <w:bookmarkStart w:id="29" w:name="OLE_LINK9"/>
            <w:r w:rsidRPr="003346B5">
              <w:rPr>
                <w:b/>
                <w:bCs/>
                <w:sz w:val="21"/>
                <w:szCs w:val="21"/>
              </w:rPr>
              <w:t xml:space="preserve">Cronbach’s </w:t>
            </w:r>
            <w:r w:rsidRPr="003346B5">
              <w:rPr>
                <w:rFonts w:cs="Times New Roman"/>
                <w:b/>
                <w:bCs/>
                <w:i/>
                <w:sz w:val="21"/>
                <w:szCs w:val="21"/>
              </w:rPr>
              <w:t>α</w:t>
            </w:r>
            <w:bookmarkEnd w:id="28"/>
            <w:bookmarkEnd w:id="29"/>
          </w:p>
        </w:tc>
      </w:tr>
      <w:tr w:rsidR="003346B5" w:rsidRPr="003346B5" w14:paraId="4C0C41E6" w14:textId="77777777" w:rsidTr="003346B5">
        <w:tc>
          <w:tcPr>
            <w:tcW w:w="2133" w:type="pct"/>
          </w:tcPr>
          <w:p w14:paraId="7A15C315" w14:textId="77777777" w:rsidR="003346B5" w:rsidRPr="003346B5" w:rsidRDefault="003346B5" w:rsidP="003346B5">
            <w:pPr>
              <w:pStyle w:val="aff2"/>
              <w:spacing w:before="0" w:after="0"/>
              <w:jc w:val="left"/>
              <w:rPr>
                <w:b/>
                <w:bCs/>
                <w:sz w:val="21"/>
                <w:szCs w:val="21"/>
              </w:rPr>
            </w:pPr>
            <w:r w:rsidRPr="003346B5">
              <w:rPr>
                <w:rFonts w:hint="eastAsia"/>
                <w:b/>
                <w:bCs/>
                <w:sz w:val="21"/>
                <w:szCs w:val="21"/>
              </w:rPr>
              <w:t>1</w:t>
            </w:r>
            <w:r w:rsidRPr="003346B5">
              <w:rPr>
                <w:b/>
                <w:bCs/>
                <w:sz w:val="21"/>
                <w:szCs w:val="21"/>
              </w:rPr>
              <w:t>.</w:t>
            </w:r>
            <w:r w:rsidRPr="003346B5">
              <w:rPr>
                <w:rFonts w:hint="eastAsia"/>
                <w:b/>
                <w:bCs/>
                <w:sz w:val="21"/>
                <w:szCs w:val="21"/>
              </w:rPr>
              <w:t xml:space="preserve"> </w:t>
            </w:r>
            <w:r w:rsidRPr="003346B5">
              <w:rPr>
                <w:rFonts w:hint="eastAsia"/>
                <w:b/>
                <w:bCs/>
                <w:sz w:val="21"/>
                <w:szCs w:val="21"/>
              </w:rPr>
              <w:t>外部条件</w:t>
            </w:r>
          </w:p>
        </w:tc>
        <w:tc>
          <w:tcPr>
            <w:tcW w:w="759" w:type="pct"/>
          </w:tcPr>
          <w:p w14:paraId="2FE9F052" w14:textId="77777777" w:rsidR="003346B5" w:rsidRPr="003346B5" w:rsidRDefault="003346B5" w:rsidP="003346B5">
            <w:pPr>
              <w:pStyle w:val="aff2"/>
              <w:spacing w:before="0" w:after="0"/>
              <w:rPr>
                <w:rFonts w:cs="Times New Roman"/>
                <w:sz w:val="21"/>
                <w:szCs w:val="21"/>
              </w:rPr>
            </w:pPr>
          </w:p>
        </w:tc>
        <w:tc>
          <w:tcPr>
            <w:tcW w:w="991" w:type="pct"/>
          </w:tcPr>
          <w:p w14:paraId="3CB53EA6" w14:textId="77777777" w:rsidR="003346B5" w:rsidRPr="003346B5" w:rsidRDefault="003346B5" w:rsidP="003346B5">
            <w:pPr>
              <w:pStyle w:val="aff2"/>
              <w:spacing w:before="0" w:after="0"/>
              <w:rPr>
                <w:rFonts w:cs="Times New Roman"/>
                <w:b/>
                <w:bCs/>
                <w:sz w:val="21"/>
                <w:szCs w:val="21"/>
              </w:rPr>
            </w:pPr>
            <w:r w:rsidRPr="003346B5">
              <w:rPr>
                <w:rFonts w:cs="Times New Roman"/>
                <w:b/>
                <w:bCs/>
                <w:sz w:val="21"/>
                <w:szCs w:val="21"/>
              </w:rPr>
              <w:t>0.938</w:t>
            </w:r>
          </w:p>
        </w:tc>
        <w:tc>
          <w:tcPr>
            <w:tcW w:w="1117" w:type="pct"/>
          </w:tcPr>
          <w:p w14:paraId="10313D60" w14:textId="77777777" w:rsidR="003346B5" w:rsidRPr="003346B5" w:rsidRDefault="003346B5" w:rsidP="003346B5">
            <w:pPr>
              <w:pStyle w:val="aff2"/>
              <w:spacing w:before="0" w:after="0"/>
              <w:rPr>
                <w:rFonts w:cs="Times New Roman"/>
                <w:b/>
                <w:bCs/>
                <w:sz w:val="21"/>
                <w:szCs w:val="21"/>
              </w:rPr>
            </w:pPr>
            <w:r w:rsidRPr="003346B5">
              <w:rPr>
                <w:rFonts w:cs="Times New Roman"/>
                <w:b/>
                <w:bCs/>
                <w:sz w:val="21"/>
                <w:szCs w:val="21"/>
              </w:rPr>
              <w:t>0.912</w:t>
            </w:r>
          </w:p>
        </w:tc>
      </w:tr>
      <w:tr w:rsidR="003346B5" w:rsidRPr="003346B5" w14:paraId="49F99625" w14:textId="77777777" w:rsidTr="003346B5">
        <w:tc>
          <w:tcPr>
            <w:tcW w:w="2133" w:type="pct"/>
          </w:tcPr>
          <w:p w14:paraId="0D48ECF9" w14:textId="77777777" w:rsidR="003346B5" w:rsidRPr="003346B5" w:rsidRDefault="003346B5" w:rsidP="003346B5">
            <w:pPr>
              <w:pStyle w:val="aff2"/>
              <w:spacing w:before="0" w:after="0"/>
              <w:jc w:val="left"/>
              <w:rPr>
                <w:rFonts w:cs="Arial"/>
                <w:sz w:val="21"/>
                <w:szCs w:val="21"/>
              </w:rPr>
            </w:pPr>
            <w:r w:rsidRPr="003346B5">
              <w:rPr>
                <w:rFonts w:cs="Arial" w:hint="eastAsia"/>
                <w:sz w:val="21"/>
                <w:szCs w:val="21"/>
              </w:rPr>
              <w:t>自然环境</w:t>
            </w:r>
          </w:p>
        </w:tc>
        <w:tc>
          <w:tcPr>
            <w:tcW w:w="759" w:type="pct"/>
          </w:tcPr>
          <w:p w14:paraId="41B7CCD2" w14:textId="77777777" w:rsidR="003346B5" w:rsidRPr="003346B5" w:rsidRDefault="003346B5" w:rsidP="003346B5">
            <w:pPr>
              <w:pStyle w:val="aff2"/>
              <w:spacing w:before="0" w:after="0"/>
              <w:rPr>
                <w:rFonts w:cs="Times New Roman"/>
                <w:sz w:val="21"/>
                <w:szCs w:val="21"/>
              </w:rPr>
            </w:pPr>
            <w:r w:rsidRPr="003346B5">
              <w:rPr>
                <w:rFonts w:cs="Times New Roman"/>
                <w:sz w:val="21"/>
                <w:szCs w:val="21"/>
              </w:rPr>
              <w:t>0.903</w:t>
            </w:r>
          </w:p>
        </w:tc>
        <w:tc>
          <w:tcPr>
            <w:tcW w:w="991" w:type="pct"/>
          </w:tcPr>
          <w:p w14:paraId="43396F41" w14:textId="77777777" w:rsidR="003346B5" w:rsidRPr="003346B5" w:rsidRDefault="003346B5" w:rsidP="003346B5">
            <w:pPr>
              <w:pStyle w:val="aff2"/>
              <w:spacing w:before="0" w:after="0"/>
              <w:rPr>
                <w:rFonts w:cs="Times New Roman"/>
                <w:sz w:val="21"/>
                <w:szCs w:val="21"/>
              </w:rPr>
            </w:pPr>
          </w:p>
        </w:tc>
        <w:tc>
          <w:tcPr>
            <w:tcW w:w="1117" w:type="pct"/>
          </w:tcPr>
          <w:p w14:paraId="0D6DD7B9" w14:textId="77777777" w:rsidR="003346B5" w:rsidRPr="003346B5" w:rsidRDefault="003346B5" w:rsidP="003346B5">
            <w:pPr>
              <w:pStyle w:val="aff2"/>
              <w:spacing w:before="0" w:after="0"/>
              <w:rPr>
                <w:rFonts w:cs="Times New Roman"/>
                <w:sz w:val="21"/>
                <w:szCs w:val="21"/>
              </w:rPr>
            </w:pPr>
          </w:p>
        </w:tc>
      </w:tr>
      <w:tr w:rsidR="003346B5" w:rsidRPr="003346B5" w14:paraId="561066D4" w14:textId="77777777" w:rsidTr="003346B5">
        <w:tc>
          <w:tcPr>
            <w:tcW w:w="2133" w:type="pct"/>
          </w:tcPr>
          <w:p w14:paraId="0701DD4A" w14:textId="77777777" w:rsidR="003346B5" w:rsidRPr="003346B5" w:rsidRDefault="003346B5" w:rsidP="003346B5">
            <w:pPr>
              <w:pStyle w:val="aff2"/>
              <w:spacing w:before="0" w:after="0"/>
              <w:jc w:val="left"/>
              <w:rPr>
                <w:rFonts w:cs="Arial"/>
                <w:sz w:val="21"/>
                <w:szCs w:val="21"/>
              </w:rPr>
            </w:pPr>
            <w:r w:rsidRPr="003346B5">
              <w:rPr>
                <w:rFonts w:cs="Arial" w:hint="eastAsia"/>
                <w:sz w:val="21"/>
                <w:szCs w:val="21"/>
              </w:rPr>
              <w:t>征地移民</w:t>
            </w:r>
          </w:p>
        </w:tc>
        <w:tc>
          <w:tcPr>
            <w:tcW w:w="759" w:type="pct"/>
          </w:tcPr>
          <w:p w14:paraId="6D931D2C" w14:textId="77777777" w:rsidR="003346B5" w:rsidRPr="003346B5" w:rsidRDefault="003346B5" w:rsidP="003346B5">
            <w:pPr>
              <w:pStyle w:val="aff2"/>
              <w:spacing w:before="0" w:after="0"/>
              <w:rPr>
                <w:rFonts w:cs="Times New Roman"/>
                <w:sz w:val="21"/>
                <w:szCs w:val="21"/>
              </w:rPr>
            </w:pPr>
            <w:r w:rsidRPr="003346B5">
              <w:rPr>
                <w:rFonts w:cs="Times New Roman"/>
                <w:sz w:val="21"/>
                <w:szCs w:val="21"/>
              </w:rPr>
              <w:t>0.902</w:t>
            </w:r>
          </w:p>
        </w:tc>
        <w:tc>
          <w:tcPr>
            <w:tcW w:w="991" w:type="pct"/>
          </w:tcPr>
          <w:p w14:paraId="3FD31127" w14:textId="77777777" w:rsidR="003346B5" w:rsidRPr="003346B5" w:rsidRDefault="003346B5" w:rsidP="003346B5">
            <w:pPr>
              <w:pStyle w:val="aff2"/>
              <w:spacing w:before="0" w:after="0"/>
              <w:rPr>
                <w:rFonts w:cs="Times New Roman"/>
                <w:sz w:val="21"/>
                <w:szCs w:val="21"/>
              </w:rPr>
            </w:pPr>
          </w:p>
        </w:tc>
        <w:tc>
          <w:tcPr>
            <w:tcW w:w="1117" w:type="pct"/>
          </w:tcPr>
          <w:p w14:paraId="1F45DBDD" w14:textId="77777777" w:rsidR="003346B5" w:rsidRPr="003346B5" w:rsidRDefault="003346B5" w:rsidP="003346B5">
            <w:pPr>
              <w:pStyle w:val="aff2"/>
              <w:spacing w:before="0" w:after="0"/>
              <w:rPr>
                <w:rFonts w:cs="Times New Roman"/>
                <w:sz w:val="21"/>
                <w:szCs w:val="21"/>
              </w:rPr>
            </w:pPr>
          </w:p>
        </w:tc>
      </w:tr>
      <w:tr w:rsidR="003346B5" w:rsidRPr="003346B5" w14:paraId="4179E8F4" w14:textId="77777777" w:rsidTr="003346B5">
        <w:tc>
          <w:tcPr>
            <w:tcW w:w="2133" w:type="pct"/>
          </w:tcPr>
          <w:p w14:paraId="4E45C009" w14:textId="77777777" w:rsidR="003346B5" w:rsidRPr="003346B5" w:rsidRDefault="003346B5" w:rsidP="003346B5">
            <w:pPr>
              <w:pStyle w:val="aff2"/>
              <w:spacing w:before="0" w:after="0"/>
              <w:jc w:val="left"/>
              <w:rPr>
                <w:rFonts w:cs="Arial"/>
                <w:sz w:val="21"/>
                <w:szCs w:val="21"/>
              </w:rPr>
            </w:pPr>
            <w:r w:rsidRPr="003346B5">
              <w:rPr>
                <w:rFonts w:cs="Arial" w:hint="eastAsia"/>
                <w:sz w:val="21"/>
                <w:szCs w:val="21"/>
              </w:rPr>
              <w:t>配套基础设施</w:t>
            </w:r>
          </w:p>
        </w:tc>
        <w:tc>
          <w:tcPr>
            <w:tcW w:w="759" w:type="pct"/>
          </w:tcPr>
          <w:p w14:paraId="64E4FE1F" w14:textId="77777777" w:rsidR="003346B5" w:rsidRPr="003346B5" w:rsidRDefault="003346B5" w:rsidP="003346B5">
            <w:pPr>
              <w:pStyle w:val="aff2"/>
              <w:spacing w:before="0" w:after="0"/>
              <w:rPr>
                <w:rFonts w:cs="Times New Roman"/>
                <w:sz w:val="21"/>
                <w:szCs w:val="21"/>
              </w:rPr>
            </w:pPr>
            <w:r w:rsidRPr="003346B5">
              <w:rPr>
                <w:rFonts w:cs="Times New Roman"/>
                <w:sz w:val="21"/>
                <w:szCs w:val="21"/>
              </w:rPr>
              <w:t>0.829</w:t>
            </w:r>
          </w:p>
        </w:tc>
        <w:tc>
          <w:tcPr>
            <w:tcW w:w="991" w:type="pct"/>
          </w:tcPr>
          <w:p w14:paraId="3FF5D7D5" w14:textId="77777777" w:rsidR="003346B5" w:rsidRPr="003346B5" w:rsidRDefault="003346B5" w:rsidP="003346B5">
            <w:pPr>
              <w:pStyle w:val="aff2"/>
              <w:spacing w:before="0" w:after="0"/>
              <w:rPr>
                <w:rFonts w:cs="Times New Roman"/>
                <w:sz w:val="21"/>
                <w:szCs w:val="21"/>
              </w:rPr>
            </w:pPr>
          </w:p>
        </w:tc>
        <w:tc>
          <w:tcPr>
            <w:tcW w:w="1117" w:type="pct"/>
          </w:tcPr>
          <w:p w14:paraId="5565E7C9" w14:textId="77777777" w:rsidR="003346B5" w:rsidRPr="003346B5" w:rsidRDefault="003346B5" w:rsidP="003346B5">
            <w:pPr>
              <w:pStyle w:val="aff2"/>
              <w:spacing w:before="0" w:after="0"/>
              <w:rPr>
                <w:rFonts w:cs="Times New Roman"/>
                <w:sz w:val="21"/>
                <w:szCs w:val="21"/>
              </w:rPr>
            </w:pPr>
          </w:p>
        </w:tc>
      </w:tr>
      <w:tr w:rsidR="003346B5" w:rsidRPr="003346B5" w14:paraId="6381A734" w14:textId="77777777" w:rsidTr="003346B5">
        <w:tc>
          <w:tcPr>
            <w:tcW w:w="2133" w:type="pct"/>
          </w:tcPr>
          <w:p w14:paraId="7CEAB7CC" w14:textId="77777777" w:rsidR="003346B5" w:rsidRPr="003346B5" w:rsidRDefault="003346B5" w:rsidP="003346B5">
            <w:pPr>
              <w:pStyle w:val="aff2"/>
              <w:spacing w:before="0" w:after="0"/>
              <w:jc w:val="left"/>
              <w:rPr>
                <w:rFonts w:cs="Arial"/>
                <w:sz w:val="21"/>
                <w:szCs w:val="21"/>
              </w:rPr>
            </w:pPr>
            <w:r w:rsidRPr="003346B5">
              <w:rPr>
                <w:rFonts w:cs="Arial" w:hint="eastAsia"/>
                <w:sz w:val="21"/>
                <w:szCs w:val="21"/>
              </w:rPr>
              <w:t>政策与市场</w:t>
            </w:r>
          </w:p>
        </w:tc>
        <w:tc>
          <w:tcPr>
            <w:tcW w:w="759" w:type="pct"/>
          </w:tcPr>
          <w:p w14:paraId="539A012C" w14:textId="77777777" w:rsidR="003346B5" w:rsidRPr="003346B5" w:rsidRDefault="003346B5" w:rsidP="003346B5">
            <w:pPr>
              <w:pStyle w:val="aff2"/>
              <w:spacing w:before="0" w:after="0"/>
              <w:rPr>
                <w:rFonts w:cs="Times New Roman"/>
                <w:sz w:val="21"/>
                <w:szCs w:val="21"/>
              </w:rPr>
            </w:pPr>
            <w:r w:rsidRPr="003346B5">
              <w:rPr>
                <w:rFonts w:cs="Times New Roman"/>
                <w:sz w:val="21"/>
                <w:szCs w:val="21"/>
              </w:rPr>
              <w:t>0.922</w:t>
            </w:r>
          </w:p>
        </w:tc>
        <w:tc>
          <w:tcPr>
            <w:tcW w:w="991" w:type="pct"/>
          </w:tcPr>
          <w:p w14:paraId="562BDCC2" w14:textId="77777777" w:rsidR="003346B5" w:rsidRPr="003346B5" w:rsidRDefault="003346B5" w:rsidP="003346B5">
            <w:pPr>
              <w:pStyle w:val="aff2"/>
              <w:spacing w:before="0" w:after="0"/>
              <w:rPr>
                <w:rFonts w:cs="Times New Roman"/>
                <w:sz w:val="21"/>
                <w:szCs w:val="21"/>
              </w:rPr>
            </w:pPr>
          </w:p>
        </w:tc>
        <w:tc>
          <w:tcPr>
            <w:tcW w:w="1117" w:type="pct"/>
          </w:tcPr>
          <w:p w14:paraId="6BC0EE44" w14:textId="77777777" w:rsidR="003346B5" w:rsidRPr="003346B5" w:rsidRDefault="003346B5" w:rsidP="003346B5">
            <w:pPr>
              <w:pStyle w:val="aff2"/>
              <w:spacing w:before="0" w:after="0"/>
              <w:rPr>
                <w:rFonts w:cs="Times New Roman"/>
                <w:sz w:val="21"/>
                <w:szCs w:val="21"/>
              </w:rPr>
            </w:pPr>
          </w:p>
        </w:tc>
      </w:tr>
      <w:tr w:rsidR="003346B5" w:rsidRPr="003346B5" w14:paraId="116F7083" w14:textId="77777777" w:rsidTr="003346B5">
        <w:tc>
          <w:tcPr>
            <w:tcW w:w="2133" w:type="pct"/>
          </w:tcPr>
          <w:p w14:paraId="7FF86382" w14:textId="77777777" w:rsidR="003346B5" w:rsidRPr="003346B5" w:rsidRDefault="003346B5" w:rsidP="003346B5">
            <w:pPr>
              <w:pStyle w:val="aff2"/>
              <w:spacing w:before="0" w:after="0"/>
              <w:jc w:val="left"/>
              <w:rPr>
                <w:b/>
                <w:bCs/>
                <w:sz w:val="21"/>
                <w:szCs w:val="21"/>
              </w:rPr>
            </w:pPr>
            <w:r w:rsidRPr="003346B5">
              <w:rPr>
                <w:rFonts w:hint="eastAsia"/>
                <w:b/>
                <w:bCs/>
                <w:sz w:val="21"/>
                <w:szCs w:val="21"/>
              </w:rPr>
              <w:t>2</w:t>
            </w:r>
            <w:r w:rsidRPr="003346B5">
              <w:rPr>
                <w:b/>
                <w:bCs/>
                <w:sz w:val="21"/>
                <w:szCs w:val="21"/>
              </w:rPr>
              <w:t>.</w:t>
            </w:r>
            <w:r w:rsidRPr="003346B5">
              <w:rPr>
                <w:rFonts w:hint="eastAsia"/>
                <w:b/>
                <w:bCs/>
                <w:sz w:val="21"/>
                <w:szCs w:val="21"/>
              </w:rPr>
              <w:t xml:space="preserve"> </w:t>
            </w:r>
            <w:r w:rsidRPr="003346B5">
              <w:rPr>
                <w:rFonts w:hint="eastAsia"/>
                <w:b/>
                <w:bCs/>
                <w:sz w:val="21"/>
                <w:szCs w:val="21"/>
              </w:rPr>
              <w:t>业主项目群管理能力</w:t>
            </w:r>
          </w:p>
        </w:tc>
        <w:tc>
          <w:tcPr>
            <w:tcW w:w="759" w:type="pct"/>
          </w:tcPr>
          <w:p w14:paraId="770E6876" w14:textId="77777777" w:rsidR="003346B5" w:rsidRPr="003346B5" w:rsidRDefault="003346B5" w:rsidP="003346B5">
            <w:pPr>
              <w:pStyle w:val="aff2"/>
              <w:spacing w:before="0" w:after="0"/>
              <w:rPr>
                <w:rFonts w:cs="Times New Roman"/>
                <w:sz w:val="21"/>
                <w:szCs w:val="21"/>
              </w:rPr>
            </w:pPr>
          </w:p>
        </w:tc>
        <w:tc>
          <w:tcPr>
            <w:tcW w:w="991" w:type="pct"/>
          </w:tcPr>
          <w:p w14:paraId="7ECA68FB" w14:textId="77777777" w:rsidR="003346B5" w:rsidRPr="003346B5" w:rsidRDefault="003346B5" w:rsidP="003346B5">
            <w:pPr>
              <w:pStyle w:val="aff2"/>
              <w:spacing w:before="0" w:after="0"/>
              <w:rPr>
                <w:rFonts w:cs="Times New Roman"/>
                <w:b/>
                <w:bCs/>
                <w:sz w:val="21"/>
                <w:szCs w:val="21"/>
              </w:rPr>
            </w:pPr>
            <w:r w:rsidRPr="003346B5">
              <w:rPr>
                <w:rFonts w:cs="Times New Roman"/>
                <w:b/>
                <w:bCs/>
                <w:sz w:val="21"/>
                <w:szCs w:val="21"/>
              </w:rPr>
              <w:t>0.982</w:t>
            </w:r>
          </w:p>
        </w:tc>
        <w:tc>
          <w:tcPr>
            <w:tcW w:w="1117" w:type="pct"/>
          </w:tcPr>
          <w:p w14:paraId="362A579A" w14:textId="77777777" w:rsidR="003346B5" w:rsidRPr="003346B5" w:rsidRDefault="003346B5" w:rsidP="003346B5">
            <w:pPr>
              <w:pStyle w:val="aff2"/>
              <w:spacing w:before="0" w:after="0"/>
              <w:rPr>
                <w:rFonts w:cs="Times New Roman"/>
                <w:b/>
                <w:bCs/>
                <w:sz w:val="21"/>
                <w:szCs w:val="21"/>
              </w:rPr>
            </w:pPr>
            <w:r w:rsidRPr="003346B5">
              <w:rPr>
                <w:rFonts w:cs="Times New Roman"/>
                <w:b/>
                <w:bCs/>
                <w:sz w:val="21"/>
                <w:szCs w:val="21"/>
              </w:rPr>
              <w:t>0.977</w:t>
            </w:r>
          </w:p>
        </w:tc>
      </w:tr>
      <w:tr w:rsidR="003346B5" w:rsidRPr="003346B5" w14:paraId="3888EF4B" w14:textId="77777777" w:rsidTr="003346B5">
        <w:tc>
          <w:tcPr>
            <w:tcW w:w="2133" w:type="pct"/>
          </w:tcPr>
          <w:p w14:paraId="7B3C0297" w14:textId="77777777" w:rsidR="003346B5" w:rsidRPr="003346B5" w:rsidRDefault="003346B5" w:rsidP="003346B5">
            <w:pPr>
              <w:pStyle w:val="aff2"/>
              <w:spacing w:before="0" w:after="0"/>
              <w:jc w:val="left"/>
              <w:rPr>
                <w:rFonts w:cs="Arial"/>
                <w:sz w:val="21"/>
                <w:szCs w:val="21"/>
              </w:rPr>
            </w:pPr>
            <w:r w:rsidRPr="003346B5">
              <w:rPr>
                <w:rFonts w:cs="Arial" w:hint="eastAsia"/>
                <w:sz w:val="21"/>
                <w:szCs w:val="21"/>
              </w:rPr>
              <w:t>目标管理</w:t>
            </w:r>
          </w:p>
        </w:tc>
        <w:tc>
          <w:tcPr>
            <w:tcW w:w="759" w:type="pct"/>
          </w:tcPr>
          <w:p w14:paraId="483C531D" w14:textId="77777777" w:rsidR="003346B5" w:rsidRPr="003346B5" w:rsidRDefault="003346B5" w:rsidP="003346B5">
            <w:pPr>
              <w:pStyle w:val="aff2"/>
              <w:spacing w:before="0" w:after="0"/>
              <w:rPr>
                <w:rFonts w:cs="Times New Roman"/>
                <w:sz w:val="21"/>
                <w:szCs w:val="21"/>
              </w:rPr>
            </w:pPr>
            <w:r w:rsidRPr="003346B5">
              <w:rPr>
                <w:rFonts w:cs="Times New Roman"/>
                <w:sz w:val="21"/>
                <w:szCs w:val="21"/>
              </w:rPr>
              <w:t>0.949</w:t>
            </w:r>
          </w:p>
        </w:tc>
        <w:tc>
          <w:tcPr>
            <w:tcW w:w="991" w:type="pct"/>
          </w:tcPr>
          <w:p w14:paraId="4D4D6DE7" w14:textId="77777777" w:rsidR="003346B5" w:rsidRPr="003346B5" w:rsidRDefault="003346B5" w:rsidP="003346B5">
            <w:pPr>
              <w:pStyle w:val="aff2"/>
              <w:spacing w:before="0" w:after="0"/>
              <w:rPr>
                <w:rFonts w:cs="Times New Roman"/>
                <w:sz w:val="21"/>
                <w:szCs w:val="21"/>
              </w:rPr>
            </w:pPr>
          </w:p>
        </w:tc>
        <w:tc>
          <w:tcPr>
            <w:tcW w:w="1117" w:type="pct"/>
          </w:tcPr>
          <w:p w14:paraId="2E7E261D" w14:textId="77777777" w:rsidR="003346B5" w:rsidRPr="003346B5" w:rsidRDefault="003346B5" w:rsidP="003346B5">
            <w:pPr>
              <w:pStyle w:val="aff2"/>
              <w:spacing w:before="0" w:after="0"/>
              <w:rPr>
                <w:rFonts w:cs="Times New Roman"/>
                <w:sz w:val="21"/>
                <w:szCs w:val="21"/>
              </w:rPr>
            </w:pPr>
          </w:p>
        </w:tc>
      </w:tr>
      <w:tr w:rsidR="003346B5" w:rsidRPr="003346B5" w14:paraId="64EAA11A" w14:textId="77777777" w:rsidTr="003346B5">
        <w:tc>
          <w:tcPr>
            <w:tcW w:w="2133" w:type="pct"/>
          </w:tcPr>
          <w:p w14:paraId="7850D208" w14:textId="77777777" w:rsidR="003346B5" w:rsidRPr="003346B5" w:rsidRDefault="003346B5" w:rsidP="003346B5">
            <w:pPr>
              <w:pStyle w:val="aff2"/>
              <w:spacing w:before="0" w:after="0"/>
              <w:jc w:val="left"/>
              <w:rPr>
                <w:rFonts w:cs="Arial"/>
                <w:sz w:val="21"/>
                <w:szCs w:val="21"/>
              </w:rPr>
            </w:pPr>
            <w:r w:rsidRPr="003346B5">
              <w:rPr>
                <w:rFonts w:cs="Arial" w:hint="eastAsia"/>
                <w:sz w:val="21"/>
                <w:szCs w:val="21"/>
              </w:rPr>
              <w:t>组织协调</w:t>
            </w:r>
          </w:p>
        </w:tc>
        <w:tc>
          <w:tcPr>
            <w:tcW w:w="759" w:type="pct"/>
          </w:tcPr>
          <w:p w14:paraId="4F96692D" w14:textId="77777777" w:rsidR="003346B5" w:rsidRPr="003346B5" w:rsidRDefault="003346B5" w:rsidP="003346B5">
            <w:pPr>
              <w:pStyle w:val="aff2"/>
              <w:spacing w:before="0" w:after="0"/>
              <w:rPr>
                <w:rFonts w:cs="Times New Roman"/>
                <w:sz w:val="21"/>
                <w:szCs w:val="21"/>
              </w:rPr>
            </w:pPr>
            <w:r w:rsidRPr="003346B5">
              <w:rPr>
                <w:rFonts w:cs="Times New Roman"/>
                <w:sz w:val="21"/>
                <w:szCs w:val="21"/>
              </w:rPr>
              <w:t>0.960</w:t>
            </w:r>
          </w:p>
        </w:tc>
        <w:tc>
          <w:tcPr>
            <w:tcW w:w="991" w:type="pct"/>
          </w:tcPr>
          <w:p w14:paraId="584DCF51" w14:textId="77777777" w:rsidR="003346B5" w:rsidRPr="003346B5" w:rsidRDefault="003346B5" w:rsidP="003346B5">
            <w:pPr>
              <w:pStyle w:val="aff2"/>
              <w:spacing w:before="0" w:after="0"/>
              <w:rPr>
                <w:rFonts w:cs="Times New Roman"/>
                <w:sz w:val="21"/>
                <w:szCs w:val="21"/>
              </w:rPr>
            </w:pPr>
          </w:p>
        </w:tc>
        <w:tc>
          <w:tcPr>
            <w:tcW w:w="1117" w:type="pct"/>
          </w:tcPr>
          <w:p w14:paraId="3C174CD0" w14:textId="77777777" w:rsidR="003346B5" w:rsidRPr="003346B5" w:rsidRDefault="003346B5" w:rsidP="003346B5">
            <w:pPr>
              <w:pStyle w:val="aff2"/>
              <w:spacing w:before="0" w:after="0"/>
              <w:rPr>
                <w:rFonts w:cs="Times New Roman"/>
                <w:sz w:val="21"/>
                <w:szCs w:val="21"/>
              </w:rPr>
            </w:pPr>
          </w:p>
        </w:tc>
      </w:tr>
      <w:tr w:rsidR="003346B5" w:rsidRPr="003346B5" w14:paraId="52840559" w14:textId="77777777" w:rsidTr="003346B5">
        <w:tc>
          <w:tcPr>
            <w:tcW w:w="2133" w:type="pct"/>
          </w:tcPr>
          <w:p w14:paraId="18333E9C" w14:textId="77777777" w:rsidR="003346B5" w:rsidRPr="003346B5" w:rsidRDefault="003346B5" w:rsidP="003346B5">
            <w:pPr>
              <w:pStyle w:val="aff2"/>
              <w:spacing w:before="0" w:after="0"/>
              <w:jc w:val="left"/>
              <w:rPr>
                <w:rFonts w:cs="Arial"/>
                <w:sz w:val="21"/>
                <w:szCs w:val="21"/>
              </w:rPr>
            </w:pPr>
            <w:r w:rsidRPr="003346B5">
              <w:rPr>
                <w:rFonts w:cs="Arial" w:hint="eastAsia"/>
                <w:sz w:val="21"/>
                <w:szCs w:val="21"/>
              </w:rPr>
              <w:t>信息技术应用</w:t>
            </w:r>
          </w:p>
        </w:tc>
        <w:tc>
          <w:tcPr>
            <w:tcW w:w="759" w:type="pct"/>
          </w:tcPr>
          <w:p w14:paraId="00F5AA30" w14:textId="77777777" w:rsidR="003346B5" w:rsidRPr="003346B5" w:rsidRDefault="003346B5" w:rsidP="003346B5">
            <w:pPr>
              <w:pStyle w:val="aff2"/>
              <w:spacing w:before="0" w:after="0"/>
              <w:rPr>
                <w:rFonts w:cs="Times New Roman"/>
                <w:sz w:val="21"/>
                <w:szCs w:val="21"/>
              </w:rPr>
            </w:pPr>
            <w:r w:rsidRPr="003346B5">
              <w:rPr>
                <w:rFonts w:cs="Times New Roman"/>
                <w:sz w:val="21"/>
                <w:szCs w:val="21"/>
              </w:rPr>
              <w:t>0.945</w:t>
            </w:r>
          </w:p>
        </w:tc>
        <w:tc>
          <w:tcPr>
            <w:tcW w:w="991" w:type="pct"/>
          </w:tcPr>
          <w:p w14:paraId="6B8E99CC" w14:textId="77777777" w:rsidR="003346B5" w:rsidRPr="003346B5" w:rsidRDefault="003346B5" w:rsidP="003346B5">
            <w:pPr>
              <w:pStyle w:val="aff2"/>
              <w:spacing w:before="0" w:after="0"/>
              <w:rPr>
                <w:rFonts w:cs="Times New Roman"/>
                <w:sz w:val="21"/>
                <w:szCs w:val="21"/>
              </w:rPr>
            </w:pPr>
          </w:p>
        </w:tc>
        <w:tc>
          <w:tcPr>
            <w:tcW w:w="1117" w:type="pct"/>
          </w:tcPr>
          <w:p w14:paraId="58AF2750" w14:textId="77777777" w:rsidR="003346B5" w:rsidRPr="003346B5" w:rsidRDefault="003346B5" w:rsidP="003346B5">
            <w:pPr>
              <w:pStyle w:val="aff2"/>
              <w:spacing w:before="0" w:after="0"/>
              <w:rPr>
                <w:rFonts w:cs="Times New Roman"/>
                <w:sz w:val="21"/>
                <w:szCs w:val="21"/>
              </w:rPr>
            </w:pPr>
          </w:p>
        </w:tc>
      </w:tr>
      <w:tr w:rsidR="003346B5" w:rsidRPr="003346B5" w14:paraId="2759618F" w14:textId="77777777" w:rsidTr="003346B5">
        <w:tc>
          <w:tcPr>
            <w:tcW w:w="2133" w:type="pct"/>
          </w:tcPr>
          <w:p w14:paraId="2DCE06A4" w14:textId="77777777" w:rsidR="003346B5" w:rsidRPr="003346B5" w:rsidRDefault="003346B5" w:rsidP="003346B5">
            <w:pPr>
              <w:pStyle w:val="aff2"/>
              <w:spacing w:before="0" w:after="0"/>
              <w:jc w:val="left"/>
              <w:rPr>
                <w:rFonts w:cs="Arial"/>
                <w:sz w:val="21"/>
                <w:szCs w:val="21"/>
              </w:rPr>
            </w:pPr>
            <w:r w:rsidRPr="003346B5">
              <w:rPr>
                <w:rFonts w:cs="Arial" w:hint="eastAsia"/>
                <w:sz w:val="21"/>
                <w:szCs w:val="21"/>
              </w:rPr>
              <w:t>动态感知与适应</w:t>
            </w:r>
          </w:p>
        </w:tc>
        <w:tc>
          <w:tcPr>
            <w:tcW w:w="759" w:type="pct"/>
          </w:tcPr>
          <w:p w14:paraId="53E19D37" w14:textId="77777777" w:rsidR="003346B5" w:rsidRPr="003346B5" w:rsidRDefault="003346B5" w:rsidP="003346B5">
            <w:pPr>
              <w:pStyle w:val="aff2"/>
              <w:spacing w:before="0" w:after="0"/>
              <w:rPr>
                <w:rFonts w:cs="Times New Roman"/>
                <w:sz w:val="21"/>
                <w:szCs w:val="21"/>
              </w:rPr>
            </w:pPr>
            <w:r w:rsidRPr="003346B5">
              <w:rPr>
                <w:rFonts w:cs="Times New Roman"/>
                <w:sz w:val="21"/>
                <w:szCs w:val="21"/>
              </w:rPr>
              <w:t>0.965</w:t>
            </w:r>
          </w:p>
        </w:tc>
        <w:tc>
          <w:tcPr>
            <w:tcW w:w="991" w:type="pct"/>
          </w:tcPr>
          <w:p w14:paraId="11592671" w14:textId="77777777" w:rsidR="003346B5" w:rsidRPr="003346B5" w:rsidRDefault="003346B5" w:rsidP="003346B5">
            <w:pPr>
              <w:pStyle w:val="aff2"/>
              <w:spacing w:before="0" w:after="0"/>
              <w:rPr>
                <w:rFonts w:cs="Times New Roman"/>
                <w:sz w:val="21"/>
                <w:szCs w:val="21"/>
              </w:rPr>
            </w:pPr>
          </w:p>
        </w:tc>
        <w:tc>
          <w:tcPr>
            <w:tcW w:w="1117" w:type="pct"/>
          </w:tcPr>
          <w:p w14:paraId="24248043" w14:textId="77777777" w:rsidR="003346B5" w:rsidRPr="003346B5" w:rsidRDefault="003346B5" w:rsidP="003346B5">
            <w:pPr>
              <w:pStyle w:val="aff2"/>
              <w:spacing w:before="0" w:after="0"/>
              <w:rPr>
                <w:rFonts w:cs="Times New Roman"/>
                <w:sz w:val="21"/>
                <w:szCs w:val="21"/>
              </w:rPr>
            </w:pPr>
          </w:p>
        </w:tc>
      </w:tr>
      <w:tr w:rsidR="003346B5" w:rsidRPr="003346B5" w14:paraId="4FF855DD" w14:textId="77777777" w:rsidTr="003346B5">
        <w:tc>
          <w:tcPr>
            <w:tcW w:w="2133" w:type="pct"/>
          </w:tcPr>
          <w:p w14:paraId="2B006EE9" w14:textId="77777777" w:rsidR="003346B5" w:rsidRPr="003346B5" w:rsidRDefault="003346B5" w:rsidP="003346B5">
            <w:pPr>
              <w:pStyle w:val="aff2"/>
              <w:spacing w:before="0" w:after="0"/>
              <w:jc w:val="left"/>
              <w:rPr>
                <w:rFonts w:cs="Arial"/>
                <w:sz w:val="21"/>
                <w:szCs w:val="21"/>
              </w:rPr>
            </w:pPr>
            <w:r w:rsidRPr="003346B5">
              <w:rPr>
                <w:rFonts w:cs="Arial" w:hint="eastAsia"/>
                <w:sz w:val="21"/>
                <w:szCs w:val="21"/>
              </w:rPr>
              <w:t>动态优化与创新</w:t>
            </w:r>
          </w:p>
        </w:tc>
        <w:tc>
          <w:tcPr>
            <w:tcW w:w="759" w:type="pct"/>
          </w:tcPr>
          <w:p w14:paraId="4AABB0D1" w14:textId="77777777" w:rsidR="003346B5" w:rsidRPr="003346B5" w:rsidRDefault="003346B5" w:rsidP="003346B5">
            <w:pPr>
              <w:pStyle w:val="aff2"/>
              <w:spacing w:before="0" w:after="0"/>
              <w:rPr>
                <w:rFonts w:cs="Times New Roman"/>
                <w:sz w:val="21"/>
                <w:szCs w:val="21"/>
              </w:rPr>
            </w:pPr>
            <w:r w:rsidRPr="003346B5">
              <w:rPr>
                <w:rFonts w:cs="Times New Roman"/>
                <w:sz w:val="21"/>
                <w:szCs w:val="21"/>
              </w:rPr>
              <w:t>0.966</w:t>
            </w:r>
          </w:p>
        </w:tc>
        <w:tc>
          <w:tcPr>
            <w:tcW w:w="991" w:type="pct"/>
          </w:tcPr>
          <w:p w14:paraId="37AB2967" w14:textId="77777777" w:rsidR="003346B5" w:rsidRPr="003346B5" w:rsidRDefault="003346B5" w:rsidP="003346B5">
            <w:pPr>
              <w:pStyle w:val="aff2"/>
              <w:spacing w:before="0" w:after="0"/>
              <w:rPr>
                <w:rFonts w:cs="Times New Roman"/>
                <w:sz w:val="21"/>
                <w:szCs w:val="21"/>
              </w:rPr>
            </w:pPr>
          </w:p>
        </w:tc>
        <w:tc>
          <w:tcPr>
            <w:tcW w:w="1117" w:type="pct"/>
          </w:tcPr>
          <w:p w14:paraId="3C602857" w14:textId="77777777" w:rsidR="003346B5" w:rsidRPr="003346B5" w:rsidRDefault="003346B5" w:rsidP="003346B5">
            <w:pPr>
              <w:pStyle w:val="aff2"/>
              <w:spacing w:before="0" w:after="0"/>
              <w:rPr>
                <w:rFonts w:cs="Times New Roman"/>
                <w:sz w:val="21"/>
                <w:szCs w:val="21"/>
              </w:rPr>
            </w:pPr>
          </w:p>
        </w:tc>
      </w:tr>
      <w:tr w:rsidR="003346B5" w:rsidRPr="003346B5" w14:paraId="5BAFE07D" w14:textId="77777777" w:rsidTr="003346B5">
        <w:tc>
          <w:tcPr>
            <w:tcW w:w="2133" w:type="pct"/>
          </w:tcPr>
          <w:p w14:paraId="0502EB56" w14:textId="77777777" w:rsidR="003346B5" w:rsidRPr="003346B5" w:rsidRDefault="003346B5" w:rsidP="003346B5">
            <w:pPr>
              <w:pStyle w:val="aff2"/>
              <w:spacing w:before="0" w:after="0"/>
              <w:jc w:val="left"/>
              <w:rPr>
                <w:b/>
                <w:bCs/>
                <w:sz w:val="21"/>
                <w:szCs w:val="21"/>
              </w:rPr>
            </w:pPr>
            <w:r w:rsidRPr="003346B5">
              <w:rPr>
                <w:rFonts w:hint="eastAsia"/>
                <w:b/>
                <w:bCs/>
                <w:sz w:val="21"/>
                <w:szCs w:val="21"/>
              </w:rPr>
              <w:t>3</w:t>
            </w:r>
            <w:r w:rsidRPr="003346B5">
              <w:rPr>
                <w:b/>
                <w:bCs/>
                <w:sz w:val="21"/>
                <w:szCs w:val="21"/>
              </w:rPr>
              <w:t>.</w:t>
            </w:r>
            <w:r w:rsidRPr="003346B5">
              <w:rPr>
                <w:rFonts w:hint="eastAsia"/>
                <w:b/>
                <w:bCs/>
                <w:sz w:val="21"/>
                <w:szCs w:val="21"/>
              </w:rPr>
              <w:t xml:space="preserve"> </w:t>
            </w:r>
            <w:r w:rsidRPr="003346B5">
              <w:rPr>
                <w:rFonts w:hint="eastAsia"/>
                <w:b/>
                <w:bCs/>
                <w:sz w:val="21"/>
                <w:szCs w:val="21"/>
              </w:rPr>
              <w:t>管理制度</w:t>
            </w:r>
          </w:p>
        </w:tc>
        <w:tc>
          <w:tcPr>
            <w:tcW w:w="759" w:type="pct"/>
          </w:tcPr>
          <w:p w14:paraId="5C0AF2DF" w14:textId="77777777" w:rsidR="003346B5" w:rsidRPr="003346B5" w:rsidRDefault="003346B5" w:rsidP="003346B5">
            <w:pPr>
              <w:pStyle w:val="aff2"/>
              <w:spacing w:before="0" w:after="0"/>
              <w:rPr>
                <w:rFonts w:cs="Times New Roman"/>
                <w:sz w:val="21"/>
                <w:szCs w:val="21"/>
              </w:rPr>
            </w:pPr>
          </w:p>
        </w:tc>
        <w:tc>
          <w:tcPr>
            <w:tcW w:w="991" w:type="pct"/>
          </w:tcPr>
          <w:p w14:paraId="2B142A6E" w14:textId="77777777" w:rsidR="003346B5" w:rsidRPr="003346B5" w:rsidRDefault="003346B5" w:rsidP="003346B5">
            <w:pPr>
              <w:pStyle w:val="aff2"/>
              <w:spacing w:before="0" w:after="0"/>
              <w:rPr>
                <w:rFonts w:cs="Times New Roman"/>
                <w:b/>
                <w:bCs/>
                <w:sz w:val="21"/>
                <w:szCs w:val="21"/>
              </w:rPr>
            </w:pPr>
            <w:r w:rsidRPr="003346B5">
              <w:rPr>
                <w:rFonts w:cs="Times New Roman"/>
                <w:b/>
                <w:bCs/>
                <w:sz w:val="21"/>
                <w:szCs w:val="21"/>
              </w:rPr>
              <w:t>0.980</w:t>
            </w:r>
          </w:p>
        </w:tc>
        <w:tc>
          <w:tcPr>
            <w:tcW w:w="1117" w:type="pct"/>
          </w:tcPr>
          <w:p w14:paraId="3FAC9A7F" w14:textId="77777777" w:rsidR="003346B5" w:rsidRPr="003346B5" w:rsidRDefault="003346B5" w:rsidP="003346B5">
            <w:pPr>
              <w:pStyle w:val="aff2"/>
              <w:spacing w:before="0" w:after="0"/>
              <w:rPr>
                <w:rFonts w:cs="Times New Roman"/>
                <w:b/>
                <w:bCs/>
                <w:sz w:val="21"/>
                <w:szCs w:val="21"/>
              </w:rPr>
            </w:pPr>
            <w:r w:rsidRPr="003346B5">
              <w:rPr>
                <w:rFonts w:cs="Times New Roman"/>
                <w:b/>
                <w:bCs/>
                <w:sz w:val="21"/>
                <w:szCs w:val="21"/>
              </w:rPr>
              <w:t>0.960</w:t>
            </w:r>
          </w:p>
        </w:tc>
      </w:tr>
      <w:tr w:rsidR="003346B5" w:rsidRPr="003346B5" w14:paraId="277070D4" w14:textId="77777777" w:rsidTr="003346B5">
        <w:tc>
          <w:tcPr>
            <w:tcW w:w="2133" w:type="pct"/>
          </w:tcPr>
          <w:p w14:paraId="0543F9E6" w14:textId="77777777" w:rsidR="003346B5" w:rsidRPr="003346B5" w:rsidRDefault="003346B5" w:rsidP="003346B5">
            <w:pPr>
              <w:pStyle w:val="aff2"/>
              <w:spacing w:before="0" w:after="0"/>
              <w:jc w:val="left"/>
              <w:rPr>
                <w:rFonts w:cs="Arial"/>
                <w:sz w:val="21"/>
                <w:szCs w:val="21"/>
              </w:rPr>
            </w:pPr>
            <w:r w:rsidRPr="003346B5">
              <w:rPr>
                <w:rFonts w:cs="Arial" w:hint="eastAsia"/>
                <w:sz w:val="21"/>
                <w:szCs w:val="21"/>
              </w:rPr>
              <w:t>项目开发管理制度</w:t>
            </w:r>
          </w:p>
        </w:tc>
        <w:tc>
          <w:tcPr>
            <w:tcW w:w="759" w:type="pct"/>
          </w:tcPr>
          <w:p w14:paraId="1BD6A1E8" w14:textId="77777777" w:rsidR="003346B5" w:rsidRPr="003346B5" w:rsidRDefault="003346B5" w:rsidP="003346B5">
            <w:pPr>
              <w:pStyle w:val="aff2"/>
              <w:spacing w:before="0" w:after="0"/>
              <w:rPr>
                <w:rFonts w:cs="Times New Roman"/>
                <w:sz w:val="21"/>
                <w:szCs w:val="21"/>
              </w:rPr>
            </w:pPr>
            <w:r w:rsidRPr="003346B5">
              <w:rPr>
                <w:rFonts w:cs="Times New Roman"/>
                <w:sz w:val="21"/>
                <w:szCs w:val="21"/>
              </w:rPr>
              <w:t>0.980</w:t>
            </w:r>
          </w:p>
        </w:tc>
        <w:tc>
          <w:tcPr>
            <w:tcW w:w="991" w:type="pct"/>
          </w:tcPr>
          <w:p w14:paraId="140E0159" w14:textId="77777777" w:rsidR="003346B5" w:rsidRPr="003346B5" w:rsidRDefault="003346B5" w:rsidP="003346B5">
            <w:pPr>
              <w:pStyle w:val="aff2"/>
              <w:spacing w:before="0" w:after="0"/>
              <w:rPr>
                <w:rFonts w:cs="Times New Roman"/>
                <w:sz w:val="21"/>
                <w:szCs w:val="21"/>
              </w:rPr>
            </w:pPr>
          </w:p>
        </w:tc>
        <w:tc>
          <w:tcPr>
            <w:tcW w:w="1117" w:type="pct"/>
          </w:tcPr>
          <w:p w14:paraId="7856726B" w14:textId="77777777" w:rsidR="003346B5" w:rsidRPr="003346B5" w:rsidRDefault="003346B5" w:rsidP="003346B5">
            <w:pPr>
              <w:pStyle w:val="aff2"/>
              <w:spacing w:before="0" w:after="0"/>
              <w:rPr>
                <w:rFonts w:cs="Times New Roman"/>
                <w:sz w:val="21"/>
                <w:szCs w:val="21"/>
              </w:rPr>
            </w:pPr>
          </w:p>
        </w:tc>
      </w:tr>
      <w:tr w:rsidR="003346B5" w:rsidRPr="003346B5" w14:paraId="098771C6" w14:textId="77777777" w:rsidTr="003346B5">
        <w:tc>
          <w:tcPr>
            <w:tcW w:w="2133" w:type="pct"/>
          </w:tcPr>
          <w:p w14:paraId="1FA53588" w14:textId="77777777" w:rsidR="003346B5" w:rsidRPr="003346B5" w:rsidRDefault="003346B5" w:rsidP="003346B5">
            <w:pPr>
              <w:pStyle w:val="aff2"/>
              <w:spacing w:before="0" w:after="0"/>
              <w:jc w:val="left"/>
              <w:rPr>
                <w:rFonts w:cs="Arial"/>
                <w:sz w:val="21"/>
                <w:szCs w:val="21"/>
              </w:rPr>
            </w:pPr>
            <w:r w:rsidRPr="003346B5">
              <w:rPr>
                <w:rFonts w:cs="Arial" w:hint="eastAsia"/>
                <w:sz w:val="21"/>
                <w:szCs w:val="21"/>
              </w:rPr>
              <w:t>组织发展管理制度</w:t>
            </w:r>
          </w:p>
        </w:tc>
        <w:tc>
          <w:tcPr>
            <w:tcW w:w="759" w:type="pct"/>
          </w:tcPr>
          <w:p w14:paraId="200364F2" w14:textId="77777777" w:rsidR="003346B5" w:rsidRPr="003346B5" w:rsidRDefault="003346B5" w:rsidP="003346B5">
            <w:pPr>
              <w:pStyle w:val="aff2"/>
              <w:spacing w:before="0" w:after="0"/>
              <w:rPr>
                <w:rFonts w:cs="Times New Roman"/>
                <w:sz w:val="21"/>
                <w:szCs w:val="21"/>
              </w:rPr>
            </w:pPr>
            <w:r w:rsidRPr="003346B5">
              <w:rPr>
                <w:rFonts w:cs="Times New Roman"/>
                <w:sz w:val="21"/>
                <w:szCs w:val="21"/>
              </w:rPr>
              <w:t>0.981</w:t>
            </w:r>
          </w:p>
        </w:tc>
        <w:tc>
          <w:tcPr>
            <w:tcW w:w="991" w:type="pct"/>
          </w:tcPr>
          <w:p w14:paraId="3D4456C8" w14:textId="77777777" w:rsidR="003346B5" w:rsidRPr="003346B5" w:rsidRDefault="003346B5" w:rsidP="003346B5">
            <w:pPr>
              <w:pStyle w:val="aff2"/>
              <w:spacing w:before="0" w:after="0"/>
              <w:rPr>
                <w:rFonts w:cs="Times New Roman"/>
                <w:sz w:val="21"/>
                <w:szCs w:val="21"/>
              </w:rPr>
            </w:pPr>
          </w:p>
        </w:tc>
        <w:tc>
          <w:tcPr>
            <w:tcW w:w="1117" w:type="pct"/>
          </w:tcPr>
          <w:p w14:paraId="01C1F959" w14:textId="77777777" w:rsidR="003346B5" w:rsidRPr="003346B5" w:rsidRDefault="003346B5" w:rsidP="003346B5">
            <w:pPr>
              <w:pStyle w:val="aff2"/>
              <w:spacing w:before="0" w:after="0"/>
              <w:rPr>
                <w:rFonts w:cs="Times New Roman"/>
                <w:sz w:val="21"/>
                <w:szCs w:val="21"/>
              </w:rPr>
            </w:pPr>
          </w:p>
        </w:tc>
      </w:tr>
      <w:tr w:rsidR="003346B5" w:rsidRPr="003346B5" w14:paraId="6D00566A" w14:textId="77777777" w:rsidTr="003346B5">
        <w:tc>
          <w:tcPr>
            <w:tcW w:w="2133" w:type="pct"/>
          </w:tcPr>
          <w:p w14:paraId="2C247361" w14:textId="77777777" w:rsidR="003346B5" w:rsidRPr="003346B5" w:rsidRDefault="003346B5" w:rsidP="003346B5">
            <w:pPr>
              <w:pStyle w:val="aff2"/>
              <w:spacing w:before="0" w:after="0"/>
              <w:jc w:val="left"/>
              <w:rPr>
                <w:b/>
                <w:bCs/>
                <w:sz w:val="21"/>
                <w:szCs w:val="21"/>
              </w:rPr>
            </w:pPr>
            <w:r w:rsidRPr="003346B5">
              <w:rPr>
                <w:rFonts w:hint="eastAsia"/>
                <w:b/>
                <w:bCs/>
                <w:sz w:val="21"/>
                <w:szCs w:val="21"/>
              </w:rPr>
              <w:t>4</w:t>
            </w:r>
            <w:r w:rsidRPr="003346B5">
              <w:rPr>
                <w:b/>
                <w:bCs/>
                <w:sz w:val="21"/>
                <w:szCs w:val="21"/>
              </w:rPr>
              <w:t>.</w:t>
            </w:r>
            <w:r w:rsidRPr="003346B5">
              <w:rPr>
                <w:rFonts w:hint="eastAsia"/>
                <w:b/>
                <w:bCs/>
                <w:sz w:val="21"/>
                <w:szCs w:val="21"/>
              </w:rPr>
              <w:t xml:space="preserve"> </w:t>
            </w:r>
            <w:r w:rsidRPr="003346B5">
              <w:rPr>
                <w:rFonts w:hint="eastAsia"/>
                <w:b/>
                <w:bCs/>
                <w:sz w:val="21"/>
                <w:szCs w:val="21"/>
              </w:rPr>
              <w:t>资源配置</w:t>
            </w:r>
          </w:p>
        </w:tc>
        <w:tc>
          <w:tcPr>
            <w:tcW w:w="759" w:type="pct"/>
          </w:tcPr>
          <w:p w14:paraId="0D6B0E6C" w14:textId="77777777" w:rsidR="003346B5" w:rsidRPr="003346B5" w:rsidRDefault="003346B5" w:rsidP="003346B5">
            <w:pPr>
              <w:pStyle w:val="aff2"/>
              <w:spacing w:before="0" w:after="0"/>
              <w:rPr>
                <w:rFonts w:cs="Times New Roman"/>
                <w:sz w:val="21"/>
                <w:szCs w:val="21"/>
              </w:rPr>
            </w:pPr>
          </w:p>
        </w:tc>
        <w:tc>
          <w:tcPr>
            <w:tcW w:w="991" w:type="pct"/>
          </w:tcPr>
          <w:p w14:paraId="5F1506AF" w14:textId="77777777" w:rsidR="003346B5" w:rsidRPr="003346B5" w:rsidRDefault="003346B5" w:rsidP="003346B5">
            <w:pPr>
              <w:pStyle w:val="aff2"/>
              <w:spacing w:before="0" w:after="0"/>
              <w:rPr>
                <w:rFonts w:cs="Times New Roman"/>
                <w:b/>
                <w:bCs/>
                <w:sz w:val="21"/>
                <w:szCs w:val="21"/>
              </w:rPr>
            </w:pPr>
            <w:r w:rsidRPr="003346B5">
              <w:rPr>
                <w:rFonts w:cs="Times New Roman"/>
                <w:b/>
                <w:bCs/>
                <w:sz w:val="21"/>
                <w:szCs w:val="21"/>
              </w:rPr>
              <w:t>0.976</w:t>
            </w:r>
          </w:p>
        </w:tc>
        <w:tc>
          <w:tcPr>
            <w:tcW w:w="1117" w:type="pct"/>
          </w:tcPr>
          <w:p w14:paraId="44AE47AB" w14:textId="77777777" w:rsidR="003346B5" w:rsidRPr="003346B5" w:rsidRDefault="003346B5" w:rsidP="003346B5">
            <w:pPr>
              <w:pStyle w:val="aff2"/>
              <w:spacing w:before="0" w:after="0"/>
              <w:rPr>
                <w:rFonts w:cs="Times New Roman"/>
                <w:b/>
                <w:bCs/>
                <w:sz w:val="21"/>
                <w:szCs w:val="21"/>
              </w:rPr>
            </w:pPr>
            <w:r w:rsidRPr="003346B5">
              <w:rPr>
                <w:rFonts w:cs="Times New Roman"/>
                <w:b/>
                <w:bCs/>
                <w:sz w:val="21"/>
                <w:szCs w:val="21"/>
              </w:rPr>
              <w:t>0.952</w:t>
            </w:r>
          </w:p>
        </w:tc>
      </w:tr>
      <w:tr w:rsidR="003346B5" w:rsidRPr="003346B5" w14:paraId="36D3AA27" w14:textId="77777777" w:rsidTr="003346B5">
        <w:tc>
          <w:tcPr>
            <w:tcW w:w="2133" w:type="pct"/>
          </w:tcPr>
          <w:p w14:paraId="410024E8" w14:textId="77777777" w:rsidR="003346B5" w:rsidRPr="003346B5" w:rsidRDefault="003346B5" w:rsidP="003346B5">
            <w:pPr>
              <w:pStyle w:val="aff2"/>
              <w:spacing w:before="0" w:after="0"/>
              <w:jc w:val="left"/>
              <w:rPr>
                <w:rFonts w:cs="Arial"/>
                <w:sz w:val="21"/>
                <w:szCs w:val="21"/>
              </w:rPr>
            </w:pPr>
            <w:r w:rsidRPr="003346B5">
              <w:rPr>
                <w:rFonts w:cs="Arial" w:hint="eastAsia"/>
                <w:sz w:val="21"/>
                <w:szCs w:val="21"/>
              </w:rPr>
              <w:t>资源及时供应</w:t>
            </w:r>
          </w:p>
        </w:tc>
        <w:tc>
          <w:tcPr>
            <w:tcW w:w="759" w:type="pct"/>
          </w:tcPr>
          <w:p w14:paraId="3D94B09F" w14:textId="77777777" w:rsidR="003346B5" w:rsidRPr="003346B5" w:rsidRDefault="003346B5" w:rsidP="003346B5">
            <w:pPr>
              <w:pStyle w:val="aff2"/>
              <w:spacing w:before="0" w:after="0"/>
              <w:rPr>
                <w:rFonts w:cs="Times New Roman"/>
                <w:sz w:val="21"/>
                <w:szCs w:val="21"/>
              </w:rPr>
            </w:pPr>
            <w:r w:rsidRPr="003346B5">
              <w:rPr>
                <w:rFonts w:cs="Times New Roman"/>
                <w:sz w:val="21"/>
                <w:szCs w:val="21"/>
              </w:rPr>
              <w:t>0.977</w:t>
            </w:r>
          </w:p>
        </w:tc>
        <w:tc>
          <w:tcPr>
            <w:tcW w:w="991" w:type="pct"/>
          </w:tcPr>
          <w:p w14:paraId="0C48A386" w14:textId="77777777" w:rsidR="003346B5" w:rsidRPr="003346B5" w:rsidRDefault="003346B5" w:rsidP="003346B5">
            <w:pPr>
              <w:pStyle w:val="aff2"/>
              <w:spacing w:before="0" w:after="0"/>
              <w:rPr>
                <w:rFonts w:cs="Times New Roman"/>
                <w:sz w:val="21"/>
                <w:szCs w:val="21"/>
              </w:rPr>
            </w:pPr>
          </w:p>
        </w:tc>
        <w:tc>
          <w:tcPr>
            <w:tcW w:w="1117" w:type="pct"/>
          </w:tcPr>
          <w:p w14:paraId="59B60466" w14:textId="77777777" w:rsidR="003346B5" w:rsidRPr="003346B5" w:rsidRDefault="003346B5" w:rsidP="003346B5">
            <w:pPr>
              <w:pStyle w:val="aff2"/>
              <w:spacing w:before="0" w:after="0"/>
              <w:rPr>
                <w:rFonts w:cs="Times New Roman"/>
                <w:sz w:val="21"/>
                <w:szCs w:val="21"/>
              </w:rPr>
            </w:pPr>
          </w:p>
        </w:tc>
      </w:tr>
      <w:tr w:rsidR="003346B5" w:rsidRPr="003346B5" w14:paraId="41EAD1BF" w14:textId="77777777" w:rsidTr="003346B5">
        <w:tc>
          <w:tcPr>
            <w:tcW w:w="2133" w:type="pct"/>
          </w:tcPr>
          <w:p w14:paraId="71335FA0" w14:textId="77777777" w:rsidR="003346B5" w:rsidRPr="003346B5" w:rsidRDefault="003346B5" w:rsidP="003346B5">
            <w:pPr>
              <w:pStyle w:val="aff2"/>
              <w:spacing w:before="0" w:after="0"/>
              <w:jc w:val="left"/>
              <w:rPr>
                <w:rFonts w:cs="Arial"/>
                <w:sz w:val="21"/>
                <w:szCs w:val="21"/>
              </w:rPr>
            </w:pPr>
            <w:r w:rsidRPr="003346B5">
              <w:rPr>
                <w:rFonts w:cs="Arial" w:hint="eastAsia"/>
                <w:sz w:val="21"/>
                <w:szCs w:val="21"/>
              </w:rPr>
              <w:t>内外部资源共享</w:t>
            </w:r>
          </w:p>
        </w:tc>
        <w:tc>
          <w:tcPr>
            <w:tcW w:w="759" w:type="pct"/>
          </w:tcPr>
          <w:p w14:paraId="5AE86593" w14:textId="77777777" w:rsidR="003346B5" w:rsidRPr="003346B5" w:rsidRDefault="003346B5" w:rsidP="003346B5">
            <w:pPr>
              <w:pStyle w:val="aff2"/>
              <w:spacing w:before="0" w:after="0"/>
              <w:rPr>
                <w:rFonts w:cs="Times New Roman"/>
                <w:sz w:val="21"/>
                <w:szCs w:val="21"/>
              </w:rPr>
            </w:pPr>
            <w:r w:rsidRPr="003346B5">
              <w:rPr>
                <w:rFonts w:cs="Times New Roman"/>
                <w:sz w:val="21"/>
                <w:szCs w:val="21"/>
              </w:rPr>
              <w:t>0.976</w:t>
            </w:r>
          </w:p>
        </w:tc>
        <w:tc>
          <w:tcPr>
            <w:tcW w:w="991" w:type="pct"/>
          </w:tcPr>
          <w:p w14:paraId="208D9A56" w14:textId="77777777" w:rsidR="003346B5" w:rsidRPr="003346B5" w:rsidRDefault="003346B5" w:rsidP="003346B5">
            <w:pPr>
              <w:pStyle w:val="aff2"/>
              <w:spacing w:before="0" w:after="0"/>
              <w:rPr>
                <w:rFonts w:cs="Times New Roman"/>
                <w:sz w:val="21"/>
                <w:szCs w:val="21"/>
              </w:rPr>
            </w:pPr>
          </w:p>
        </w:tc>
        <w:tc>
          <w:tcPr>
            <w:tcW w:w="1117" w:type="pct"/>
          </w:tcPr>
          <w:p w14:paraId="7366983A" w14:textId="77777777" w:rsidR="003346B5" w:rsidRPr="003346B5" w:rsidRDefault="003346B5" w:rsidP="003346B5">
            <w:pPr>
              <w:pStyle w:val="aff2"/>
              <w:spacing w:before="0" w:after="0"/>
              <w:rPr>
                <w:rFonts w:cs="Times New Roman"/>
                <w:sz w:val="21"/>
                <w:szCs w:val="21"/>
              </w:rPr>
            </w:pPr>
          </w:p>
        </w:tc>
      </w:tr>
      <w:tr w:rsidR="003346B5" w:rsidRPr="003346B5" w14:paraId="73EC198E" w14:textId="77777777" w:rsidTr="003346B5">
        <w:tc>
          <w:tcPr>
            <w:tcW w:w="2133" w:type="pct"/>
          </w:tcPr>
          <w:p w14:paraId="687D5CC8" w14:textId="77777777" w:rsidR="003346B5" w:rsidRPr="003346B5" w:rsidRDefault="003346B5" w:rsidP="003346B5">
            <w:pPr>
              <w:pStyle w:val="aff2"/>
              <w:spacing w:before="0" w:after="0"/>
              <w:jc w:val="left"/>
              <w:rPr>
                <w:b/>
                <w:bCs/>
                <w:sz w:val="21"/>
                <w:szCs w:val="21"/>
              </w:rPr>
            </w:pPr>
            <w:r w:rsidRPr="003346B5">
              <w:rPr>
                <w:rFonts w:hint="eastAsia"/>
                <w:b/>
                <w:bCs/>
                <w:sz w:val="21"/>
                <w:szCs w:val="21"/>
              </w:rPr>
              <w:t>5</w:t>
            </w:r>
            <w:r w:rsidRPr="003346B5">
              <w:rPr>
                <w:b/>
                <w:bCs/>
                <w:sz w:val="21"/>
                <w:szCs w:val="21"/>
              </w:rPr>
              <w:t>.</w:t>
            </w:r>
            <w:r w:rsidRPr="003346B5">
              <w:rPr>
                <w:rFonts w:hint="eastAsia"/>
                <w:b/>
                <w:bCs/>
                <w:sz w:val="21"/>
                <w:szCs w:val="21"/>
              </w:rPr>
              <w:t xml:space="preserve"> </w:t>
            </w:r>
            <w:r w:rsidRPr="003346B5">
              <w:rPr>
                <w:rFonts w:hint="eastAsia"/>
                <w:b/>
                <w:bCs/>
                <w:sz w:val="21"/>
                <w:szCs w:val="21"/>
              </w:rPr>
              <w:t>伙伴关系</w:t>
            </w:r>
          </w:p>
        </w:tc>
        <w:tc>
          <w:tcPr>
            <w:tcW w:w="759" w:type="pct"/>
          </w:tcPr>
          <w:p w14:paraId="2C5D610A" w14:textId="77777777" w:rsidR="003346B5" w:rsidRPr="003346B5" w:rsidRDefault="003346B5" w:rsidP="003346B5">
            <w:pPr>
              <w:pStyle w:val="aff2"/>
              <w:spacing w:before="0" w:after="0"/>
              <w:rPr>
                <w:rFonts w:cs="Times New Roman"/>
                <w:sz w:val="21"/>
                <w:szCs w:val="21"/>
              </w:rPr>
            </w:pPr>
          </w:p>
        </w:tc>
        <w:tc>
          <w:tcPr>
            <w:tcW w:w="991" w:type="pct"/>
          </w:tcPr>
          <w:p w14:paraId="15608431" w14:textId="77777777" w:rsidR="003346B5" w:rsidRPr="003346B5" w:rsidRDefault="003346B5" w:rsidP="003346B5">
            <w:pPr>
              <w:pStyle w:val="aff2"/>
              <w:spacing w:before="0" w:after="0"/>
              <w:rPr>
                <w:rFonts w:cs="Times New Roman"/>
                <w:b/>
                <w:bCs/>
                <w:sz w:val="21"/>
                <w:szCs w:val="21"/>
              </w:rPr>
            </w:pPr>
            <w:r w:rsidRPr="003346B5">
              <w:rPr>
                <w:rFonts w:cs="Times New Roman"/>
                <w:b/>
                <w:bCs/>
                <w:sz w:val="21"/>
                <w:szCs w:val="21"/>
              </w:rPr>
              <w:t>0.986</w:t>
            </w:r>
          </w:p>
        </w:tc>
        <w:tc>
          <w:tcPr>
            <w:tcW w:w="1117" w:type="pct"/>
          </w:tcPr>
          <w:p w14:paraId="32BC112F" w14:textId="77777777" w:rsidR="003346B5" w:rsidRPr="003346B5" w:rsidRDefault="003346B5" w:rsidP="003346B5">
            <w:pPr>
              <w:pStyle w:val="aff2"/>
              <w:spacing w:before="0" w:after="0"/>
              <w:rPr>
                <w:rFonts w:cs="Times New Roman"/>
                <w:b/>
                <w:bCs/>
                <w:sz w:val="21"/>
                <w:szCs w:val="21"/>
              </w:rPr>
            </w:pPr>
            <w:r w:rsidRPr="003346B5">
              <w:rPr>
                <w:rFonts w:cs="Times New Roman"/>
                <w:b/>
                <w:bCs/>
                <w:sz w:val="21"/>
                <w:szCs w:val="21"/>
              </w:rPr>
              <w:t>0.972</w:t>
            </w:r>
          </w:p>
        </w:tc>
      </w:tr>
      <w:tr w:rsidR="003346B5" w:rsidRPr="003346B5" w14:paraId="7BDB2218" w14:textId="77777777" w:rsidTr="003346B5">
        <w:tc>
          <w:tcPr>
            <w:tcW w:w="2133" w:type="pct"/>
          </w:tcPr>
          <w:p w14:paraId="439D427D" w14:textId="77777777" w:rsidR="003346B5" w:rsidRPr="003346B5" w:rsidRDefault="003346B5" w:rsidP="003346B5">
            <w:pPr>
              <w:pStyle w:val="aff2"/>
              <w:spacing w:before="0" w:after="0"/>
              <w:jc w:val="left"/>
              <w:rPr>
                <w:rFonts w:cs="Arial"/>
                <w:sz w:val="21"/>
                <w:szCs w:val="21"/>
              </w:rPr>
            </w:pPr>
            <w:r w:rsidRPr="003346B5">
              <w:rPr>
                <w:rFonts w:cs="Arial" w:hint="eastAsia"/>
                <w:sz w:val="21"/>
                <w:szCs w:val="21"/>
              </w:rPr>
              <w:t>态度要素</w:t>
            </w:r>
          </w:p>
        </w:tc>
        <w:tc>
          <w:tcPr>
            <w:tcW w:w="759" w:type="pct"/>
          </w:tcPr>
          <w:p w14:paraId="030C9074" w14:textId="77777777" w:rsidR="003346B5" w:rsidRPr="003346B5" w:rsidRDefault="003346B5" w:rsidP="003346B5">
            <w:pPr>
              <w:pStyle w:val="aff2"/>
              <w:spacing w:before="0" w:after="0"/>
              <w:rPr>
                <w:rFonts w:cs="Times New Roman"/>
                <w:sz w:val="21"/>
                <w:szCs w:val="21"/>
              </w:rPr>
            </w:pPr>
            <w:r w:rsidRPr="003346B5">
              <w:rPr>
                <w:rFonts w:cs="Times New Roman"/>
                <w:sz w:val="21"/>
                <w:szCs w:val="21"/>
              </w:rPr>
              <w:t>0.987</w:t>
            </w:r>
          </w:p>
        </w:tc>
        <w:tc>
          <w:tcPr>
            <w:tcW w:w="991" w:type="pct"/>
          </w:tcPr>
          <w:p w14:paraId="140E59DB" w14:textId="77777777" w:rsidR="003346B5" w:rsidRPr="003346B5" w:rsidRDefault="003346B5" w:rsidP="003346B5">
            <w:pPr>
              <w:pStyle w:val="aff2"/>
              <w:spacing w:before="0" w:after="0"/>
              <w:rPr>
                <w:rFonts w:cs="Times New Roman"/>
                <w:sz w:val="21"/>
                <w:szCs w:val="21"/>
              </w:rPr>
            </w:pPr>
          </w:p>
        </w:tc>
        <w:tc>
          <w:tcPr>
            <w:tcW w:w="1117" w:type="pct"/>
          </w:tcPr>
          <w:p w14:paraId="0599E461" w14:textId="77777777" w:rsidR="003346B5" w:rsidRPr="003346B5" w:rsidRDefault="003346B5" w:rsidP="003346B5">
            <w:pPr>
              <w:pStyle w:val="aff2"/>
              <w:spacing w:before="0" w:after="0"/>
              <w:rPr>
                <w:rFonts w:cs="Times New Roman"/>
                <w:sz w:val="21"/>
                <w:szCs w:val="21"/>
              </w:rPr>
            </w:pPr>
          </w:p>
        </w:tc>
      </w:tr>
      <w:tr w:rsidR="003346B5" w:rsidRPr="003346B5" w14:paraId="5E18151F" w14:textId="77777777" w:rsidTr="003346B5">
        <w:tc>
          <w:tcPr>
            <w:tcW w:w="2133" w:type="pct"/>
          </w:tcPr>
          <w:p w14:paraId="20B7F027" w14:textId="77777777" w:rsidR="003346B5" w:rsidRPr="003346B5" w:rsidRDefault="003346B5" w:rsidP="003346B5">
            <w:pPr>
              <w:pStyle w:val="aff2"/>
              <w:spacing w:before="0" w:after="0"/>
              <w:jc w:val="left"/>
              <w:rPr>
                <w:rFonts w:cs="Arial"/>
                <w:sz w:val="21"/>
                <w:szCs w:val="21"/>
              </w:rPr>
            </w:pPr>
            <w:r w:rsidRPr="003346B5">
              <w:rPr>
                <w:rFonts w:cs="Arial" w:hint="eastAsia"/>
                <w:sz w:val="21"/>
                <w:szCs w:val="21"/>
              </w:rPr>
              <w:t>交流要素</w:t>
            </w:r>
          </w:p>
        </w:tc>
        <w:tc>
          <w:tcPr>
            <w:tcW w:w="759" w:type="pct"/>
          </w:tcPr>
          <w:p w14:paraId="4B84BE57" w14:textId="77777777" w:rsidR="003346B5" w:rsidRPr="003346B5" w:rsidRDefault="003346B5" w:rsidP="003346B5">
            <w:pPr>
              <w:pStyle w:val="aff2"/>
              <w:spacing w:before="0" w:after="0"/>
              <w:rPr>
                <w:rFonts w:cs="Times New Roman"/>
                <w:sz w:val="21"/>
                <w:szCs w:val="21"/>
              </w:rPr>
            </w:pPr>
            <w:r w:rsidRPr="003346B5">
              <w:rPr>
                <w:rFonts w:cs="Times New Roman"/>
                <w:sz w:val="21"/>
                <w:szCs w:val="21"/>
              </w:rPr>
              <w:t>0.986</w:t>
            </w:r>
          </w:p>
        </w:tc>
        <w:tc>
          <w:tcPr>
            <w:tcW w:w="991" w:type="pct"/>
          </w:tcPr>
          <w:p w14:paraId="3E86F5F5" w14:textId="77777777" w:rsidR="003346B5" w:rsidRPr="003346B5" w:rsidRDefault="003346B5" w:rsidP="003346B5">
            <w:pPr>
              <w:pStyle w:val="aff2"/>
              <w:spacing w:before="0" w:after="0"/>
              <w:rPr>
                <w:rFonts w:cs="Times New Roman"/>
                <w:sz w:val="21"/>
                <w:szCs w:val="21"/>
              </w:rPr>
            </w:pPr>
          </w:p>
        </w:tc>
        <w:tc>
          <w:tcPr>
            <w:tcW w:w="1117" w:type="pct"/>
          </w:tcPr>
          <w:p w14:paraId="5A96967D" w14:textId="77777777" w:rsidR="003346B5" w:rsidRPr="003346B5" w:rsidRDefault="003346B5" w:rsidP="003346B5">
            <w:pPr>
              <w:pStyle w:val="aff2"/>
              <w:spacing w:before="0" w:after="0"/>
              <w:rPr>
                <w:rFonts w:cs="Times New Roman"/>
                <w:sz w:val="21"/>
                <w:szCs w:val="21"/>
              </w:rPr>
            </w:pPr>
          </w:p>
        </w:tc>
      </w:tr>
      <w:tr w:rsidR="003346B5" w:rsidRPr="003346B5" w14:paraId="0F454FEB" w14:textId="77777777" w:rsidTr="003346B5">
        <w:tc>
          <w:tcPr>
            <w:tcW w:w="2133" w:type="pct"/>
          </w:tcPr>
          <w:p w14:paraId="5CEF2CB0" w14:textId="77777777" w:rsidR="003346B5" w:rsidRPr="003346B5" w:rsidRDefault="003346B5" w:rsidP="003346B5">
            <w:pPr>
              <w:pStyle w:val="aff2"/>
              <w:spacing w:before="0" w:after="0"/>
              <w:jc w:val="left"/>
              <w:rPr>
                <w:b/>
                <w:bCs/>
                <w:sz w:val="21"/>
                <w:szCs w:val="21"/>
              </w:rPr>
            </w:pPr>
            <w:r w:rsidRPr="003346B5">
              <w:rPr>
                <w:rFonts w:hint="eastAsia"/>
                <w:b/>
                <w:bCs/>
                <w:sz w:val="21"/>
                <w:szCs w:val="21"/>
              </w:rPr>
              <w:t>6</w:t>
            </w:r>
            <w:r w:rsidRPr="003346B5">
              <w:rPr>
                <w:b/>
                <w:bCs/>
                <w:sz w:val="21"/>
                <w:szCs w:val="21"/>
              </w:rPr>
              <w:t>.</w:t>
            </w:r>
            <w:r w:rsidRPr="003346B5">
              <w:rPr>
                <w:rFonts w:hint="eastAsia"/>
                <w:b/>
                <w:bCs/>
                <w:sz w:val="21"/>
                <w:szCs w:val="21"/>
              </w:rPr>
              <w:t xml:space="preserve"> </w:t>
            </w:r>
            <w:r w:rsidRPr="003346B5">
              <w:rPr>
                <w:rFonts w:hint="eastAsia"/>
                <w:b/>
                <w:bCs/>
                <w:sz w:val="21"/>
                <w:szCs w:val="21"/>
              </w:rPr>
              <w:t>项目群实施</w:t>
            </w:r>
          </w:p>
        </w:tc>
        <w:tc>
          <w:tcPr>
            <w:tcW w:w="759" w:type="pct"/>
          </w:tcPr>
          <w:p w14:paraId="5E924164" w14:textId="77777777" w:rsidR="003346B5" w:rsidRPr="003346B5" w:rsidRDefault="003346B5" w:rsidP="003346B5">
            <w:pPr>
              <w:pStyle w:val="aff2"/>
              <w:spacing w:before="0" w:after="0"/>
              <w:rPr>
                <w:rFonts w:cs="Times New Roman"/>
                <w:sz w:val="21"/>
                <w:szCs w:val="21"/>
              </w:rPr>
            </w:pPr>
          </w:p>
        </w:tc>
        <w:tc>
          <w:tcPr>
            <w:tcW w:w="991" w:type="pct"/>
          </w:tcPr>
          <w:p w14:paraId="2BE370EC" w14:textId="77777777" w:rsidR="003346B5" w:rsidRPr="003346B5" w:rsidRDefault="003346B5" w:rsidP="003346B5">
            <w:pPr>
              <w:pStyle w:val="aff2"/>
              <w:spacing w:before="0" w:after="0"/>
              <w:rPr>
                <w:rFonts w:cs="Times New Roman"/>
                <w:b/>
                <w:bCs/>
                <w:sz w:val="21"/>
                <w:szCs w:val="21"/>
              </w:rPr>
            </w:pPr>
            <w:r w:rsidRPr="003346B5">
              <w:rPr>
                <w:rFonts w:cs="Times New Roman"/>
                <w:b/>
                <w:bCs/>
                <w:sz w:val="21"/>
                <w:szCs w:val="21"/>
              </w:rPr>
              <w:t>0.969</w:t>
            </w:r>
          </w:p>
        </w:tc>
        <w:tc>
          <w:tcPr>
            <w:tcW w:w="1117" w:type="pct"/>
          </w:tcPr>
          <w:p w14:paraId="4F6FCE2C" w14:textId="77777777" w:rsidR="003346B5" w:rsidRPr="003346B5" w:rsidRDefault="003346B5" w:rsidP="003346B5">
            <w:pPr>
              <w:pStyle w:val="aff2"/>
              <w:spacing w:before="0" w:after="0"/>
              <w:rPr>
                <w:rFonts w:cs="Times New Roman"/>
                <w:b/>
                <w:bCs/>
                <w:sz w:val="21"/>
                <w:szCs w:val="21"/>
              </w:rPr>
            </w:pPr>
            <w:r w:rsidRPr="003346B5">
              <w:rPr>
                <w:rFonts w:cs="Times New Roman"/>
                <w:b/>
                <w:bCs/>
                <w:sz w:val="21"/>
                <w:szCs w:val="21"/>
              </w:rPr>
              <w:t>0.952</w:t>
            </w:r>
          </w:p>
        </w:tc>
      </w:tr>
      <w:tr w:rsidR="003346B5" w:rsidRPr="003346B5" w14:paraId="3F130B22" w14:textId="77777777" w:rsidTr="003346B5">
        <w:tc>
          <w:tcPr>
            <w:tcW w:w="2133" w:type="pct"/>
          </w:tcPr>
          <w:p w14:paraId="7117AD5B" w14:textId="77777777" w:rsidR="003346B5" w:rsidRPr="003346B5" w:rsidRDefault="003346B5" w:rsidP="003346B5">
            <w:pPr>
              <w:pStyle w:val="aff2"/>
              <w:spacing w:before="0" w:after="0"/>
              <w:jc w:val="left"/>
              <w:rPr>
                <w:rFonts w:cs="Arial"/>
                <w:sz w:val="21"/>
                <w:szCs w:val="21"/>
              </w:rPr>
            </w:pPr>
            <w:r w:rsidRPr="003346B5">
              <w:rPr>
                <w:rFonts w:cs="Arial" w:hint="eastAsia"/>
                <w:sz w:val="21"/>
                <w:szCs w:val="21"/>
              </w:rPr>
              <w:t>设计</w:t>
            </w:r>
          </w:p>
        </w:tc>
        <w:tc>
          <w:tcPr>
            <w:tcW w:w="759" w:type="pct"/>
          </w:tcPr>
          <w:p w14:paraId="346264BC" w14:textId="77777777" w:rsidR="003346B5" w:rsidRPr="003346B5" w:rsidRDefault="003346B5" w:rsidP="003346B5">
            <w:pPr>
              <w:widowControl/>
              <w:ind w:firstLineChars="0" w:firstLine="0"/>
              <w:jc w:val="center"/>
              <w:rPr>
                <w:rFonts w:ascii="Calibri" w:eastAsia="等线" w:hAnsi="Calibri" w:cs="Calibri"/>
                <w:color w:val="006400"/>
                <w:kern w:val="0"/>
                <w:sz w:val="21"/>
                <w:szCs w:val="21"/>
              </w:rPr>
            </w:pPr>
            <w:r w:rsidRPr="003346B5">
              <w:rPr>
                <w:rFonts w:cs="Times New Roman"/>
                <w:sz w:val="21"/>
                <w:szCs w:val="21"/>
              </w:rPr>
              <w:t>0.947</w:t>
            </w:r>
          </w:p>
        </w:tc>
        <w:tc>
          <w:tcPr>
            <w:tcW w:w="991" w:type="pct"/>
          </w:tcPr>
          <w:p w14:paraId="3DBF50B2" w14:textId="77777777" w:rsidR="003346B5" w:rsidRPr="003346B5" w:rsidRDefault="003346B5" w:rsidP="003346B5">
            <w:pPr>
              <w:pStyle w:val="aff2"/>
              <w:spacing w:before="0" w:after="0"/>
              <w:rPr>
                <w:rFonts w:cs="Times New Roman"/>
                <w:sz w:val="21"/>
                <w:szCs w:val="21"/>
              </w:rPr>
            </w:pPr>
          </w:p>
        </w:tc>
        <w:tc>
          <w:tcPr>
            <w:tcW w:w="1117" w:type="pct"/>
          </w:tcPr>
          <w:p w14:paraId="6F8792AE" w14:textId="77777777" w:rsidR="003346B5" w:rsidRPr="003346B5" w:rsidRDefault="003346B5" w:rsidP="003346B5">
            <w:pPr>
              <w:pStyle w:val="aff2"/>
              <w:spacing w:before="0" w:after="0"/>
              <w:rPr>
                <w:rFonts w:cs="Times New Roman"/>
                <w:sz w:val="21"/>
                <w:szCs w:val="21"/>
              </w:rPr>
            </w:pPr>
          </w:p>
        </w:tc>
      </w:tr>
      <w:tr w:rsidR="003346B5" w:rsidRPr="003346B5" w14:paraId="38DD1A56" w14:textId="77777777" w:rsidTr="003346B5">
        <w:tc>
          <w:tcPr>
            <w:tcW w:w="2133" w:type="pct"/>
          </w:tcPr>
          <w:p w14:paraId="589EDCCF" w14:textId="77777777" w:rsidR="003346B5" w:rsidRPr="003346B5" w:rsidRDefault="003346B5" w:rsidP="003346B5">
            <w:pPr>
              <w:pStyle w:val="aff2"/>
              <w:spacing w:before="0" w:after="0"/>
              <w:jc w:val="left"/>
              <w:rPr>
                <w:rFonts w:cs="Arial"/>
                <w:sz w:val="21"/>
                <w:szCs w:val="21"/>
              </w:rPr>
            </w:pPr>
            <w:r w:rsidRPr="003346B5">
              <w:rPr>
                <w:rFonts w:cs="Arial" w:hint="eastAsia"/>
                <w:sz w:val="21"/>
                <w:szCs w:val="21"/>
              </w:rPr>
              <w:t>施工</w:t>
            </w:r>
          </w:p>
        </w:tc>
        <w:tc>
          <w:tcPr>
            <w:tcW w:w="759" w:type="pct"/>
          </w:tcPr>
          <w:p w14:paraId="6189D9A6" w14:textId="77777777" w:rsidR="003346B5" w:rsidRPr="003346B5" w:rsidRDefault="003346B5" w:rsidP="003346B5">
            <w:pPr>
              <w:pStyle w:val="aff2"/>
              <w:spacing w:before="0" w:after="0"/>
              <w:rPr>
                <w:rFonts w:cs="Times New Roman"/>
                <w:sz w:val="21"/>
                <w:szCs w:val="21"/>
              </w:rPr>
            </w:pPr>
            <w:r w:rsidRPr="003346B5">
              <w:rPr>
                <w:rFonts w:cs="Times New Roman"/>
                <w:sz w:val="21"/>
                <w:szCs w:val="21"/>
              </w:rPr>
              <w:t>0.954</w:t>
            </w:r>
          </w:p>
        </w:tc>
        <w:tc>
          <w:tcPr>
            <w:tcW w:w="991" w:type="pct"/>
          </w:tcPr>
          <w:p w14:paraId="006F9717" w14:textId="77777777" w:rsidR="003346B5" w:rsidRPr="003346B5" w:rsidRDefault="003346B5" w:rsidP="003346B5">
            <w:pPr>
              <w:pStyle w:val="aff2"/>
              <w:spacing w:before="0" w:after="0"/>
              <w:rPr>
                <w:rFonts w:cs="Times New Roman"/>
                <w:sz w:val="21"/>
                <w:szCs w:val="21"/>
              </w:rPr>
            </w:pPr>
          </w:p>
        </w:tc>
        <w:tc>
          <w:tcPr>
            <w:tcW w:w="1117" w:type="pct"/>
          </w:tcPr>
          <w:p w14:paraId="54040267" w14:textId="77777777" w:rsidR="003346B5" w:rsidRPr="003346B5" w:rsidRDefault="003346B5" w:rsidP="003346B5">
            <w:pPr>
              <w:pStyle w:val="aff2"/>
              <w:spacing w:before="0" w:after="0"/>
              <w:rPr>
                <w:rFonts w:cs="Times New Roman"/>
                <w:sz w:val="21"/>
                <w:szCs w:val="21"/>
              </w:rPr>
            </w:pPr>
          </w:p>
        </w:tc>
      </w:tr>
      <w:tr w:rsidR="003346B5" w:rsidRPr="003346B5" w14:paraId="5A61A7BF" w14:textId="77777777" w:rsidTr="003346B5">
        <w:tc>
          <w:tcPr>
            <w:tcW w:w="2133" w:type="pct"/>
          </w:tcPr>
          <w:p w14:paraId="15483048" w14:textId="77777777" w:rsidR="003346B5" w:rsidRPr="003346B5" w:rsidRDefault="003346B5" w:rsidP="003346B5">
            <w:pPr>
              <w:pStyle w:val="aff2"/>
              <w:spacing w:before="0" w:after="0"/>
              <w:jc w:val="left"/>
              <w:rPr>
                <w:rFonts w:cs="Arial"/>
                <w:sz w:val="21"/>
                <w:szCs w:val="21"/>
              </w:rPr>
            </w:pPr>
            <w:r w:rsidRPr="003346B5">
              <w:rPr>
                <w:rFonts w:cs="Arial" w:hint="eastAsia"/>
                <w:sz w:val="21"/>
                <w:szCs w:val="21"/>
              </w:rPr>
              <w:lastRenderedPageBreak/>
              <w:t>采购</w:t>
            </w:r>
          </w:p>
        </w:tc>
        <w:tc>
          <w:tcPr>
            <w:tcW w:w="759" w:type="pct"/>
          </w:tcPr>
          <w:p w14:paraId="0D71083C" w14:textId="77777777" w:rsidR="003346B5" w:rsidRPr="003346B5" w:rsidRDefault="003346B5" w:rsidP="003346B5">
            <w:pPr>
              <w:pStyle w:val="aff2"/>
              <w:spacing w:before="0" w:after="0"/>
              <w:rPr>
                <w:rFonts w:cs="Times New Roman"/>
                <w:sz w:val="21"/>
                <w:szCs w:val="21"/>
              </w:rPr>
            </w:pPr>
            <w:r w:rsidRPr="003346B5">
              <w:rPr>
                <w:rFonts w:cs="Times New Roman"/>
                <w:sz w:val="21"/>
                <w:szCs w:val="21"/>
              </w:rPr>
              <w:t>0.964</w:t>
            </w:r>
          </w:p>
        </w:tc>
        <w:tc>
          <w:tcPr>
            <w:tcW w:w="991" w:type="pct"/>
          </w:tcPr>
          <w:p w14:paraId="4455A39D" w14:textId="77777777" w:rsidR="003346B5" w:rsidRPr="003346B5" w:rsidRDefault="003346B5" w:rsidP="003346B5">
            <w:pPr>
              <w:pStyle w:val="aff2"/>
              <w:spacing w:before="0" w:after="0"/>
              <w:rPr>
                <w:rFonts w:cs="Times New Roman"/>
                <w:sz w:val="21"/>
                <w:szCs w:val="21"/>
              </w:rPr>
            </w:pPr>
          </w:p>
        </w:tc>
        <w:tc>
          <w:tcPr>
            <w:tcW w:w="1117" w:type="pct"/>
          </w:tcPr>
          <w:p w14:paraId="24729242" w14:textId="77777777" w:rsidR="003346B5" w:rsidRPr="003346B5" w:rsidRDefault="003346B5" w:rsidP="003346B5">
            <w:pPr>
              <w:pStyle w:val="aff2"/>
              <w:spacing w:before="0" w:after="0"/>
              <w:rPr>
                <w:rFonts w:cs="Times New Roman"/>
                <w:sz w:val="21"/>
                <w:szCs w:val="21"/>
              </w:rPr>
            </w:pPr>
          </w:p>
        </w:tc>
      </w:tr>
      <w:tr w:rsidR="003346B5" w:rsidRPr="003346B5" w14:paraId="1CFBFB6E" w14:textId="77777777" w:rsidTr="003346B5">
        <w:tc>
          <w:tcPr>
            <w:tcW w:w="2133" w:type="pct"/>
          </w:tcPr>
          <w:p w14:paraId="6F6D25F2" w14:textId="77777777" w:rsidR="003346B5" w:rsidRPr="003346B5" w:rsidRDefault="003346B5" w:rsidP="003346B5">
            <w:pPr>
              <w:pStyle w:val="aff2"/>
              <w:spacing w:before="0" w:after="0"/>
              <w:jc w:val="left"/>
              <w:rPr>
                <w:rFonts w:cs="Arial"/>
                <w:b/>
                <w:bCs/>
                <w:sz w:val="21"/>
                <w:szCs w:val="21"/>
              </w:rPr>
            </w:pPr>
            <w:r w:rsidRPr="003346B5">
              <w:rPr>
                <w:rFonts w:hint="eastAsia"/>
                <w:b/>
                <w:bCs/>
                <w:sz w:val="21"/>
                <w:szCs w:val="21"/>
              </w:rPr>
              <w:t>7</w:t>
            </w:r>
            <w:r w:rsidRPr="003346B5">
              <w:rPr>
                <w:b/>
                <w:bCs/>
                <w:sz w:val="21"/>
                <w:szCs w:val="21"/>
              </w:rPr>
              <w:t>.</w:t>
            </w:r>
            <w:r w:rsidRPr="003346B5">
              <w:rPr>
                <w:rFonts w:hint="eastAsia"/>
                <w:b/>
                <w:bCs/>
                <w:sz w:val="21"/>
                <w:szCs w:val="21"/>
              </w:rPr>
              <w:t xml:space="preserve"> </w:t>
            </w:r>
            <w:r w:rsidRPr="003346B5">
              <w:rPr>
                <w:rFonts w:hint="eastAsia"/>
                <w:b/>
                <w:bCs/>
                <w:sz w:val="21"/>
                <w:szCs w:val="21"/>
              </w:rPr>
              <w:t>项目群运营</w:t>
            </w:r>
          </w:p>
        </w:tc>
        <w:tc>
          <w:tcPr>
            <w:tcW w:w="759" w:type="pct"/>
          </w:tcPr>
          <w:p w14:paraId="4955B3C4" w14:textId="77777777" w:rsidR="003346B5" w:rsidRPr="003346B5" w:rsidRDefault="003346B5" w:rsidP="003346B5">
            <w:pPr>
              <w:pStyle w:val="aff2"/>
              <w:spacing w:before="0" w:after="0"/>
              <w:rPr>
                <w:rFonts w:cs="Times New Roman"/>
                <w:b/>
                <w:bCs/>
                <w:sz w:val="21"/>
                <w:szCs w:val="21"/>
              </w:rPr>
            </w:pPr>
          </w:p>
        </w:tc>
        <w:tc>
          <w:tcPr>
            <w:tcW w:w="991" w:type="pct"/>
          </w:tcPr>
          <w:p w14:paraId="77DE53F8" w14:textId="77777777" w:rsidR="003346B5" w:rsidRPr="003346B5" w:rsidRDefault="003346B5" w:rsidP="003346B5">
            <w:pPr>
              <w:pStyle w:val="aff2"/>
              <w:spacing w:before="0" w:after="0"/>
              <w:rPr>
                <w:rFonts w:cs="Times New Roman"/>
                <w:b/>
                <w:bCs/>
                <w:sz w:val="21"/>
                <w:szCs w:val="21"/>
              </w:rPr>
            </w:pPr>
            <w:r w:rsidRPr="003346B5">
              <w:rPr>
                <w:rFonts w:cs="Times New Roman"/>
                <w:b/>
                <w:bCs/>
                <w:sz w:val="21"/>
                <w:szCs w:val="21"/>
              </w:rPr>
              <w:t>0.967</w:t>
            </w:r>
          </w:p>
        </w:tc>
        <w:tc>
          <w:tcPr>
            <w:tcW w:w="1117" w:type="pct"/>
          </w:tcPr>
          <w:p w14:paraId="27485545" w14:textId="77777777" w:rsidR="003346B5" w:rsidRPr="003346B5" w:rsidRDefault="003346B5" w:rsidP="003346B5">
            <w:pPr>
              <w:pStyle w:val="aff2"/>
              <w:spacing w:before="0" w:after="0"/>
              <w:rPr>
                <w:rFonts w:cs="Times New Roman"/>
                <w:b/>
                <w:bCs/>
                <w:sz w:val="21"/>
                <w:szCs w:val="21"/>
              </w:rPr>
            </w:pPr>
            <w:r w:rsidRPr="003346B5">
              <w:rPr>
                <w:rFonts w:cs="Times New Roman"/>
                <w:b/>
                <w:bCs/>
                <w:sz w:val="21"/>
                <w:szCs w:val="21"/>
              </w:rPr>
              <w:t>0.960</w:t>
            </w:r>
          </w:p>
        </w:tc>
      </w:tr>
      <w:tr w:rsidR="003346B5" w:rsidRPr="003346B5" w14:paraId="0BB880DB" w14:textId="77777777" w:rsidTr="003346B5">
        <w:tc>
          <w:tcPr>
            <w:tcW w:w="2133" w:type="pct"/>
          </w:tcPr>
          <w:p w14:paraId="09E969C1" w14:textId="77777777" w:rsidR="003346B5" w:rsidRPr="003346B5" w:rsidRDefault="003346B5" w:rsidP="003346B5">
            <w:pPr>
              <w:pStyle w:val="aff2"/>
              <w:spacing w:before="0" w:after="0"/>
              <w:jc w:val="left"/>
              <w:rPr>
                <w:sz w:val="21"/>
                <w:szCs w:val="21"/>
              </w:rPr>
            </w:pPr>
            <w:r w:rsidRPr="003346B5">
              <w:rPr>
                <w:rFonts w:hint="eastAsia"/>
                <w:sz w:val="21"/>
                <w:szCs w:val="21"/>
              </w:rPr>
              <w:t>发电能力达标</w:t>
            </w:r>
          </w:p>
        </w:tc>
        <w:tc>
          <w:tcPr>
            <w:tcW w:w="759" w:type="pct"/>
            <w:vAlign w:val="top"/>
          </w:tcPr>
          <w:p w14:paraId="5A8ACCD4" w14:textId="77777777" w:rsidR="003346B5" w:rsidRPr="003346B5" w:rsidRDefault="003346B5" w:rsidP="003346B5">
            <w:pPr>
              <w:pStyle w:val="aff2"/>
              <w:spacing w:before="0" w:after="0"/>
              <w:rPr>
                <w:rFonts w:cs="Times New Roman"/>
                <w:sz w:val="21"/>
                <w:szCs w:val="21"/>
              </w:rPr>
            </w:pPr>
            <w:r w:rsidRPr="003346B5">
              <w:rPr>
                <w:sz w:val="21"/>
                <w:szCs w:val="21"/>
              </w:rPr>
              <w:t>0.914</w:t>
            </w:r>
          </w:p>
        </w:tc>
        <w:tc>
          <w:tcPr>
            <w:tcW w:w="991" w:type="pct"/>
          </w:tcPr>
          <w:p w14:paraId="19E0D84E" w14:textId="77777777" w:rsidR="003346B5" w:rsidRPr="003346B5" w:rsidRDefault="003346B5" w:rsidP="003346B5">
            <w:pPr>
              <w:pStyle w:val="aff2"/>
              <w:spacing w:before="0" w:after="0"/>
              <w:rPr>
                <w:rFonts w:cs="Times New Roman"/>
                <w:sz w:val="21"/>
                <w:szCs w:val="21"/>
              </w:rPr>
            </w:pPr>
          </w:p>
        </w:tc>
        <w:tc>
          <w:tcPr>
            <w:tcW w:w="1117" w:type="pct"/>
          </w:tcPr>
          <w:p w14:paraId="61D6E267" w14:textId="77777777" w:rsidR="003346B5" w:rsidRPr="003346B5" w:rsidRDefault="003346B5" w:rsidP="003346B5">
            <w:pPr>
              <w:pStyle w:val="aff2"/>
              <w:spacing w:before="0" w:after="0"/>
              <w:rPr>
                <w:rFonts w:cs="Times New Roman"/>
                <w:sz w:val="21"/>
                <w:szCs w:val="21"/>
              </w:rPr>
            </w:pPr>
          </w:p>
        </w:tc>
      </w:tr>
      <w:tr w:rsidR="003346B5" w:rsidRPr="003346B5" w14:paraId="0E998D27" w14:textId="77777777" w:rsidTr="003346B5">
        <w:tc>
          <w:tcPr>
            <w:tcW w:w="2133" w:type="pct"/>
          </w:tcPr>
          <w:p w14:paraId="40341991" w14:textId="77777777" w:rsidR="003346B5" w:rsidRPr="003346B5" w:rsidRDefault="003346B5" w:rsidP="003346B5">
            <w:pPr>
              <w:pStyle w:val="aff2"/>
              <w:spacing w:before="0" w:after="0"/>
              <w:jc w:val="left"/>
              <w:rPr>
                <w:sz w:val="21"/>
                <w:szCs w:val="21"/>
              </w:rPr>
            </w:pPr>
            <w:r w:rsidRPr="003346B5">
              <w:rPr>
                <w:rFonts w:hint="eastAsia"/>
                <w:sz w:val="21"/>
                <w:szCs w:val="21"/>
              </w:rPr>
              <w:t>项目顺利并网</w:t>
            </w:r>
          </w:p>
        </w:tc>
        <w:tc>
          <w:tcPr>
            <w:tcW w:w="759" w:type="pct"/>
            <w:vAlign w:val="top"/>
          </w:tcPr>
          <w:p w14:paraId="29C59882" w14:textId="77777777" w:rsidR="003346B5" w:rsidRPr="003346B5" w:rsidRDefault="003346B5" w:rsidP="003346B5">
            <w:pPr>
              <w:pStyle w:val="aff2"/>
              <w:spacing w:before="0" w:after="0"/>
              <w:rPr>
                <w:rFonts w:cs="Times New Roman"/>
                <w:sz w:val="21"/>
                <w:szCs w:val="21"/>
              </w:rPr>
            </w:pPr>
            <w:r w:rsidRPr="003346B5">
              <w:rPr>
                <w:sz w:val="21"/>
                <w:szCs w:val="21"/>
              </w:rPr>
              <w:t>0.894</w:t>
            </w:r>
          </w:p>
        </w:tc>
        <w:tc>
          <w:tcPr>
            <w:tcW w:w="991" w:type="pct"/>
          </w:tcPr>
          <w:p w14:paraId="1C787BFC" w14:textId="77777777" w:rsidR="003346B5" w:rsidRPr="003346B5" w:rsidRDefault="003346B5" w:rsidP="003346B5">
            <w:pPr>
              <w:pStyle w:val="aff2"/>
              <w:spacing w:before="0" w:after="0"/>
              <w:rPr>
                <w:rFonts w:cs="Times New Roman"/>
                <w:sz w:val="21"/>
                <w:szCs w:val="21"/>
              </w:rPr>
            </w:pPr>
          </w:p>
        </w:tc>
        <w:tc>
          <w:tcPr>
            <w:tcW w:w="1117" w:type="pct"/>
          </w:tcPr>
          <w:p w14:paraId="55393455" w14:textId="77777777" w:rsidR="003346B5" w:rsidRPr="003346B5" w:rsidRDefault="003346B5" w:rsidP="003346B5">
            <w:pPr>
              <w:pStyle w:val="aff2"/>
              <w:spacing w:before="0" w:after="0"/>
              <w:rPr>
                <w:rFonts w:cs="Times New Roman"/>
                <w:sz w:val="21"/>
                <w:szCs w:val="21"/>
              </w:rPr>
            </w:pPr>
          </w:p>
        </w:tc>
      </w:tr>
    </w:tbl>
    <w:p w14:paraId="57362658" w14:textId="0BA29FC0" w:rsidR="00116F7D" w:rsidRDefault="00116F7D" w:rsidP="003079D0">
      <w:pPr>
        <w:pStyle w:val="afa"/>
        <w:keepNext/>
        <w:spacing w:beforeLines="50" w:before="156"/>
      </w:pPr>
      <w:bookmarkStart w:id="30" w:name="_Ref174355896"/>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0F2689">
        <w:rPr>
          <w:noProof/>
        </w:rPr>
        <w:t>11</w:t>
      </w:r>
      <w:r>
        <w:fldChar w:fldCharType="end"/>
      </w:r>
      <w:bookmarkEnd w:id="30"/>
      <w:r>
        <w:rPr>
          <w:rFonts w:hint="eastAsia"/>
        </w:rPr>
        <w:t xml:space="preserve"> </w:t>
      </w:r>
      <w:r w:rsidRPr="00116F7D">
        <w:rPr>
          <w:rFonts w:hint="eastAsia"/>
        </w:rPr>
        <w:t>收敛效度和区别效度检验结果</w:t>
      </w:r>
    </w:p>
    <w:tbl>
      <w:tblPr>
        <w:tblStyle w:val="aff4"/>
        <w:tblW w:w="5000" w:type="pct"/>
        <w:tblLook w:val="04A0" w:firstRow="1" w:lastRow="0" w:firstColumn="1" w:lastColumn="0" w:noHBand="0" w:noVBand="1"/>
      </w:tblPr>
      <w:tblGrid>
        <w:gridCol w:w="2657"/>
        <w:gridCol w:w="782"/>
        <w:gridCol w:w="782"/>
        <w:gridCol w:w="782"/>
        <w:gridCol w:w="782"/>
        <w:gridCol w:w="781"/>
        <w:gridCol w:w="781"/>
        <w:gridCol w:w="781"/>
        <w:gridCol w:w="781"/>
        <w:gridCol w:w="785"/>
      </w:tblGrid>
      <w:tr w:rsidR="003346B5" w:rsidRPr="003346B5" w14:paraId="0C67B390" w14:textId="77777777" w:rsidTr="003346B5">
        <w:trPr>
          <w:cnfStyle w:val="100000000000" w:firstRow="1" w:lastRow="0" w:firstColumn="0" w:lastColumn="0" w:oddVBand="0" w:evenVBand="0" w:oddHBand="0" w:evenHBand="0" w:firstRowFirstColumn="0" w:firstRowLastColumn="0" w:lastRowFirstColumn="0" w:lastRowLastColumn="0"/>
          <w:trHeight w:val="20"/>
        </w:trPr>
        <w:tc>
          <w:tcPr>
            <w:tcW w:w="1370" w:type="pct"/>
            <w:vMerge w:val="restart"/>
            <w:tcBorders>
              <w:top w:val="single" w:sz="12" w:space="0" w:color="auto"/>
            </w:tcBorders>
          </w:tcPr>
          <w:p w14:paraId="6B36B827" w14:textId="77777777" w:rsidR="003346B5" w:rsidRPr="003346B5" w:rsidRDefault="003346B5" w:rsidP="003346B5">
            <w:pPr>
              <w:pStyle w:val="table"/>
              <w:spacing w:before="0" w:after="0"/>
              <w:rPr>
                <w:b/>
                <w:bCs/>
                <w:sz w:val="21"/>
                <w:szCs w:val="21"/>
              </w:rPr>
            </w:pPr>
            <w:r w:rsidRPr="003346B5">
              <w:rPr>
                <w:rFonts w:hint="eastAsia"/>
                <w:b/>
                <w:bCs/>
                <w:sz w:val="21"/>
                <w:szCs w:val="21"/>
              </w:rPr>
              <w:t>潜变量</w:t>
            </w:r>
          </w:p>
        </w:tc>
        <w:tc>
          <w:tcPr>
            <w:tcW w:w="403" w:type="pct"/>
            <w:vMerge w:val="restart"/>
            <w:tcBorders>
              <w:top w:val="single" w:sz="12" w:space="0" w:color="auto"/>
            </w:tcBorders>
          </w:tcPr>
          <w:p w14:paraId="2D43A31C" w14:textId="77777777" w:rsidR="003346B5" w:rsidRPr="003346B5" w:rsidRDefault="003346B5" w:rsidP="003346B5">
            <w:pPr>
              <w:pStyle w:val="table"/>
              <w:spacing w:before="0" w:after="0"/>
              <w:rPr>
                <w:b/>
                <w:bCs/>
                <w:sz w:val="21"/>
                <w:szCs w:val="21"/>
              </w:rPr>
            </w:pPr>
            <w:r w:rsidRPr="003346B5">
              <w:rPr>
                <w:rFonts w:hint="eastAsia"/>
                <w:b/>
                <w:bCs/>
                <w:sz w:val="21"/>
                <w:szCs w:val="21"/>
              </w:rPr>
              <w:t>A</w:t>
            </w:r>
            <w:r w:rsidRPr="003346B5">
              <w:rPr>
                <w:b/>
                <w:bCs/>
                <w:sz w:val="21"/>
                <w:szCs w:val="21"/>
              </w:rPr>
              <w:t>VE</w:t>
            </w:r>
          </w:p>
        </w:tc>
        <w:tc>
          <w:tcPr>
            <w:tcW w:w="3226" w:type="pct"/>
            <w:gridSpan w:val="8"/>
            <w:tcBorders>
              <w:top w:val="single" w:sz="12" w:space="0" w:color="auto"/>
            </w:tcBorders>
          </w:tcPr>
          <w:p w14:paraId="16D5353A" w14:textId="77777777" w:rsidR="003346B5" w:rsidRPr="003346B5" w:rsidRDefault="003346B5" w:rsidP="003346B5">
            <w:pPr>
              <w:pStyle w:val="table"/>
              <w:spacing w:before="0" w:after="0"/>
              <w:rPr>
                <w:b/>
                <w:bCs/>
                <w:sz w:val="21"/>
                <w:szCs w:val="21"/>
              </w:rPr>
            </w:pPr>
            <w:r w:rsidRPr="003346B5">
              <w:rPr>
                <w:rFonts w:hint="eastAsia"/>
                <w:b/>
                <w:bCs/>
                <w:sz w:val="21"/>
                <w:szCs w:val="21"/>
              </w:rPr>
              <w:t>相关系数和</w:t>
            </w:r>
            <w:r w:rsidRPr="003346B5">
              <w:rPr>
                <w:rFonts w:hint="eastAsia"/>
                <w:b/>
                <w:bCs/>
                <w:sz w:val="21"/>
                <w:szCs w:val="21"/>
              </w:rPr>
              <w:t>AVE</w:t>
            </w:r>
            <w:r w:rsidRPr="003346B5">
              <w:rPr>
                <w:rFonts w:hint="eastAsia"/>
                <w:b/>
                <w:bCs/>
                <w:sz w:val="21"/>
                <w:szCs w:val="21"/>
              </w:rPr>
              <w:t>平方根</w:t>
            </w:r>
          </w:p>
        </w:tc>
      </w:tr>
      <w:tr w:rsidR="003346B5" w:rsidRPr="003346B5" w14:paraId="229E62FD" w14:textId="77777777" w:rsidTr="003346B5">
        <w:trPr>
          <w:trHeight w:val="20"/>
        </w:trPr>
        <w:tc>
          <w:tcPr>
            <w:tcW w:w="1370" w:type="pct"/>
            <w:vMerge/>
            <w:tcBorders>
              <w:bottom w:val="single" w:sz="4" w:space="0" w:color="auto"/>
            </w:tcBorders>
          </w:tcPr>
          <w:p w14:paraId="0160455A" w14:textId="77777777" w:rsidR="003346B5" w:rsidRPr="003346B5" w:rsidRDefault="003346B5" w:rsidP="003346B5">
            <w:pPr>
              <w:pStyle w:val="table"/>
              <w:spacing w:before="0" w:after="0"/>
              <w:rPr>
                <w:b/>
                <w:bCs/>
                <w:sz w:val="21"/>
                <w:szCs w:val="21"/>
              </w:rPr>
            </w:pPr>
          </w:p>
        </w:tc>
        <w:tc>
          <w:tcPr>
            <w:tcW w:w="403" w:type="pct"/>
            <w:vMerge/>
            <w:tcBorders>
              <w:bottom w:val="single" w:sz="4" w:space="0" w:color="auto"/>
            </w:tcBorders>
          </w:tcPr>
          <w:p w14:paraId="65513D59" w14:textId="77777777" w:rsidR="003346B5" w:rsidRPr="003346B5" w:rsidRDefault="003346B5" w:rsidP="003346B5">
            <w:pPr>
              <w:pStyle w:val="table"/>
              <w:spacing w:before="0" w:after="0"/>
              <w:rPr>
                <w:b/>
                <w:bCs/>
                <w:sz w:val="21"/>
                <w:szCs w:val="21"/>
              </w:rPr>
            </w:pPr>
          </w:p>
        </w:tc>
        <w:tc>
          <w:tcPr>
            <w:tcW w:w="403" w:type="pct"/>
            <w:tcBorders>
              <w:bottom w:val="single" w:sz="4" w:space="0" w:color="auto"/>
            </w:tcBorders>
          </w:tcPr>
          <w:p w14:paraId="78AB6D40" w14:textId="77777777" w:rsidR="003346B5" w:rsidRPr="003346B5" w:rsidRDefault="003346B5" w:rsidP="003346B5">
            <w:pPr>
              <w:pStyle w:val="table"/>
              <w:spacing w:before="0" w:after="0"/>
              <w:rPr>
                <w:b/>
                <w:bCs/>
                <w:sz w:val="21"/>
                <w:szCs w:val="21"/>
              </w:rPr>
            </w:pPr>
            <w:r w:rsidRPr="003346B5">
              <w:rPr>
                <w:rFonts w:hint="eastAsia"/>
                <w:b/>
                <w:bCs/>
                <w:sz w:val="21"/>
                <w:szCs w:val="21"/>
              </w:rPr>
              <w:t>1</w:t>
            </w:r>
          </w:p>
        </w:tc>
        <w:tc>
          <w:tcPr>
            <w:tcW w:w="403" w:type="pct"/>
            <w:tcBorders>
              <w:bottom w:val="single" w:sz="4" w:space="0" w:color="auto"/>
            </w:tcBorders>
          </w:tcPr>
          <w:p w14:paraId="638B2776" w14:textId="77777777" w:rsidR="003346B5" w:rsidRPr="003346B5" w:rsidRDefault="003346B5" w:rsidP="003346B5">
            <w:pPr>
              <w:pStyle w:val="table"/>
              <w:spacing w:before="0" w:after="0"/>
              <w:rPr>
                <w:b/>
                <w:bCs/>
                <w:sz w:val="21"/>
                <w:szCs w:val="21"/>
              </w:rPr>
            </w:pPr>
            <w:r w:rsidRPr="003346B5">
              <w:rPr>
                <w:rFonts w:hint="eastAsia"/>
                <w:b/>
                <w:bCs/>
                <w:sz w:val="21"/>
                <w:szCs w:val="21"/>
              </w:rPr>
              <w:t>2</w:t>
            </w:r>
          </w:p>
        </w:tc>
        <w:tc>
          <w:tcPr>
            <w:tcW w:w="403" w:type="pct"/>
            <w:tcBorders>
              <w:bottom w:val="single" w:sz="4" w:space="0" w:color="auto"/>
            </w:tcBorders>
          </w:tcPr>
          <w:p w14:paraId="6C75B367" w14:textId="77777777" w:rsidR="003346B5" w:rsidRPr="003346B5" w:rsidRDefault="003346B5" w:rsidP="003346B5">
            <w:pPr>
              <w:pStyle w:val="table"/>
              <w:spacing w:before="0" w:after="0"/>
              <w:rPr>
                <w:b/>
                <w:bCs/>
                <w:sz w:val="21"/>
                <w:szCs w:val="21"/>
              </w:rPr>
            </w:pPr>
            <w:r w:rsidRPr="003346B5">
              <w:rPr>
                <w:rFonts w:hint="eastAsia"/>
                <w:b/>
                <w:bCs/>
                <w:sz w:val="21"/>
                <w:szCs w:val="21"/>
              </w:rPr>
              <w:t>3</w:t>
            </w:r>
          </w:p>
        </w:tc>
        <w:tc>
          <w:tcPr>
            <w:tcW w:w="403" w:type="pct"/>
            <w:tcBorders>
              <w:bottom w:val="single" w:sz="4" w:space="0" w:color="auto"/>
            </w:tcBorders>
          </w:tcPr>
          <w:p w14:paraId="7A7078F1" w14:textId="77777777" w:rsidR="003346B5" w:rsidRPr="003346B5" w:rsidRDefault="003346B5" w:rsidP="003346B5">
            <w:pPr>
              <w:pStyle w:val="table"/>
              <w:spacing w:before="0" w:after="0"/>
              <w:rPr>
                <w:b/>
                <w:bCs/>
                <w:sz w:val="21"/>
                <w:szCs w:val="21"/>
              </w:rPr>
            </w:pPr>
            <w:r w:rsidRPr="003346B5">
              <w:rPr>
                <w:rFonts w:hint="eastAsia"/>
                <w:b/>
                <w:bCs/>
                <w:sz w:val="21"/>
                <w:szCs w:val="21"/>
              </w:rPr>
              <w:t>4</w:t>
            </w:r>
          </w:p>
        </w:tc>
        <w:tc>
          <w:tcPr>
            <w:tcW w:w="403" w:type="pct"/>
            <w:tcBorders>
              <w:bottom w:val="single" w:sz="4" w:space="0" w:color="auto"/>
            </w:tcBorders>
          </w:tcPr>
          <w:p w14:paraId="47DC9F93" w14:textId="77777777" w:rsidR="003346B5" w:rsidRPr="003346B5" w:rsidRDefault="003346B5" w:rsidP="003346B5">
            <w:pPr>
              <w:pStyle w:val="table"/>
              <w:spacing w:before="0" w:after="0"/>
              <w:rPr>
                <w:b/>
                <w:bCs/>
                <w:sz w:val="21"/>
                <w:szCs w:val="21"/>
              </w:rPr>
            </w:pPr>
            <w:r w:rsidRPr="003346B5">
              <w:rPr>
                <w:rFonts w:hint="eastAsia"/>
                <w:b/>
                <w:bCs/>
                <w:sz w:val="21"/>
                <w:szCs w:val="21"/>
              </w:rPr>
              <w:t>5</w:t>
            </w:r>
          </w:p>
        </w:tc>
        <w:tc>
          <w:tcPr>
            <w:tcW w:w="403" w:type="pct"/>
            <w:tcBorders>
              <w:bottom w:val="single" w:sz="4" w:space="0" w:color="auto"/>
            </w:tcBorders>
          </w:tcPr>
          <w:p w14:paraId="75E2A523" w14:textId="77777777" w:rsidR="003346B5" w:rsidRPr="003346B5" w:rsidRDefault="003346B5" w:rsidP="003346B5">
            <w:pPr>
              <w:pStyle w:val="table"/>
              <w:spacing w:before="0" w:after="0"/>
              <w:rPr>
                <w:b/>
                <w:bCs/>
                <w:sz w:val="21"/>
                <w:szCs w:val="21"/>
              </w:rPr>
            </w:pPr>
            <w:r w:rsidRPr="003346B5">
              <w:rPr>
                <w:rFonts w:hint="eastAsia"/>
                <w:b/>
                <w:bCs/>
                <w:sz w:val="21"/>
                <w:szCs w:val="21"/>
              </w:rPr>
              <w:t>6</w:t>
            </w:r>
          </w:p>
        </w:tc>
        <w:tc>
          <w:tcPr>
            <w:tcW w:w="403" w:type="pct"/>
            <w:tcBorders>
              <w:bottom w:val="single" w:sz="4" w:space="0" w:color="auto"/>
            </w:tcBorders>
          </w:tcPr>
          <w:p w14:paraId="12E62EA5" w14:textId="77777777" w:rsidR="003346B5" w:rsidRPr="003346B5" w:rsidRDefault="003346B5" w:rsidP="003346B5">
            <w:pPr>
              <w:pStyle w:val="table"/>
              <w:spacing w:before="0" w:after="0"/>
              <w:rPr>
                <w:b/>
                <w:bCs/>
                <w:sz w:val="21"/>
                <w:szCs w:val="21"/>
              </w:rPr>
            </w:pPr>
            <w:r w:rsidRPr="003346B5">
              <w:rPr>
                <w:rFonts w:hint="eastAsia"/>
                <w:b/>
                <w:bCs/>
                <w:sz w:val="21"/>
                <w:szCs w:val="21"/>
              </w:rPr>
              <w:t>7</w:t>
            </w:r>
          </w:p>
        </w:tc>
        <w:tc>
          <w:tcPr>
            <w:tcW w:w="403" w:type="pct"/>
            <w:tcBorders>
              <w:bottom w:val="single" w:sz="4" w:space="0" w:color="auto"/>
            </w:tcBorders>
          </w:tcPr>
          <w:p w14:paraId="23983E65" w14:textId="77777777" w:rsidR="003346B5" w:rsidRPr="003346B5" w:rsidRDefault="003346B5" w:rsidP="003346B5">
            <w:pPr>
              <w:pStyle w:val="table"/>
              <w:spacing w:before="0" w:after="0"/>
              <w:rPr>
                <w:b/>
                <w:bCs/>
                <w:sz w:val="21"/>
                <w:szCs w:val="21"/>
              </w:rPr>
            </w:pPr>
            <w:r w:rsidRPr="003346B5">
              <w:rPr>
                <w:rFonts w:hint="eastAsia"/>
                <w:b/>
                <w:bCs/>
                <w:sz w:val="21"/>
                <w:szCs w:val="21"/>
              </w:rPr>
              <w:t>8</w:t>
            </w:r>
          </w:p>
        </w:tc>
      </w:tr>
      <w:tr w:rsidR="003346B5" w:rsidRPr="003346B5" w14:paraId="0A9F7CB1" w14:textId="77777777" w:rsidTr="003346B5">
        <w:trPr>
          <w:trHeight w:val="20"/>
        </w:trPr>
        <w:tc>
          <w:tcPr>
            <w:tcW w:w="1370" w:type="pct"/>
            <w:tcBorders>
              <w:top w:val="single" w:sz="4" w:space="0" w:color="auto"/>
            </w:tcBorders>
          </w:tcPr>
          <w:p w14:paraId="31484387" w14:textId="77777777" w:rsidR="003346B5" w:rsidRPr="003346B5" w:rsidRDefault="003346B5" w:rsidP="003346B5">
            <w:pPr>
              <w:pStyle w:val="table"/>
              <w:adjustRightInd/>
              <w:snapToGrid/>
              <w:spacing w:before="0" w:after="0"/>
              <w:jc w:val="both"/>
              <w:rPr>
                <w:sz w:val="21"/>
                <w:szCs w:val="21"/>
              </w:rPr>
            </w:pPr>
            <w:r w:rsidRPr="003346B5">
              <w:rPr>
                <w:rFonts w:hint="eastAsia"/>
                <w:sz w:val="21"/>
                <w:szCs w:val="21"/>
              </w:rPr>
              <w:t xml:space="preserve">1. </w:t>
            </w:r>
            <w:r w:rsidRPr="003346B5">
              <w:rPr>
                <w:rFonts w:hint="eastAsia"/>
                <w:sz w:val="21"/>
                <w:szCs w:val="21"/>
              </w:rPr>
              <w:t>外部条件</w:t>
            </w:r>
          </w:p>
        </w:tc>
        <w:tc>
          <w:tcPr>
            <w:tcW w:w="403" w:type="pct"/>
            <w:tcBorders>
              <w:top w:val="single" w:sz="4" w:space="0" w:color="auto"/>
            </w:tcBorders>
          </w:tcPr>
          <w:p w14:paraId="3C534DB0" w14:textId="77777777" w:rsidR="003346B5" w:rsidRPr="003346B5" w:rsidRDefault="003346B5" w:rsidP="003346B5">
            <w:pPr>
              <w:pStyle w:val="table"/>
              <w:adjustRightInd/>
              <w:snapToGrid/>
              <w:spacing w:before="0" w:after="0"/>
              <w:rPr>
                <w:rFonts w:cs="Times New Roman"/>
                <w:color w:val="000000" w:themeColor="text1"/>
                <w:sz w:val="21"/>
                <w:szCs w:val="21"/>
              </w:rPr>
            </w:pPr>
            <w:r w:rsidRPr="003346B5">
              <w:rPr>
                <w:sz w:val="21"/>
                <w:szCs w:val="21"/>
              </w:rPr>
              <w:t>0.792</w:t>
            </w:r>
          </w:p>
        </w:tc>
        <w:tc>
          <w:tcPr>
            <w:tcW w:w="403" w:type="pct"/>
            <w:tcBorders>
              <w:top w:val="single" w:sz="4" w:space="0" w:color="auto"/>
            </w:tcBorders>
          </w:tcPr>
          <w:p w14:paraId="62D822E4" w14:textId="77777777" w:rsidR="003346B5" w:rsidRPr="003346B5" w:rsidRDefault="003346B5" w:rsidP="003346B5">
            <w:pPr>
              <w:pStyle w:val="table"/>
              <w:adjustRightInd/>
              <w:snapToGrid/>
              <w:spacing w:before="0" w:after="0"/>
              <w:rPr>
                <w:rFonts w:cs="Times New Roman"/>
                <w:color w:val="000000" w:themeColor="text1"/>
                <w:sz w:val="21"/>
                <w:szCs w:val="21"/>
              </w:rPr>
            </w:pPr>
            <w:r w:rsidRPr="003346B5">
              <w:rPr>
                <w:sz w:val="21"/>
                <w:szCs w:val="21"/>
              </w:rPr>
              <w:t>0.890</w:t>
            </w:r>
          </w:p>
        </w:tc>
        <w:tc>
          <w:tcPr>
            <w:tcW w:w="403" w:type="pct"/>
            <w:tcBorders>
              <w:top w:val="single" w:sz="4" w:space="0" w:color="auto"/>
            </w:tcBorders>
          </w:tcPr>
          <w:p w14:paraId="18BF6962" w14:textId="77777777" w:rsidR="003346B5" w:rsidRPr="003346B5" w:rsidRDefault="003346B5" w:rsidP="003346B5">
            <w:pPr>
              <w:pStyle w:val="table"/>
              <w:adjustRightInd/>
              <w:snapToGrid/>
              <w:spacing w:before="0" w:after="0"/>
              <w:rPr>
                <w:rFonts w:cs="Times New Roman"/>
                <w:color w:val="000000" w:themeColor="text1"/>
                <w:sz w:val="21"/>
                <w:szCs w:val="21"/>
              </w:rPr>
            </w:pPr>
          </w:p>
        </w:tc>
        <w:tc>
          <w:tcPr>
            <w:tcW w:w="403" w:type="pct"/>
            <w:tcBorders>
              <w:top w:val="single" w:sz="4" w:space="0" w:color="auto"/>
            </w:tcBorders>
          </w:tcPr>
          <w:p w14:paraId="023AA54E" w14:textId="77777777" w:rsidR="003346B5" w:rsidRPr="003346B5" w:rsidRDefault="003346B5" w:rsidP="003346B5">
            <w:pPr>
              <w:pStyle w:val="table"/>
              <w:adjustRightInd/>
              <w:snapToGrid/>
              <w:spacing w:before="0" w:after="0"/>
              <w:rPr>
                <w:rFonts w:cs="Times New Roman"/>
                <w:color w:val="000000" w:themeColor="text1"/>
                <w:sz w:val="21"/>
                <w:szCs w:val="21"/>
              </w:rPr>
            </w:pPr>
          </w:p>
        </w:tc>
        <w:tc>
          <w:tcPr>
            <w:tcW w:w="403" w:type="pct"/>
            <w:tcBorders>
              <w:top w:val="single" w:sz="4" w:space="0" w:color="auto"/>
            </w:tcBorders>
          </w:tcPr>
          <w:p w14:paraId="1EE44681" w14:textId="77777777" w:rsidR="003346B5" w:rsidRPr="003346B5" w:rsidRDefault="003346B5" w:rsidP="003346B5">
            <w:pPr>
              <w:pStyle w:val="table"/>
              <w:adjustRightInd/>
              <w:snapToGrid/>
              <w:spacing w:before="0" w:after="0"/>
              <w:rPr>
                <w:rFonts w:cs="Times New Roman"/>
                <w:color w:val="000000" w:themeColor="text1"/>
                <w:sz w:val="21"/>
                <w:szCs w:val="21"/>
              </w:rPr>
            </w:pPr>
          </w:p>
        </w:tc>
        <w:tc>
          <w:tcPr>
            <w:tcW w:w="403" w:type="pct"/>
            <w:tcBorders>
              <w:top w:val="single" w:sz="4" w:space="0" w:color="auto"/>
            </w:tcBorders>
          </w:tcPr>
          <w:p w14:paraId="367179F0" w14:textId="77777777" w:rsidR="003346B5" w:rsidRPr="003346B5" w:rsidRDefault="003346B5" w:rsidP="003346B5">
            <w:pPr>
              <w:pStyle w:val="table"/>
              <w:adjustRightInd/>
              <w:snapToGrid/>
              <w:spacing w:before="0" w:after="0"/>
              <w:rPr>
                <w:rFonts w:cs="Times New Roman"/>
                <w:color w:val="000000" w:themeColor="text1"/>
                <w:sz w:val="21"/>
                <w:szCs w:val="21"/>
              </w:rPr>
            </w:pPr>
          </w:p>
        </w:tc>
        <w:tc>
          <w:tcPr>
            <w:tcW w:w="403" w:type="pct"/>
            <w:tcBorders>
              <w:top w:val="single" w:sz="4" w:space="0" w:color="auto"/>
            </w:tcBorders>
          </w:tcPr>
          <w:p w14:paraId="3A5FCA13" w14:textId="77777777" w:rsidR="003346B5" w:rsidRPr="003346B5" w:rsidRDefault="003346B5" w:rsidP="003346B5">
            <w:pPr>
              <w:pStyle w:val="table"/>
              <w:adjustRightInd/>
              <w:snapToGrid/>
              <w:spacing w:before="0" w:after="0"/>
              <w:rPr>
                <w:rFonts w:cs="Times New Roman"/>
                <w:color w:val="000000" w:themeColor="text1"/>
                <w:sz w:val="21"/>
                <w:szCs w:val="21"/>
              </w:rPr>
            </w:pPr>
          </w:p>
        </w:tc>
        <w:tc>
          <w:tcPr>
            <w:tcW w:w="403" w:type="pct"/>
            <w:tcBorders>
              <w:top w:val="single" w:sz="4" w:space="0" w:color="auto"/>
            </w:tcBorders>
          </w:tcPr>
          <w:p w14:paraId="07D8053C" w14:textId="77777777" w:rsidR="003346B5" w:rsidRPr="003346B5" w:rsidRDefault="003346B5" w:rsidP="003346B5">
            <w:pPr>
              <w:pStyle w:val="table"/>
              <w:adjustRightInd/>
              <w:snapToGrid/>
              <w:spacing w:before="0" w:after="0"/>
              <w:rPr>
                <w:rFonts w:cs="Times New Roman"/>
                <w:color w:val="000000" w:themeColor="text1"/>
                <w:sz w:val="21"/>
                <w:szCs w:val="21"/>
              </w:rPr>
            </w:pPr>
          </w:p>
        </w:tc>
        <w:tc>
          <w:tcPr>
            <w:tcW w:w="403" w:type="pct"/>
            <w:tcBorders>
              <w:top w:val="single" w:sz="4" w:space="0" w:color="auto"/>
            </w:tcBorders>
          </w:tcPr>
          <w:p w14:paraId="054D8978" w14:textId="77777777" w:rsidR="003346B5" w:rsidRPr="003346B5" w:rsidRDefault="003346B5" w:rsidP="003346B5">
            <w:pPr>
              <w:pStyle w:val="table"/>
              <w:adjustRightInd/>
              <w:snapToGrid/>
              <w:spacing w:before="0" w:after="0"/>
              <w:rPr>
                <w:rFonts w:cs="Times New Roman"/>
                <w:color w:val="000000" w:themeColor="text1"/>
                <w:sz w:val="21"/>
                <w:szCs w:val="21"/>
              </w:rPr>
            </w:pPr>
          </w:p>
        </w:tc>
      </w:tr>
      <w:tr w:rsidR="003346B5" w:rsidRPr="003346B5" w14:paraId="7EEF176F" w14:textId="77777777" w:rsidTr="003346B5">
        <w:trPr>
          <w:trHeight w:val="20"/>
        </w:trPr>
        <w:tc>
          <w:tcPr>
            <w:tcW w:w="1370" w:type="pct"/>
          </w:tcPr>
          <w:p w14:paraId="237F3957" w14:textId="77777777" w:rsidR="003346B5" w:rsidRPr="003346B5" w:rsidRDefault="003346B5" w:rsidP="003346B5">
            <w:pPr>
              <w:pStyle w:val="table"/>
              <w:adjustRightInd/>
              <w:snapToGrid/>
              <w:spacing w:before="0" w:after="0"/>
              <w:jc w:val="both"/>
              <w:rPr>
                <w:sz w:val="21"/>
                <w:szCs w:val="21"/>
              </w:rPr>
            </w:pPr>
            <w:r w:rsidRPr="003346B5">
              <w:rPr>
                <w:rFonts w:hint="eastAsia"/>
                <w:sz w:val="21"/>
                <w:szCs w:val="21"/>
              </w:rPr>
              <w:t xml:space="preserve">2. </w:t>
            </w:r>
            <w:r w:rsidRPr="003346B5">
              <w:rPr>
                <w:rFonts w:hint="eastAsia"/>
                <w:sz w:val="21"/>
                <w:szCs w:val="21"/>
              </w:rPr>
              <w:t>业主项目群管理能力</w:t>
            </w:r>
          </w:p>
        </w:tc>
        <w:tc>
          <w:tcPr>
            <w:tcW w:w="403" w:type="pct"/>
          </w:tcPr>
          <w:p w14:paraId="62C78A6E" w14:textId="77777777" w:rsidR="003346B5" w:rsidRPr="003346B5" w:rsidRDefault="003346B5" w:rsidP="003346B5">
            <w:pPr>
              <w:pStyle w:val="table"/>
              <w:adjustRightInd/>
              <w:snapToGrid/>
              <w:spacing w:before="0" w:after="0"/>
              <w:rPr>
                <w:rFonts w:cs="Times New Roman"/>
                <w:color w:val="000000" w:themeColor="text1"/>
                <w:sz w:val="21"/>
                <w:szCs w:val="21"/>
              </w:rPr>
            </w:pPr>
            <w:r w:rsidRPr="003346B5">
              <w:rPr>
                <w:sz w:val="21"/>
                <w:szCs w:val="21"/>
              </w:rPr>
              <w:t>0.916</w:t>
            </w:r>
          </w:p>
        </w:tc>
        <w:tc>
          <w:tcPr>
            <w:tcW w:w="403" w:type="pct"/>
          </w:tcPr>
          <w:p w14:paraId="1C169746" w14:textId="77777777" w:rsidR="003346B5" w:rsidRPr="003346B5" w:rsidRDefault="003346B5" w:rsidP="003346B5">
            <w:pPr>
              <w:pStyle w:val="table"/>
              <w:adjustRightInd/>
              <w:snapToGrid/>
              <w:spacing w:before="0" w:after="0"/>
              <w:rPr>
                <w:rFonts w:cs="Times New Roman"/>
                <w:color w:val="000000" w:themeColor="text1"/>
                <w:sz w:val="21"/>
                <w:szCs w:val="21"/>
              </w:rPr>
            </w:pPr>
            <w:r w:rsidRPr="003346B5">
              <w:rPr>
                <w:sz w:val="21"/>
                <w:szCs w:val="21"/>
              </w:rPr>
              <w:t>0.664</w:t>
            </w:r>
          </w:p>
        </w:tc>
        <w:tc>
          <w:tcPr>
            <w:tcW w:w="403" w:type="pct"/>
          </w:tcPr>
          <w:p w14:paraId="29B60ED4" w14:textId="77777777" w:rsidR="003346B5" w:rsidRPr="003346B5" w:rsidRDefault="003346B5" w:rsidP="003346B5">
            <w:pPr>
              <w:pStyle w:val="table"/>
              <w:adjustRightInd/>
              <w:snapToGrid/>
              <w:spacing w:before="0" w:after="0"/>
              <w:rPr>
                <w:rFonts w:cs="Times New Roman"/>
                <w:color w:val="000000" w:themeColor="text1"/>
                <w:sz w:val="21"/>
                <w:szCs w:val="21"/>
              </w:rPr>
            </w:pPr>
            <w:r w:rsidRPr="003346B5">
              <w:rPr>
                <w:sz w:val="21"/>
                <w:szCs w:val="21"/>
              </w:rPr>
              <w:t>0.957</w:t>
            </w:r>
          </w:p>
        </w:tc>
        <w:tc>
          <w:tcPr>
            <w:tcW w:w="403" w:type="pct"/>
          </w:tcPr>
          <w:p w14:paraId="4863AFE9" w14:textId="77777777" w:rsidR="003346B5" w:rsidRPr="003346B5" w:rsidRDefault="003346B5" w:rsidP="003346B5">
            <w:pPr>
              <w:pStyle w:val="table"/>
              <w:adjustRightInd/>
              <w:snapToGrid/>
              <w:spacing w:before="0" w:after="0"/>
              <w:rPr>
                <w:rFonts w:cs="Times New Roman"/>
                <w:color w:val="000000" w:themeColor="text1"/>
                <w:sz w:val="21"/>
                <w:szCs w:val="21"/>
              </w:rPr>
            </w:pPr>
          </w:p>
        </w:tc>
        <w:tc>
          <w:tcPr>
            <w:tcW w:w="403" w:type="pct"/>
          </w:tcPr>
          <w:p w14:paraId="33604FC4" w14:textId="77777777" w:rsidR="003346B5" w:rsidRPr="003346B5" w:rsidRDefault="003346B5" w:rsidP="003346B5">
            <w:pPr>
              <w:pStyle w:val="table"/>
              <w:adjustRightInd/>
              <w:snapToGrid/>
              <w:spacing w:before="0" w:after="0"/>
              <w:rPr>
                <w:rFonts w:cs="Times New Roman"/>
                <w:color w:val="000000" w:themeColor="text1"/>
                <w:sz w:val="21"/>
                <w:szCs w:val="21"/>
              </w:rPr>
            </w:pPr>
          </w:p>
        </w:tc>
        <w:tc>
          <w:tcPr>
            <w:tcW w:w="403" w:type="pct"/>
          </w:tcPr>
          <w:p w14:paraId="10E0EF0B" w14:textId="77777777" w:rsidR="003346B5" w:rsidRPr="003346B5" w:rsidRDefault="003346B5" w:rsidP="003346B5">
            <w:pPr>
              <w:pStyle w:val="table"/>
              <w:adjustRightInd/>
              <w:snapToGrid/>
              <w:spacing w:before="0" w:after="0"/>
              <w:rPr>
                <w:rFonts w:cs="Times New Roman"/>
                <w:color w:val="000000" w:themeColor="text1"/>
                <w:sz w:val="21"/>
                <w:szCs w:val="21"/>
              </w:rPr>
            </w:pPr>
          </w:p>
        </w:tc>
        <w:tc>
          <w:tcPr>
            <w:tcW w:w="403" w:type="pct"/>
          </w:tcPr>
          <w:p w14:paraId="203F2E7F" w14:textId="77777777" w:rsidR="003346B5" w:rsidRPr="003346B5" w:rsidRDefault="003346B5" w:rsidP="003346B5">
            <w:pPr>
              <w:pStyle w:val="table"/>
              <w:adjustRightInd/>
              <w:snapToGrid/>
              <w:spacing w:before="0" w:after="0"/>
              <w:rPr>
                <w:rFonts w:cs="Times New Roman"/>
                <w:color w:val="000000" w:themeColor="text1"/>
                <w:sz w:val="21"/>
                <w:szCs w:val="21"/>
              </w:rPr>
            </w:pPr>
          </w:p>
        </w:tc>
        <w:tc>
          <w:tcPr>
            <w:tcW w:w="403" w:type="pct"/>
          </w:tcPr>
          <w:p w14:paraId="32E78C23" w14:textId="77777777" w:rsidR="003346B5" w:rsidRPr="003346B5" w:rsidRDefault="003346B5" w:rsidP="003346B5">
            <w:pPr>
              <w:pStyle w:val="table"/>
              <w:adjustRightInd/>
              <w:snapToGrid/>
              <w:spacing w:before="0" w:after="0"/>
              <w:rPr>
                <w:rFonts w:cs="Times New Roman"/>
                <w:color w:val="000000" w:themeColor="text1"/>
                <w:sz w:val="21"/>
                <w:szCs w:val="21"/>
              </w:rPr>
            </w:pPr>
          </w:p>
        </w:tc>
        <w:tc>
          <w:tcPr>
            <w:tcW w:w="403" w:type="pct"/>
          </w:tcPr>
          <w:p w14:paraId="77F7F7EC" w14:textId="77777777" w:rsidR="003346B5" w:rsidRPr="003346B5" w:rsidRDefault="003346B5" w:rsidP="003346B5">
            <w:pPr>
              <w:pStyle w:val="table"/>
              <w:adjustRightInd/>
              <w:snapToGrid/>
              <w:spacing w:before="0" w:after="0"/>
              <w:rPr>
                <w:rFonts w:cs="Times New Roman"/>
                <w:color w:val="000000" w:themeColor="text1"/>
                <w:sz w:val="21"/>
                <w:szCs w:val="21"/>
              </w:rPr>
            </w:pPr>
          </w:p>
        </w:tc>
      </w:tr>
      <w:tr w:rsidR="003346B5" w:rsidRPr="003346B5" w14:paraId="25F40940" w14:textId="77777777" w:rsidTr="003346B5">
        <w:trPr>
          <w:trHeight w:val="20"/>
        </w:trPr>
        <w:tc>
          <w:tcPr>
            <w:tcW w:w="1370" w:type="pct"/>
          </w:tcPr>
          <w:p w14:paraId="35630386" w14:textId="77777777" w:rsidR="003346B5" w:rsidRPr="003346B5" w:rsidRDefault="003346B5" w:rsidP="003346B5">
            <w:pPr>
              <w:pStyle w:val="table"/>
              <w:adjustRightInd/>
              <w:snapToGrid/>
              <w:spacing w:before="0" w:after="0"/>
              <w:jc w:val="both"/>
              <w:rPr>
                <w:sz w:val="21"/>
                <w:szCs w:val="21"/>
              </w:rPr>
            </w:pPr>
            <w:r w:rsidRPr="003346B5">
              <w:rPr>
                <w:rFonts w:hint="eastAsia"/>
                <w:sz w:val="21"/>
                <w:szCs w:val="21"/>
              </w:rPr>
              <w:t xml:space="preserve">3. </w:t>
            </w:r>
            <w:r w:rsidRPr="003346B5">
              <w:rPr>
                <w:rFonts w:hint="eastAsia"/>
                <w:sz w:val="21"/>
                <w:szCs w:val="21"/>
              </w:rPr>
              <w:t>管理制度</w:t>
            </w:r>
          </w:p>
        </w:tc>
        <w:tc>
          <w:tcPr>
            <w:tcW w:w="403" w:type="pct"/>
          </w:tcPr>
          <w:p w14:paraId="328AEB72" w14:textId="77777777" w:rsidR="003346B5" w:rsidRPr="003346B5" w:rsidRDefault="003346B5" w:rsidP="003346B5">
            <w:pPr>
              <w:pStyle w:val="table"/>
              <w:adjustRightInd/>
              <w:snapToGrid/>
              <w:spacing w:before="0" w:after="0"/>
              <w:rPr>
                <w:rFonts w:cs="Times New Roman"/>
                <w:color w:val="000000" w:themeColor="text1"/>
                <w:sz w:val="21"/>
                <w:szCs w:val="21"/>
              </w:rPr>
            </w:pPr>
            <w:r w:rsidRPr="003346B5">
              <w:rPr>
                <w:sz w:val="21"/>
                <w:szCs w:val="21"/>
              </w:rPr>
              <w:t>0.962</w:t>
            </w:r>
          </w:p>
        </w:tc>
        <w:tc>
          <w:tcPr>
            <w:tcW w:w="403" w:type="pct"/>
          </w:tcPr>
          <w:p w14:paraId="16773DFF" w14:textId="77777777" w:rsidR="003346B5" w:rsidRPr="003346B5" w:rsidRDefault="003346B5" w:rsidP="003346B5">
            <w:pPr>
              <w:pStyle w:val="table"/>
              <w:adjustRightInd/>
              <w:snapToGrid/>
              <w:spacing w:before="0" w:after="0"/>
              <w:rPr>
                <w:rFonts w:cs="Times New Roman"/>
                <w:color w:val="000000" w:themeColor="text1"/>
                <w:sz w:val="21"/>
                <w:szCs w:val="21"/>
              </w:rPr>
            </w:pPr>
            <w:r w:rsidRPr="003346B5">
              <w:rPr>
                <w:sz w:val="21"/>
                <w:szCs w:val="21"/>
              </w:rPr>
              <w:t>0.810</w:t>
            </w:r>
          </w:p>
        </w:tc>
        <w:tc>
          <w:tcPr>
            <w:tcW w:w="403" w:type="pct"/>
          </w:tcPr>
          <w:p w14:paraId="77922159" w14:textId="77777777" w:rsidR="003346B5" w:rsidRPr="003346B5" w:rsidRDefault="003346B5" w:rsidP="003346B5">
            <w:pPr>
              <w:pStyle w:val="table"/>
              <w:adjustRightInd/>
              <w:snapToGrid/>
              <w:spacing w:before="0" w:after="0"/>
              <w:rPr>
                <w:rFonts w:cs="Times New Roman"/>
                <w:color w:val="000000" w:themeColor="text1"/>
                <w:sz w:val="21"/>
                <w:szCs w:val="21"/>
              </w:rPr>
            </w:pPr>
            <w:r w:rsidRPr="003346B5">
              <w:rPr>
                <w:sz w:val="21"/>
                <w:szCs w:val="21"/>
              </w:rPr>
              <w:t>0.803</w:t>
            </w:r>
          </w:p>
        </w:tc>
        <w:tc>
          <w:tcPr>
            <w:tcW w:w="403" w:type="pct"/>
          </w:tcPr>
          <w:p w14:paraId="3C1638A3" w14:textId="77777777" w:rsidR="003346B5" w:rsidRPr="003346B5" w:rsidRDefault="003346B5" w:rsidP="003346B5">
            <w:pPr>
              <w:pStyle w:val="table"/>
              <w:adjustRightInd/>
              <w:snapToGrid/>
              <w:spacing w:before="0" w:after="0"/>
              <w:rPr>
                <w:rFonts w:cs="Times New Roman"/>
                <w:color w:val="000000" w:themeColor="text1"/>
                <w:sz w:val="21"/>
                <w:szCs w:val="21"/>
              </w:rPr>
            </w:pPr>
            <w:r w:rsidRPr="003346B5">
              <w:rPr>
                <w:sz w:val="21"/>
                <w:szCs w:val="21"/>
              </w:rPr>
              <w:t>0.981</w:t>
            </w:r>
          </w:p>
        </w:tc>
        <w:tc>
          <w:tcPr>
            <w:tcW w:w="403" w:type="pct"/>
          </w:tcPr>
          <w:p w14:paraId="3B878EDF" w14:textId="77777777" w:rsidR="003346B5" w:rsidRPr="003346B5" w:rsidRDefault="003346B5" w:rsidP="003346B5">
            <w:pPr>
              <w:pStyle w:val="table"/>
              <w:adjustRightInd/>
              <w:snapToGrid/>
              <w:spacing w:before="0" w:after="0"/>
              <w:rPr>
                <w:rFonts w:cs="Times New Roman"/>
                <w:color w:val="000000" w:themeColor="text1"/>
                <w:sz w:val="21"/>
                <w:szCs w:val="21"/>
              </w:rPr>
            </w:pPr>
          </w:p>
        </w:tc>
        <w:tc>
          <w:tcPr>
            <w:tcW w:w="403" w:type="pct"/>
          </w:tcPr>
          <w:p w14:paraId="5A80C9B1" w14:textId="77777777" w:rsidR="003346B5" w:rsidRPr="003346B5" w:rsidRDefault="003346B5" w:rsidP="003346B5">
            <w:pPr>
              <w:pStyle w:val="table"/>
              <w:adjustRightInd/>
              <w:snapToGrid/>
              <w:spacing w:before="0" w:after="0"/>
              <w:rPr>
                <w:rFonts w:cs="Times New Roman"/>
                <w:color w:val="000000" w:themeColor="text1"/>
                <w:sz w:val="21"/>
                <w:szCs w:val="21"/>
              </w:rPr>
            </w:pPr>
          </w:p>
        </w:tc>
        <w:tc>
          <w:tcPr>
            <w:tcW w:w="403" w:type="pct"/>
          </w:tcPr>
          <w:p w14:paraId="19C66C7C" w14:textId="77777777" w:rsidR="003346B5" w:rsidRPr="003346B5" w:rsidRDefault="003346B5" w:rsidP="003346B5">
            <w:pPr>
              <w:pStyle w:val="table"/>
              <w:adjustRightInd/>
              <w:snapToGrid/>
              <w:spacing w:before="0" w:after="0"/>
              <w:rPr>
                <w:rFonts w:cs="Times New Roman"/>
                <w:color w:val="000000" w:themeColor="text1"/>
                <w:sz w:val="21"/>
                <w:szCs w:val="21"/>
              </w:rPr>
            </w:pPr>
          </w:p>
        </w:tc>
        <w:tc>
          <w:tcPr>
            <w:tcW w:w="403" w:type="pct"/>
          </w:tcPr>
          <w:p w14:paraId="6C3C9B13" w14:textId="77777777" w:rsidR="003346B5" w:rsidRPr="003346B5" w:rsidRDefault="003346B5" w:rsidP="003346B5">
            <w:pPr>
              <w:pStyle w:val="table"/>
              <w:adjustRightInd/>
              <w:snapToGrid/>
              <w:spacing w:before="0" w:after="0"/>
              <w:rPr>
                <w:rFonts w:cs="Times New Roman"/>
                <w:color w:val="000000" w:themeColor="text1"/>
                <w:sz w:val="21"/>
                <w:szCs w:val="21"/>
              </w:rPr>
            </w:pPr>
          </w:p>
        </w:tc>
        <w:tc>
          <w:tcPr>
            <w:tcW w:w="403" w:type="pct"/>
          </w:tcPr>
          <w:p w14:paraId="6C16136C" w14:textId="77777777" w:rsidR="003346B5" w:rsidRPr="003346B5" w:rsidRDefault="003346B5" w:rsidP="003346B5">
            <w:pPr>
              <w:pStyle w:val="table"/>
              <w:adjustRightInd/>
              <w:snapToGrid/>
              <w:spacing w:before="0" w:after="0"/>
              <w:rPr>
                <w:rFonts w:cs="Times New Roman"/>
                <w:color w:val="000000" w:themeColor="text1"/>
                <w:sz w:val="21"/>
                <w:szCs w:val="21"/>
              </w:rPr>
            </w:pPr>
          </w:p>
        </w:tc>
      </w:tr>
      <w:tr w:rsidR="003346B5" w:rsidRPr="003346B5" w14:paraId="2BD47FA1" w14:textId="77777777" w:rsidTr="003346B5">
        <w:trPr>
          <w:trHeight w:val="20"/>
        </w:trPr>
        <w:tc>
          <w:tcPr>
            <w:tcW w:w="1370" w:type="pct"/>
          </w:tcPr>
          <w:p w14:paraId="1E13AF33" w14:textId="77777777" w:rsidR="003346B5" w:rsidRPr="003346B5" w:rsidRDefault="003346B5" w:rsidP="003346B5">
            <w:pPr>
              <w:pStyle w:val="table"/>
              <w:adjustRightInd/>
              <w:snapToGrid/>
              <w:spacing w:before="0" w:after="0"/>
              <w:jc w:val="both"/>
              <w:rPr>
                <w:sz w:val="21"/>
                <w:szCs w:val="21"/>
              </w:rPr>
            </w:pPr>
            <w:r w:rsidRPr="003346B5">
              <w:rPr>
                <w:rFonts w:hint="eastAsia"/>
                <w:sz w:val="21"/>
                <w:szCs w:val="21"/>
              </w:rPr>
              <w:t xml:space="preserve">4. </w:t>
            </w:r>
            <w:r w:rsidRPr="003346B5">
              <w:rPr>
                <w:rFonts w:hint="eastAsia"/>
                <w:sz w:val="21"/>
                <w:szCs w:val="21"/>
              </w:rPr>
              <w:t>资源配置</w:t>
            </w:r>
          </w:p>
        </w:tc>
        <w:tc>
          <w:tcPr>
            <w:tcW w:w="403" w:type="pct"/>
          </w:tcPr>
          <w:p w14:paraId="7434EDEC" w14:textId="77777777" w:rsidR="003346B5" w:rsidRPr="003346B5" w:rsidRDefault="003346B5" w:rsidP="003346B5">
            <w:pPr>
              <w:pStyle w:val="table"/>
              <w:adjustRightInd/>
              <w:snapToGrid/>
              <w:spacing w:before="0" w:after="0"/>
              <w:rPr>
                <w:rFonts w:cs="Times New Roman"/>
                <w:color w:val="000000" w:themeColor="text1"/>
                <w:sz w:val="21"/>
                <w:szCs w:val="21"/>
              </w:rPr>
            </w:pPr>
            <w:r w:rsidRPr="003346B5">
              <w:rPr>
                <w:sz w:val="21"/>
                <w:szCs w:val="21"/>
              </w:rPr>
              <w:t>0.954</w:t>
            </w:r>
          </w:p>
        </w:tc>
        <w:tc>
          <w:tcPr>
            <w:tcW w:w="403" w:type="pct"/>
          </w:tcPr>
          <w:p w14:paraId="2D9871FE" w14:textId="77777777" w:rsidR="003346B5" w:rsidRPr="003346B5" w:rsidRDefault="003346B5" w:rsidP="003346B5">
            <w:pPr>
              <w:pStyle w:val="table"/>
              <w:adjustRightInd/>
              <w:snapToGrid/>
              <w:spacing w:before="0" w:after="0"/>
              <w:rPr>
                <w:rFonts w:cs="Times New Roman"/>
                <w:color w:val="000000" w:themeColor="text1"/>
                <w:sz w:val="21"/>
                <w:szCs w:val="21"/>
              </w:rPr>
            </w:pPr>
            <w:r w:rsidRPr="003346B5">
              <w:rPr>
                <w:sz w:val="21"/>
                <w:szCs w:val="21"/>
              </w:rPr>
              <w:t>0.762</w:t>
            </w:r>
          </w:p>
        </w:tc>
        <w:tc>
          <w:tcPr>
            <w:tcW w:w="403" w:type="pct"/>
          </w:tcPr>
          <w:p w14:paraId="4C59EF78" w14:textId="77777777" w:rsidR="003346B5" w:rsidRPr="003346B5" w:rsidRDefault="003346B5" w:rsidP="003346B5">
            <w:pPr>
              <w:pStyle w:val="table"/>
              <w:adjustRightInd/>
              <w:snapToGrid/>
              <w:spacing w:before="0" w:after="0"/>
              <w:rPr>
                <w:rFonts w:cs="Times New Roman"/>
                <w:color w:val="000000" w:themeColor="text1"/>
                <w:sz w:val="21"/>
                <w:szCs w:val="21"/>
              </w:rPr>
            </w:pPr>
            <w:r w:rsidRPr="003346B5">
              <w:rPr>
                <w:sz w:val="21"/>
                <w:szCs w:val="21"/>
              </w:rPr>
              <w:t>0.834</w:t>
            </w:r>
          </w:p>
        </w:tc>
        <w:tc>
          <w:tcPr>
            <w:tcW w:w="403" w:type="pct"/>
          </w:tcPr>
          <w:p w14:paraId="3144B266" w14:textId="77777777" w:rsidR="003346B5" w:rsidRPr="003346B5" w:rsidRDefault="003346B5" w:rsidP="003346B5">
            <w:pPr>
              <w:pStyle w:val="table"/>
              <w:adjustRightInd/>
              <w:snapToGrid/>
              <w:spacing w:before="0" w:after="0"/>
              <w:rPr>
                <w:rFonts w:cs="Times New Roman"/>
                <w:color w:val="000000" w:themeColor="text1"/>
                <w:sz w:val="21"/>
                <w:szCs w:val="21"/>
              </w:rPr>
            </w:pPr>
            <w:r w:rsidRPr="003346B5">
              <w:rPr>
                <w:sz w:val="21"/>
                <w:szCs w:val="21"/>
              </w:rPr>
              <w:t>0.860</w:t>
            </w:r>
          </w:p>
        </w:tc>
        <w:tc>
          <w:tcPr>
            <w:tcW w:w="403" w:type="pct"/>
          </w:tcPr>
          <w:p w14:paraId="337CCACC" w14:textId="77777777" w:rsidR="003346B5" w:rsidRPr="003346B5" w:rsidRDefault="003346B5" w:rsidP="003346B5">
            <w:pPr>
              <w:pStyle w:val="table"/>
              <w:adjustRightInd/>
              <w:snapToGrid/>
              <w:spacing w:before="0" w:after="0"/>
              <w:rPr>
                <w:rFonts w:cs="Times New Roman"/>
                <w:color w:val="000000" w:themeColor="text1"/>
                <w:sz w:val="21"/>
                <w:szCs w:val="21"/>
              </w:rPr>
            </w:pPr>
            <w:r w:rsidRPr="003346B5">
              <w:rPr>
                <w:sz w:val="21"/>
                <w:szCs w:val="21"/>
              </w:rPr>
              <w:t>0.977</w:t>
            </w:r>
          </w:p>
        </w:tc>
        <w:tc>
          <w:tcPr>
            <w:tcW w:w="403" w:type="pct"/>
          </w:tcPr>
          <w:p w14:paraId="557CC27C" w14:textId="77777777" w:rsidR="003346B5" w:rsidRPr="003346B5" w:rsidRDefault="003346B5" w:rsidP="003346B5">
            <w:pPr>
              <w:pStyle w:val="table"/>
              <w:adjustRightInd/>
              <w:snapToGrid/>
              <w:spacing w:before="0" w:after="0"/>
              <w:rPr>
                <w:rFonts w:cs="Times New Roman"/>
                <w:color w:val="000000" w:themeColor="text1"/>
                <w:sz w:val="21"/>
                <w:szCs w:val="21"/>
              </w:rPr>
            </w:pPr>
          </w:p>
        </w:tc>
        <w:tc>
          <w:tcPr>
            <w:tcW w:w="403" w:type="pct"/>
          </w:tcPr>
          <w:p w14:paraId="2E3DE8BD" w14:textId="77777777" w:rsidR="003346B5" w:rsidRPr="003346B5" w:rsidRDefault="003346B5" w:rsidP="003346B5">
            <w:pPr>
              <w:pStyle w:val="table"/>
              <w:adjustRightInd/>
              <w:snapToGrid/>
              <w:spacing w:before="0" w:after="0"/>
              <w:rPr>
                <w:rFonts w:cs="Times New Roman"/>
                <w:color w:val="000000" w:themeColor="text1"/>
                <w:sz w:val="21"/>
                <w:szCs w:val="21"/>
              </w:rPr>
            </w:pPr>
          </w:p>
        </w:tc>
        <w:tc>
          <w:tcPr>
            <w:tcW w:w="403" w:type="pct"/>
          </w:tcPr>
          <w:p w14:paraId="18165E66" w14:textId="77777777" w:rsidR="003346B5" w:rsidRPr="003346B5" w:rsidRDefault="003346B5" w:rsidP="003346B5">
            <w:pPr>
              <w:pStyle w:val="table"/>
              <w:adjustRightInd/>
              <w:snapToGrid/>
              <w:spacing w:before="0" w:after="0"/>
              <w:rPr>
                <w:rFonts w:cs="Times New Roman"/>
                <w:color w:val="000000" w:themeColor="text1"/>
                <w:sz w:val="21"/>
                <w:szCs w:val="21"/>
              </w:rPr>
            </w:pPr>
          </w:p>
        </w:tc>
        <w:tc>
          <w:tcPr>
            <w:tcW w:w="403" w:type="pct"/>
          </w:tcPr>
          <w:p w14:paraId="2D302A53" w14:textId="77777777" w:rsidR="003346B5" w:rsidRPr="003346B5" w:rsidRDefault="003346B5" w:rsidP="003346B5">
            <w:pPr>
              <w:pStyle w:val="table"/>
              <w:adjustRightInd/>
              <w:snapToGrid/>
              <w:spacing w:before="0" w:after="0"/>
              <w:rPr>
                <w:rFonts w:cs="Times New Roman"/>
                <w:color w:val="000000" w:themeColor="text1"/>
                <w:sz w:val="21"/>
                <w:szCs w:val="21"/>
              </w:rPr>
            </w:pPr>
          </w:p>
        </w:tc>
      </w:tr>
      <w:tr w:rsidR="003346B5" w:rsidRPr="003346B5" w14:paraId="1270FE79" w14:textId="77777777" w:rsidTr="003346B5">
        <w:trPr>
          <w:trHeight w:val="20"/>
        </w:trPr>
        <w:tc>
          <w:tcPr>
            <w:tcW w:w="1370" w:type="pct"/>
          </w:tcPr>
          <w:p w14:paraId="1231164A" w14:textId="77777777" w:rsidR="003346B5" w:rsidRPr="003346B5" w:rsidRDefault="003346B5" w:rsidP="003346B5">
            <w:pPr>
              <w:pStyle w:val="table"/>
              <w:adjustRightInd/>
              <w:snapToGrid/>
              <w:spacing w:before="0" w:after="0"/>
              <w:jc w:val="both"/>
              <w:rPr>
                <w:sz w:val="21"/>
                <w:szCs w:val="21"/>
              </w:rPr>
            </w:pPr>
            <w:r w:rsidRPr="003346B5">
              <w:rPr>
                <w:rFonts w:hint="eastAsia"/>
                <w:sz w:val="21"/>
                <w:szCs w:val="21"/>
              </w:rPr>
              <w:t xml:space="preserve">5. </w:t>
            </w:r>
            <w:r w:rsidRPr="003346B5">
              <w:rPr>
                <w:rFonts w:hint="eastAsia"/>
                <w:sz w:val="21"/>
                <w:szCs w:val="21"/>
              </w:rPr>
              <w:t>伙伴关系</w:t>
            </w:r>
          </w:p>
        </w:tc>
        <w:tc>
          <w:tcPr>
            <w:tcW w:w="403" w:type="pct"/>
          </w:tcPr>
          <w:p w14:paraId="0030BD59" w14:textId="77777777" w:rsidR="003346B5" w:rsidRPr="003346B5" w:rsidRDefault="003346B5" w:rsidP="003346B5">
            <w:pPr>
              <w:pStyle w:val="table"/>
              <w:adjustRightInd/>
              <w:snapToGrid/>
              <w:spacing w:before="0" w:after="0"/>
              <w:rPr>
                <w:rFonts w:cs="Times New Roman"/>
                <w:color w:val="000000" w:themeColor="text1"/>
                <w:sz w:val="21"/>
                <w:szCs w:val="21"/>
              </w:rPr>
            </w:pPr>
            <w:r w:rsidRPr="003346B5">
              <w:rPr>
                <w:sz w:val="21"/>
                <w:szCs w:val="21"/>
              </w:rPr>
              <w:t>0.973</w:t>
            </w:r>
          </w:p>
        </w:tc>
        <w:tc>
          <w:tcPr>
            <w:tcW w:w="403" w:type="pct"/>
          </w:tcPr>
          <w:p w14:paraId="68DCB61A" w14:textId="77777777" w:rsidR="003346B5" w:rsidRPr="003346B5" w:rsidRDefault="003346B5" w:rsidP="003346B5">
            <w:pPr>
              <w:pStyle w:val="table"/>
              <w:adjustRightInd/>
              <w:snapToGrid/>
              <w:spacing w:before="0" w:after="0"/>
              <w:rPr>
                <w:rFonts w:cs="Times New Roman"/>
                <w:color w:val="000000" w:themeColor="text1"/>
                <w:sz w:val="21"/>
                <w:szCs w:val="21"/>
              </w:rPr>
            </w:pPr>
            <w:r w:rsidRPr="003346B5">
              <w:rPr>
                <w:sz w:val="21"/>
                <w:szCs w:val="21"/>
              </w:rPr>
              <w:t>0.564</w:t>
            </w:r>
          </w:p>
        </w:tc>
        <w:tc>
          <w:tcPr>
            <w:tcW w:w="403" w:type="pct"/>
          </w:tcPr>
          <w:p w14:paraId="7642FB2E" w14:textId="77777777" w:rsidR="003346B5" w:rsidRPr="003346B5" w:rsidRDefault="003346B5" w:rsidP="003346B5">
            <w:pPr>
              <w:pStyle w:val="table"/>
              <w:adjustRightInd/>
              <w:snapToGrid/>
              <w:spacing w:before="0" w:after="0"/>
              <w:rPr>
                <w:rFonts w:cs="Times New Roman"/>
                <w:color w:val="000000" w:themeColor="text1"/>
                <w:sz w:val="21"/>
                <w:szCs w:val="21"/>
              </w:rPr>
            </w:pPr>
            <w:r w:rsidRPr="003346B5">
              <w:rPr>
                <w:sz w:val="21"/>
                <w:szCs w:val="21"/>
              </w:rPr>
              <w:t>0.719</w:t>
            </w:r>
          </w:p>
        </w:tc>
        <w:tc>
          <w:tcPr>
            <w:tcW w:w="403" w:type="pct"/>
          </w:tcPr>
          <w:p w14:paraId="02AB05FB" w14:textId="77777777" w:rsidR="003346B5" w:rsidRPr="003346B5" w:rsidRDefault="003346B5" w:rsidP="003346B5">
            <w:pPr>
              <w:pStyle w:val="table"/>
              <w:adjustRightInd/>
              <w:snapToGrid/>
              <w:spacing w:before="0" w:after="0"/>
              <w:rPr>
                <w:rFonts w:cs="Times New Roman"/>
                <w:color w:val="000000" w:themeColor="text1"/>
                <w:sz w:val="21"/>
                <w:szCs w:val="21"/>
              </w:rPr>
            </w:pPr>
            <w:r w:rsidRPr="003346B5">
              <w:rPr>
                <w:sz w:val="21"/>
                <w:szCs w:val="21"/>
              </w:rPr>
              <w:t>0.644</w:t>
            </w:r>
          </w:p>
        </w:tc>
        <w:tc>
          <w:tcPr>
            <w:tcW w:w="403" w:type="pct"/>
          </w:tcPr>
          <w:p w14:paraId="761121CE" w14:textId="77777777" w:rsidR="003346B5" w:rsidRPr="003346B5" w:rsidRDefault="003346B5" w:rsidP="003346B5">
            <w:pPr>
              <w:pStyle w:val="table"/>
              <w:adjustRightInd/>
              <w:snapToGrid/>
              <w:spacing w:before="0" w:after="0"/>
              <w:rPr>
                <w:rFonts w:cs="Times New Roman"/>
                <w:color w:val="000000" w:themeColor="text1"/>
                <w:sz w:val="21"/>
                <w:szCs w:val="21"/>
              </w:rPr>
            </w:pPr>
            <w:r w:rsidRPr="003346B5">
              <w:rPr>
                <w:sz w:val="21"/>
                <w:szCs w:val="21"/>
              </w:rPr>
              <w:t>0.684</w:t>
            </w:r>
          </w:p>
        </w:tc>
        <w:tc>
          <w:tcPr>
            <w:tcW w:w="403" w:type="pct"/>
          </w:tcPr>
          <w:p w14:paraId="0A4AE1D0" w14:textId="77777777" w:rsidR="003346B5" w:rsidRPr="003346B5" w:rsidRDefault="003346B5" w:rsidP="003346B5">
            <w:pPr>
              <w:pStyle w:val="table"/>
              <w:adjustRightInd/>
              <w:snapToGrid/>
              <w:spacing w:before="0" w:after="0"/>
              <w:rPr>
                <w:rFonts w:cs="Times New Roman"/>
                <w:color w:val="000000" w:themeColor="text1"/>
                <w:sz w:val="21"/>
                <w:szCs w:val="21"/>
              </w:rPr>
            </w:pPr>
            <w:r w:rsidRPr="003346B5">
              <w:rPr>
                <w:sz w:val="21"/>
                <w:szCs w:val="21"/>
              </w:rPr>
              <w:t>0.986</w:t>
            </w:r>
          </w:p>
        </w:tc>
        <w:tc>
          <w:tcPr>
            <w:tcW w:w="403" w:type="pct"/>
          </w:tcPr>
          <w:p w14:paraId="75C5AA6C" w14:textId="77777777" w:rsidR="003346B5" w:rsidRPr="003346B5" w:rsidRDefault="003346B5" w:rsidP="003346B5">
            <w:pPr>
              <w:pStyle w:val="table"/>
              <w:adjustRightInd/>
              <w:snapToGrid/>
              <w:spacing w:before="0" w:after="0"/>
              <w:rPr>
                <w:rFonts w:cs="Times New Roman"/>
                <w:color w:val="000000" w:themeColor="text1"/>
                <w:sz w:val="21"/>
                <w:szCs w:val="21"/>
              </w:rPr>
            </w:pPr>
          </w:p>
        </w:tc>
        <w:tc>
          <w:tcPr>
            <w:tcW w:w="403" w:type="pct"/>
          </w:tcPr>
          <w:p w14:paraId="3B27E47A" w14:textId="77777777" w:rsidR="003346B5" w:rsidRPr="003346B5" w:rsidRDefault="003346B5" w:rsidP="003346B5">
            <w:pPr>
              <w:pStyle w:val="table"/>
              <w:adjustRightInd/>
              <w:snapToGrid/>
              <w:spacing w:before="0" w:after="0"/>
              <w:rPr>
                <w:rFonts w:cs="Times New Roman"/>
                <w:color w:val="000000" w:themeColor="text1"/>
                <w:sz w:val="21"/>
                <w:szCs w:val="21"/>
              </w:rPr>
            </w:pPr>
          </w:p>
        </w:tc>
        <w:tc>
          <w:tcPr>
            <w:tcW w:w="403" w:type="pct"/>
          </w:tcPr>
          <w:p w14:paraId="0474DDE3" w14:textId="77777777" w:rsidR="003346B5" w:rsidRPr="003346B5" w:rsidRDefault="003346B5" w:rsidP="003346B5">
            <w:pPr>
              <w:pStyle w:val="table"/>
              <w:adjustRightInd/>
              <w:snapToGrid/>
              <w:spacing w:before="0" w:after="0"/>
              <w:rPr>
                <w:rFonts w:cs="Times New Roman"/>
                <w:color w:val="000000" w:themeColor="text1"/>
                <w:sz w:val="21"/>
                <w:szCs w:val="21"/>
              </w:rPr>
            </w:pPr>
          </w:p>
        </w:tc>
      </w:tr>
      <w:tr w:rsidR="003346B5" w:rsidRPr="003346B5" w14:paraId="145217D2" w14:textId="77777777" w:rsidTr="003346B5">
        <w:trPr>
          <w:trHeight w:val="20"/>
        </w:trPr>
        <w:tc>
          <w:tcPr>
            <w:tcW w:w="1370" w:type="pct"/>
          </w:tcPr>
          <w:p w14:paraId="13DF137E" w14:textId="77777777" w:rsidR="003346B5" w:rsidRPr="003346B5" w:rsidRDefault="003346B5" w:rsidP="003346B5">
            <w:pPr>
              <w:pStyle w:val="table"/>
              <w:adjustRightInd/>
              <w:snapToGrid/>
              <w:spacing w:before="0" w:after="0"/>
              <w:jc w:val="both"/>
              <w:rPr>
                <w:sz w:val="21"/>
                <w:szCs w:val="21"/>
              </w:rPr>
            </w:pPr>
            <w:r w:rsidRPr="003346B5">
              <w:rPr>
                <w:rFonts w:hint="eastAsia"/>
                <w:sz w:val="21"/>
                <w:szCs w:val="21"/>
              </w:rPr>
              <w:t xml:space="preserve">6. </w:t>
            </w:r>
            <w:r w:rsidRPr="003346B5">
              <w:rPr>
                <w:rFonts w:hint="eastAsia"/>
                <w:sz w:val="21"/>
                <w:szCs w:val="21"/>
              </w:rPr>
              <w:t>项目群实施</w:t>
            </w:r>
          </w:p>
        </w:tc>
        <w:tc>
          <w:tcPr>
            <w:tcW w:w="403" w:type="pct"/>
          </w:tcPr>
          <w:p w14:paraId="6FFB90B4" w14:textId="77777777" w:rsidR="003346B5" w:rsidRPr="003346B5" w:rsidRDefault="003346B5" w:rsidP="003346B5">
            <w:pPr>
              <w:pStyle w:val="table"/>
              <w:adjustRightInd/>
              <w:snapToGrid/>
              <w:spacing w:before="0" w:after="0"/>
              <w:rPr>
                <w:rFonts w:cs="Times New Roman"/>
                <w:color w:val="000000" w:themeColor="text1"/>
                <w:sz w:val="21"/>
                <w:szCs w:val="21"/>
              </w:rPr>
            </w:pPr>
            <w:r w:rsidRPr="003346B5">
              <w:rPr>
                <w:sz w:val="21"/>
                <w:szCs w:val="21"/>
              </w:rPr>
              <w:t>0.912</w:t>
            </w:r>
          </w:p>
        </w:tc>
        <w:tc>
          <w:tcPr>
            <w:tcW w:w="403" w:type="pct"/>
          </w:tcPr>
          <w:p w14:paraId="20EB319E" w14:textId="77777777" w:rsidR="003346B5" w:rsidRPr="003346B5" w:rsidRDefault="003346B5" w:rsidP="003346B5">
            <w:pPr>
              <w:pStyle w:val="table"/>
              <w:adjustRightInd/>
              <w:snapToGrid/>
              <w:spacing w:before="0" w:after="0"/>
              <w:rPr>
                <w:rFonts w:cs="Times New Roman"/>
                <w:color w:val="000000" w:themeColor="text1"/>
                <w:sz w:val="21"/>
                <w:szCs w:val="21"/>
              </w:rPr>
            </w:pPr>
            <w:r w:rsidRPr="003346B5">
              <w:rPr>
                <w:sz w:val="21"/>
                <w:szCs w:val="21"/>
              </w:rPr>
              <w:t>0.777</w:t>
            </w:r>
          </w:p>
        </w:tc>
        <w:tc>
          <w:tcPr>
            <w:tcW w:w="403" w:type="pct"/>
          </w:tcPr>
          <w:p w14:paraId="79DB4759" w14:textId="77777777" w:rsidR="003346B5" w:rsidRPr="003346B5" w:rsidRDefault="003346B5" w:rsidP="003346B5">
            <w:pPr>
              <w:pStyle w:val="table"/>
              <w:adjustRightInd/>
              <w:snapToGrid/>
              <w:spacing w:before="0" w:after="0"/>
              <w:rPr>
                <w:rFonts w:cs="Times New Roman"/>
                <w:color w:val="000000" w:themeColor="text1"/>
                <w:sz w:val="21"/>
                <w:szCs w:val="21"/>
              </w:rPr>
            </w:pPr>
            <w:r w:rsidRPr="003346B5">
              <w:rPr>
                <w:sz w:val="21"/>
                <w:szCs w:val="21"/>
              </w:rPr>
              <w:t>0.833</w:t>
            </w:r>
          </w:p>
        </w:tc>
        <w:tc>
          <w:tcPr>
            <w:tcW w:w="403" w:type="pct"/>
          </w:tcPr>
          <w:p w14:paraId="6C4D1013" w14:textId="77777777" w:rsidR="003346B5" w:rsidRPr="003346B5" w:rsidRDefault="003346B5" w:rsidP="003346B5">
            <w:pPr>
              <w:pStyle w:val="table"/>
              <w:adjustRightInd/>
              <w:snapToGrid/>
              <w:spacing w:before="0" w:after="0"/>
              <w:rPr>
                <w:rFonts w:cs="Times New Roman"/>
                <w:color w:val="000000" w:themeColor="text1"/>
                <w:sz w:val="21"/>
                <w:szCs w:val="21"/>
              </w:rPr>
            </w:pPr>
            <w:r w:rsidRPr="003346B5">
              <w:rPr>
                <w:sz w:val="21"/>
                <w:szCs w:val="21"/>
              </w:rPr>
              <w:t>0.879</w:t>
            </w:r>
          </w:p>
        </w:tc>
        <w:tc>
          <w:tcPr>
            <w:tcW w:w="403" w:type="pct"/>
          </w:tcPr>
          <w:p w14:paraId="636E94B9" w14:textId="77777777" w:rsidR="003346B5" w:rsidRPr="003346B5" w:rsidRDefault="003346B5" w:rsidP="003346B5">
            <w:pPr>
              <w:pStyle w:val="table"/>
              <w:adjustRightInd/>
              <w:snapToGrid/>
              <w:spacing w:before="0" w:after="0"/>
              <w:rPr>
                <w:rFonts w:cs="Times New Roman"/>
                <w:color w:val="000000" w:themeColor="text1"/>
                <w:sz w:val="21"/>
                <w:szCs w:val="21"/>
              </w:rPr>
            </w:pPr>
            <w:r w:rsidRPr="003346B5">
              <w:rPr>
                <w:sz w:val="21"/>
                <w:szCs w:val="21"/>
              </w:rPr>
              <w:t>0.920</w:t>
            </w:r>
          </w:p>
        </w:tc>
        <w:tc>
          <w:tcPr>
            <w:tcW w:w="403" w:type="pct"/>
          </w:tcPr>
          <w:p w14:paraId="244C65BC" w14:textId="77777777" w:rsidR="003346B5" w:rsidRPr="003346B5" w:rsidRDefault="003346B5" w:rsidP="003346B5">
            <w:pPr>
              <w:pStyle w:val="table"/>
              <w:adjustRightInd/>
              <w:snapToGrid/>
              <w:spacing w:before="0" w:after="0"/>
              <w:rPr>
                <w:rFonts w:cs="Times New Roman"/>
                <w:color w:val="000000" w:themeColor="text1"/>
                <w:sz w:val="21"/>
                <w:szCs w:val="21"/>
              </w:rPr>
            </w:pPr>
            <w:r w:rsidRPr="003346B5">
              <w:rPr>
                <w:sz w:val="21"/>
                <w:szCs w:val="21"/>
              </w:rPr>
              <w:t>0.688</w:t>
            </w:r>
          </w:p>
        </w:tc>
        <w:tc>
          <w:tcPr>
            <w:tcW w:w="403" w:type="pct"/>
          </w:tcPr>
          <w:p w14:paraId="21E79FAF" w14:textId="77777777" w:rsidR="003346B5" w:rsidRPr="003346B5" w:rsidRDefault="003346B5" w:rsidP="003346B5">
            <w:pPr>
              <w:pStyle w:val="table"/>
              <w:adjustRightInd/>
              <w:snapToGrid/>
              <w:spacing w:before="0" w:after="0"/>
              <w:rPr>
                <w:rFonts w:cs="Times New Roman"/>
                <w:color w:val="000000" w:themeColor="text1"/>
                <w:sz w:val="21"/>
                <w:szCs w:val="21"/>
              </w:rPr>
            </w:pPr>
            <w:r w:rsidRPr="003346B5">
              <w:rPr>
                <w:sz w:val="21"/>
                <w:szCs w:val="21"/>
              </w:rPr>
              <w:t>0.955</w:t>
            </w:r>
          </w:p>
        </w:tc>
        <w:tc>
          <w:tcPr>
            <w:tcW w:w="403" w:type="pct"/>
          </w:tcPr>
          <w:p w14:paraId="4DE5D3DD" w14:textId="77777777" w:rsidR="003346B5" w:rsidRPr="003346B5" w:rsidRDefault="003346B5" w:rsidP="003346B5">
            <w:pPr>
              <w:pStyle w:val="table"/>
              <w:adjustRightInd/>
              <w:snapToGrid/>
              <w:spacing w:before="0" w:after="0"/>
              <w:rPr>
                <w:rFonts w:cs="Times New Roman"/>
                <w:color w:val="000000" w:themeColor="text1"/>
                <w:sz w:val="21"/>
                <w:szCs w:val="21"/>
              </w:rPr>
            </w:pPr>
          </w:p>
        </w:tc>
        <w:tc>
          <w:tcPr>
            <w:tcW w:w="403" w:type="pct"/>
          </w:tcPr>
          <w:p w14:paraId="04FDB695" w14:textId="77777777" w:rsidR="003346B5" w:rsidRPr="003346B5" w:rsidRDefault="003346B5" w:rsidP="003346B5">
            <w:pPr>
              <w:pStyle w:val="table"/>
              <w:adjustRightInd/>
              <w:snapToGrid/>
              <w:spacing w:before="0" w:after="0"/>
              <w:rPr>
                <w:rFonts w:cs="Times New Roman"/>
                <w:color w:val="000000" w:themeColor="text1"/>
                <w:sz w:val="21"/>
                <w:szCs w:val="21"/>
              </w:rPr>
            </w:pPr>
          </w:p>
        </w:tc>
      </w:tr>
      <w:tr w:rsidR="003346B5" w:rsidRPr="003346B5" w14:paraId="0E50A174" w14:textId="77777777" w:rsidTr="003346B5">
        <w:trPr>
          <w:trHeight w:val="20"/>
        </w:trPr>
        <w:tc>
          <w:tcPr>
            <w:tcW w:w="1370" w:type="pct"/>
          </w:tcPr>
          <w:p w14:paraId="2C6894C7" w14:textId="77777777" w:rsidR="003346B5" w:rsidRPr="003346B5" w:rsidRDefault="003346B5" w:rsidP="003346B5">
            <w:pPr>
              <w:pStyle w:val="table"/>
              <w:adjustRightInd/>
              <w:snapToGrid/>
              <w:spacing w:before="0" w:after="0"/>
              <w:jc w:val="both"/>
              <w:rPr>
                <w:sz w:val="21"/>
                <w:szCs w:val="21"/>
              </w:rPr>
            </w:pPr>
            <w:r w:rsidRPr="003346B5">
              <w:rPr>
                <w:rFonts w:hint="eastAsia"/>
                <w:sz w:val="21"/>
                <w:szCs w:val="21"/>
              </w:rPr>
              <w:t xml:space="preserve">7. </w:t>
            </w:r>
            <w:r w:rsidRPr="003346B5">
              <w:rPr>
                <w:rFonts w:hint="eastAsia"/>
                <w:sz w:val="21"/>
                <w:szCs w:val="21"/>
              </w:rPr>
              <w:t>项目群运营</w:t>
            </w:r>
          </w:p>
        </w:tc>
        <w:tc>
          <w:tcPr>
            <w:tcW w:w="403" w:type="pct"/>
          </w:tcPr>
          <w:p w14:paraId="432066B1" w14:textId="77777777" w:rsidR="003346B5" w:rsidRPr="003346B5" w:rsidRDefault="003346B5" w:rsidP="003346B5">
            <w:pPr>
              <w:pStyle w:val="table"/>
              <w:adjustRightInd/>
              <w:snapToGrid/>
              <w:spacing w:before="0" w:after="0"/>
              <w:rPr>
                <w:rFonts w:cs="Times New Roman"/>
                <w:color w:val="000000" w:themeColor="text1"/>
                <w:sz w:val="21"/>
                <w:szCs w:val="21"/>
              </w:rPr>
            </w:pPr>
            <w:r w:rsidRPr="003346B5">
              <w:rPr>
                <w:sz w:val="21"/>
                <w:szCs w:val="21"/>
              </w:rPr>
              <w:t>0.807</w:t>
            </w:r>
          </w:p>
        </w:tc>
        <w:tc>
          <w:tcPr>
            <w:tcW w:w="403" w:type="pct"/>
          </w:tcPr>
          <w:p w14:paraId="4D106A51" w14:textId="77777777" w:rsidR="003346B5" w:rsidRPr="003346B5" w:rsidRDefault="003346B5" w:rsidP="003346B5">
            <w:pPr>
              <w:pStyle w:val="table"/>
              <w:adjustRightInd/>
              <w:snapToGrid/>
              <w:spacing w:before="0" w:after="0"/>
              <w:rPr>
                <w:rFonts w:cs="Times New Roman"/>
                <w:color w:val="000000" w:themeColor="text1"/>
                <w:sz w:val="21"/>
                <w:szCs w:val="21"/>
              </w:rPr>
            </w:pPr>
            <w:r w:rsidRPr="003346B5">
              <w:rPr>
                <w:sz w:val="21"/>
                <w:szCs w:val="21"/>
              </w:rPr>
              <w:t>0.602</w:t>
            </w:r>
          </w:p>
        </w:tc>
        <w:tc>
          <w:tcPr>
            <w:tcW w:w="403" w:type="pct"/>
          </w:tcPr>
          <w:p w14:paraId="09CB9359" w14:textId="77777777" w:rsidR="003346B5" w:rsidRPr="003346B5" w:rsidRDefault="003346B5" w:rsidP="003346B5">
            <w:pPr>
              <w:pStyle w:val="table"/>
              <w:adjustRightInd/>
              <w:snapToGrid/>
              <w:spacing w:before="0" w:after="0"/>
              <w:rPr>
                <w:rFonts w:cs="Times New Roman"/>
                <w:color w:val="000000" w:themeColor="text1"/>
                <w:sz w:val="21"/>
                <w:szCs w:val="21"/>
              </w:rPr>
            </w:pPr>
            <w:r w:rsidRPr="003346B5">
              <w:rPr>
                <w:sz w:val="21"/>
                <w:szCs w:val="21"/>
              </w:rPr>
              <w:t>0.784</w:t>
            </w:r>
          </w:p>
        </w:tc>
        <w:tc>
          <w:tcPr>
            <w:tcW w:w="403" w:type="pct"/>
          </w:tcPr>
          <w:p w14:paraId="61E082B7" w14:textId="77777777" w:rsidR="003346B5" w:rsidRPr="003346B5" w:rsidRDefault="003346B5" w:rsidP="003346B5">
            <w:pPr>
              <w:pStyle w:val="table"/>
              <w:adjustRightInd/>
              <w:snapToGrid/>
              <w:spacing w:before="0" w:after="0"/>
              <w:rPr>
                <w:rFonts w:cs="Times New Roman"/>
                <w:color w:val="000000" w:themeColor="text1"/>
                <w:sz w:val="21"/>
                <w:szCs w:val="21"/>
              </w:rPr>
            </w:pPr>
            <w:r w:rsidRPr="003346B5">
              <w:rPr>
                <w:sz w:val="21"/>
                <w:szCs w:val="21"/>
              </w:rPr>
              <w:t>0.695</w:t>
            </w:r>
          </w:p>
        </w:tc>
        <w:tc>
          <w:tcPr>
            <w:tcW w:w="403" w:type="pct"/>
          </w:tcPr>
          <w:p w14:paraId="7D0387F5" w14:textId="77777777" w:rsidR="003346B5" w:rsidRPr="003346B5" w:rsidRDefault="003346B5" w:rsidP="003346B5">
            <w:pPr>
              <w:pStyle w:val="table"/>
              <w:adjustRightInd/>
              <w:snapToGrid/>
              <w:spacing w:before="0" w:after="0"/>
              <w:rPr>
                <w:rFonts w:cs="Times New Roman"/>
                <w:color w:val="000000" w:themeColor="text1"/>
                <w:sz w:val="21"/>
                <w:szCs w:val="21"/>
              </w:rPr>
            </w:pPr>
            <w:r w:rsidRPr="003346B5">
              <w:rPr>
                <w:sz w:val="21"/>
                <w:szCs w:val="21"/>
              </w:rPr>
              <w:t>0.746</w:t>
            </w:r>
          </w:p>
        </w:tc>
        <w:tc>
          <w:tcPr>
            <w:tcW w:w="403" w:type="pct"/>
          </w:tcPr>
          <w:p w14:paraId="0B83CE46" w14:textId="77777777" w:rsidR="003346B5" w:rsidRPr="003346B5" w:rsidRDefault="003346B5" w:rsidP="003346B5">
            <w:pPr>
              <w:pStyle w:val="table"/>
              <w:adjustRightInd/>
              <w:snapToGrid/>
              <w:spacing w:before="0" w:after="0"/>
              <w:rPr>
                <w:rFonts w:cs="Times New Roman"/>
                <w:color w:val="000000" w:themeColor="text1"/>
                <w:sz w:val="21"/>
                <w:szCs w:val="21"/>
              </w:rPr>
            </w:pPr>
            <w:r w:rsidRPr="003346B5">
              <w:rPr>
                <w:sz w:val="21"/>
                <w:szCs w:val="21"/>
              </w:rPr>
              <w:t>0.844</w:t>
            </w:r>
          </w:p>
        </w:tc>
        <w:tc>
          <w:tcPr>
            <w:tcW w:w="403" w:type="pct"/>
          </w:tcPr>
          <w:p w14:paraId="5A8D081A" w14:textId="77777777" w:rsidR="003346B5" w:rsidRPr="003346B5" w:rsidRDefault="003346B5" w:rsidP="003346B5">
            <w:pPr>
              <w:pStyle w:val="table"/>
              <w:adjustRightInd/>
              <w:snapToGrid/>
              <w:spacing w:before="0" w:after="0"/>
              <w:rPr>
                <w:rFonts w:cs="Times New Roman"/>
                <w:color w:val="000000" w:themeColor="text1"/>
                <w:sz w:val="21"/>
                <w:szCs w:val="21"/>
              </w:rPr>
            </w:pPr>
            <w:r w:rsidRPr="003346B5">
              <w:rPr>
                <w:sz w:val="21"/>
                <w:szCs w:val="21"/>
              </w:rPr>
              <w:t>0.743</w:t>
            </w:r>
          </w:p>
        </w:tc>
        <w:tc>
          <w:tcPr>
            <w:tcW w:w="403" w:type="pct"/>
          </w:tcPr>
          <w:p w14:paraId="6F7CC1E2" w14:textId="77777777" w:rsidR="003346B5" w:rsidRPr="003346B5" w:rsidRDefault="003346B5" w:rsidP="003346B5">
            <w:pPr>
              <w:pStyle w:val="table"/>
              <w:adjustRightInd/>
              <w:snapToGrid/>
              <w:spacing w:before="0" w:after="0"/>
              <w:rPr>
                <w:rFonts w:cs="Times New Roman"/>
                <w:color w:val="000000" w:themeColor="text1"/>
                <w:sz w:val="21"/>
                <w:szCs w:val="21"/>
              </w:rPr>
            </w:pPr>
            <w:r w:rsidRPr="003346B5">
              <w:rPr>
                <w:sz w:val="21"/>
                <w:szCs w:val="21"/>
              </w:rPr>
              <w:t>0.898</w:t>
            </w:r>
          </w:p>
        </w:tc>
        <w:tc>
          <w:tcPr>
            <w:tcW w:w="403" w:type="pct"/>
          </w:tcPr>
          <w:p w14:paraId="2026DF48" w14:textId="77777777" w:rsidR="003346B5" w:rsidRPr="003346B5" w:rsidRDefault="003346B5" w:rsidP="003346B5">
            <w:pPr>
              <w:pStyle w:val="table"/>
              <w:adjustRightInd/>
              <w:snapToGrid/>
              <w:spacing w:before="0" w:after="0"/>
              <w:rPr>
                <w:rFonts w:cs="Times New Roman"/>
                <w:color w:val="000000" w:themeColor="text1"/>
                <w:sz w:val="21"/>
                <w:szCs w:val="21"/>
              </w:rPr>
            </w:pPr>
          </w:p>
        </w:tc>
      </w:tr>
      <w:tr w:rsidR="003346B5" w:rsidRPr="003346B5" w14:paraId="68F29222" w14:textId="77777777" w:rsidTr="003346B5">
        <w:trPr>
          <w:trHeight w:val="20"/>
        </w:trPr>
        <w:tc>
          <w:tcPr>
            <w:tcW w:w="1370" w:type="pct"/>
          </w:tcPr>
          <w:p w14:paraId="464E9FE1" w14:textId="77777777" w:rsidR="003346B5" w:rsidRPr="003346B5" w:rsidRDefault="003346B5" w:rsidP="003346B5">
            <w:pPr>
              <w:pStyle w:val="table"/>
              <w:adjustRightInd/>
              <w:snapToGrid/>
              <w:spacing w:before="0" w:after="0"/>
              <w:jc w:val="both"/>
              <w:rPr>
                <w:sz w:val="21"/>
                <w:szCs w:val="21"/>
              </w:rPr>
            </w:pPr>
            <w:r w:rsidRPr="003346B5">
              <w:rPr>
                <w:rFonts w:hint="eastAsia"/>
                <w:sz w:val="21"/>
                <w:szCs w:val="21"/>
              </w:rPr>
              <w:t xml:space="preserve">8. </w:t>
            </w:r>
            <w:r w:rsidRPr="003346B5">
              <w:rPr>
                <w:rFonts w:hint="eastAsia"/>
                <w:sz w:val="21"/>
                <w:szCs w:val="21"/>
              </w:rPr>
              <w:t>项目群绩效</w:t>
            </w:r>
          </w:p>
        </w:tc>
        <w:tc>
          <w:tcPr>
            <w:tcW w:w="403" w:type="pct"/>
          </w:tcPr>
          <w:p w14:paraId="5158522E" w14:textId="77777777" w:rsidR="003346B5" w:rsidRPr="003346B5" w:rsidRDefault="003346B5" w:rsidP="003346B5">
            <w:pPr>
              <w:pStyle w:val="table"/>
              <w:adjustRightInd/>
              <w:snapToGrid/>
              <w:spacing w:before="0" w:after="0"/>
              <w:rPr>
                <w:rFonts w:cs="Times New Roman"/>
                <w:color w:val="000000" w:themeColor="text1"/>
                <w:sz w:val="21"/>
                <w:szCs w:val="21"/>
              </w:rPr>
            </w:pPr>
            <w:r w:rsidRPr="003346B5">
              <w:rPr>
                <w:sz w:val="21"/>
                <w:szCs w:val="21"/>
              </w:rPr>
              <w:t>0.803</w:t>
            </w:r>
          </w:p>
        </w:tc>
        <w:tc>
          <w:tcPr>
            <w:tcW w:w="403" w:type="pct"/>
          </w:tcPr>
          <w:p w14:paraId="44558793" w14:textId="77777777" w:rsidR="003346B5" w:rsidRPr="003346B5" w:rsidRDefault="003346B5" w:rsidP="003346B5">
            <w:pPr>
              <w:pStyle w:val="table"/>
              <w:adjustRightInd/>
              <w:snapToGrid/>
              <w:spacing w:before="0" w:after="0"/>
              <w:rPr>
                <w:rFonts w:cs="Times New Roman"/>
                <w:color w:val="000000" w:themeColor="text1"/>
                <w:sz w:val="21"/>
                <w:szCs w:val="21"/>
              </w:rPr>
            </w:pPr>
            <w:r w:rsidRPr="003346B5">
              <w:rPr>
                <w:sz w:val="21"/>
                <w:szCs w:val="21"/>
              </w:rPr>
              <w:t>0.592</w:t>
            </w:r>
          </w:p>
        </w:tc>
        <w:tc>
          <w:tcPr>
            <w:tcW w:w="403" w:type="pct"/>
          </w:tcPr>
          <w:p w14:paraId="203EFC94" w14:textId="77777777" w:rsidR="003346B5" w:rsidRPr="003346B5" w:rsidRDefault="003346B5" w:rsidP="003346B5">
            <w:pPr>
              <w:pStyle w:val="table"/>
              <w:adjustRightInd/>
              <w:snapToGrid/>
              <w:spacing w:before="0" w:after="0"/>
              <w:rPr>
                <w:rFonts w:cs="Times New Roman"/>
                <w:color w:val="000000" w:themeColor="text1"/>
                <w:sz w:val="21"/>
                <w:szCs w:val="21"/>
              </w:rPr>
            </w:pPr>
            <w:r w:rsidRPr="003346B5">
              <w:rPr>
                <w:sz w:val="21"/>
                <w:szCs w:val="21"/>
              </w:rPr>
              <w:t>0.811</w:t>
            </w:r>
          </w:p>
        </w:tc>
        <w:tc>
          <w:tcPr>
            <w:tcW w:w="403" w:type="pct"/>
          </w:tcPr>
          <w:p w14:paraId="2B6C7C01" w14:textId="77777777" w:rsidR="003346B5" w:rsidRPr="003346B5" w:rsidRDefault="003346B5" w:rsidP="003346B5">
            <w:pPr>
              <w:pStyle w:val="table"/>
              <w:adjustRightInd/>
              <w:snapToGrid/>
              <w:spacing w:before="0" w:after="0"/>
              <w:rPr>
                <w:rFonts w:cs="Times New Roman"/>
                <w:color w:val="000000" w:themeColor="text1"/>
                <w:sz w:val="21"/>
                <w:szCs w:val="21"/>
              </w:rPr>
            </w:pPr>
            <w:r w:rsidRPr="003346B5">
              <w:rPr>
                <w:sz w:val="21"/>
                <w:szCs w:val="21"/>
              </w:rPr>
              <w:t>0.709</w:t>
            </w:r>
          </w:p>
        </w:tc>
        <w:tc>
          <w:tcPr>
            <w:tcW w:w="403" w:type="pct"/>
          </w:tcPr>
          <w:p w14:paraId="7BDDFBB7" w14:textId="77777777" w:rsidR="003346B5" w:rsidRPr="003346B5" w:rsidRDefault="003346B5" w:rsidP="003346B5">
            <w:pPr>
              <w:pStyle w:val="table"/>
              <w:adjustRightInd/>
              <w:snapToGrid/>
              <w:spacing w:before="0" w:after="0"/>
              <w:rPr>
                <w:rFonts w:cs="Times New Roman"/>
                <w:color w:val="000000" w:themeColor="text1"/>
                <w:sz w:val="21"/>
                <w:szCs w:val="21"/>
              </w:rPr>
            </w:pPr>
            <w:r w:rsidRPr="003346B5">
              <w:rPr>
                <w:sz w:val="21"/>
                <w:szCs w:val="21"/>
              </w:rPr>
              <w:t>0.745</w:t>
            </w:r>
          </w:p>
        </w:tc>
        <w:tc>
          <w:tcPr>
            <w:tcW w:w="403" w:type="pct"/>
          </w:tcPr>
          <w:p w14:paraId="0E0E9504" w14:textId="77777777" w:rsidR="003346B5" w:rsidRPr="003346B5" w:rsidRDefault="003346B5" w:rsidP="003346B5">
            <w:pPr>
              <w:pStyle w:val="table"/>
              <w:adjustRightInd/>
              <w:snapToGrid/>
              <w:spacing w:before="0" w:after="0"/>
              <w:rPr>
                <w:rFonts w:cs="Times New Roman"/>
                <w:color w:val="000000" w:themeColor="text1"/>
                <w:sz w:val="21"/>
                <w:szCs w:val="21"/>
              </w:rPr>
            </w:pPr>
            <w:r w:rsidRPr="003346B5">
              <w:rPr>
                <w:sz w:val="21"/>
                <w:szCs w:val="21"/>
              </w:rPr>
              <w:t>0.817</w:t>
            </w:r>
          </w:p>
        </w:tc>
        <w:tc>
          <w:tcPr>
            <w:tcW w:w="403" w:type="pct"/>
          </w:tcPr>
          <w:p w14:paraId="607785E7" w14:textId="77777777" w:rsidR="003346B5" w:rsidRPr="003346B5" w:rsidRDefault="003346B5" w:rsidP="003346B5">
            <w:pPr>
              <w:pStyle w:val="table"/>
              <w:adjustRightInd/>
              <w:snapToGrid/>
              <w:spacing w:before="0" w:after="0"/>
              <w:rPr>
                <w:rFonts w:cs="Times New Roman"/>
                <w:color w:val="000000" w:themeColor="text1"/>
                <w:sz w:val="21"/>
                <w:szCs w:val="21"/>
              </w:rPr>
            </w:pPr>
            <w:r w:rsidRPr="003346B5">
              <w:rPr>
                <w:sz w:val="21"/>
                <w:szCs w:val="21"/>
              </w:rPr>
              <w:t>0.748</w:t>
            </w:r>
          </w:p>
        </w:tc>
        <w:tc>
          <w:tcPr>
            <w:tcW w:w="403" w:type="pct"/>
          </w:tcPr>
          <w:p w14:paraId="6458EBBF" w14:textId="77777777" w:rsidR="003346B5" w:rsidRPr="003346B5" w:rsidRDefault="003346B5" w:rsidP="003346B5">
            <w:pPr>
              <w:pStyle w:val="table"/>
              <w:adjustRightInd/>
              <w:snapToGrid/>
              <w:spacing w:before="0" w:after="0"/>
              <w:rPr>
                <w:rFonts w:cs="Times New Roman"/>
                <w:color w:val="000000" w:themeColor="text1"/>
                <w:sz w:val="21"/>
                <w:szCs w:val="21"/>
              </w:rPr>
            </w:pPr>
            <w:r w:rsidRPr="003346B5">
              <w:rPr>
                <w:sz w:val="21"/>
                <w:szCs w:val="21"/>
              </w:rPr>
              <w:t>0.891</w:t>
            </w:r>
          </w:p>
        </w:tc>
        <w:tc>
          <w:tcPr>
            <w:tcW w:w="403" w:type="pct"/>
          </w:tcPr>
          <w:p w14:paraId="4258EFC1" w14:textId="77777777" w:rsidR="003346B5" w:rsidRPr="003346B5" w:rsidRDefault="003346B5" w:rsidP="003346B5">
            <w:pPr>
              <w:pStyle w:val="table"/>
              <w:adjustRightInd/>
              <w:snapToGrid/>
              <w:spacing w:before="0" w:after="0"/>
              <w:rPr>
                <w:rFonts w:cs="Times New Roman"/>
                <w:color w:val="000000" w:themeColor="text1"/>
                <w:sz w:val="21"/>
                <w:szCs w:val="21"/>
              </w:rPr>
            </w:pPr>
            <w:r w:rsidRPr="003346B5">
              <w:rPr>
                <w:sz w:val="21"/>
                <w:szCs w:val="21"/>
              </w:rPr>
              <w:t>0.896</w:t>
            </w:r>
          </w:p>
        </w:tc>
      </w:tr>
    </w:tbl>
    <w:p w14:paraId="13EA4947" w14:textId="600EACDE" w:rsidR="003E17F3" w:rsidRDefault="00116F7D" w:rsidP="00EE53F7">
      <w:pPr>
        <w:spacing w:afterLines="50" w:after="156"/>
        <w:ind w:firstLineChars="0" w:firstLine="0"/>
        <w:rPr>
          <w:sz w:val="18"/>
          <w:szCs w:val="20"/>
        </w:rPr>
      </w:pPr>
      <w:r w:rsidRPr="003E17F3">
        <w:rPr>
          <w:rFonts w:hint="eastAsia"/>
          <w:sz w:val="20"/>
          <w:szCs w:val="21"/>
        </w:rPr>
        <w:t>注：右侧矩阵对角线为潜变量</w:t>
      </w:r>
      <w:r w:rsidRPr="003E17F3">
        <w:rPr>
          <w:rFonts w:hint="eastAsia"/>
          <w:sz w:val="20"/>
          <w:szCs w:val="21"/>
        </w:rPr>
        <w:t xml:space="preserve"> AVE </w:t>
      </w:r>
      <w:r w:rsidRPr="003E17F3">
        <w:rPr>
          <w:rFonts w:hint="eastAsia"/>
          <w:sz w:val="20"/>
          <w:szCs w:val="21"/>
        </w:rPr>
        <w:t>的平方根，其余为对应变量间相关系数。</w:t>
      </w:r>
    </w:p>
    <w:p w14:paraId="67ABB3A6" w14:textId="77777777" w:rsidR="00FC1023" w:rsidRDefault="00FC1023" w:rsidP="00116F7D">
      <w:pPr>
        <w:ind w:firstLineChars="0" w:firstLine="0"/>
        <w:rPr>
          <w:sz w:val="18"/>
          <w:szCs w:val="20"/>
        </w:rPr>
        <w:sectPr w:rsidR="00FC1023" w:rsidSect="00116F7D">
          <w:type w:val="continuous"/>
          <w:pgSz w:w="11906" w:h="16838"/>
          <w:pgMar w:top="1440" w:right="1106" w:bottom="1440" w:left="1106" w:header="851" w:footer="992" w:gutter="0"/>
          <w:cols w:space="425"/>
          <w:titlePg/>
          <w:docGrid w:type="linesAndChars" w:linePitch="312"/>
        </w:sectPr>
      </w:pPr>
    </w:p>
    <w:p w14:paraId="7E436099" w14:textId="77777777" w:rsidR="00FC1023" w:rsidRDefault="00FC1023" w:rsidP="00E17813">
      <w:pPr>
        <w:pStyle w:val="2"/>
      </w:pPr>
      <w:r>
        <w:rPr>
          <w:rFonts w:hint="eastAsia"/>
        </w:rPr>
        <w:t>结构方程模型检验</w:t>
      </w:r>
    </w:p>
    <w:p w14:paraId="77381E7D" w14:textId="659607CC" w:rsidR="003346B5" w:rsidRDefault="003346B5" w:rsidP="00FC1023">
      <w:pPr>
        <w:ind w:firstLine="420"/>
      </w:pPr>
      <w:r w:rsidRPr="00112557">
        <w:rPr>
          <w:rFonts w:hint="eastAsia"/>
        </w:rPr>
        <w:t>本研究采用</w:t>
      </w:r>
      <w:r w:rsidRPr="00112557">
        <w:rPr>
          <w:rFonts w:hint="eastAsia"/>
        </w:rPr>
        <w:t>Bootstrapping</w:t>
      </w:r>
      <w:r w:rsidRPr="00112557">
        <w:rPr>
          <w:rFonts w:hint="eastAsia"/>
        </w:rPr>
        <w:t>方法进行</w:t>
      </w:r>
      <w:r w:rsidRPr="00112557">
        <w:rPr>
          <w:rFonts w:hint="eastAsia"/>
        </w:rPr>
        <w:t>5000</w:t>
      </w:r>
      <w:r w:rsidRPr="00112557">
        <w:rPr>
          <w:rFonts w:hint="eastAsia"/>
        </w:rPr>
        <w:t>次重复抽样，以计算模型路径系数，并对其进行双尾显著性检验</w:t>
      </w:r>
      <w:r w:rsidR="00FC1023" w:rsidRPr="00116F7D">
        <w:rPr>
          <w:rFonts w:hint="eastAsia"/>
        </w:rPr>
        <w:t>，结果如</w:t>
      </w:r>
      <w:r w:rsidR="00FC1023">
        <w:fldChar w:fldCharType="begin"/>
      </w:r>
      <w:r w:rsidR="00FC1023">
        <w:instrText xml:space="preserve"> </w:instrText>
      </w:r>
      <w:r w:rsidR="00FC1023">
        <w:rPr>
          <w:rFonts w:hint="eastAsia"/>
        </w:rPr>
        <w:instrText>REF _Ref174358244 \h</w:instrText>
      </w:r>
      <w:r w:rsidR="00FC1023">
        <w:instrText xml:space="preserve"> </w:instrText>
      </w:r>
      <w:r w:rsidR="00FC1023">
        <w:fldChar w:fldCharType="separate"/>
      </w:r>
      <w:r w:rsidR="000F2689">
        <w:rPr>
          <w:rFonts w:hint="eastAsia"/>
        </w:rPr>
        <w:t>表</w:t>
      </w:r>
      <w:r w:rsidR="000F2689">
        <w:rPr>
          <w:rFonts w:hint="eastAsia"/>
        </w:rPr>
        <w:t xml:space="preserve"> </w:t>
      </w:r>
      <w:r w:rsidR="000F2689">
        <w:rPr>
          <w:noProof/>
        </w:rPr>
        <w:t>12</w:t>
      </w:r>
      <w:r w:rsidR="00FC1023">
        <w:fldChar w:fldCharType="end"/>
      </w:r>
      <w:r w:rsidR="00FC1023">
        <w:rPr>
          <w:rFonts w:hint="eastAsia"/>
        </w:rPr>
        <w:t>和</w:t>
      </w:r>
      <w:r w:rsidR="00FC1023">
        <w:fldChar w:fldCharType="begin"/>
      </w:r>
      <w:r w:rsidR="00FC1023">
        <w:instrText xml:space="preserve"> </w:instrText>
      </w:r>
      <w:r w:rsidR="00FC1023">
        <w:rPr>
          <w:rFonts w:hint="eastAsia"/>
        </w:rPr>
        <w:instrText>REF _Ref174358256 \h</w:instrText>
      </w:r>
      <w:r w:rsidR="00FC1023">
        <w:instrText xml:space="preserve"> </w:instrText>
      </w:r>
      <w:r w:rsidR="00FC1023">
        <w:fldChar w:fldCharType="separate"/>
      </w:r>
      <w:r w:rsidR="000F2689">
        <w:rPr>
          <w:rFonts w:hint="eastAsia"/>
        </w:rPr>
        <w:t>图</w:t>
      </w:r>
      <w:r w:rsidR="000F2689">
        <w:rPr>
          <w:rFonts w:hint="eastAsia"/>
        </w:rPr>
        <w:t xml:space="preserve"> </w:t>
      </w:r>
      <w:r w:rsidR="000F2689">
        <w:rPr>
          <w:noProof/>
        </w:rPr>
        <w:t>7</w:t>
      </w:r>
      <w:r w:rsidR="00FC1023">
        <w:fldChar w:fldCharType="end"/>
      </w:r>
      <w:r w:rsidR="00FC1023" w:rsidRPr="00116F7D">
        <w:rPr>
          <w:rFonts w:hint="eastAsia"/>
        </w:rPr>
        <w:t>所示</w:t>
      </w:r>
      <w:r w:rsidR="00FC1023">
        <w:rPr>
          <w:rFonts w:hint="eastAsia"/>
        </w:rPr>
        <w:t>。结果表明，所有路径系数均显著为正。</w:t>
      </w:r>
    </w:p>
    <w:p w14:paraId="54F7D8C3" w14:textId="2CE37837" w:rsidR="003346B5" w:rsidRDefault="00FC1023" w:rsidP="003346B5">
      <w:pPr>
        <w:ind w:firstLine="420"/>
        <w:rPr>
          <w:rFonts w:ascii="Times" w:hAnsi="Times"/>
        </w:rPr>
      </w:pPr>
      <w:r>
        <w:rPr>
          <w:rFonts w:hint="eastAsia"/>
        </w:rPr>
        <w:t>进一步计算内生变量的决定系数</w:t>
      </w:r>
      <w:r>
        <w:rPr>
          <w:rFonts w:hint="eastAsia"/>
        </w:rPr>
        <w:t xml:space="preserve"> </w:t>
      </w:r>
      <w:r w:rsidRPr="004F20E1">
        <w:rPr>
          <w:rFonts w:hint="eastAsia"/>
          <w:i/>
          <w:iCs/>
        </w:rPr>
        <w:t>R</w:t>
      </w:r>
      <w:r w:rsidRPr="00DC6EEE">
        <w:rPr>
          <w:rFonts w:hint="eastAsia"/>
          <w:vertAlign w:val="superscript"/>
        </w:rPr>
        <w:t>2</w:t>
      </w:r>
      <w:r>
        <w:rPr>
          <w:rFonts w:hint="eastAsia"/>
        </w:rPr>
        <w:t>（</w:t>
      </w:r>
      <w:r>
        <w:rPr>
          <w:rFonts w:hint="eastAsia"/>
        </w:rPr>
        <w:t>Coefficient of Determination</w:t>
      </w:r>
      <w:r>
        <w:rPr>
          <w:rFonts w:hint="eastAsia"/>
        </w:rPr>
        <w:t>）（见</w:t>
      </w:r>
      <w:r>
        <w:fldChar w:fldCharType="begin"/>
      </w:r>
      <w:r>
        <w:instrText xml:space="preserve"> </w:instrText>
      </w:r>
      <w:r>
        <w:rPr>
          <w:rFonts w:hint="eastAsia"/>
        </w:rPr>
        <w:instrText>REF _Ref174358256 \h</w:instrText>
      </w:r>
      <w:r>
        <w:instrText xml:space="preserve"> </w:instrText>
      </w:r>
      <w:r>
        <w:fldChar w:fldCharType="separate"/>
      </w:r>
      <w:r w:rsidR="000F2689">
        <w:rPr>
          <w:rFonts w:hint="eastAsia"/>
        </w:rPr>
        <w:t>图</w:t>
      </w:r>
      <w:r w:rsidR="000F2689">
        <w:rPr>
          <w:rFonts w:hint="eastAsia"/>
        </w:rPr>
        <w:t xml:space="preserve"> </w:t>
      </w:r>
      <w:r w:rsidR="000F2689">
        <w:rPr>
          <w:noProof/>
        </w:rPr>
        <w:t>7</w:t>
      </w:r>
      <w:r>
        <w:fldChar w:fldCharType="end"/>
      </w:r>
      <w:r>
        <w:rPr>
          <w:rFonts w:hint="eastAsia"/>
        </w:rPr>
        <w:t>）</w:t>
      </w:r>
      <w:r w:rsidR="003346B5">
        <w:rPr>
          <w:rFonts w:hint="eastAsia"/>
        </w:rPr>
        <w:t>。</w:t>
      </w:r>
      <w:r w:rsidR="003346B5">
        <w:rPr>
          <w:rFonts w:hint="eastAsia"/>
          <w:iCs/>
        </w:rPr>
        <w:t>通常认为，</w:t>
      </w:r>
      <w:r w:rsidR="003346B5" w:rsidRPr="00985142">
        <w:rPr>
          <w:rFonts w:hint="eastAsia"/>
          <w:i/>
        </w:rPr>
        <w:t>R</w:t>
      </w:r>
      <w:r w:rsidR="003346B5" w:rsidRPr="00B22D4C">
        <w:rPr>
          <w:iCs/>
          <w:vertAlign w:val="superscript"/>
        </w:rPr>
        <w:t>2</w:t>
      </w:r>
      <w:r w:rsidR="003346B5" w:rsidRPr="00541135">
        <w:rPr>
          <w:rFonts w:hint="eastAsia"/>
        </w:rPr>
        <w:t>值</w:t>
      </w:r>
      <w:r w:rsidR="003346B5" w:rsidRPr="00A03BF0">
        <w:rPr>
          <w:rFonts w:hint="eastAsia"/>
        </w:rPr>
        <w:t>介于</w:t>
      </w:r>
      <w:r w:rsidR="003346B5" w:rsidRPr="00A03BF0">
        <w:rPr>
          <w:rFonts w:hint="eastAsia"/>
        </w:rPr>
        <w:t>0.33</w:t>
      </w:r>
      <w:r w:rsidR="003346B5" w:rsidRPr="00A03BF0">
        <w:rPr>
          <w:rFonts w:hint="eastAsia"/>
        </w:rPr>
        <w:t>至</w:t>
      </w:r>
      <w:r w:rsidR="003346B5" w:rsidRPr="00A03BF0">
        <w:rPr>
          <w:rFonts w:hint="eastAsia"/>
        </w:rPr>
        <w:t>0.67</w:t>
      </w:r>
      <w:r w:rsidR="003346B5" w:rsidRPr="00A03BF0">
        <w:rPr>
          <w:rFonts w:hint="eastAsia"/>
        </w:rPr>
        <w:t>之间</w:t>
      </w:r>
      <w:r w:rsidR="003346B5">
        <w:rPr>
          <w:rFonts w:hint="eastAsia"/>
        </w:rPr>
        <w:t>时</w:t>
      </w:r>
      <w:r w:rsidR="003346B5" w:rsidRPr="00A03BF0">
        <w:rPr>
          <w:rFonts w:hint="eastAsia"/>
        </w:rPr>
        <w:t>模型具有中等水平的解释力</w:t>
      </w:r>
      <w:r w:rsidR="003346B5">
        <w:rPr>
          <w:rFonts w:hint="eastAsia"/>
        </w:rPr>
        <w:t>；</w:t>
      </w:r>
      <w:r w:rsidR="003346B5" w:rsidRPr="00985142">
        <w:rPr>
          <w:rFonts w:hint="eastAsia"/>
          <w:i/>
        </w:rPr>
        <w:t>R</w:t>
      </w:r>
      <w:r w:rsidR="003346B5" w:rsidRPr="00B22D4C">
        <w:rPr>
          <w:iCs/>
          <w:vertAlign w:val="superscript"/>
        </w:rPr>
        <w:t>2</w:t>
      </w:r>
      <w:r w:rsidR="003346B5" w:rsidRPr="00541135">
        <w:rPr>
          <w:rFonts w:hint="eastAsia"/>
        </w:rPr>
        <w:t>值</w:t>
      </w:r>
      <w:r w:rsidR="003346B5">
        <w:rPr>
          <w:rFonts w:hint="eastAsia"/>
        </w:rPr>
        <w:t>超过</w:t>
      </w:r>
      <w:r w:rsidR="003346B5" w:rsidRPr="00541135">
        <w:rPr>
          <w:rFonts w:hint="eastAsia"/>
        </w:rPr>
        <w:t>0</w:t>
      </w:r>
      <w:r w:rsidR="003346B5" w:rsidRPr="00541135">
        <w:t>.67</w:t>
      </w:r>
      <w:r w:rsidR="003346B5">
        <w:rPr>
          <w:rFonts w:hint="eastAsia"/>
        </w:rPr>
        <w:t>时</w:t>
      </w:r>
      <w:r w:rsidR="003346B5" w:rsidRPr="00A03BF0">
        <w:rPr>
          <w:rFonts w:hint="eastAsia"/>
        </w:rPr>
        <w:t>模型的解释能力较强</w:t>
      </w:r>
      <w:r w:rsidR="003346B5" w:rsidRPr="00541135">
        <w:rPr>
          <w:rFonts w:hint="eastAsia"/>
        </w:rPr>
        <w:t>。</w:t>
      </w:r>
      <w:r w:rsidR="003346B5">
        <w:rPr>
          <w:rFonts w:ascii="Times" w:hAnsi="Times" w:hint="eastAsia"/>
        </w:rPr>
        <w:t>模型中各潜变量的决定系数均不低于</w:t>
      </w:r>
      <w:r w:rsidR="003346B5">
        <w:rPr>
          <w:rFonts w:ascii="Times" w:hAnsi="Times" w:hint="eastAsia"/>
        </w:rPr>
        <w:t>0.33</w:t>
      </w:r>
      <w:r w:rsidR="003346B5">
        <w:rPr>
          <w:rFonts w:ascii="Times" w:hAnsi="Times" w:hint="eastAsia"/>
        </w:rPr>
        <w:t>。</w:t>
      </w:r>
    </w:p>
    <w:p w14:paraId="3A80E239" w14:textId="4D2AC777" w:rsidR="003346B5" w:rsidRDefault="003346B5" w:rsidP="003346B5">
      <w:pPr>
        <w:ind w:firstLine="420"/>
        <w:rPr>
          <w:iCs/>
        </w:rPr>
      </w:pPr>
      <w:r>
        <w:rPr>
          <w:rFonts w:hint="eastAsia"/>
        </w:rPr>
        <w:t>随后，</w:t>
      </w:r>
      <w:r w:rsidRPr="00541135">
        <w:rPr>
          <w:rFonts w:hint="eastAsia"/>
        </w:rPr>
        <w:t>应用</w:t>
      </w:r>
      <w:r w:rsidRPr="00541135">
        <w:rPr>
          <w:rFonts w:hint="eastAsia"/>
        </w:rPr>
        <w:t>Blind</w:t>
      </w:r>
      <w:r w:rsidRPr="00541135">
        <w:t>folding</w:t>
      </w:r>
      <w:r>
        <w:rPr>
          <w:rFonts w:hint="eastAsia"/>
        </w:rPr>
        <w:t>方法，计算潜变量的</w:t>
      </w:r>
      <w:r w:rsidRPr="00541135">
        <w:rPr>
          <w:rFonts w:hint="eastAsia"/>
        </w:rPr>
        <w:t>预测相关性</w:t>
      </w:r>
      <w:r w:rsidRPr="00985142">
        <w:rPr>
          <w:i/>
        </w:rPr>
        <w:t>Q</w:t>
      </w:r>
      <w:r w:rsidRPr="00B22D4C">
        <w:rPr>
          <w:iCs/>
          <w:vertAlign w:val="superscript"/>
        </w:rPr>
        <w:t>2</w:t>
      </w:r>
      <w:r w:rsidRPr="00541135">
        <w:rPr>
          <w:rFonts w:hint="eastAsia"/>
        </w:rPr>
        <w:t>（</w:t>
      </w:r>
      <w:r w:rsidRPr="00541135">
        <w:t xml:space="preserve">Predictive </w:t>
      </w:r>
      <w:r>
        <w:rPr>
          <w:rFonts w:hint="eastAsia"/>
        </w:rPr>
        <w:t>r</w:t>
      </w:r>
      <w:r w:rsidRPr="00541135">
        <w:t>elevance</w:t>
      </w:r>
      <w:r w:rsidRPr="00541135">
        <w:rPr>
          <w:rFonts w:hint="eastAsia"/>
        </w:rPr>
        <w:t>）</w:t>
      </w:r>
      <w:r>
        <w:rPr>
          <w:rFonts w:hint="eastAsia"/>
        </w:rPr>
        <w:t>，以衡量</w:t>
      </w:r>
      <w:r w:rsidRPr="00541135">
        <w:rPr>
          <w:rFonts w:hint="eastAsia"/>
        </w:rPr>
        <w:t>结构模型</w:t>
      </w:r>
      <w:r>
        <w:rPr>
          <w:rFonts w:hint="eastAsia"/>
        </w:rPr>
        <w:t>的预测准确度。</w:t>
      </w:r>
      <w:r w:rsidRPr="00985142">
        <w:rPr>
          <w:i/>
        </w:rPr>
        <w:t>Q</w:t>
      </w:r>
      <w:r w:rsidRPr="00B22D4C">
        <w:rPr>
          <w:iCs/>
          <w:vertAlign w:val="superscript"/>
        </w:rPr>
        <w:t>2</w:t>
      </w:r>
      <w:r>
        <w:rPr>
          <w:rFonts w:hint="eastAsia"/>
          <w:iCs/>
        </w:rPr>
        <w:t>大于</w:t>
      </w:r>
      <w:r>
        <w:rPr>
          <w:rFonts w:hint="eastAsia"/>
          <w:iCs/>
        </w:rPr>
        <w:t>0</w:t>
      </w:r>
      <w:r w:rsidRPr="00E54B7B">
        <w:rPr>
          <w:rFonts w:hint="eastAsia"/>
          <w:iCs/>
        </w:rPr>
        <w:t>表明模型</w:t>
      </w:r>
      <w:r>
        <w:t>对相应潜变量具有一定预测能力</w:t>
      </w:r>
      <w:r>
        <w:fldChar w:fldCharType="begin"/>
      </w:r>
      <w:r w:rsidR="00E17813">
        <w:instrText xml:space="preserve"> ADDIN ZOTERO_ITEM CSL_CITATION {"citationID":"a3ij74b8gu","properties":{"formattedCitation":"\\super [107]\\nosupersub{}","plainCitation":"[107]","noteIndex":0},"citationItems":[{"id":2738,"uris":["http://zotero.org/users/13172592/items/IXKCVSNK"],"itemData":{"id":2738,"type":"article-journal","abstract":"Purpose The purpose of this paper is to provide a comprehensive, yet concise, overview of the considerations and metrics required for partial least squares structural equation modeling (PLS-SEM) analysis and result reporting. Preliminary considerations are summarized first, including reasons for choosing PLS-SEM, recommended sample size in selected contexts, distributional assumptions, use of secondary data, statistical power and the need for goodness-of-fit testing. Next, the metrics as well as the rules of thumb that should be applied to assess the PLS-SEM results are covered. Besides presenting established PLS-SEM evaluation criteria, the overview includes the following new guidelines: PLSpredict (i.e., a novel approach for assessing a model’s out-of-sample prediction), metrics for model comparisons, and several complementary methods for checking the results’ robustness. Design/methodology/approach This paper provides an overview of previously and recently proposed metrics as well as rules of thumb for evaluating the research results based on the application of PLS-SEM. Findings Most of the previously applied metrics for evaluating PLS-SEM results are still relevant. Nevertheless, scholars need to be knowledgeable about recently proposed metrics (e.g. model comparison criteria) and methods (e.g. endogeneity assessment, latent class analysis and PLSpredict), and when and how to apply them to extend their analyses. Research limitations/implications Methodological developments associated with PLS-SEM are rapidly emerging. The metrics reported in this paper are useful for current applications, but must always be up to date with the latest developments in the PLS-SEM method. Originality/value In light of more recent research and methodological developments in the PLS-SEM domain, guidelines for the method’s use need to be continuously extended and updated. This paper is the most current and comprehensive summary of the PLS-SEM method and the metrics applied to assess its solutions.","container-title":"European Business Review","DOI":"10.1108/EBR-11-2018-0203","ISSN":"0955-534X","issue":"1","language":"en","note":"publisher: Emerald Publishing Limited","page":"2-24","source":"4","title":"When to use and how to report the results of PLS-SEM","volume":"31","author":[{"family":"Hair","given":"Joseph F."},{"family":"Risher","given":"Jeffrey J."},{"family":"Sarstedt","given":"Marko"},{"family":"Ringle","given":"Christian M."}],"issued":{"date-parts":[["2019",1,1]]}}}],"schema":"https://github.com/citation-style-language/schema/raw/master/csl-citation.json"} </w:instrText>
      </w:r>
      <w:r>
        <w:fldChar w:fldCharType="separate"/>
      </w:r>
      <w:r w:rsidR="00E17813" w:rsidRPr="00E17813">
        <w:rPr>
          <w:rFonts w:cs="Times New Roman"/>
          <w:kern w:val="0"/>
          <w:vertAlign w:val="superscript"/>
        </w:rPr>
        <w:t>[107]</w:t>
      </w:r>
      <w:r>
        <w:fldChar w:fldCharType="end"/>
      </w:r>
      <w:r w:rsidRPr="00541135">
        <w:rPr>
          <w:rFonts w:hint="eastAsia"/>
        </w:rPr>
        <w:t>。</w:t>
      </w:r>
      <w:r>
        <w:fldChar w:fldCharType="begin"/>
      </w:r>
      <w:r>
        <w:instrText xml:space="preserve"> </w:instrText>
      </w:r>
      <w:r>
        <w:rPr>
          <w:rFonts w:hint="eastAsia"/>
        </w:rPr>
        <w:instrText>REF _Ref174358256 \h</w:instrText>
      </w:r>
      <w:r>
        <w:instrText xml:space="preserve"> </w:instrText>
      </w:r>
      <w:r>
        <w:fldChar w:fldCharType="separate"/>
      </w:r>
      <w:r w:rsidR="000F2689">
        <w:rPr>
          <w:rFonts w:hint="eastAsia"/>
        </w:rPr>
        <w:t>图</w:t>
      </w:r>
      <w:r w:rsidR="000F2689">
        <w:rPr>
          <w:rFonts w:hint="eastAsia"/>
        </w:rPr>
        <w:t xml:space="preserve"> </w:t>
      </w:r>
      <w:r w:rsidR="000F2689">
        <w:rPr>
          <w:noProof/>
        </w:rPr>
        <w:t>7</w:t>
      </w:r>
      <w:r>
        <w:fldChar w:fldCharType="end"/>
      </w:r>
      <w:r>
        <w:rPr>
          <w:rFonts w:hint="eastAsia"/>
        </w:rPr>
        <w:t>中各潜变量</w:t>
      </w:r>
      <w:r w:rsidRPr="00985142">
        <w:rPr>
          <w:i/>
        </w:rPr>
        <w:t>Q</w:t>
      </w:r>
      <w:r w:rsidRPr="00B22D4C">
        <w:rPr>
          <w:iCs/>
          <w:vertAlign w:val="superscript"/>
        </w:rPr>
        <w:t>2</w:t>
      </w:r>
      <w:r>
        <w:rPr>
          <w:rFonts w:hint="eastAsia"/>
          <w:iCs/>
        </w:rPr>
        <w:t>均大于</w:t>
      </w:r>
      <w:r>
        <w:rPr>
          <w:rFonts w:hint="eastAsia"/>
          <w:iCs/>
        </w:rPr>
        <w:t>0</w:t>
      </w:r>
      <w:r>
        <w:rPr>
          <w:rFonts w:hint="eastAsia"/>
          <w:iCs/>
        </w:rPr>
        <w:t>，表明模型总体预测能力良好。</w:t>
      </w:r>
    </w:p>
    <w:p w14:paraId="0A72E3AF" w14:textId="5040CC7A" w:rsidR="00FC1023" w:rsidRDefault="003346B5" w:rsidP="00FD5AAE">
      <w:pPr>
        <w:spacing w:afterLines="50" w:after="156"/>
        <w:ind w:firstLine="420"/>
      </w:pPr>
      <w:r w:rsidRPr="00304442">
        <w:rPr>
          <w:rFonts w:hint="eastAsia"/>
          <w:iCs/>
        </w:rPr>
        <w:t>模型适配度</w:t>
      </w:r>
      <w:r>
        <w:rPr>
          <w:rFonts w:hint="eastAsia"/>
          <w:iCs/>
        </w:rPr>
        <w:t>通过</w:t>
      </w:r>
      <w:r w:rsidRPr="00304442">
        <w:rPr>
          <w:rFonts w:hint="eastAsia"/>
          <w:iCs/>
        </w:rPr>
        <w:t>模型拟合的标准化均方根残差</w:t>
      </w:r>
      <w:r>
        <w:rPr>
          <w:rFonts w:hint="eastAsia"/>
          <w:iCs/>
        </w:rPr>
        <w:t>（</w:t>
      </w:r>
      <w:r w:rsidRPr="00304442">
        <w:rPr>
          <w:iCs/>
        </w:rPr>
        <w:t>Standardized</w:t>
      </w:r>
      <w:r>
        <w:rPr>
          <w:iCs/>
        </w:rPr>
        <w:t xml:space="preserve"> </w:t>
      </w:r>
      <w:r w:rsidRPr="00304442">
        <w:rPr>
          <w:iCs/>
        </w:rPr>
        <w:t>Root Mean Squared</w:t>
      </w:r>
      <w:r>
        <w:rPr>
          <w:iCs/>
        </w:rPr>
        <w:t xml:space="preserve"> </w:t>
      </w:r>
      <w:r w:rsidRPr="00304442">
        <w:rPr>
          <w:iCs/>
        </w:rPr>
        <w:t>Resid</w:t>
      </w:r>
      <w:r w:rsidRPr="00304442">
        <w:rPr>
          <w:rFonts w:hint="eastAsia"/>
          <w:iCs/>
        </w:rPr>
        <w:t>ual</w:t>
      </w:r>
      <w:r>
        <w:rPr>
          <w:rFonts w:hint="eastAsia"/>
          <w:iCs/>
        </w:rPr>
        <w:t>，</w:t>
      </w:r>
      <w:r w:rsidRPr="00304442">
        <w:rPr>
          <w:rFonts w:hint="eastAsia"/>
          <w:iCs/>
        </w:rPr>
        <w:t>SRMR</w:t>
      </w:r>
      <w:r>
        <w:rPr>
          <w:rFonts w:hint="eastAsia"/>
          <w:iCs/>
        </w:rPr>
        <w:t>）</w:t>
      </w:r>
      <w:r w:rsidRPr="00304442">
        <w:rPr>
          <w:rFonts w:hint="eastAsia"/>
          <w:iCs/>
        </w:rPr>
        <w:t>评估</w:t>
      </w:r>
      <w:r>
        <w:rPr>
          <w:rFonts w:hint="eastAsia"/>
          <w:iCs/>
        </w:rPr>
        <w:t>，</w:t>
      </w:r>
      <w:r w:rsidRPr="00304442">
        <w:rPr>
          <w:rFonts w:hint="eastAsia"/>
          <w:iCs/>
        </w:rPr>
        <w:t>SRMR</w:t>
      </w:r>
      <w:r>
        <w:rPr>
          <w:rFonts w:hint="eastAsia"/>
          <w:iCs/>
        </w:rPr>
        <w:t>小于</w:t>
      </w:r>
      <w:r w:rsidRPr="00304442">
        <w:rPr>
          <w:rFonts w:hint="eastAsia"/>
          <w:iCs/>
        </w:rPr>
        <w:t>0.080</w:t>
      </w:r>
      <w:r w:rsidRPr="00304442">
        <w:rPr>
          <w:rFonts w:hint="eastAsia"/>
          <w:iCs/>
        </w:rPr>
        <w:t>时模型适配度满足要求</w:t>
      </w:r>
      <w:r>
        <w:fldChar w:fldCharType="begin"/>
      </w:r>
      <w:r w:rsidR="00E17813">
        <w:instrText xml:space="preserve"> ADDIN ZOTERO_ITEM CSL_CITATION {"citationID":"iWSvVz4E","properties":{"formattedCitation":"\\super [107]\\nosupersub{}","plainCitation":"[107]","noteIndex":0},"citationItems":[{"id":2738,"uris":["http://zotero.org/users/13172592/items/IXKCVSNK"],"itemData":{"id":2738,"type":"article-journal","abstract":"Purpose The purpose of this paper is to provide a comprehensive, yet concise, overview of the considerations and metrics required for partial least squares structural equation modeling (PLS-SEM) analysis and result reporting. Preliminary considerations are summarized first, including reasons for choosing PLS-SEM, recommended sample size in selected contexts, distributional assumptions, use of secondary data, statistical power and the need for goodness-of-fit testing. Next, the metrics as well as the rules of thumb that should be applied to assess the PLS-SEM results are covered. Besides presenting established PLS-SEM evaluation criteria, the overview includes the following new guidelines: PLSpredict (i.e., a novel approach for assessing a model’s out-of-sample prediction), metrics for model comparisons, and several complementary methods for checking the results’ robustness. Design/methodology/approach This paper provides an overview of previously and recently proposed metrics as well as rules of thumb for evaluating the research results based on the application of PLS-SEM. Findings Most of the previously applied metrics for evaluating PLS-SEM results are still relevant. Nevertheless, scholars need to be knowledgeable about recently proposed metrics (e.g. model comparison criteria) and methods (e.g. endogeneity assessment, latent class analysis and PLSpredict), and when and how to apply them to extend their analyses. Research limitations/implications Methodological developments associated with PLS-SEM are rapidly emerging. The metrics reported in this paper are useful for current applications, but must always be up to date with the latest developments in the PLS-SEM method. Originality/value In light of more recent research and methodological developments in the PLS-SEM domain, guidelines for the method’s use need to be continuously extended and updated. This paper is the most current and comprehensive summary of the PLS-SEM method and the metrics applied to assess its solutions.","container-title":"European Business Review","DOI":"10.1108/EBR-11-2018-0203","ISSN":"0955-534X","issue":"1","language":"en","note":"publisher: Emerald Publishing Limited","page":"2-24","source":"4","title":"When to use and how to report the results of PLS-SEM","volume":"31","author":[{"family":"Hair","given":"Joseph F."},{"family":"Risher","given":"Jeffrey J."},{"family":"Sarstedt","given":"Marko"},{"family":"Ringle","given":"Christian M."}],"issued":{"date-parts":[["2019",1,1]]}}}],"schema":"https://github.com/citation-style-language/schema/raw/master/csl-citation.json"} </w:instrText>
      </w:r>
      <w:r>
        <w:fldChar w:fldCharType="separate"/>
      </w:r>
      <w:r w:rsidR="00E17813" w:rsidRPr="00E17813">
        <w:rPr>
          <w:rFonts w:cs="Times New Roman"/>
          <w:kern w:val="0"/>
          <w:vertAlign w:val="superscript"/>
        </w:rPr>
        <w:t>[107]</w:t>
      </w:r>
      <w:r>
        <w:fldChar w:fldCharType="end"/>
      </w:r>
      <w:r w:rsidRPr="00304442">
        <w:rPr>
          <w:rFonts w:hint="eastAsia"/>
          <w:iCs/>
        </w:rPr>
        <w:t>。本研究模型</w:t>
      </w:r>
      <w:r w:rsidRPr="00304442">
        <w:rPr>
          <w:rFonts w:hint="eastAsia"/>
          <w:iCs/>
        </w:rPr>
        <w:t>SRMR</w:t>
      </w:r>
      <w:r w:rsidRPr="00304442">
        <w:rPr>
          <w:rFonts w:hint="eastAsia"/>
          <w:iCs/>
        </w:rPr>
        <w:t>为</w:t>
      </w:r>
      <w:r w:rsidRPr="00304442">
        <w:rPr>
          <w:rFonts w:hint="eastAsia"/>
          <w:iCs/>
        </w:rPr>
        <w:t>0.0</w:t>
      </w:r>
      <w:r>
        <w:rPr>
          <w:rFonts w:hint="eastAsia"/>
          <w:iCs/>
        </w:rPr>
        <w:t>39</w:t>
      </w:r>
      <w:r>
        <w:rPr>
          <w:rFonts w:hint="eastAsia"/>
          <w:iCs/>
        </w:rPr>
        <w:t>，</w:t>
      </w:r>
      <w:r w:rsidRPr="00304442">
        <w:rPr>
          <w:rFonts w:hint="eastAsia"/>
          <w:iCs/>
        </w:rPr>
        <w:t>模型适配度</w:t>
      </w:r>
      <w:r>
        <w:rPr>
          <w:rFonts w:hint="eastAsia"/>
          <w:iCs/>
        </w:rPr>
        <w:t>较好</w:t>
      </w:r>
      <w:r w:rsidR="00FC1023" w:rsidRPr="00EF6774">
        <w:rPr>
          <w:rFonts w:hint="eastAsia"/>
        </w:rPr>
        <w:t>。</w:t>
      </w:r>
    </w:p>
    <w:p w14:paraId="6EAA5136" w14:textId="77777777" w:rsidR="009D2DF3" w:rsidRDefault="009D2DF3" w:rsidP="00E17813">
      <w:pPr>
        <w:pStyle w:val="2"/>
      </w:pPr>
      <w:r>
        <w:rPr>
          <w:rFonts w:hint="eastAsia"/>
        </w:rPr>
        <w:t>清洁能源基地一体化</w:t>
      </w:r>
      <w:r w:rsidRPr="00874FF0">
        <w:rPr>
          <w:rFonts w:hint="eastAsia"/>
        </w:rPr>
        <w:t>管理</w:t>
      </w:r>
      <w:r>
        <w:rPr>
          <w:rFonts w:hint="eastAsia"/>
        </w:rPr>
        <w:t>因素总效应分析</w:t>
      </w:r>
    </w:p>
    <w:p w14:paraId="0C411ED6" w14:textId="57DDF796" w:rsidR="009D2DF3" w:rsidRDefault="009D2DF3" w:rsidP="009D2DF3">
      <w:pPr>
        <w:ind w:firstLine="420"/>
      </w:pPr>
      <w:r>
        <w:rPr>
          <w:rFonts w:ascii="Times" w:hAnsi="Times" w:hint="eastAsia"/>
        </w:rPr>
        <w:t>潜</w:t>
      </w:r>
      <w:r w:rsidRPr="00541135">
        <w:rPr>
          <w:rFonts w:ascii="Times" w:hAnsi="Times" w:hint="eastAsia"/>
        </w:rPr>
        <w:t>变量间的总效应</w:t>
      </w:r>
      <w:r>
        <w:rPr>
          <w:rFonts w:ascii="Times" w:hAnsi="Times" w:hint="eastAsia"/>
        </w:rPr>
        <w:t>为直接效应和间接效应的总和，</w:t>
      </w:r>
      <w:r>
        <w:rPr>
          <w:rFonts w:hint="eastAsia"/>
        </w:rPr>
        <w:t>如</w:t>
      </w:r>
      <w:r>
        <w:fldChar w:fldCharType="begin"/>
      </w:r>
      <w:r>
        <w:instrText xml:space="preserve"> </w:instrText>
      </w:r>
      <w:r>
        <w:rPr>
          <w:rFonts w:hint="eastAsia"/>
        </w:rPr>
        <w:instrText>REF _Ref200172389 \h</w:instrText>
      </w:r>
      <w:r>
        <w:instrText xml:space="preserve"> </w:instrText>
      </w:r>
      <w:r>
        <w:fldChar w:fldCharType="separate"/>
      </w:r>
      <w:r w:rsidR="000F2689">
        <w:rPr>
          <w:rFonts w:hint="eastAsia"/>
        </w:rPr>
        <w:t>表</w:t>
      </w:r>
      <w:r w:rsidR="000F2689">
        <w:rPr>
          <w:rFonts w:hint="eastAsia"/>
        </w:rPr>
        <w:t xml:space="preserve"> </w:t>
      </w:r>
      <w:r w:rsidR="000F2689">
        <w:rPr>
          <w:noProof/>
        </w:rPr>
        <w:t>13</w:t>
      </w:r>
      <w:r>
        <w:fldChar w:fldCharType="end"/>
      </w:r>
      <w:r>
        <w:rPr>
          <w:rFonts w:hint="eastAsia"/>
        </w:rPr>
        <w:t>所示</w:t>
      </w:r>
      <w:r>
        <w:rPr>
          <w:rFonts w:ascii="Times" w:hAnsi="Times" w:hint="eastAsia"/>
        </w:rPr>
        <w:t>。在清洁能源基地一体化管理</w:t>
      </w:r>
      <w:r w:rsidRPr="00FF2BF3">
        <w:rPr>
          <w:rFonts w:ascii="Times" w:hAnsi="Times" w:hint="eastAsia"/>
        </w:rPr>
        <w:t>理论</w:t>
      </w:r>
      <w:r>
        <w:rPr>
          <w:rFonts w:ascii="Times" w:hAnsi="Times" w:hint="eastAsia"/>
        </w:rPr>
        <w:t>模型的输入因素中，</w:t>
      </w:r>
      <w:r w:rsidRPr="00A7500B">
        <w:rPr>
          <w:rFonts w:hint="eastAsia"/>
        </w:rPr>
        <w:t>业主项目群管理能力</w:t>
      </w:r>
      <w:r>
        <w:rPr>
          <w:rFonts w:hint="eastAsia"/>
        </w:rPr>
        <w:t>对</w:t>
      </w:r>
      <w:r>
        <w:rPr>
          <w:rFonts w:ascii="Times" w:hAnsi="Times" w:hint="eastAsia"/>
        </w:rPr>
        <w:t>项目群实施（</w:t>
      </w:r>
      <w:r w:rsidRPr="00F83966">
        <w:t>0.489***</w:t>
      </w:r>
      <w:r>
        <w:rPr>
          <w:rFonts w:ascii="Times" w:hAnsi="Times" w:hint="eastAsia"/>
        </w:rPr>
        <w:t>）、项目群运营（</w:t>
      </w:r>
      <w:r w:rsidRPr="00CD4032">
        <w:rPr>
          <w:rFonts w:ascii="Times" w:hAnsi="Times"/>
        </w:rPr>
        <w:t>0.712***</w:t>
      </w:r>
      <w:r>
        <w:rPr>
          <w:rFonts w:ascii="Times" w:hAnsi="Times" w:hint="eastAsia"/>
        </w:rPr>
        <w:t>）与项目群绩效（</w:t>
      </w:r>
      <w:r w:rsidRPr="00CD4032">
        <w:rPr>
          <w:rFonts w:ascii="Times" w:hAnsi="Times"/>
        </w:rPr>
        <w:t>0.626***</w:t>
      </w:r>
      <w:r>
        <w:rPr>
          <w:rFonts w:ascii="Times" w:hAnsi="Times" w:hint="eastAsia"/>
        </w:rPr>
        <w:t>）</w:t>
      </w:r>
      <w:r>
        <w:rPr>
          <w:rFonts w:hint="eastAsia"/>
        </w:rPr>
        <w:t>的总效应系数最大，既突出了业主能力对提升项目群开发水平的重要性，也强调了应从项目群视角对清洁能源基地开发进行一体</w:t>
      </w:r>
      <w:r>
        <w:rPr>
          <w:rFonts w:hint="eastAsia"/>
        </w:rPr>
        <w:t>化管理。已有研究也指出</w:t>
      </w:r>
      <w:r>
        <w:t>业主在工程项目管理中扮演关键角色</w:t>
      </w:r>
      <w:r>
        <w:rPr>
          <w:rFonts w:hint="eastAsia"/>
        </w:rPr>
        <w:t>，提升业主能力对保障项目目标的实现至关重要</w:t>
      </w:r>
      <w:r>
        <w:fldChar w:fldCharType="begin"/>
      </w:r>
      <w:r w:rsidR="00E17813">
        <w:instrText xml:space="preserve"> ADDIN ZOTERO_ITEM CSL_CITATION {"citationID":"a1r4fc620cd","properties":{"formattedCitation":"\\super [6,7,109]\\nosupersub{}","plainCitation":"[6,7,109]","noteIndex":0},"citationItems":[{"id":3569,"uris":["http://zotero.org/users/13172592/items/F7J8MSXL"],"itemData":{"id":3569,"type":"article-journal","abstract":"Public clients in the construction sector face a number of challenges in designing, procuring and managing major construction projects. The client’s role in bringing about project delivery has more recently been emphasized, particularly with respect to developing capabilities that facilitate the coordinating of projects through its different phases. In line with these developments, this paper sets out to examine the management of capabilities in a client organization through the lens of the dynamic capabilities framework. In particular, what is investigated is how the client organization senses, seizes and transforms opportunities. In pursuit of this objective, an exploratory case study approach is adopted which examines one of Sweden’s largest public client organizations. The study explores the concept of dynamic capabilities and its applicability to the public construction context. Although the usefulness of dynamic capabilities as an interpretive framework is recognized, it is suggested that the concept of dynamic capabilities is inadequate for addressing the specific context in which public client organizations operate. Particularly with respect to the project-based characteristic of these organizations and the difficulty in framing what constitutes “competitive advantage” for public organizations.","container-title":"Construction Management and Economics","DOI":"10.1080/01446193.2017.1309441","ISSN":"0144-6193, 1466-433X","issue":"7","journalAbbreviation":"Construction Management and Economics","language":"en","page":"420-431","source":"3","title":"Applying the dynamic capabilities framework in the case of a large public construction client","volume":"35","author":[{"family":"Adam","given":"Abderisak"},{"family":"Lindahl","given":"Göran"}],"issued":{"date-parts":[["2017",7,3]]}}},{"id":3564,"uris":["http://zotero.org/users/13172592/items/5TDVMB9T"],"itemData":{"id":3564,"type":"article-journal","abstract":"While risk and uncertainty management have received much attention within construction management research, management of information interpretation remains unexplored. Situations that are generally overlooked are those where increased amounts and flow of information are not the solution to the human problem of managing multiple meanings of information and conflicting interpretations, i.e. ‘equivocality’. The aim is to identify and differentiate between construction clients’ uncertainty and equivocality about industrialized construction in Sweden, and, in the light of those findings, to evaluate clients’ current information processing practice on investment decisions in new-build in order to assess and discuss clients’ ability to manage uncertainty and equivocality. Based on information processing theory, analysis of aggregated data from three previous studies shows that there is a need to manage both uncertainty and equivocality. At the same time, clients’ ability to do this is found to be limited. Consequently, when industrialized construction moves clients beyond their current frame of reference, clients’ information processing practice does not support decision making. It is also proposed that differentiating between uncertainty and equivocality will enable a more profound understanding of the sequential order for information processing, i.e. that one must define questions (reduce equivocality) before one can find answers to the questions (reduce uncertainty).","container-title":"Construction Management and Economics","DOI":"10.1080/01446193.2011.595423","ISSN":"0144-6193","issue":"7","language":"en","note":"publisher: Routledge\n_eprint: https://doi.org/10.1080/01446193.2011.595423\nTLDR: It is proposed that differentiating between uncertainty and equivocality will enable a more profound understanding of the sequential order for information processing, i.e. that one must define questions before one can find answers to the questions.","page":"753-764","source":"3","title":"Construction clients’ ability to manage uncertainty and equivocality","volume":"29","author":[{"family":"Levander","given":"Erika"},{"family":"Engström","given":"Susanne"},{"family":"Sardén","given":"Ylva"},{"family":"Stehn","given":"Lars"}],"issued":{"date-parts":[["2011",7,1]]}}},{"id":2695,"uris":["http://zotero.org/users/13172592/items/G5B2KIFG"],"itemData":{"id":2695,"type":"article-journal","abstract":"Research on the management of major projects is one of the main themes of Peter Morris' work. We address this theme in the context of transportation i…","call-number":"1","container-title":"International Journal of Project Management","DOI":"10.1016/j.ijproman.2015.02.002","ISSN":"0263-7863","issue":"2","language":"en","note":"publisher: Pergamon","page":"271-281","source":"7.4","title":"Owner project capabilities for infrastructure development: A review and development of the “strong owner” concept","title-short":"Owner project capabilities for infrastructure development","volume":"34","author":[{"family":"Winch","given":"Graham"},{"family":"Leiringer","given":"Roine"}],"issued":{"date-parts":[["2016",2,1]]}}}],"schema":"https://github.com/citation-style-language/schema/raw/master/csl-citation.json"} </w:instrText>
      </w:r>
      <w:r>
        <w:fldChar w:fldCharType="separate"/>
      </w:r>
      <w:r w:rsidR="00E17813" w:rsidRPr="00E17813">
        <w:rPr>
          <w:rFonts w:cs="Times New Roman"/>
          <w:kern w:val="0"/>
          <w:vertAlign w:val="superscript"/>
        </w:rPr>
        <w:t>[6,7,109]</w:t>
      </w:r>
      <w:r>
        <w:fldChar w:fldCharType="end"/>
      </w:r>
      <w:r>
        <w:rPr>
          <w:rFonts w:hint="eastAsia"/>
        </w:rPr>
        <w:t>。</w:t>
      </w:r>
      <w:r>
        <w:rPr>
          <w:rFonts w:ascii="Times" w:hAnsi="Times" w:hint="eastAsia"/>
        </w:rPr>
        <w:t>此外，清洁能源基地开发</w:t>
      </w:r>
      <w:r w:rsidRPr="00A7500B">
        <w:rPr>
          <w:rFonts w:hint="eastAsia"/>
        </w:rPr>
        <w:t>外部条件</w:t>
      </w:r>
      <w:r>
        <w:rPr>
          <w:rFonts w:hint="eastAsia"/>
        </w:rPr>
        <w:t>（</w:t>
      </w:r>
      <w:r w:rsidRPr="00F83966">
        <w:t>0.496***</w:t>
      </w:r>
      <w:r>
        <w:rPr>
          <w:rFonts w:hint="eastAsia"/>
        </w:rPr>
        <w:t>）对</w:t>
      </w:r>
      <w:r w:rsidRPr="00A7500B">
        <w:rPr>
          <w:rFonts w:hint="eastAsia"/>
        </w:rPr>
        <w:t>管理制度</w:t>
      </w:r>
      <w:r>
        <w:rPr>
          <w:rFonts w:hint="eastAsia"/>
        </w:rPr>
        <w:t>的总效应相比</w:t>
      </w:r>
      <w:r w:rsidRPr="00A7500B">
        <w:rPr>
          <w:rFonts w:hint="eastAsia"/>
        </w:rPr>
        <w:t>业主项目群管理能力</w:t>
      </w:r>
      <w:r>
        <w:rPr>
          <w:rFonts w:hint="eastAsia"/>
        </w:rPr>
        <w:t>（</w:t>
      </w:r>
      <w:r w:rsidRPr="00F83966">
        <w:t>0.473***</w:t>
      </w:r>
      <w:r>
        <w:rPr>
          <w:rFonts w:hint="eastAsia"/>
        </w:rPr>
        <w:t>）较大。该结果表明支持的政策与市场条件、成熟的行业标准对</w:t>
      </w:r>
      <w:r>
        <w:rPr>
          <w:rFonts w:ascii="Times" w:hAnsi="Times" w:hint="eastAsia"/>
        </w:rPr>
        <w:t>清洁能源基地</w:t>
      </w:r>
      <w:r>
        <w:rPr>
          <w:rFonts w:hint="eastAsia"/>
        </w:rPr>
        <w:t>管理制度的制定具有重要影响。</w:t>
      </w:r>
    </w:p>
    <w:p w14:paraId="224BB6F9" w14:textId="2982B879" w:rsidR="009D2DF3" w:rsidRPr="009D2DF3" w:rsidRDefault="009D2DF3" w:rsidP="009D2DF3">
      <w:pPr>
        <w:ind w:firstLine="420"/>
      </w:pPr>
      <w:r>
        <w:rPr>
          <w:rFonts w:ascii="Times" w:hAnsi="Times" w:hint="eastAsia"/>
        </w:rPr>
        <w:t>在清洁能源基地一体化管理</w:t>
      </w:r>
      <w:r w:rsidRPr="00FF2BF3">
        <w:rPr>
          <w:rFonts w:ascii="Times" w:hAnsi="Times" w:hint="eastAsia"/>
        </w:rPr>
        <w:t>理论</w:t>
      </w:r>
      <w:r>
        <w:rPr>
          <w:rFonts w:ascii="Times" w:hAnsi="Times" w:hint="eastAsia"/>
        </w:rPr>
        <w:t>模型的过程因素中，资源配置对项目群实施的总效应更大（</w:t>
      </w:r>
      <w:r w:rsidRPr="00F83966">
        <w:t>0.724***</w:t>
      </w:r>
      <w:r>
        <w:rPr>
          <w:rFonts w:hint="eastAsia"/>
        </w:rPr>
        <w:t>&gt;</w:t>
      </w:r>
      <w:r w:rsidRPr="00F83966">
        <w:t>0.097*</w:t>
      </w:r>
      <w:r>
        <w:rPr>
          <w:rFonts w:ascii="Times" w:hAnsi="Times" w:hint="eastAsia"/>
        </w:rPr>
        <w:t>），而伙伴关系对项目群运营（</w:t>
      </w:r>
      <w:r w:rsidRPr="00F83966">
        <w:t>0.554***</w:t>
      </w:r>
      <w:r>
        <w:rPr>
          <w:rFonts w:hint="eastAsia"/>
        </w:rPr>
        <w:t>&gt;</w:t>
      </w:r>
      <w:r w:rsidRPr="00F83966">
        <w:t>0.152*</w:t>
      </w:r>
      <w:r>
        <w:rPr>
          <w:rFonts w:ascii="Times" w:hAnsi="Times" w:hint="eastAsia"/>
        </w:rPr>
        <w:t>）和项目群绩效（</w:t>
      </w:r>
      <w:r w:rsidRPr="00F83966">
        <w:t>0.433***</w:t>
      </w:r>
      <w:r>
        <w:rPr>
          <w:rFonts w:hint="eastAsia"/>
        </w:rPr>
        <w:t>&gt;</w:t>
      </w:r>
      <w:r w:rsidRPr="00F83966">
        <w:t>0.253**</w:t>
      </w:r>
      <w:r>
        <w:rPr>
          <w:rFonts w:ascii="Times" w:hAnsi="Times" w:hint="eastAsia"/>
        </w:rPr>
        <w:t>）的总效应更大。</w:t>
      </w:r>
      <w:r w:rsidRPr="00CD4032">
        <w:rPr>
          <w:rFonts w:ascii="Times" w:hAnsi="Times" w:hint="eastAsia"/>
        </w:rPr>
        <w:t>在清洁能源基地实施阶段，资源</w:t>
      </w:r>
      <w:r>
        <w:rPr>
          <w:rFonts w:ascii="Times" w:hAnsi="Times" w:hint="eastAsia"/>
        </w:rPr>
        <w:t>的及时供应与共享</w:t>
      </w:r>
      <w:r w:rsidRPr="00CD4032">
        <w:rPr>
          <w:rFonts w:ascii="Times" w:hAnsi="Times" w:hint="eastAsia"/>
        </w:rPr>
        <w:t>是项目</w:t>
      </w:r>
      <w:r>
        <w:rPr>
          <w:rFonts w:ascii="Times" w:hAnsi="Times" w:hint="eastAsia"/>
        </w:rPr>
        <w:t>群</w:t>
      </w:r>
      <w:r w:rsidRPr="00CD4032">
        <w:rPr>
          <w:rFonts w:ascii="Times" w:hAnsi="Times" w:hint="eastAsia"/>
        </w:rPr>
        <w:t>按计划顺利推进的关键因素。</w:t>
      </w:r>
      <w:r>
        <w:rPr>
          <w:rFonts w:ascii="Times" w:hAnsi="Times" w:hint="eastAsia"/>
        </w:rPr>
        <w:t>已有研究也指出资源合理配置对项目实施至关重要</w:t>
      </w:r>
      <w:r>
        <w:fldChar w:fldCharType="begin"/>
      </w:r>
      <w:r w:rsidR="00E17813">
        <w:instrText xml:space="preserve"> ADDIN ZOTERO_ITEM CSL_CITATION {"citationID":"AonRZ7KR","properties":{"formattedCitation":"\\super [3,55]\\nosupersub{}","plainCitation":"[3,55]","noteIndex":0},"citationItems":[{"id":3663,"uris":["http://zotero.org/users/13172592/items/KBFEHVJI"],"itemData":{"id":3663,"type":"article-journal","abstract":"Renewable energy is one of the most popular topics in utilization of the electric energy resources. There are various types of alternative energy, which can be used as electrical energy. However, the suitableness of the green energy in a certain country is depending on some criteria such as geographical location, the availability of energy and so on. In order to establish the renewable energy, a well-planned strategy and management must be acquired. The main objective of this paper is to analyse the causal relation of some important criteria of project planning and development of a wind energy project in Malaysia. By using a system dynamic approach, it is found that government policies, investment of renewable energy, energy demand, geographical location and fund management are the most important criteria that need to be considered among others. The diagram of causal relationship with reinforcing and balancing loop shows that the application of renewable energy in Malaysia is promising. In addition, the information of the criteria relationship is further investigated by using the stock flow diagram. From the diagram, the factors that affect project’s expenditure could be analysed. This is very important to a developing country where more budgets can be allocated for other facilities, cultures, infrastructure, science, and technology development. By utilise the renewable energy in Malaysia, the carbon dioxide emission can be reduced and contribution to a sustainable and long term alternative energy resources country.","container-title":"Renewable and Sustainable Energy Reviews","DOI":"10.1016/j.rser.2014.07.078","ISSN":"1364-0321","journalAbbreviation":"Renewable and Sustainable Energy Reviews","language":"en-US","page":"917-932","source":"ScienceDirect","title":"Renewable energy project: Project management, challenges and risk","title-short":"Renewable energy project","volume":"38","author":[{"family":"Goh","given":"H. H."},{"family":"Lee","given":"S. W."},{"family":"Chua","given":"Q. S."},{"family":"Goh","given":"K. C."},{"family":"Kok","given":"B. C."},{"family":"Teo","given":"K. T. K."}],"issued":{"date-parts":[["2014",10,1]]}}},{"id":2358,"uris":["http://zotero.org/users/13172592/items/E9Z93RH2"],"itemData":{"id":2358,"type":"article-journal","call-number":"4","container-title":"Journal of Asian Architecture and Building Engineering","DOI":"10.1080/13467581.2024.2329357","ISSN":"1346-7581, 1347-2852","journalAbbreviation":"Journal of Asian Architecture and Building Engineering","language":"en","page":"1-16","source":"1.3","title":"Effect of resource integration on organizational resilience of megaprojects: Role of dynamic capability and resource availability","title-short":"Effect of resource integration on organizational resilience of megaprojects","author":[{"family":"Wang","given":"Dedong"},{"family":"Zhao","given":"Xiaoru"}],"issued":{"date-parts":[["2024",3,17]]}}}],"schema":"https://github.com/citation-style-language/schema/raw/master/csl-citation.json"} </w:instrText>
      </w:r>
      <w:r>
        <w:fldChar w:fldCharType="separate"/>
      </w:r>
      <w:r w:rsidR="00E17813" w:rsidRPr="00E17813">
        <w:rPr>
          <w:rFonts w:cs="Times New Roman"/>
          <w:kern w:val="0"/>
          <w:vertAlign w:val="superscript"/>
        </w:rPr>
        <w:t>[3,55]</w:t>
      </w:r>
      <w:r>
        <w:fldChar w:fldCharType="end"/>
      </w:r>
      <w:r>
        <w:rPr>
          <w:rFonts w:ascii="Times" w:hAnsi="Times" w:hint="eastAsia"/>
        </w:rPr>
        <w:t>，并提出在</w:t>
      </w:r>
      <w:r>
        <w:rPr>
          <w:shd w:val="clear" w:color="auto" w:fill="FFFFFF"/>
        </w:rPr>
        <w:t>项目群管理中</w:t>
      </w:r>
      <w:r>
        <w:rPr>
          <w:rFonts w:hint="eastAsia"/>
          <w:shd w:val="clear" w:color="auto" w:fill="FFFFFF"/>
        </w:rPr>
        <w:t>应不断优化资源配置，及时解决开发过程中遇到的问题，并灵活</w:t>
      </w:r>
      <w:r>
        <w:rPr>
          <w:shd w:val="clear" w:color="auto" w:fill="FFFFFF"/>
        </w:rPr>
        <w:t>应对</w:t>
      </w:r>
      <w:r>
        <w:rPr>
          <w:rFonts w:hint="eastAsia"/>
          <w:shd w:val="clear" w:color="auto" w:fill="FFFFFF"/>
        </w:rPr>
        <w:t>外部环境的变动。</w:t>
      </w:r>
      <w:r w:rsidRPr="00CD4032">
        <w:rPr>
          <w:rFonts w:ascii="Times" w:hAnsi="Times" w:hint="eastAsia"/>
        </w:rPr>
        <w:t>当清洁能源基地完成建设进入运营阶段</w:t>
      </w:r>
      <w:r>
        <w:rPr>
          <w:rFonts w:ascii="Times" w:hAnsi="Times" w:hint="eastAsia"/>
        </w:rPr>
        <w:t>，</w:t>
      </w:r>
      <w:r w:rsidRPr="00CD4032">
        <w:rPr>
          <w:rFonts w:ascii="Times" w:hAnsi="Times" w:hint="eastAsia"/>
        </w:rPr>
        <w:t>管理重点</w:t>
      </w:r>
      <w:r>
        <w:rPr>
          <w:rFonts w:ascii="Times" w:hAnsi="Times" w:hint="eastAsia"/>
        </w:rPr>
        <w:t>需</w:t>
      </w:r>
      <w:r w:rsidRPr="00CD4032">
        <w:rPr>
          <w:rFonts w:ascii="Times" w:hAnsi="Times" w:hint="eastAsia"/>
        </w:rPr>
        <w:t>从物理资源的配置转向</w:t>
      </w:r>
      <w:r>
        <w:rPr>
          <w:rFonts w:ascii="Times" w:hAnsi="Times" w:hint="eastAsia"/>
        </w:rPr>
        <w:t>多项目联合运行、多能互补系统建设，以及电力</w:t>
      </w:r>
      <w:r w:rsidRPr="00CD4032">
        <w:rPr>
          <w:rFonts w:ascii="Times" w:hAnsi="Times" w:hint="eastAsia"/>
        </w:rPr>
        <w:t>市场</w:t>
      </w:r>
      <w:r>
        <w:rPr>
          <w:rFonts w:ascii="Times" w:hAnsi="Times" w:hint="eastAsia"/>
        </w:rPr>
        <w:t>参与上。建立各方间良好的合作伙伴关系能够提高项目间联合调度水平，也有助于推进</w:t>
      </w:r>
      <w:r>
        <w:rPr>
          <w:rFonts w:hint="eastAsia"/>
        </w:rPr>
        <w:t>运行</w:t>
      </w:r>
      <w:r>
        <w:rPr>
          <w:rFonts w:ascii="Times" w:hAnsi="Times" w:hint="eastAsia"/>
        </w:rPr>
        <w:t>单位与政府、电网单位的沟通协作，以及时抓住市场机遇，提升项目群收益。在清洁能源基地开发背景下，项目群运营相比于项目群实施对项目群绩效的影响更大（</w:t>
      </w:r>
      <w:r w:rsidRPr="00F83966">
        <w:t>0.747***</w:t>
      </w:r>
      <w:r>
        <w:rPr>
          <w:rFonts w:hint="eastAsia"/>
        </w:rPr>
        <w:t>&gt;</w:t>
      </w:r>
      <w:r w:rsidRPr="00F821C6">
        <w:t>0.193**</w:t>
      </w:r>
      <w:r>
        <w:rPr>
          <w:rFonts w:ascii="Times" w:hAnsi="Times" w:hint="eastAsia"/>
        </w:rPr>
        <w:t>），表明清洁能源基地重视电力生产、市场交易、降低碳排放等方面的绩效。</w:t>
      </w:r>
      <w:r w:rsidRPr="009E59A6">
        <w:rPr>
          <w:rFonts w:ascii="Times" w:hAnsi="Times" w:hint="eastAsia"/>
        </w:rPr>
        <w:t>伙伴关系也因此相比于资源配置对清洁能源基地绩效的总效应</w:t>
      </w:r>
      <w:r>
        <w:rPr>
          <w:rFonts w:ascii="Times" w:hAnsi="Times" w:hint="eastAsia"/>
        </w:rPr>
        <w:t>更大。已有研究也验</w:t>
      </w:r>
      <w:r>
        <w:rPr>
          <w:rFonts w:ascii="Times" w:hAnsi="Times" w:hint="eastAsia"/>
        </w:rPr>
        <w:lastRenderedPageBreak/>
        <w:t>证了伙伴关系能够显著提升清洁能源基地多能互补水平，并最终作用于电站的运营绩效，与本研究的</w:t>
      </w:r>
      <w:r>
        <w:rPr>
          <w:rFonts w:ascii="Times" w:hAnsi="Times" w:hint="eastAsia"/>
        </w:rPr>
        <w:t>观点一致</w:t>
      </w:r>
      <w:r>
        <w:rPr>
          <w:rFonts w:ascii="Times" w:hAnsi="Times"/>
        </w:rPr>
        <w:fldChar w:fldCharType="begin"/>
      </w:r>
      <w:r w:rsidR="00E17813">
        <w:rPr>
          <w:rFonts w:ascii="Times" w:hAnsi="Times"/>
        </w:rPr>
        <w:instrText xml:space="preserve"> ADDIN ZOTERO_ITEM CSL_CITATION {"citationID":"a1qer6snh0f","properties":{"formattedCitation":"\\super [110]\\nosupersub{}","plainCitation":"[110]","noteIndex":0},"citationItems":[{"id":4094,"uris":["http://zotero.org/users/13172592/items/66ZLG8RK"],"item</w:instrText>
      </w:r>
      <w:r w:rsidR="00E17813">
        <w:rPr>
          <w:rFonts w:ascii="Times" w:hAnsi="Times" w:hint="eastAsia"/>
        </w:rPr>
        <w:instrText>Data":{"id":4094,"type":"thesis","event-place":"</w:instrText>
      </w:r>
      <w:r w:rsidR="00E17813">
        <w:rPr>
          <w:rFonts w:ascii="Times" w:hAnsi="Times" w:hint="eastAsia"/>
        </w:rPr>
        <w:instrText>北京</w:instrText>
      </w:r>
      <w:r w:rsidR="00E17813">
        <w:rPr>
          <w:rFonts w:ascii="Times" w:hAnsi="Times" w:hint="eastAsia"/>
        </w:rPr>
        <w:instrText>","publisher":"</w:instrText>
      </w:r>
      <w:r w:rsidR="00E17813">
        <w:rPr>
          <w:rFonts w:ascii="Times" w:hAnsi="Times" w:hint="eastAsia"/>
        </w:rPr>
        <w:instrText>清华大学</w:instrText>
      </w:r>
      <w:r w:rsidR="00E17813">
        <w:rPr>
          <w:rFonts w:ascii="Times" w:hAnsi="Times" w:hint="eastAsia"/>
        </w:rPr>
        <w:instrText>","publisher-place":"</w:instrText>
      </w:r>
      <w:r w:rsidR="00E17813">
        <w:rPr>
          <w:rFonts w:ascii="Times" w:hAnsi="Times" w:hint="eastAsia"/>
        </w:rPr>
        <w:instrText>北京</w:instrText>
      </w:r>
      <w:r w:rsidR="00E17813">
        <w:rPr>
          <w:rFonts w:ascii="Times" w:hAnsi="Times" w:hint="eastAsia"/>
        </w:rPr>
        <w:instrText>","title":"</w:instrText>
      </w:r>
      <w:r w:rsidR="00E17813">
        <w:rPr>
          <w:rFonts w:ascii="Times" w:hAnsi="Times" w:hint="eastAsia"/>
        </w:rPr>
        <w:instrText>多能互补视角下清洁能源电站一体化运营管理研究</w:instrText>
      </w:r>
      <w:r w:rsidR="00E17813">
        <w:rPr>
          <w:rFonts w:ascii="Times" w:hAnsi="Times" w:hint="eastAsia"/>
        </w:rPr>
        <w:instrText>","author":[{"literal":"</w:instrText>
      </w:r>
      <w:r w:rsidR="00E17813">
        <w:rPr>
          <w:rFonts w:ascii="Times" w:hAnsi="Times" w:hint="eastAsia"/>
        </w:rPr>
        <w:instrText>孟祥鑫</w:instrText>
      </w:r>
      <w:r w:rsidR="00E17813">
        <w:rPr>
          <w:rFonts w:ascii="Times" w:hAnsi="Times" w:hint="eastAsia"/>
        </w:rPr>
        <w:instrText>"}],"issued":{"date-parts":[["2024"]]}}}],"schema":"https://github.com/citation-style-language/schema/r</w:instrText>
      </w:r>
      <w:r w:rsidR="00E17813">
        <w:rPr>
          <w:rFonts w:ascii="Times" w:hAnsi="Times"/>
        </w:rPr>
        <w:instrText xml:space="preserve">aw/master/csl-citation.json"} </w:instrText>
      </w:r>
      <w:r>
        <w:rPr>
          <w:rFonts w:ascii="Times" w:hAnsi="Times"/>
        </w:rPr>
        <w:fldChar w:fldCharType="separate"/>
      </w:r>
      <w:r w:rsidR="00E17813" w:rsidRPr="00E17813">
        <w:rPr>
          <w:rFonts w:cs="Times New Roman"/>
          <w:kern w:val="0"/>
          <w:vertAlign w:val="superscript"/>
        </w:rPr>
        <w:t>[110]</w:t>
      </w:r>
      <w:r>
        <w:rPr>
          <w:rFonts w:ascii="Times" w:hAnsi="Times"/>
        </w:rPr>
        <w:fldChar w:fldCharType="end"/>
      </w:r>
      <w:r>
        <w:rPr>
          <w:rFonts w:ascii="Times" w:hAnsi="Times" w:hint="eastAsia"/>
        </w:rPr>
        <w:t>。</w:t>
      </w:r>
    </w:p>
    <w:p w14:paraId="4117D5C0" w14:textId="0BC57615" w:rsidR="009D2DF3" w:rsidRDefault="009D2DF3" w:rsidP="00FD5AAE">
      <w:pPr>
        <w:spacing w:afterLines="50" w:after="156"/>
        <w:ind w:firstLine="360"/>
        <w:rPr>
          <w:sz w:val="18"/>
          <w:szCs w:val="20"/>
        </w:rPr>
        <w:sectPr w:rsidR="009D2DF3" w:rsidSect="00FC1023">
          <w:type w:val="continuous"/>
          <w:pgSz w:w="11906" w:h="16838"/>
          <w:pgMar w:top="1440" w:right="1106" w:bottom="1440" w:left="1106" w:header="851" w:footer="992" w:gutter="0"/>
          <w:cols w:num="2" w:space="425"/>
          <w:titlePg/>
          <w:docGrid w:type="linesAndChars" w:linePitch="312"/>
        </w:sectPr>
      </w:pPr>
    </w:p>
    <w:p w14:paraId="7C537194" w14:textId="736E2B30" w:rsidR="00A46094" w:rsidRPr="00A46094" w:rsidRDefault="00A46094" w:rsidP="00EB718D">
      <w:pPr>
        <w:pStyle w:val="afa"/>
        <w:keepNext/>
        <w:spacing w:beforeLines="50" w:before="156"/>
      </w:pPr>
      <w:bookmarkStart w:id="31" w:name="_Ref174358244"/>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0F2689">
        <w:rPr>
          <w:noProof/>
        </w:rPr>
        <w:t>12</w:t>
      </w:r>
      <w:r>
        <w:fldChar w:fldCharType="end"/>
      </w:r>
      <w:bookmarkEnd w:id="31"/>
      <w:r>
        <w:rPr>
          <w:rFonts w:hint="eastAsia"/>
        </w:rPr>
        <w:t xml:space="preserve"> </w:t>
      </w:r>
      <w:r w:rsidRPr="00A46094">
        <w:rPr>
          <w:rFonts w:hint="eastAsia"/>
        </w:rPr>
        <w:t>结构模型检验结果</w:t>
      </w:r>
    </w:p>
    <w:tbl>
      <w:tblPr>
        <w:tblStyle w:val="af2"/>
        <w:tblW w:w="5000" w:type="pct"/>
        <w:tblInd w:w="0"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4963"/>
        <w:gridCol w:w="1842"/>
        <w:gridCol w:w="1417"/>
        <w:gridCol w:w="1472"/>
      </w:tblGrid>
      <w:tr w:rsidR="00A46094" w:rsidRPr="003E17F3" w14:paraId="583FB4E3" w14:textId="77777777" w:rsidTr="00503EFF">
        <w:trPr>
          <w:trHeight w:val="293"/>
        </w:trPr>
        <w:tc>
          <w:tcPr>
            <w:tcW w:w="2560" w:type="pct"/>
            <w:tcBorders>
              <w:top w:val="single" w:sz="12" w:space="0" w:color="auto"/>
              <w:bottom w:val="single" w:sz="4" w:space="0" w:color="auto"/>
            </w:tcBorders>
            <w:vAlign w:val="center"/>
            <w:hideMark/>
          </w:tcPr>
          <w:p w14:paraId="3940DEE9" w14:textId="77777777" w:rsidR="006201E9" w:rsidRPr="003E17F3" w:rsidRDefault="006201E9" w:rsidP="006201E9">
            <w:pPr>
              <w:ind w:firstLineChars="0" w:firstLine="0"/>
              <w:jc w:val="center"/>
              <w:rPr>
                <w:b/>
                <w:bCs/>
                <w:szCs w:val="21"/>
              </w:rPr>
            </w:pPr>
            <w:r w:rsidRPr="003E17F3">
              <w:rPr>
                <w:rFonts w:hint="eastAsia"/>
                <w:b/>
                <w:bCs/>
                <w:szCs w:val="21"/>
              </w:rPr>
              <w:t>假设</w:t>
            </w:r>
          </w:p>
        </w:tc>
        <w:tc>
          <w:tcPr>
            <w:tcW w:w="950" w:type="pct"/>
            <w:tcBorders>
              <w:top w:val="single" w:sz="12" w:space="0" w:color="auto"/>
              <w:bottom w:val="single" w:sz="4" w:space="0" w:color="auto"/>
            </w:tcBorders>
            <w:vAlign w:val="center"/>
            <w:hideMark/>
          </w:tcPr>
          <w:p w14:paraId="08B46C49" w14:textId="77777777" w:rsidR="006201E9" w:rsidRPr="003E17F3" w:rsidRDefault="006201E9" w:rsidP="006201E9">
            <w:pPr>
              <w:ind w:firstLineChars="0" w:firstLine="0"/>
              <w:jc w:val="center"/>
              <w:rPr>
                <w:b/>
                <w:bCs/>
                <w:szCs w:val="21"/>
              </w:rPr>
            </w:pPr>
            <w:r w:rsidRPr="003E17F3">
              <w:rPr>
                <w:rFonts w:hint="eastAsia"/>
                <w:b/>
                <w:bCs/>
                <w:szCs w:val="21"/>
              </w:rPr>
              <w:t>标准化路径系数</w:t>
            </w:r>
          </w:p>
        </w:tc>
        <w:tc>
          <w:tcPr>
            <w:tcW w:w="731" w:type="pct"/>
            <w:tcBorders>
              <w:top w:val="single" w:sz="12" w:space="0" w:color="auto"/>
              <w:bottom w:val="single" w:sz="4" w:space="0" w:color="auto"/>
            </w:tcBorders>
            <w:vAlign w:val="center"/>
            <w:hideMark/>
          </w:tcPr>
          <w:p w14:paraId="0CAAE59E" w14:textId="77777777" w:rsidR="006201E9" w:rsidRPr="003E17F3" w:rsidRDefault="006201E9" w:rsidP="006201E9">
            <w:pPr>
              <w:ind w:firstLineChars="0" w:firstLine="0"/>
              <w:jc w:val="center"/>
              <w:rPr>
                <w:b/>
                <w:bCs/>
                <w:i/>
                <w:iCs/>
                <w:szCs w:val="21"/>
              </w:rPr>
            </w:pPr>
            <w:r w:rsidRPr="003E17F3">
              <w:rPr>
                <w:b/>
                <w:bCs/>
                <w:i/>
                <w:iCs/>
                <w:szCs w:val="21"/>
              </w:rPr>
              <w:t>p</w:t>
            </w:r>
          </w:p>
        </w:tc>
        <w:tc>
          <w:tcPr>
            <w:tcW w:w="759" w:type="pct"/>
            <w:tcBorders>
              <w:top w:val="single" w:sz="12" w:space="0" w:color="auto"/>
              <w:bottom w:val="single" w:sz="4" w:space="0" w:color="auto"/>
            </w:tcBorders>
            <w:vAlign w:val="center"/>
            <w:hideMark/>
          </w:tcPr>
          <w:p w14:paraId="1337A19D" w14:textId="77777777" w:rsidR="006201E9" w:rsidRPr="003E17F3" w:rsidRDefault="006201E9" w:rsidP="006201E9">
            <w:pPr>
              <w:ind w:firstLineChars="0" w:firstLine="0"/>
              <w:jc w:val="center"/>
              <w:rPr>
                <w:b/>
                <w:bCs/>
                <w:szCs w:val="21"/>
              </w:rPr>
            </w:pPr>
            <w:r w:rsidRPr="003E17F3">
              <w:rPr>
                <w:rFonts w:hint="eastAsia"/>
                <w:b/>
                <w:bCs/>
                <w:szCs w:val="21"/>
              </w:rPr>
              <w:t>结论</w:t>
            </w:r>
          </w:p>
        </w:tc>
      </w:tr>
      <w:tr w:rsidR="003346B5" w:rsidRPr="003E17F3" w14:paraId="732BE78E" w14:textId="77777777" w:rsidTr="002D1967">
        <w:trPr>
          <w:trHeight w:val="285"/>
        </w:trPr>
        <w:tc>
          <w:tcPr>
            <w:tcW w:w="2560" w:type="pct"/>
            <w:tcBorders>
              <w:top w:val="single" w:sz="4" w:space="0" w:color="auto"/>
            </w:tcBorders>
            <w:hideMark/>
          </w:tcPr>
          <w:p w14:paraId="1F0B52CA" w14:textId="2D247A36" w:rsidR="003346B5" w:rsidRPr="003E17F3" w:rsidRDefault="003346B5" w:rsidP="003346B5">
            <w:pPr>
              <w:ind w:firstLineChars="0" w:firstLine="0"/>
              <w:rPr>
                <w:szCs w:val="21"/>
              </w:rPr>
            </w:pPr>
            <w:r>
              <w:rPr>
                <w:rFonts w:hint="eastAsia"/>
              </w:rPr>
              <w:t>假设</w:t>
            </w:r>
            <w:r>
              <w:rPr>
                <w:rFonts w:hint="eastAsia"/>
              </w:rPr>
              <w:t>1</w:t>
            </w:r>
            <w:r>
              <w:rPr>
                <w:rFonts w:hint="eastAsia"/>
              </w:rPr>
              <w:t>：</w:t>
            </w:r>
            <w:r w:rsidRPr="00321A3D">
              <w:rPr>
                <w:rFonts w:hint="eastAsia"/>
              </w:rPr>
              <w:t>外部条件</w:t>
            </w:r>
            <w:r>
              <w:rPr>
                <w:rFonts w:hint="eastAsia"/>
              </w:rPr>
              <w:t>→管理制度</w:t>
            </w:r>
          </w:p>
        </w:tc>
        <w:tc>
          <w:tcPr>
            <w:tcW w:w="950" w:type="pct"/>
            <w:tcBorders>
              <w:top w:val="single" w:sz="4" w:space="0" w:color="auto"/>
            </w:tcBorders>
            <w:vAlign w:val="center"/>
            <w:hideMark/>
          </w:tcPr>
          <w:p w14:paraId="1073DF8F" w14:textId="6E5EC8EA" w:rsidR="003346B5" w:rsidRPr="003E17F3" w:rsidRDefault="003346B5" w:rsidP="003346B5">
            <w:pPr>
              <w:ind w:firstLineChars="0" w:firstLine="0"/>
              <w:jc w:val="center"/>
              <w:rPr>
                <w:szCs w:val="21"/>
              </w:rPr>
            </w:pPr>
            <w:r w:rsidRPr="0037360E">
              <w:t>0.496</w:t>
            </w:r>
          </w:p>
        </w:tc>
        <w:tc>
          <w:tcPr>
            <w:tcW w:w="731" w:type="pct"/>
            <w:tcBorders>
              <w:top w:val="single" w:sz="4" w:space="0" w:color="auto"/>
            </w:tcBorders>
            <w:vAlign w:val="center"/>
            <w:hideMark/>
          </w:tcPr>
          <w:p w14:paraId="48543210" w14:textId="715C7FBE" w:rsidR="003346B5" w:rsidRPr="003E17F3" w:rsidRDefault="003346B5" w:rsidP="003346B5">
            <w:pPr>
              <w:ind w:firstLineChars="0" w:firstLine="0"/>
              <w:jc w:val="center"/>
              <w:rPr>
                <w:szCs w:val="21"/>
              </w:rPr>
            </w:pPr>
            <w:r>
              <w:rPr>
                <w:rFonts w:hint="eastAsia"/>
              </w:rPr>
              <w:t xml:space="preserve">&lt; </w:t>
            </w:r>
            <w:r w:rsidRPr="00755091">
              <w:t>0.00</w:t>
            </w:r>
            <w:r>
              <w:rPr>
                <w:rFonts w:hint="eastAsia"/>
              </w:rPr>
              <w:t>1</w:t>
            </w:r>
          </w:p>
        </w:tc>
        <w:tc>
          <w:tcPr>
            <w:tcW w:w="759" w:type="pct"/>
            <w:tcBorders>
              <w:top w:val="single" w:sz="4" w:space="0" w:color="auto"/>
            </w:tcBorders>
            <w:vAlign w:val="center"/>
            <w:hideMark/>
          </w:tcPr>
          <w:p w14:paraId="611163BB" w14:textId="77777777" w:rsidR="003346B5" w:rsidRPr="003E17F3" w:rsidRDefault="003346B5" w:rsidP="003346B5">
            <w:pPr>
              <w:ind w:firstLineChars="0" w:firstLine="0"/>
              <w:jc w:val="center"/>
              <w:rPr>
                <w:szCs w:val="21"/>
              </w:rPr>
            </w:pPr>
            <w:r w:rsidRPr="003E17F3">
              <w:rPr>
                <w:rFonts w:hint="eastAsia"/>
                <w:szCs w:val="21"/>
              </w:rPr>
              <w:t>通过验证</w:t>
            </w:r>
          </w:p>
        </w:tc>
      </w:tr>
      <w:tr w:rsidR="003346B5" w:rsidRPr="003E17F3" w14:paraId="3D98C7A6" w14:textId="77777777" w:rsidTr="002D1967">
        <w:trPr>
          <w:trHeight w:val="285"/>
        </w:trPr>
        <w:tc>
          <w:tcPr>
            <w:tcW w:w="2560" w:type="pct"/>
            <w:hideMark/>
          </w:tcPr>
          <w:p w14:paraId="765F1EA1" w14:textId="740DCD70" w:rsidR="003346B5" w:rsidRPr="003E17F3" w:rsidRDefault="003346B5" w:rsidP="003346B5">
            <w:pPr>
              <w:ind w:firstLineChars="0" w:firstLine="0"/>
              <w:rPr>
                <w:szCs w:val="21"/>
              </w:rPr>
            </w:pPr>
            <w:r>
              <w:rPr>
                <w:rFonts w:hint="eastAsia"/>
              </w:rPr>
              <w:t>假设</w:t>
            </w:r>
            <w:r>
              <w:rPr>
                <w:rFonts w:hint="eastAsia"/>
              </w:rPr>
              <w:t>2</w:t>
            </w:r>
            <w:r>
              <w:rPr>
                <w:rFonts w:hint="eastAsia"/>
              </w:rPr>
              <w:t>：</w:t>
            </w:r>
            <w:r w:rsidRPr="00321A3D">
              <w:rPr>
                <w:rFonts w:hint="eastAsia"/>
              </w:rPr>
              <w:t>业主项目群管理能力</w:t>
            </w:r>
            <w:r>
              <w:rPr>
                <w:rFonts w:hint="eastAsia"/>
              </w:rPr>
              <w:t>→管理制度</w:t>
            </w:r>
          </w:p>
        </w:tc>
        <w:tc>
          <w:tcPr>
            <w:tcW w:w="950" w:type="pct"/>
            <w:vAlign w:val="center"/>
            <w:hideMark/>
          </w:tcPr>
          <w:p w14:paraId="3A2703FE" w14:textId="1EAF69E4" w:rsidR="003346B5" w:rsidRPr="003E17F3" w:rsidRDefault="003346B5" w:rsidP="003346B5">
            <w:pPr>
              <w:ind w:firstLineChars="0" w:firstLine="0"/>
              <w:jc w:val="center"/>
              <w:rPr>
                <w:szCs w:val="21"/>
              </w:rPr>
            </w:pPr>
            <w:r w:rsidRPr="0037360E">
              <w:t>0.473</w:t>
            </w:r>
          </w:p>
        </w:tc>
        <w:tc>
          <w:tcPr>
            <w:tcW w:w="731" w:type="pct"/>
            <w:vAlign w:val="center"/>
            <w:hideMark/>
          </w:tcPr>
          <w:p w14:paraId="05D10AB5" w14:textId="2E3446BF" w:rsidR="003346B5" w:rsidRPr="003E17F3" w:rsidRDefault="003346B5" w:rsidP="003346B5">
            <w:pPr>
              <w:ind w:firstLineChars="0" w:firstLine="0"/>
              <w:jc w:val="center"/>
              <w:rPr>
                <w:szCs w:val="21"/>
              </w:rPr>
            </w:pPr>
            <w:r>
              <w:rPr>
                <w:rFonts w:hint="eastAsia"/>
              </w:rPr>
              <w:t xml:space="preserve">&lt; </w:t>
            </w:r>
            <w:r w:rsidRPr="00755091">
              <w:t>0.00</w:t>
            </w:r>
            <w:r>
              <w:rPr>
                <w:rFonts w:hint="eastAsia"/>
              </w:rPr>
              <w:t>1</w:t>
            </w:r>
          </w:p>
        </w:tc>
        <w:tc>
          <w:tcPr>
            <w:tcW w:w="759" w:type="pct"/>
            <w:vAlign w:val="center"/>
            <w:hideMark/>
          </w:tcPr>
          <w:p w14:paraId="3F9476A7" w14:textId="77777777" w:rsidR="003346B5" w:rsidRPr="003E17F3" w:rsidRDefault="003346B5" w:rsidP="003346B5">
            <w:pPr>
              <w:ind w:firstLineChars="0" w:firstLine="0"/>
              <w:jc w:val="center"/>
              <w:rPr>
                <w:szCs w:val="21"/>
              </w:rPr>
            </w:pPr>
            <w:r w:rsidRPr="003E17F3">
              <w:rPr>
                <w:rFonts w:hint="eastAsia"/>
                <w:szCs w:val="21"/>
              </w:rPr>
              <w:t>通过验证</w:t>
            </w:r>
          </w:p>
        </w:tc>
      </w:tr>
      <w:tr w:rsidR="003346B5" w:rsidRPr="003E17F3" w14:paraId="0EC3ADF2" w14:textId="77777777" w:rsidTr="002D1967">
        <w:trPr>
          <w:trHeight w:val="285"/>
        </w:trPr>
        <w:tc>
          <w:tcPr>
            <w:tcW w:w="2560" w:type="pct"/>
            <w:hideMark/>
          </w:tcPr>
          <w:p w14:paraId="2930031F" w14:textId="61BB9D33" w:rsidR="003346B5" w:rsidRPr="003E17F3" w:rsidRDefault="003346B5" w:rsidP="003346B5">
            <w:pPr>
              <w:ind w:firstLineChars="0" w:firstLine="0"/>
              <w:rPr>
                <w:szCs w:val="21"/>
              </w:rPr>
            </w:pPr>
            <w:r>
              <w:rPr>
                <w:rFonts w:hint="eastAsia"/>
              </w:rPr>
              <w:t>假设</w:t>
            </w:r>
            <w:r>
              <w:rPr>
                <w:rFonts w:hint="eastAsia"/>
              </w:rPr>
              <w:t>3</w:t>
            </w:r>
            <w:r>
              <w:rPr>
                <w:rFonts w:hint="eastAsia"/>
              </w:rPr>
              <w:t>：</w:t>
            </w:r>
            <w:r w:rsidRPr="00321A3D">
              <w:rPr>
                <w:rFonts w:hint="eastAsia"/>
              </w:rPr>
              <w:t>外部条件</w:t>
            </w:r>
            <w:r>
              <w:rPr>
                <w:rFonts w:hint="eastAsia"/>
              </w:rPr>
              <w:t>→</w:t>
            </w:r>
            <w:r w:rsidRPr="00321A3D">
              <w:rPr>
                <w:rFonts w:hint="eastAsia"/>
              </w:rPr>
              <w:t>资源配置</w:t>
            </w:r>
          </w:p>
        </w:tc>
        <w:tc>
          <w:tcPr>
            <w:tcW w:w="950" w:type="pct"/>
            <w:vAlign w:val="center"/>
            <w:hideMark/>
          </w:tcPr>
          <w:p w14:paraId="31F4919B" w14:textId="639997B7" w:rsidR="003346B5" w:rsidRPr="003E17F3" w:rsidRDefault="003346B5" w:rsidP="003346B5">
            <w:pPr>
              <w:ind w:firstLineChars="0" w:firstLine="0"/>
              <w:jc w:val="center"/>
              <w:rPr>
                <w:szCs w:val="21"/>
              </w:rPr>
            </w:pPr>
            <w:r w:rsidRPr="0037360E">
              <w:t>0.175</w:t>
            </w:r>
          </w:p>
        </w:tc>
        <w:tc>
          <w:tcPr>
            <w:tcW w:w="731" w:type="pct"/>
            <w:vAlign w:val="center"/>
            <w:hideMark/>
          </w:tcPr>
          <w:p w14:paraId="0E82BCE1" w14:textId="3771294A" w:rsidR="003346B5" w:rsidRPr="003E17F3" w:rsidRDefault="003346B5" w:rsidP="003346B5">
            <w:pPr>
              <w:ind w:firstLineChars="0" w:firstLine="0"/>
              <w:jc w:val="center"/>
              <w:rPr>
                <w:szCs w:val="21"/>
              </w:rPr>
            </w:pPr>
            <w:r w:rsidRPr="00755091">
              <w:t>0.001</w:t>
            </w:r>
          </w:p>
        </w:tc>
        <w:tc>
          <w:tcPr>
            <w:tcW w:w="759" w:type="pct"/>
            <w:vAlign w:val="center"/>
            <w:hideMark/>
          </w:tcPr>
          <w:p w14:paraId="4894C7D9" w14:textId="77777777" w:rsidR="003346B5" w:rsidRPr="003E17F3" w:rsidRDefault="003346B5" w:rsidP="003346B5">
            <w:pPr>
              <w:ind w:firstLineChars="0" w:firstLine="0"/>
              <w:jc w:val="center"/>
              <w:rPr>
                <w:szCs w:val="21"/>
              </w:rPr>
            </w:pPr>
            <w:r w:rsidRPr="003E17F3">
              <w:rPr>
                <w:rFonts w:hint="eastAsia"/>
                <w:szCs w:val="21"/>
              </w:rPr>
              <w:t>通过验证</w:t>
            </w:r>
          </w:p>
        </w:tc>
      </w:tr>
      <w:tr w:rsidR="003346B5" w:rsidRPr="003E17F3" w14:paraId="56C73EE8" w14:textId="77777777" w:rsidTr="002D1967">
        <w:trPr>
          <w:trHeight w:val="285"/>
        </w:trPr>
        <w:tc>
          <w:tcPr>
            <w:tcW w:w="2560" w:type="pct"/>
            <w:hideMark/>
          </w:tcPr>
          <w:p w14:paraId="03F4D5CA" w14:textId="395B5CF9" w:rsidR="003346B5" w:rsidRPr="003E17F3" w:rsidRDefault="003346B5" w:rsidP="003346B5">
            <w:pPr>
              <w:ind w:firstLineChars="0" w:firstLine="0"/>
              <w:rPr>
                <w:szCs w:val="21"/>
              </w:rPr>
            </w:pPr>
            <w:r>
              <w:rPr>
                <w:rFonts w:hint="eastAsia"/>
              </w:rPr>
              <w:t>假设</w:t>
            </w:r>
            <w:r>
              <w:rPr>
                <w:rFonts w:hint="eastAsia"/>
              </w:rPr>
              <w:t>4</w:t>
            </w:r>
            <w:r>
              <w:rPr>
                <w:rFonts w:hint="eastAsia"/>
              </w:rPr>
              <w:t>：管理制度→</w:t>
            </w:r>
            <w:r w:rsidRPr="00321A3D">
              <w:rPr>
                <w:rFonts w:hint="eastAsia"/>
              </w:rPr>
              <w:t>资源配置</w:t>
            </w:r>
          </w:p>
        </w:tc>
        <w:tc>
          <w:tcPr>
            <w:tcW w:w="950" w:type="pct"/>
            <w:vAlign w:val="center"/>
            <w:hideMark/>
          </w:tcPr>
          <w:p w14:paraId="62BA54B0" w14:textId="0BC20F7A" w:rsidR="003346B5" w:rsidRPr="003E17F3" w:rsidRDefault="003346B5" w:rsidP="003346B5">
            <w:pPr>
              <w:ind w:firstLineChars="0" w:firstLine="0"/>
              <w:jc w:val="center"/>
              <w:rPr>
                <w:szCs w:val="21"/>
              </w:rPr>
            </w:pPr>
            <w:r w:rsidRPr="0037360E">
              <w:t>0.399</w:t>
            </w:r>
          </w:p>
        </w:tc>
        <w:tc>
          <w:tcPr>
            <w:tcW w:w="731" w:type="pct"/>
            <w:vAlign w:val="center"/>
            <w:hideMark/>
          </w:tcPr>
          <w:p w14:paraId="214FC785" w14:textId="29D8548C" w:rsidR="003346B5" w:rsidRPr="003E17F3" w:rsidRDefault="003346B5" w:rsidP="003346B5">
            <w:pPr>
              <w:ind w:firstLineChars="0" w:firstLine="0"/>
              <w:jc w:val="center"/>
              <w:rPr>
                <w:szCs w:val="21"/>
              </w:rPr>
            </w:pPr>
            <w:r>
              <w:rPr>
                <w:rFonts w:hint="eastAsia"/>
              </w:rPr>
              <w:t xml:space="preserve">&lt; </w:t>
            </w:r>
            <w:r w:rsidRPr="00755091">
              <w:t>0.00</w:t>
            </w:r>
            <w:r>
              <w:rPr>
                <w:rFonts w:hint="eastAsia"/>
              </w:rPr>
              <w:t>1</w:t>
            </w:r>
          </w:p>
        </w:tc>
        <w:tc>
          <w:tcPr>
            <w:tcW w:w="759" w:type="pct"/>
            <w:vAlign w:val="center"/>
            <w:hideMark/>
          </w:tcPr>
          <w:p w14:paraId="0CA5FC28" w14:textId="77777777" w:rsidR="003346B5" w:rsidRPr="003E17F3" w:rsidRDefault="003346B5" w:rsidP="003346B5">
            <w:pPr>
              <w:ind w:firstLineChars="0" w:firstLine="0"/>
              <w:jc w:val="center"/>
              <w:rPr>
                <w:szCs w:val="21"/>
              </w:rPr>
            </w:pPr>
            <w:r w:rsidRPr="003E17F3">
              <w:rPr>
                <w:rFonts w:hint="eastAsia"/>
                <w:szCs w:val="21"/>
              </w:rPr>
              <w:t>通过验证</w:t>
            </w:r>
          </w:p>
        </w:tc>
      </w:tr>
      <w:tr w:rsidR="003346B5" w:rsidRPr="003E17F3" w14:paraId="1180F7BD" w14:textId="77777777" w:rsidTr="002D1967">
        <w:trPr>
          <w:trHeight w:val="285"/>
        </w:trPr>
        <w:tc>
          <w:tcPr>
            <w:tcW w:w="2560" w:type="pct"/>
            <w:hideMark/>
          </w:tcPr>
          <w:p w14:paraId="34C522D9" w14:textId="42754A62" w:rsidR="003346B5" w:rsidRPr="003E17F3" w:rsidRDefault="003346B5" w:rsidP="003346B5">
            <w:pPr>
              <w:ind w:firstLineChars="0" w:firstLine="0"/>
              <w:rPr>
                <w:szCs w:val="21"/>
              </w:rPr>
            </w:pPr>
            <w:r>
              <w:rPr>
                <w:rFonts w:hint="eastAsia"/>
              </w:rPr>
              <w:t>假设</w:t>
            </w:r>
            <w:r>
              <w:rPr>
                <w:rFonts w:hint="eastAsia"/>
              </w:rPr>
              <w:t>5</w:t>
            </w:r>
            <w:r>
              <w:rPr>
                <w:rFonts w:hint="eastAsia"/>
              </w:rPr>
              <w:t>：</w:t>
            </w:r>
            <w:r w:rsidRPr="00321A3D">
              <w:rPr>
                <w:rFonts w:hint="eastAsia"/>
              </w:rPr>
              <w:t>业主项目群管理能力</w:t>
            </w:r>
            <w:r>
              <w:rPr>
                <w:rFonts w:hint="eastAsia"/>
              </w:rPr>
              <w:t>→</w:t>
            </w:r>
            <w:r w:rsidRPr="00321A3D">
              <w:rPr>
                <w:rFonts w:hint="eastAsia"/>
              </w:rPr>
              <w:t>资源配置</w:t>
            </w:r>
          </w:p>
        </w:tc>
        <w:tc>
          <w:tcPr>
            <w:tcW w:w="950" w:type="pct"/>
            <w:vAlign w:val="center"/>
            <w:hideMark/>
          </w:tcPr>
          <w:p w14:paraId="09D6AD23" w14:textId="06546E05" w:rsidR="003346B5" w:rsidRPr="003E17F3" w:rsidRDefault="003346B5" w:rsidP="003346B5">
            <w:pPr>
              <w:ind w:firstLineChars="0" w:firstLine="0"/>
              <w:jc w:val="center"/>
              <w:rPr>
                <w:szCs w:val="21"/>
              </w:rPr>
            </w:pPr>
            <w:r w:rsidRPr="0037360E">
              <w:t>0.398</w:t>
            </w:r>
          </w:p>
        </w:tc>
        <w:tc>
          <w:tcPr>
            <w:tcW w:w="731" w:type="pct"/>
            <w:vAlign w:val="center"/>
            <w:hideMark/>
          </w:tcPr>
          <w:p w14:paraId="0BBCC413" w14:textId="3418F2A1" w:rsidR="003346B5" w:rsidRPr="003E17F3" w:rsidRDefault="003346B5" w:rsidP="003346B5">
            <w:pPr>
              <w:ind w:firstLineChars="0" w:firstLine="0"/>
              <w:jc w:val="center"/>
              <w:rPr>
                <w:szCs w:val="21"/>
              </w:rPr>
            </w:pPr>
            <w:r>
              <w:rPr>
                <w:rFonts w:hint="eastAsia"/>
              </w:rPr>
              <w:t xml:space="preserve">&lt; </w:t>
            </w:r>
            <w:r w:rsidRPr="00755091">
              <w:t>0.00</w:t>
            </w:r>
            <w:r>
              <w:rPr>
                <w:rFonts w:hint="eastAsia"/>
              </w:rPr>
              <w:t>1</w:t>
            </w:r>
          </w:p>
        </w:tc>
        <w:tc>
          <w:tcPr>
            <w:tcW w:w="759" w:type="pct"/>
            <w:vAlign w:val="center"/>
            <w:hideMark/>
          </w:tcPr>
          <w:p w14:paraId="63BAD4C2" w14:textId="77777777" w:rsidR="003346B5" w:rsidRPr="003E17F3" w:rsidRDefault="003346B5" w:rsidP="003346B5">
            <w:pPr>
              <w:ind w:firstLineChars="0" w:firstLine="0"/>
              <w:jc w:val="center"/>
              <w:rPr>
                <w:szCs w:val="21"/>
              </w:rPr>
            </w:pPr>
            <w:r w:rsidRPr="003E17F3">
              <w:rPr>
                <w:rFonts w:hint="eastAsia"/>
                <w:szCs w:val="21"/>
              </w:rPr>
              <w:t>通过验证</w:t>
            </w:r>
          </w:p>
        </w:tc>
      </w:tr>
      <w:tr w:rsidR="003346B5" w:rsidRPr="003E17F3" w14:paraId="29CFCBBB" w14:textId="77777777" w:rsidTr="002D1967">
        <w:trPr>
          <w:trHeight w:val="285"/>
        </w:trPr>
        <w:tc>
          <w:tcPr>
            <w:tcW w:w="2560" w:type="pct"/>
            <w:hideMark/>
          </w:tcPr>
          <w:p w14:paraId="1BACB84C" w14:textId="4B6B0C7D" w:rsidR="003346B5" w:rsidRPr="003E17F3" w:rsidRDefault="003346B5" w:rsidP="003346B5">
            <w:pPr>
              <w:ind w:firstLineChars="0" w:firstLine="0"/>
              <w:rPr>
                <w:szCs w:val="21"/>
              </w:rPr>
            </w:pPr>
            <w:r>
              <w:rPr>
                <w:rFonts w:hint="eastAsia"/>
              </w:rPr>
              <w:t>假设</w:t>
            </w:r>
            <w:r>
              <w:rPr>
                <w:rFonts w:hint="eastAsia"/>
              </w:rPr>
              <w:t>6</w:t>
            </w:r>
            <w:r>
              <w:rPr>
                <w:rFonts w:hint="eastAsia"/>
              </w:rPr>
              <w:t>：管理制度→</w:t>
            </w:r>
            <w:r w:rsidRPr="00321A3D">
              <w:rPr>
                <w:rFonts w:hint="eastAsia"/>
              </w:rPr>
              <w:t>伙伴关系</w:t>
            </w:r>
          </w:p>
        </w:tc>
        <w:tc>
          <w:tcPr>
            <w:tcW w:w="950" w:type="pct"/>
            <w:vAlign w:val="center"/>
            <w:hideMark/>
          </w:tcPr>
          <w:p w14:paraId="4C26FCA6" w14:textId="5AE05B8A" w:rsidR="003346B5" w:rsidRPr="003E17F3" w:rsidRDefault="003346B5" w:rsidP="003346B5">
            <w:pPr>
              <w:ind w:firstLineChars="0" w:firstLine="0"/>
              <w:jc w:val="center"/>
              <w:rPr>
                <w:szCs w:val="21"/>
              </w:rPr>
            </w:pPr>
            <w:r w:rsidRPr="0037360E">
              <w:t>0.186</w:t>
            </w:r>
          </w:p>
        </w:tc>
        <w:tc>
          <w:tcPr>
            <w:tcW w:w="731" w:type="pct"/>
            <w:vAlign w:val="center"/>
            <w:hideMark/>
          </w:tcPr>
          <w:p w14:paraId="0EB73942" w14:textId="53A80A6A" w:rsidR="003346B5" w:rsidRPr="003E17F3" w:rsidRDefault="003346B5" w:rsidP="003346B5">
            <w:pPr>
              <w:ind w:firstLineChars="0" w:firstLine="0"/>
              <w:jc w:val="center"/>
              <w:rPr>
                <w:szCs w:val="21"/>
              </w:rPr>
            </w:pPr>
            <w:r w:rsidRPr="00755091">
              <w:t>0.006</w:t>
            </w:r>
          </w:p>
        </w:tc>
        <w:tc>
          <w:tcPr>
            <w:tcW w:w="759" w:type="pct"/>
            <w:vAlign w:val="center"/>
            <w:hideMark/>
          </w:tcPr>
          <w:p w14:paraId="261C615C" w14:textId="77777777" w:rsidR="003346B5" w:rsidRPr="003E17F3" w:rsidRDefault="003346B5" w:rsidP="003346B5">
            <w:pPr>
              <w:ind w:firstLineChars="0" w:firstLine="0"/>
              <w:jc w:val="center"/>
              <w:rPr>
                <w:szCs w:val="21"/>
              </w:rPr>
            </w:pPr>
            <w:r w:rsidRPr="003E17F3">
              <w:rPr>
                <w:rFonts w:hint="eastAsia"/>
                <w:szCs w:val="21"/>
              </w:rPr>
              <w:t>通过验证</w:t>
            </w:r>
          </w:p>
        </w:tc>
      </w:tr>
      <w:tr w:rsidR="003346B5" w:rsidRPr="003E17F3" w14:paraId="2E962AAC" w14:textId="77777777" w:rsidTr="002D1967">
        <w:trPr>
          <w:trHeight w:val="285"/>
        </w:trPr>
        <w:tc>
          <w:tcPr>
            <w:tcW w:w="2560" w:type="pct"/>
            <w:hideMark/>
          </w:tcPr>
          <w:p w14:paraId="23C79F73" w14:textId="532DDB37" w:rsidR="003346B5" w:rsidRPr="003E17F3" w:rsidRDefault="003346B5" w:rsidP="003346B5">
            <w:pPr>
              <w:ind w:firstLineChars="0" w:firstLine="0"/>
              <w:rPr>
                <w:szCs w:val="21"/>
              </w:rPr>
            </w:pPr>
            <w:r>
              <w:rPr>
                <w:rFonts w:hint="eastAsia"/>
              </w:rPr>
              <w:t>假设</w:t>
            </w:r>
            <w:r>
              <w:rPr>
                <w:rFonts w:hint="eastAsia"/>
              </w:rPr>
              <w:t>7</w:t>
            </w:r>
            <w:r>
              <w:rPr>
                <w:rFonts w:hint="eastAsia"/>
              </w:rPr>
              <w:t>：</w:t>
            </w:r>
            <w:r w:rsidRPr="00321A3D">
              <w:rPr>
                <w:rFonts w:hint="eastAsia"/>
              </w:rPr>
              <w:t>业主项目群管理能力</w:t>
            </w:r>
            <w:r>
              <w:rPr>
                <w:rFonts w:hint="eastAsia"/>
              </w:rPr>
              <w:t>→</w:t>
            </w:r>
            <w:r w:rsidRPr="00321A3D">
              <w:rPr>
                <w:rFonts w:hint="eastAsia"/>
              </w:rPr>
              <w:t>伙伴关系</w:t>
            </w:r>
          </w:p>
        </w:tc>
        <w:tc>
          <w:tcPr>
            <w:tcW w:w="950" w:type="pct"/>
            <w:vAlign w:val="center"/>
            <w:hideMark/>
          </w:tcPr>
          <w:p w14:paraId="3C3CC270" w14:textId="21659E2C" w:rsidR="003346B5" w:rsidRPr="003E17F3" w:rsidRDefault="003346B5" w:rsidP="003346B5">
            <w:pPr>
              <w:ind w:firstLineChars="0" w:firstLine="0"/>
              <w:jc w:val="center"/>
              <w:rPr>
                <w:szCs w:val="21"/>
              </w:rPr>
            </w:pPr>
            <w:r w:rsidRPr="0037360E">
              <w:t>0.570</w:t>
            </w:r>
          </w:p>
        </w:tc>
        <w:tc>
          <w:tcPr>
            <w:tcW w:w="731" w:type="pct"/>
            <w:vAlign w:val="center"/>
            <w:hideMark/>
          </w:tcPr>
          <w:p w14:paraId="01FC1D5B" w14:textId="6BA4DAEF" w:rsidR="003346B5" w:rsidRPr="003E17F3" w:rsidRDefault="003346B5" w:rsidP="003346B5">
            <w:pPr>
              <w:ind w:firstLineChars="0" w:firstLine="0"/>
              <w:jc w:val="center"/>
              <w:rPr>
                <w:szCs w:val="21"/>
              </w:rPr>
            </w:pPr>
            <w:r>
              <w:rPr>
                <w:rFonts w:hint="eastAsia"/>
              </w:rPr>
              <w:t xml:space="preserve">&lt; </w:t>
            </w:r>
            <w:r w:rsidRPr="00755091">
              <w:t>0.00</w:t>
            </w:r>
            <w:r>
              <w:rPr>
                <w:rFonts w:hint="eastAsia"/>
              </w:rPr>
              <w:t>1</w:t>
            </w:r>
          </w:p>
        </w:tc>
        <w:tc>
          <w:tcPr>
            <w:tcW w:w="759" w:type="pct"/>
            <w:vAlign w:val="center"/>
            <w:hideMark/>
          </w:tcPr>
          <w:p w14:paraId="3FFED74B" w14:textId="77777777" w:rsidR="003346B5" w:rsidRPr="003E17F3" w:rsidRDefault="003346B5" w:rsidP="003346B5">
            <w:pPr>
              <w:ind w:firstLineChars="0" w:firstLine="0"/>
              <w:jc w:val="center"/>
              <w:rPr>
                <w:szCs w:val="21"/>
              </w:rPr>
            </w:pPr>
            <w:r w:rsidRPr="003E17F3">
              <w:rPr>
                <w:rFonts w:hint="eastAsia"/>
                <w:szCs w:val="21"/>
              </w:rPr>
              <w:t>通过验证</w:t>
            </w:r>
          </w:p>
        </w:tc>
      </w:tr>
      <w:tr w:rsidR="003346B5" w:rsidRPr="003E17F3" w14:paraId="41D4D007" w14:textId="77777777" w:rsidTr="002D1967">
        <w:trPr>
          <w:trHeight w:val="285"/>
        </w:trPr>
        <w:tc>
          <w:tcPr>
            <w:tcW w:w="2560" w:type="pct"/>
          </w:tcPr>
          <w:p w14:paraId="30F77FE9" w14:textId="5271B701" w:rsidR="003346B5" w:rsidRPr="003E17F3" w:rsidRDefault="003346B5" w:rsidP="003346B5">
            <w:pPr>
              <w:ind w:firstLineChars="0" w:firstLine="0"/>
              <w:rPr>
                <w:szCs w:val="21"/>
              </w:rPr>
            </w:pPr>
            <w:r>
              <w:rPr>
                <w:rFonts w:hint="eastAsia"/>
              </w:rPr>
              <w:t>假设</w:t>
            </w:r>
            <w:r>
              <w:rPr>
                <w:rFonts w:hint="eastAsia"/>
              </w:rPr>
              <w:t>8</w:t>
            </w:r>
            <w:r>
              <w:rPr>
                <w:rFonts w:hint="eastAsia"/>
              </w:rPr>
              <w:t>：</w:t>
            </w:r>
            <w:r w:rsidRPr="00321A3D">
              <w:rPr>
                <w:rFonts w:hint="eastAsia"/>
              </w:rPr>
              <w:t>外部条件</w:t>
            </w:r>
            <w:r>
              <w:rPr>
                <w:rFonts w:hint="eastAsia"/>
              </w:rPr>
              <w:t>→</w:t>
            </w:r>
            <w:r w:rsidRPr="00321A3D">
              <w:rPr>
                <w:rFonts w:hint="eastAsia"/>
              </w:rPr>
              <w:t>项目</w:t>
            </w:r>
            <w:r>
              <w:rPr>
                <w:rFonts w:hint="eastAsia"/>
              </w:rPr>
              <w:t>群</w:t>
            </w:r>
            <w:r w:rsidRPr="00321A3D">
              <w:rPr>
                <w:rFonts w:hint="eastAsia"/>
              </w:rPr>
              <w:t>实施</w:t>
            </w:r>
          </w:p>
        </w:tc>
        <w:tc>
          <w:tcPr>
            <w:tcW w:w="950" w:type="pct"/>
            <w:vAlign w:val="center"/>
          </w:tcPr>
          <w:p w14:paraId="21F2D55A" w14:textId="6F8683F7" w:rsidR="003346B5" w:rsidRPr="003E17F3" w:rsidRDefault="003346B5" w:rsidP="003346B5">
            <w:pPr>
              <w:ind w:firstLineChars="0" w:firstLine="0"/>
              <w:jc w:val="center"/>
              <w:rPr>
                <w:szCs w:val="21"/>
              </w:rPr>
            </w:pPr>
            <w:r w:rsidRPr="0037360E">
              <w:t>0.170</w:t>
            </w:r>
          </w:p>
        </w:tc>
        <w:tc>
          <w:tcPr>
            <w:tcW w:w="731" w:type="pct"/>
            <w:vAlign w:val="center"/>
          </w:tcPr>
          <w:p w14:paraId="7BEFB103" w14:textId="2E6FF8D6" w:rsidR="003346B5" w:rsidRPr="003E17F3" w:rsidRDefault="003346B5" w:rsidP="003346B5">
            <w:pPr>
              <w:ind w:firstLineChars="0" w:firstLine="0"/>
              <w:jc w:val="center"/>
              <w:rPr>
                <w:szCs w:val="21"/>
              </w:rPr>
            </w:pPr>
            <w:r>
              <w:rPr>
                <w:rFonts w:hint="eastAsia"/>
              </w:rPr>
              <w:t xml:space="preserve">&lt; </w:t>
            </w:r>
            <w:r w:rsidRPr="00755091">
              <w:t>0.00</w:t>
            </w:r>
            <w:r>
              <w:rPr>
                <w:rFonts w:hint="eastAsia"/>
              </w:rPr>
              <w:t>1</w:t>
            </w:r>
          </w:p>
        </w:tc>
        <w:tc>
          <w:tcPr>
            <w:tcW w:w="759" w:type="pct"/>
            <w:vAlign w:val="center"/>
          </w:tcPr>
          <w:p w14:paraId="3566BFB2" w14:textId="3AE865C0" w:rsidR="003346B5" w:rsidRPr="003E17F3" w:rsidRDefault="003346B5" w:rsidP="003346B5">
            <w:pPr>
              <w:ind w:firstLineChars="0" w:firstLine="0"/>
              <w:jc w:val="center"/>
              <w:rPr>
                <w:szCs w:val="21"/>
              </w:rPr>
            </w:pPr>
            <w:r w:rsidRPr="003E17F3">
              <w:rPr>
                <w:rFonts w:hint="eastAsia"/>
                <w:szCs w:val="21"/>
              </w:rPr>
              <w:t>通过验证</w:t>
            </w:r>
          </w:p>
        </w:tc>
      </w:tr>
      <w:tr w:rsidR="003346B5" w:rsidRPr="003E17F3" w14:paraId="3B494E71" w14:textId="77777777" w:rsidTr="002D1967">
        <w:trPr>
          <w:trHeight w:val="285"/>
        </w:trPr>
        <w:tc>
          <w:tcPr>
            <w:tcW w:w="2560" w:type="pct"/>
          </w:tcPr>
          <w:p w14:paraId="0AF6F5F7" w14:textId="16819C6F" w:rsidR="003346B5" w:rsidRPr="003E17F3" w:rsidRDefault="003346B5" w:rsidP="003346B5">
            <w:pPr>
              <w:ind w:firstLineChars="0" w:firstLine="0"/>
              <w:rPr>
                <w:szCs w:val="21"/>
              </w:rPr>
            </w:pPr>
            <w:r>
              <w:rPr>
                <w:rFonts w:hint="eastAsia"/>
              </w:rPr>
              <w:t>假设</w:t>
            </w:r>
            <w:r>
              <w:rPr>
                <w:rFonts w:hint="eastAsia"/>
              </w:rPr>
              <w:t>9</w:t>
            </w:r>
            <w:r>
              <w:rPr>
                <w:rFonts w:hint="eastAsia"/>
              </w:rPr>
              <w:t>：</w:t>
            </w:r>
            <w:r w:rsidRPr="00321A3D">
              <w:rPr>
                <w:rFonts w:hint="eastAsia"/>
              </w:rPr>
              <w:t>资源配置</w:t>
            </w:r>
            <w:r>
              <w:rPr>
                <w:rFonts w:hint="eastAsia"/>
              </w:rPr>
              <w:t>→</w:t>
            </w:r>
            <w:r w:rsidRPr="00321A3D">
              <w:rPr>
                <w:rFonts w:hint="eastAsia"/>
              </w:rPr>
              <w:t>项目</w:t>
            </w:r>
            <w:r>
              <w:rPr>
                <w:rFonts w:hint="eastAsia"/>
              </w:rPr>
              <w:t>群</w:t>
            </w:r>
            <w:r w:rsidRPr="00321A3D">
              <w:rPr>
                <w:rFonts w:hint="eastAsia"/>
              </w:rPr>
              <w:t>实施</w:t>
            </w:r>
          </w:p>
        </w:tc>
        <w:tc>
          <w:tcPr>
            <w:tcW w:w="950" w:type="pct"/>
            <w:vAlign w:val="center"/>
          </w:tcPr>
          <w:p w14:paraId="3F46B2F6" w14:textId="055B11FD" w:rsidR="003346B5" w:rsidRPr="003E17F3" w:rsidRDefault="003346B5" w:rsidP="003346B5">
            <w:pPr>
              <w:ind w:firstLineChars="0" w:firstLine="0"/>
              <w:jc w:val="center"/>
              <w:rPr>
                <w:szCs w:val="21"/>
              </w:rPr>
            </w:pPr>
            <w:r w:rsidRPr="0037360E">
              <w:t>0.724</w:t>
            </w:r>
          </w:p>
        </w:tc>
        <w:tc>
          <w:tcPr>
            <w:tcW w:w="731" w:type="pct"/>
            <w:vAlign w:val="center"/>
          </w:tcPr>
          <w:p w14:paraId="164C63FB" w14:textId="18AA06E1" w:rsidR="003346B5" w:rsidRPr="003E17F3" w:rsidRDefault="003346B5" w:rsidP="003346B5">
            <w:pPr>
              <w:ind w:firstLineChars="0" w:firstLine="0"/>
              <w:jc w:val="center"/>
              <w:rPr>
                <w:szCs w:val="21"/>
              </w:rPr>
            </w:pPr>
            <w:r>
              <w:rPr>
                <w:rFonts w:hint="eastAsia"/>
              </w:rPr>
              <w:t xml:space="preserve">&lt; </w:t>
            </w:r>
            <w:r w:rsidRPr="00755091">
              <w:t>0.00</w:t>
            </w:r>
            <w:r>
              <w:rPr>
                <w:rFonts w:hint="eastAsia"/>
              </w:rPr>
              <w:t>1</w:t>
            </w:r>
          </w:p>
        </w:tc>
        <w:tc>
          <w:tcPr>
            <w:tcW w:w="759" w:type="pct"/>
            <w:vAlign w:val="center"/>
          </w:tcPr>
          <w:p w14:paraId="0BA45B25" w14:textId="00945A42" w:rsidR="003346B5" w:rsidRPr="003E17F3" w:rsidRDefault="003346B5" w:rsidP="003346B5">
            <w:pPr>
              <w:ind w:firstLineChars="0" w:firstLine="0"/>
              <w:jc w:val="center"/>
              <w:rPr>
                <w:szCs w:val="21"/>
              </w:rPr>
            </w:pPr>
            <w:r w:rsidRPr="003E17F3">
              <w:rPr>
                <w:rFonts w:hint="eastAsia"/>
                <w:szCs w:val="21"/>
              </w:rPr>
              <w:t>通过验证</w:t>
            </w:r>
          </w:p>
        </w:tc>
      </w:tr>
      <w:tr w:rsidR="003346B5" w:rsidRPr="003E17F3" w14:paraId="087DA0E0" w14:textId="77777777" w:rsidTr="002D1967">
        <w:trPr>
          <w:trHeight w:val="285"/>
        </w:trPr>
        <w:tc>
          <w:tcPr>
            <w:tcW w:w="2560" w:type="pct"/>
          </w:tcPr>
          <w:p w14:paraId="123B4B20" w14:textId="11CDCB37" w:rsidR="003346B5" w:rsidRPr="003E17F3" w:rsidRDefault="003346B5" w:rsidP="003346B5">
            <w:pPr>
              <w:ind w:firstLineChars="0" w:firstLine="0"/>
              <w:rPr>
                <w:szCs w:val="21"/>
              </w:rPr>
            </w:pPr>
            <w:r>
              <w:rPr>
                <w:rFonts w:hint="eastAsia"/>
              </w:rPr>
              <w:t>假设</w:t>
            </w:r>
            <w:r>
              <w:rPr>
                <w:rFonts w:hint="eastAsia"/>
              </w:rPr>
              <w:t>10</w:t>
            </w:r>
            <w:r>
              <w:rPr>
                <w:rFonts w:hint="eastAsia"/>
              </w:rPr>
              <w:t>：</w:t>
            </w:r>
            <w:r w:rsidRPr="00321A3D">
              <w:rPr>
                <w:rFonts w:hint="eastAsia"/>
              </w:rPr>
              <w:t>伙伴关系</w:t>
            </w:r>
            <w:r>
              <w:rPr>
                <w:rFonts w:hint="eastAsia"/>
              </w:rPr>
              <w:t>→</w:t>
            </w:r>
            <w:r w:rsidRPr="00321A3D">
              <w:rPr>
                <w:rFonts w:hint="eastAsia"/>
              </w:rPr>
              <w:t>项目</w:t>
            </w:r>
            <w:r>
              <w:rPr>
                <w:rFonts w:hint="eastAsia"/>
              </w:rPr>
              <w:t>群</w:t>
            </w:r>
            <w:r w:rsidRPr="00321A3D">
              <w:rPr>
                <w:rFonts w:hint="eastAsia"/>
              </w:rPr>
              <w:t>实施</w:t>
            </w:r>
          </w:p>
        </w:tc>
        <w:tc>
          <w:tcPr>
            <w:tcW w:w="950" w:type="pct"/>
            <w:vAlign w:val="center"/>
          </w:tcPr>
          <w:p w14:paraId="07BDB7BC" w14:textId="1EF9A837" w:rsidR="003346B5" w:rsidRPr="003E17F3" w:rsidRDefault="003346B5" w:rsidP="003346B5">
            <w:pPr>
              <w:ind w:firstLineChars="0" w:firstLine="0"/>
              <w:jc w:val="center"/>
              <w:rPr>
                <w:szCs w:val="21"/>
              </w:rPr>
            </w:pPr>
            <w:r w:rsidRPr="0037360E">
              <w:t>0.097</w:t>
            </w:r>
          </w:p>
        </w:tc>
        <w:tc>
          <w:tcPr>
            <w:tcW w:w="731" w:type="pct"/>
            <w:vAlign w:val="center"/>
          </w:tcPr>
          <w:p w14:paraId="143E681D" w14:textId="4DD6B71C" w:rsidR="003346B5" w:rsidRPr="003E17F3" w:rsidRDefault="003346B5" w:rsidP="003346B5">
            <w:pPr>
              <w:ind w:firstLineChars="0" w:firstLine="0"/>
              <w:jc w:val="center"/>
              <w:rPr>
                <w:szCs w:val="21"/>
              </w:rPr>
            </w:pPr>
            <w:r w:rsidRPr="00755091">
              <w:t>0.040</w:t>
            </w:r>
          </w:p>
        </w:tc>
        <w:tc>
          <w:tcPr>
            <w:tcW w:w="759" w:type="pct"/>
            <w:vAlign w:val="center"/>
          </w:tcPr>
          <w:p w14:paraId="392CD895" w14:textId="565751D8" w:rsidR="003346B5" w:rsidRPr="003E17F3" w:rsidRDefault="003346B5" w:rsidP="003346B5">
            <w:pPr>
              <w:ind w:firstLineChars="0" w:firstLine="0"/>
              <w:jc w:val="center"/>
              <w:rPr>
                <w:szCs w:val="21"/>
              </w:rPr>
            </w:pPr>
            <w:r w:rsidRPr="003E17F3">
              <w:rPr>
                <w:rFonts w:hint="eastAsia"/>
                <w:szCs w:val="21"/>
              </w:rPr>
              <w:t>通过验证</w:t>
            </w:r>
          </w:p>
        </w:tc>
      </w:tr>
      <w:tr w:rsidR="003346B5" w:rsidRPr="003E17F3" w14:paraId="13225107" w14:textId="77777777" w:rsidTr="002D1967">
        <w:trPr>
          <w:trHeight w:val="285"/>
        </w:trPr>
        <w:tc>
          <w:tcPr>
            <w:tcW w:w="2560" w:type="pct"/>
          </w:tcPr>
          <w:p w14:paraId="14BA7F86" w14:textId="6AB71866" w:rsidR="003346B5" w:rsidRPr="003E17F3" w:rsidRDefault="003346B5" w:rsidP="003346B5">
            <w:pPr>
              <w:ind w:firstLineChars="0" w:firstLine="0"/>
              <w:rPr>
                <w:szCs w:val="21"/>
              </w:rPr>
            </w:pPr>
            <w:r>
              <w:rPr>
                <w:rFonts w:hint="eastAsia"/>
              </w:rPr>
              <w:t>假设</w:t>
            </w:r>
            <w:r>
              <w:rPr>
                <w:rFonts w:hint="eastAsia"/>
              </w:rPr>
              <w:t>11</w:t>
            </w:r>
            <w:r>
              <w:rPr>
                <w:rFonts w:hint="eastAsia"/>
              </w:rPr>
              <w:t>：</w:t>
            </w:r>
            <w:r w:rsidRPr="00321A3D">
              <w:rPr>
                <w:rFonts w:hint="eastAsia"/>
              </w:rPr>
              <w:t>业主项目群管理能力</w:t>
            </w:r>
            <w:r>
              <w:rPr>
                <w:rFonts w:hint="eastAsia"/>
              </w:rPr>
              <w:t>→</w:t>
            </w:r>
            <w:r w:rsidRPr="00321A3D">
              <w:rPr>
                <w:rFonts w:hint="eastAsia"/>
              </w:rPr>
              <w:t>项目</w:t>
            </w:r>
            <w:r>
              <w:rPr>
                <w:rFonts w:hint="eastAsia"/>
              </w:rPr>
              <w:t>群</w:t>
            </w:r>
            <w:r w:rsidRPr="00321A3D">
              <w:rPr>
                <w:rFonts w:hint="eastAsia"/>
              </w:rPr>
              <w:t>运营</w:t>
            </w:r>
          </w:p>
        </w:tc>
        <w:tc>
          <w:tcPr>
            <w:tcW w:w="950" w:type="pct"/>
            <w:vAlign w:val="center"/>
          </w:tcPr>
          <w:p w14:paraId="51BB01EF" w14:textId="0D2FF9C5" w:rsidR="003346B5" w:rsidRPr="003E17F3" w:rsidRDefault="003346B5" w:rsidP="003346B5">
            <w:pPr>
              <w:ind w:firstLineChars="0" w:firstLine="0"/>
              <w:jc w:val="center"/>
              <w:rPr>
                <w:szCs w:val="21"/>
              </w:rPr>
            </w:pPr>
            <w:r w:rsidRPr="0037360E">
              <w:t>0.258</w:t>
            </w:r>
          </w:p>
        </w:tc>
        <w:tc>
          <w:tcPr>
            <w:tcW w:w="731" w:type="pct"/>
            <w:vAlign w:val="center"/>
          </w:tcPr>
          <w:p w14:paraId="0E4607E4" w14:textId="413B910D" w:rsidR="003346B5" w:rsidRPr="003E17F3" w:rsidRDefault="003346B5" w:rsidP="003346B5">
            <w:pPr>
              <w:ind w:firstLineChars="0" w:firstLine="0"/>
              <w:jc w:val="center"/>
              <w:rPr>
                <w:szCs w:val="21"/>
              </w:rPr>
            </w:pPr>
            <w:r w:rsidRPr="00755091">
              <w:t>0.006</w:t>
            </w:r>
          </w:p>
        </w:tc>
        <w:tc>
          <w:tcPr>
            <w:tcW w:w="759" w:type="pct"/>
            <w:vAlign w:val="center"/>
          </w:tcPr>
          <w:p w14:paraId="2FA9760B" w14:textId="6EEBAA54" w:rsidR="003346B5" w:rsidRPr="003E17F3" w:rsidRDefault="003346B5" w:rsidP="003346B5">
            <w:pPr>
              <w:ind w:firstLineChars="0" w:firstLine="0"/>
              <w:jc w:val="center"/>
              <w:rPr>
                <w:szCs w:val="21"/>
              </w:rPr>
            </w:pPr>
            <w:r w:rsidRPr="003E17F3">
              <w:rPr>
                <w:rFonts w:hint="eastAsia"/>
                <w:szCs w:val="21"/>
              </w:rPr>
              <w:t>通过验证</w:t>
            </w:r>
          </w:p>
        </w:tc>
      </w:tr>
      <w:tr w:rsidR="003346B5" w:rsidRPr="003E17F3" w14:paraId="053197A1" w14:textId="77777777" w:rsidTr="002D1967">
        <w:trPr>
          <w:trHeight w:val="285"/>
        </w:trPr>
        <w:tc>
          <w:tcPr>
            <w:tcW w:w="2560" w:type="pct"/>
          </w:tcPr>
          <w:p w14:paraId="5144241E" w14:textId="048D9F96" w:rsidR="003346B5" w:rsidRPr="003E17F3" w:rsidRDefault="003346B5" w:rsidP="003346B5">
            <w:pPr>
              <w:ind w:firstLineChars="0" w:firstLine="0"/>
              <w:rPr>
                <w:szCs w:val="21"/>
              </w:rPr>
            </w:pPr>
            <w:r>
              <w:rPr>
                <w:rFonts w:hint="eastAsia"/>
              </w:rPr>
              <w:t>假设</w:t>
            </w:r>
            <w:r>
              <w:rPr>
                <w:rFonts w:hint="eastAsia"/>
              </w:rPr>
              <w:t>12</w:t>
            </w:r>
            <w:r>
              <w:rPr>
                <w:rFonts w:hint="eastAsia"/>
              </w:rPr>
              <w:t>：</w:t>
            </w:r>
            <w:r w:rsidRPr="00321A3D">
              <w:rPr>
                <w:rFonts w:hint="eastAsia"/>
              </w:rPr>
              <w:t>资源配置</w:t>
            </w:r>
            <w:r>
              <w:rPr>
                <w:rFonts w:hint="eastAsia"/>
              </w:rPr>
              <w:t>→</w:t>
            </w:r>
            <w:r w:rsidRPr="00321A3D">
              <w:rPr>
                <w:rFonts w:hint="eastAsia"/>
              </w:rPr>
              <w:t>项目</w:t>
            </w:r>
            <w:r>
              <w:rPr>
                <w:rFonts w:hint="eastAsia"/>
              </w:rPr>
              <w:t>群</w:t>
            </w:r>
            <w:r w:rsidRPr="00321A3D">
              <w:rPr>
                <w:rFonts w:hint="eastAsia"/>
              </w:rPr>
              <w:t>运营</w:t>
            </w:r>
          </w:p>
        </w:tc>
        <w:tc>
          <w:tcPr>
            <w:tcW w:w="950" w:type="pct"/>
            <w:vAlign w:val="center"/>
          </w:tcPr>
          <w:p w14:paraId="3E2A85FD" w14:textId="482FE6A1" w:rsidR="003346B5" w:rsidRPr="003E17F3" w:rsidRDefault="003346B5" w:rsidP="003346B5">
            <w:pPr>
              <w:ind w:firstLineChars="0" w:firstLine="0"/>
              <w:jc w:val="center"/>
              <w:rPr>
                <w:szCs w:val="21"/>
              </w:rPr>
            </w:pPr>
            <w:r w:rsidRPr="0037360E">
              <w:t>0.152</w:t>
            </w:r>
          </w:p>
        </w:tc>
        <w:tc>
          <w:tcPr>
            <w:tcW w:w="731" w:type="pct"/>
            <w:vAlign w:val="center"/>
          </w:tcPr>
          <w:p w14:paraId="006314C1" w14:textId="25387E6F" w:rsidR="003346B5" w:rsidRPr="003E17F3" w:rsidRDefault="003346B5" w:rsidP="003346B5">
            <w:pPr>
              <w:ind w:firstLineChars="0" w:firstLine="0"/>
              <w:jc w:val="center"/>
              <w:rPr>
                <w:szCs w:val="21"/>
              </w:rPr>
            </w:pPr>
            <w:r w:rsidRPr="00755091">
              <w:t>0.046</w:t>
            </w:r>
          </w:p>
        </w:tc>
        <w:tc>
          <w:tcPr>
            <w:tcW w:w="759" w:type="pct"/>
            <w:vAlign w:val="center"/>
          </w:tcPr>
          <w:p w14:paraId="741FDB6B" w14:textId="61F23C2B" w:rsidR="003346B5" w:rsidRPr="003E17F3" w:rsidRDefault="003346B5" w:rsidP="003346B5">
            <w:pPr>
              <w:ind w:firstLineChars="0" w:firstLine="0"/>
              <w:jc w:val="center"/>
              <w:rPr>
                <w:szCs w:val="21"/>
              </w:rPr>
            </w:pPr>
            <w:r w:rsidRPr="003E17F3">
              <w:rPr>
                <w:rFonts w:hint="eastAsia"/>
                <w:szCs w:val="21"/>
              </w:rPr>
              <w:t>通过验证</w:t>
            </w:r>
          </w:p>
        </w:tc>
      </w:tr>
      <w:tr w:rsidR="003346B5" w:rsidRPr="003E17F3" w14:paraId="5E687E09" w14:textId="77777777" w:rsidTr="002D1967">
        <w:trPr>
          <w:trHeight w:val="285"/>
        </w:trPr>
        <w:tc>
          <w:tcPr>
            <w:tcW w:w="2560" w:type="pct"/>
          </w:tcPr>
          <w:p w14:paraId="70FBFD7B" w14:textId="70AF7D9C" w:rsidR="003346B5" w:rsidRPr="003E17F3" w:rsidRDefault="003346B5" w:rsidP="003346B5">
            <w:pPr>
              <w:ind w:firstLineChars="0" w:firstLine="0"/>
              <w:rPr>
                <w:szCs w:val="21"/>
              </w:rPr>
            </w:pPr>
            <w:r>
              <w:rPr>
                <w:rFonts w:hint="eastAsia"/>
              </w:rPr>
              <w:t>假设</w:t>
            </w:r>
            <w:r>
              <w:rPr>
                <w:rFonts w:hint="eastAsia"/>
              </w:rPr>
              <w:t>13</w:t>
            </w:r>
            <w:r>
              <w:rPr>
                <w:rFonts w:hint="eastAsia"/>
              </w:rPr>
              <w:t>：</w:t>
            </w:r>
            <w:r w:rsidRPr="00321A3D">
              <w:rPr>
                <w:rFonts w:hint="eastAsia"/>
              </w:rPr>
              <w:t>伙伴关系</w:t>
            </w:r>
            <w:r>
              <w:rPr>
                <w:rFonts w:hint="eastAsia"/>
              </w:rPr>
              <w:t>→</w:t>
            </w:r>
            <w:r w:rsidRPr="00321A3D">
              <w:rPr>
                <w:rFonts w:hint="eastAsia"/>
              </w:rPr>
              <w:t>项目</w:t>
            </w:r>
            <w:r>
              <w:rPr>
                <w:rFonts w:hint="eastAsia"/>
              </w:rPr>
              <w:t>群</w:t>
            </w:r>
            <w:r w:rsidRPr="00321A3D">
              <w:rPr>
                <w:rFonts w:hint="eastAsia"/>
              </w:rPr>
              <w:t>运营</w:t>
            </w:r>
          </w:p>
        </w:tc>
        <w:tc>
          <w:tcPr>
            <w:tcW w:w="950" w:type="pct"/>
            <w:vAlign w:val="center"/>
          </w:tcPr>
          <w:p w14:paraId="0E384D2D" w14:textId="1772C2AF" w:rsidR="003346B5" w:rsidRPr="003E17F3" w:rsidRDefault="003346B5" w:rsidP="003346B5">
            <w:pPr>
              <w:ind w:firstLineChars="0" w:firstLine="0"/>
              <w:jc w:val="center"/>
              <w:rPr>
                <w:szCs w:val="21"/>
              </w:rPr>
            </w:pPr>
            <w:r w:rsidRPr="0037360E">
              <w:t>0.554</w:t>
            </w:r>
          </w:p>
        </w:tc>
        <w:tc>
          <w:tcPr>
            <w:tcW w:w="731" w:type="pct"/>
            <w:vAlign w:val="center"/>
          </w:tcPr>
          <w:p w14:paraId="20F563A2" w14:textId="03573295" w:rsidR="003346B5" w:rsidRPr="003E17F3" w:rsidRDefault="003346B5" w:rsidP="003346B5">
            <w:pPr>
              <w:ind w:firstLineChars="0" w:firstLine="0"/>
              <w:jc w:val="center"/>
              <w:rPr>
                <w:szCs w:val="21"/>
              </w:rPr>
            </w:pPr>
            <w:r>
              <w:rPr>
                <w:rFonts w:hint="eastAsia"/>
              </w:rPr>
              <w:t xml:space="preserve">&lt; </w:t>
            </w:r>
            <w:r w:rsidRPr="00755091">
              <w:t>0.00</w:t>
            </w:r>
            <w:r>
              <w:rPr>
                <w:rFonts w:hint="eastAsia"/>
              </w:rPr>
              <w:t>1</w:t>
            </w:r>
          </w:p>
        </w:tc>
        <w:tc>
          <w:tcPr>
            <w:tcW w:w="759" w:type="pct"/>
            <w:vAlign w:val="center"/>
          </w:tcPr>
          <w:p w14:paraId="00FBFEBE" w14:textId="24FB2DF1" w:rsidR="003346B5" w:rsidRPr="003E17F3" w:rsidRDefault="003346B5" w:rsidP="003346B5">
            <w:pPr>
              <w:ind w:firstLineChars="0" w:firstLine="0"/>
              <w:jc w:val="center"/>
              <w:rPr>
                <w:szCs w:val="21"/>
              </w:rPr>
            </w:pPr>
            <w:r w:rsidRPr="003E17F3">
              <w:rPr>
                <w:rFonts w:hint="eastAsia"/>
                <w:szCs w:val="21"/>
              </w:rPr>
              <w:t>通过验证</w:t>
            </w:r>
          </w:p>
        </w:tc>
      </w:tr>
      <w:tr w:rsidR="003346B5" w:rsidRPr="003E17F3" w14:paraId="43153D1D" w14:textId="77777777" w:rsidTr="002D1967">
        <w:trPr>
          <w:trHeight w:val="285"/>
        </w:trPr>
        <w:tc>
          <w:tcPr>
            <w:tcW w:w="2560" w:type="pct"/>
          </w:tcPr>
          <w:p w14:paraId="314128AF" w14:textId="28A3748A" w:rsidR="003346B5" w:rsidRPr="003E17F3" w:rsidRDefault="003346B5" w:rsidP="003346B5">
            <w:pPr>
              <w:ind w:firstLineChars="0" w:firstLine="0"/>
              <w:rPr>
                <w:szCs w:val="21"/>
              </w:rPr>
            </w:pPr>
            <w:r>
              <w:rPr>
                <w:rFonts w:hint="eastAsia"/>
              </w:rPr>
              <w:t>假设</w:t>
            </w:r>
            <w:r>
              <w:rPr>
                <w:rFonts w:hint="eastAsia"/>
              </w:rPr>
              <w:t>14</w:t>
            </w:r>
            <w:r>
              <w:rPr>
                <w:rFonts w:hint="eastAsia"/>
              </w:rPr>
              <w:t>：</w:t>
            </w:r>
            <w:r w:rsidRPr="00321A3D">
              <w:rPr>
                <w:rFonts w:hint="eastAsia"/>
              </w:rPr>
              <w:t>项目实施</w:t>
            </w:r>
            <w:r>
              <w:rPr>
                <w:rFonts w:hint="eastAsia"/>
              </w:rPr>
              <w:t>→</w:t>
            </w:r>
            <w:r w:rsidRPr="00321A3D">
              <w:rPr>
                <w:rFonts w:hint="eastAsia"/>
              </w:rPr>
              <w:t>项目</w:t>
            </w:r>
            <w:r>
              <w:rPr>
                <w:rFonts w:hint="eastAsia"/>
              </w:rPr>
              <w:t>群</w:t>
            </w:r>
            <w:r w:rsidRPr="00321A3D">
              <w:rPr>
                <w:rFonts w:hint="eastAsia"/>
              </w:rPr>
              <w:t>绩效</w:t>
            </w:r>
          </w:p>
        </w:tc>
        <w:tc>
          <w:tcPr>
            <w:tcW w:w="950" w:type="pct"/>
            <w:vAlign w:val="center"/>
          </w:tcPr>
          <w:p w14:paraId="2BC286E2" w14:textId="21BA981E" w:rsidR="003346B5" w:rsidRPr="003E17F3" w:rsidRDefault="003346B5" w:rsidP="003346B5">
            <w:pPr>
              <w:ind w:firstLineChars="0" w:firstLine="0"/>
              <w:jc w:val="center"/>
              <w:rPr>
                <w:szCs w:val="21"/>
              </w:rPr>
            </w:pPr>
            <w:r w:rsidRPr="0037360E">
              <w:t>0.193</w:t>
            </w:r>
          </w:p>
        </w:tc>
        <w:tc>
          <w:tcPr>
            <w:tcW w:w="731" w:type="pct"/>
            <w:vAlign w:val="center"/>
          </w:tcPr>
          <w:p w14:paraId="60BD669D" w14:textId="433C31D4" w:rsidR="003346B5" w:rsidRPr="003E17F3" w:rsidRDefault="003346B5" w:rsidP="003346B5">
            <w:pPr>
              <w:ind w:firstLineChars="0" w:firstLine="0"/>
              <w:jc w:val="center"/>
              <w:rPr>
                <w:szCs w:val="21"/>
              </w:rPr>
            </w:pPr>
            <w:r w:rsidRPr="00755091">
              <w:t>0.007</w:t>
            </w:r>
          </w:p>
        </w:tc>
        <w:tc>
          <w:tcPr>
            <w:tcW w:w="759" w:type="pct"/>
            <w:vAlign w:val="center"/>
          </w:tcPr>
          <w:p w14:paraId="5D167F0F" w14:textId="531E34BE" w:rsidR="003346B5" w:rsidRPr="003E17F3" w:rsidRDefault="003346B5" w:rsidP="003346B5">
            <w:pPr>
              <w:ind w:firstLineChars="0" w:firstLine="0"/>
              <w:jc w:val="center"/>
              <w:rPr>
                <w:szCs w:val="21"/>
              </w:rPr>
            </w:pPr>
            <w:r w:rsidRPr="003E17F3">
              <w:rPr>
                <w:rFonts w:hint="eastAsia"/>
                <w:szCs w:val="21"/>
              </w:rPr>
              <w:t>通过验证</w:t>
            </w:r>
          </w:p>
        </w:tc>
      </w:tr>
      <w:tr w:rsidR="003346B5" w:rsidRPr="003E17F3" w14:paraId="55426A0A" w14:textId="77777777" w:rsidTr="002D1967">
        <w:trPr>
          <w:trHeight w:val="285"/>
        </w:trPr>
        <w:tc>
          <w:tcPr>
            <w:tcW w:w="2560" w:type="pct"/>
          </w:tcPr>
          <w:p w14:paraId="2920A661" w14:textId="0E6A8367" w:rsidR="003346B5" w:rsidRPr="003E17F3" w:rsidRDefault="003346B5" w:rsidP="003346B5">
            <w:pPr>
              <w:ind w:firstLineChars="0" w:firstLine="0"/>
              <w:rPr>
                <w:szCs w:val="21"/>
              </w:rPr>
            </w:pPr>
            <w:r>
              <w:rPr>
                <w:rFonts w:hint="eastAsia"/>
              </w:rPr>
              <w:t>假设</w:t>
            </w:r>
            <w:r>
              <w:rPr>
                <w:rFonts w:hint="eastAsia"/>
              </w:rPr>
              <w:t>15</w:t>
            </w:r>
            <w:r>
              <w:rPr>
                <w:rFonts w:hint="eastAsia"/>
              </w:rPr>
              <w:t>：</w:t>
            </w:r>
            <w:r w:rsidRPr="008600CD">
              <w:rPr>
                <w:rFonts w:hint="eastAsia"/>
              </w:rPr>
              <w:t>项目运营</w:t>
            </w:r>
            <w:r>
              <w:rPr>
                <w:rFonts w:hint="eastAsia"/>
              </w:rPr>
              <w:t>→</w:t>
            </w:r>
            <w:r w:rsidRPr="008600CD">
              <w:rPr>
                <w:rFonts w:hint="eastAsia"/>
              </w:rPr>
              <w:t>项目</w:t>
            </w:r>
            <w:r>
              <w:rPr>
                <w:rFonts w:hint="eastAsia"/>
              </w:rPr>
              <w:t>群</w:t>
            </w:r>
            <w:r w:rsidRPr="008600CD">
              <w:rPr>
                <w:rFonts w:hint="eastAsia"/>
              </w:rPr>
              <w:t>绩效</w:t>
            </w:r>
          </w:p>
        </w:tc>
        <w:tc>
          <w:tcPr>
            <w:tcW w:w="950" w:type="pct"/>
            <w:vAlign w:val="center"/>
          </w:tcPr>
          <w:p w14:paraId="649B9CC5" w14:textId="273FCB5B" w:rsidR="003346B5" w:rsidRPr="003E17F3" w:rsidRDefault="003346B5" w:rsidP="003346B5">
            <w:pPr>
              <w:ind w:firstLineChars="0" w:firstLine="0"/>
              <w:jc w:val="center"/>
              <w:rPr>
                <w:szCs w:val="21"/>
              </w:rPr>
            </w:pPr>
            <w:r w:rsidRPr="0037360E">
              <w:t>0.747</w:t>
            </w:r>
          </w:p>
        </w:tc>
        <w:tc>
          <w:tcPr>
            <w:tcW w:w="731" w:type="pct"/>
            <w:vAlign w:val="center"/>
          </w:tcPr>
          <w:p w14:paraId="40DA20FC" w14:textId="77507897" w:rsidR="003346B5" w:rsidRPr="003E17F3" w:rsidRDefault="003346B5" w:rsidP="003346B5">
            <w:pPr>
              <w:ind w:firstLineChars="0" w:firstLine="0"/>
              <w:jc w:val="center"/>
              <w:rPr>
                <w:szCs w:val="21"/>
              </w:rPr>
            </w:pPr>
            <w:r>
              <w:rPr>
                <w:rFonts w:hint="eastAsia"/>
              </w:rPr>
              <w:t xml:space="preserve">&lt; </w:t>
            </w:r>
            <w:r w:rsidRPr="00755091">
              <w:t>0.00</w:t>
            </w:r>
            <w:r>
              <w:rPr>
                <w:rFonts w:hint="eastAsia"/>
              </w:rPr>
              <w:t>1</w:t>
            </w:r>
          </w:p>
        </w:tc>
        <w:tc>
          <w:tcPr>
            <w:tcW w:w="759" w:type="pct"/>
            <w:vAlign w:val="center"/>
          </w:tcPr>
          <w:p w14:paraId="0B304136" w14:textId="7518DDBB" w:rsidR="003346B5" w:rsidRPr="003E17F3" w:rsidRDefault="003346B5" w:rsidP="003346B5">
            <w:pPr>
              <w:ind w:firstLineChars="0" w:firstLine="0"/>
              <w:jc w:val="center"/>
              <w:rPr>
                <w:szCs w:val="21"/>
              </w:rPr>
            </w:pPr>
            <w:r w:rsidRPr="003E17F3">
              <w:rPr>
                <w:rFonts w:hint="eastAsia"/>
                <w:szCs w:val="21"/>
              </w:rPr>
              <w:t>通过验证</w:t>
            </w:r>
          </w:p>
        </w:tc>
      </w:tr>
    </w:tbl>
    <w:p w14:paraId="1BB274B5" w14:textId="799F815B" w:rsidR="00F45B95" w:rsidRDefault="003346B5" w:rsidP="00EB718D">
      <w:pPr>
        <w:keepNext/>
        <w:spacing w:beforeLines="50" w:before="156"/>
        <w:ind w:firstLineChars="0" w:firstLine="0"/>
        <w:jc w:val="center"/>
      </w:pPr>
      <w:r>
        <w:rPr>
          <w:noProof/>
        </w:rPr>
        <w:drawing>
          <wp:inline distT="0" distB="0" distL="0" distR="0" wp14:anchorId="77326A01" wp14:editId="06D6DC3D">
            <wp:extent cx="4383641" cy="2093119"/>
            <wp:effectExtent l="0" t="0" r="0" b="2540"/>
            <wp:docPr id="91273475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4397127" cy="2099558"/>
                    </a:xfrm>
                    <a:prstGeom prst="rect">
                      <a:avLst/>
                    </a:prstGeom>
                    <a:noFill/>
                    <a:ln>
                      <a:noFill/>
                    </a:ln>
                  </pic:spPr>
                </pic:pic>
              </a:graphicData>
            </a:graphic>
          </wp:inline>
        </w:drawing>
      </w:r>
    </w:p>
    <w:p w14:paraId="4D7A1711" w14:textId="4A687572" w:rsidR="003E17F3" w:rsidRDefault="003E17F3" w:rsidP="003E17F3">
      <w:pPr>
        <w:ind w:firstLineChars="0" w:firstLine="0"/>
        <w:rPr>
          <w:rStyle w:val="fontstyle01"/>
          <w:rFonts w:hint="default"/>
          <w:sz w:val="20"/>
          <w:szCs w:val="20"/>
        </w:rPr>
      </w:pPr>
      <w:r w:rsidRPr="003E17F3">
        <w:rPr>
          <w:rStyle w:val="fontstyle01"/>
          <w:rFonts w:hint="default"/>
          <w:sz w:val="20"/>
          <w:szCs w:val="20"/>
        </w:rPr>
        <w:t>注：</w:t>
      </w:r>
      <w:r w:rsidRPr="003E17F3">
        <w:rPr>
          <w:rStyle w:val="fontstyle11"/>
          <w:sz w:val="20"/>
          <w:szCs w:val="20"/>
        </w:rPr>
        <w:t>***</w:t>
      </w:r>
      <w:r w:rsidRPr="003E17F3">
        <w:rPr>
          <w:rStyle w:val="fontstyle01"/>
          <w:rFonts w:hint="default"/>
          <w:sz w:val="20"/>
          <w:szCs w:val="20"/>
        </w:rPr>
        <w:t xml:space="preserve">表示在 </w:t>
      </w:r>
      <w:r w:rsidRPr="003E17F3">
        <w:rPr>
          <w:rStyle w:val="fontstyle11"/>
          <w:sz w:val="20"/>
          <w:szCs w:val="20"/>
        </w:rPr>
        <w:t xml:space="preserve">0.001 </w:t>
      </w:r>
      <w:r w:rsidRPr="003E17F3">
        <w:rPr>
          <w:rStyle w:val="fontstyle01"/>
          <w:rFonts w:hint="default"/>
          <w:sz w:val="20"/>
          <w:szCs w:val="20"/>
        </w:rPr>
        <w:t>水平上显著，</w:t>
      </w:r>
      <w:r w:rsidRPr="003E17F3">
        <w:rPr>
          <w:rStyle w:val="fontstyle11"/>
          <w:sz w:val="20"/>
          <w:szCs w:val="20"/>
        </w:rPr>
        <w:t>**</w:t>
      </w:r>
      <w:r w:rsidRPr="003E17F3">
        <w:rPr>
          <w:rStyle w:val="fontstyle01"/>
          <w:rFonts w:hint="default"/>
          <w:sz w:val="20"/>
          <w:szCs w:val="20"/>
        </w:rPr>
        <w:t xml:space="preserve">表示在 </w:t>
      </w:r>
      <w:r w:rsidRPr="003E17F3">
        <w:rPr>
          <w:rStyle w:val="fontstyle11"/>
          <w:sz w:val="20"/>
          <w:szCs w:val="20"/>
        </w:rPr>
        <w:t xml:space="preserve">0.01 </w:t>
      </w:r>
      <w:r w:rsidRPr="003E17F3">
        <w:rPr>
          <w:rStyle w:val="fontstyle01"/>
          <w:rFonts w:hint="default"/>
          <w:sz w:val="20"/>
          <w:szCs w:val="20"/>
        </w:rPr>
        <w:t>水平上显著，</w:t>
      </w:r>
      <w:r w:rsidRPr="003E17F3">
        <w:rPr>
          <w:rStyle w:val="fontstyle11"/>
          <w:sz w:val="20"/>
          <w:szCs w:val="20"/>
        </w:rPr>
        <w:t>*</w:t>
      </w:r>
      <w:r w:rsidRPr="003E17F3">
        <w:rPr>
          <w:rStyle w:val="fontstyle01"/>
          <w:rFonts w:hint="default"/>
          <w:sz w:val="20"/>
          <w:szCs w:val="20"/>
        </w:rPr>
        <w:t xml:space="preserve">表示在 </w:t>
      </w:r>
      <w:r w:rsidRPr="003E17F3">
        <w:rPr>
          <w:rStyle w:val="fontstyle11"/>
          <w:sz w:val="20"/>
          <w:szCs w:val="20"/>
        </w:rPr>
        <w:t xml:space="preserve">0.05 </w:t>
      </w:r>
      <w:r w:rsidRPr="003E17F3">
        <w:rPr>
          <w:rStyle w:val="fontstyle01"/>
          <w:rFonts w:hint="default"/>
          <w:sz w:val="20"/>
          <w:szCs w:val="20"/>
        </w:rPr>
        <w:t>水平上显著</w:t>
      </w:r>
    </w:p>
    <w:p w14:paraId="3C9D1A74" w14:textId="01E16EF0" w:rsidR="009D2DF3" w:rsidRPr="009D2DF3" w:rsidRDefault="00F45B95" w:rsidP="00E17813">
      <w:pPr>
        <w:pStyle w:val="afa"/>
        <w:spacing w:afterLines="50" w:after="156"/>
      </w:pPr>
      <w:bookmarkStart w:id="32" w:name="_Ref174358256"/>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0F2689">
        <w:rPr>
          <w:noProof/>
        </w:rPr>
        <w:t>7</w:t>
      </w:r>
      <w:r>
        <w:fldChar w:fldCharType="end"/>
      </w:r>
      <w:bookmarkEnd w:id="32"/>
      <w:r>
        <w:rPr>
          <w:rFonts w:hint="eastAsia"/>
        </w:rPr>
        <w:t xml:space="preserve"> </w:t>
      </w:r>
      <w:r w:rsidR="003346B5">
        <w:rPr>
          <w:rFonts w:hint="eastAsia"/>
        </w:rPr>
        <w:t>清洁能源基地一体化</w:t>
      </w:r>
      <w:r w:rsidR="003346B5" w:rsidRPr="00874FF0">
        <w:rPr>
          <w:rFonts w:hint="eastAsia"/>
        </w:rPr>
        <w:t>管理</w:t>
      </w:r>
      <w:r w:rsidR="003346B5" w:rsidRPr="00FF2BF3">
        <w:rPr>
          <w:rFonts w:hint="eastAsia"/>
        </w:rPr>
        <w:t>理论</w:t>
      </w:r>
      <w:r w:rsidR="003346B5" w:rsidRPr="00874FF0">
        <w:rPr>
          <w:rFonts w:hint="eastAsia"/>
        </w:rPr>
        <w:t>模型</w:t>
      </w:r>
      <w:r w:rsidR="003346B5">
        <w:rPr>
          <w:rFonts w:hint="eastAsia"/>
        </w:rPr>
        <w:t>检验结果</w:t>
      </w:r>
    </w:p>
    <w:p w14:paraId="3F0BD508" w14:textId="7B941DB4" w:rsidR="009D2DF3" w:rsidRPr="00A46094" w:rsidRDefault="009D2DF3" w:rsidP="00E17813">
      <w:pPr>
        <w:pStyle w:val="afa"/>
        <w:keepNext/>
      </w:pPr>
      <w:bookmarkStart w:id="33" w:name="_Ref200172389"/>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0F2689">
        <w:rPr>
          <w:noProof/>
        </w:rPr>
        <w:t>13</w:t>
      </w:r>
      <w:r>
        <w:fldChar w:fldCharType="end"/>
      </w:r>
      <w:bookmarkEnd w:id="33"/>
      <w:r>
        <w:rPr>
          <w:rFonts w:hint="eastAsia"/>
        </w:rPr>
        <w:t xml:space="preserve"> </w:t>
      </w:r>
      <w:r w:rsidRPr="00541135">
        <w:rPr>
          <w:rFonts w:ascii="Times" w:hAnsi="Times" w:hint="eastAsia"/>
        </w:rPr>
        <w:t>各</w:t>
      </w:r>
      <w:r>
        <w:rPr>
          <w:rFonts w:ascii="Times" w:hAnsi="Times" w:hint="eastAsia"/>
        </w:rPr>
        <w:t>潜</w:t>
      </w:r>
      <w:r w:rsidRPr="00541135">
        <w:rPr>
          <w:rFonts w:ascii="Times" w:hAnsi="Times" w:hint="eastAsia"/>
        </w:rPr>
        <w:t>变量间的总效应</w:t>
      </w:r>
    </w:p>
    <w:tbl>
      <w:tblPr>
        <w:tblStyle w:val="aff4"/>
        <w:tblW w:w="5000" w:type="pct"/>
        <w:tblLook w:val="04A0" w:firstRow="1" w:lastRow="0" w:firstColumn="1" w:lastColumn="0" w:noHBand="0" w:noVBand="1"/>
      </w:tblPr>
      <w:tblGrid>
        <w:gridCol w:w="2289"/>
        <w:gridCol w:w="1091"/>
        <w:gridCol w:w="1091"/>
        <w:gridCol w:w="1092"/>
        <w:gridCol w:w="1377"/>
        <w:gridCol w:w="1377"/>
        <w:gridCol w:w="1377"/>
      </w:tblGrid>
      <w:tr w:rsidR="009D2DF3" w:rsidRPr="009D2DF3" w14:paraId="5F442B66" w14:textId="77777777" w:rsidTr="009D2DF3">
        <w:trPr>
          <w:cnfStyle w:val="100000000000" w:firstRow="1" w:lastRow="0" w:firstColumn="0" w:lastColumn="0" w:oddVBand="0" w:evenVBand="0" w:oddHBand="0" w:evenHBand="0" w:firstRowFirstColumn="0" w:firstRowLastColumn="0" w:lastRowFirstColumn="0" w:lastRowLastColumn="0"/>
          <w:trHeight w:val="20"/>
        </w:trPr>
        <w:tc>
          <w:tcPr>
            <w:tcW w:w="1181" w:type="pct"/>
          </w:tcPr>
          <w:p w14:paraId="0256C799" w14:textId="77777777" w:rsidR="009D2DF3" w:rsidRPr="009D2DF3" w:rsidRDefault="009D2DF3" w:rsidP="009D2DF3">
            <w:pPr>
              <w:pStyle w:val="table"/>
              <w:spacing w:before="0" w:after="0"/>
              <w:jc w:val="both"/>
              <w:rPr>
                <w:sz w:val="21"/>
                <w:szCs w:val="21"/>
              </w:rPr>
            </w:pPr>
            <w:r w:rsidRPr="009D2DF3">
              <w:rPr>
                <w:rFonts w:hint="eastAsia"/>
                <w:sz w:val="21"/>
                <w:szCs w:val="21"/>
              </w:rPr>
              <w:t>潜变量</w:t>
            </w:r>
          </w:p>
        </w:tc>
        <w:tc>
          <w:tcPr>
            <w:tcW w:w="563" w:type="pct"/>
          </w:tcPr>
          <w:p w14:paraId="5633DC3F" w14:textId="72BC6693" w:rsidR="009D2DF3" w:rsidRPr="009D2DF3" w:rsidRDefault="009D2DF3" w:rsidP="009D2DF3">
            <w:pPr>
              <w:pStyle w:val="table"/>
              <w:spacing w:before="0" w:after="0"/>
              <w:rPr>
                <w:sz w:val="21"/>
                <w:szCs w:val="21"/>
              </w:rPr>
            </w:pPr>
            <w:r w:rsidRPr="009D2DF3">
              <w:rPr>
                <w:rFonts w:hint="eastAsia"/>
                <w:sz w:val="21"/>
                <w:szCs w:val="21"/>
              </w:rPr>
              <w:t>管理制度</w:t>
            </w:r>
          </w:p>
        </w:tc>
        <w:tc>
          <w:tcPr>
            <w:tcW w:w="563" w:type="pct"/>
          </w:tcPr>
          <w:p w14:paraId="1E95486A" w14:textId="40B80831" w:rsidR="009D2DF3" w:rsidRPr="009D2DF3" w:rsidRDefault="009D2DF3" w:rsidP="009D2DF3">
            <w:pPr>
              <w:pStyle w:val="table"/>
              <w:spacing w:before="0" w:after="0"/>
              <w:rPr>
                <w:sz w:val="21"/>
                <w:szCs w:val="21"/>
              </w:rPr>
            </w:pPr>
            <w:r w:rsidRPr="009D2DF3">
              <w:rPr>
                <w:rFonts w:hint="eastAsia"/>
                <w:sz w:val="21"/>
                <w:szCs w:val="21"/>
              </w:rPr>
              <w:t>资源配置</w:t>
            </w:r>
          </w:p>
        </w:tc>
        <w:tc>
          <w:tcPr>
            <w:tcW w:w="563" w:type="pct"/>
          </w:tcPr>
          <w:p w14:paraId="6007C7B9" w14:textId="6F1F2421" w:rsidR="009D2DF3" w:rsidRPr="009D2DF3" w:rsidRDefault="009D2DF3" w:rsidP="009D2DF3">
            <w:pPr>
              <w:pStyle w:val="table"/>
              <w:spacing w:before="0" w:after="0"/>
              <w:rPr>
                <w:sz w:val="21"/>
                <w:szCs w:val="21"/>
              </w:rPr>
            </w:pPr>
            <w:r w:rsidRPr="009D2DF3">
              <w:rPr>
                <w:rFonts w:hint="eastAsia"/>
                <w:sz w:val="21"/>
                <w:szCs w:val="21"/>
              </w:rPr>
              <w:t>伙伴关系</w:t>
            </w:r>
          </w:p>
        </w:tc>
        <w:tc>
          <w:tcPr>
            <w:tcW w:w="710" w:type="pct"/>
          </w:tcPr>
          <w:p w14:paraId="2585ED69" w14:textId="77777777" w:rsidR="009D2DF3" w:rsidRPr="009D2DF3" w:rsidRDefault="009D2DF3" w:rsidP="009D2DF3">
            <w:pPr>
              <w:pStyle w:val="table"/>
              <w:spacing w:before="0" w:after="0"/>
              <w:rPr>
                <w:sz w:val="21"/>
                <w:szCs w:val="21"/>
              </w:rPr>
            </w:pPr>
            <w:r w:rsidRPr="009D2DF3">
              <w:rPr>
                <w:rFonts w:hint="eastAsia"/>
                <w:sz w:val="21"/>
                <w:szCs w:val="21"/>
              </w:rPr>
              <w:t>项目群实施</w:t>
            </w:r>
          </w:p>
        </w:tc>
        <w:tc>
          <w:tcPr>
            <w:tcW w:w="710" w:type="pct"/>
          </w:tcPr>
          <w:p w14:paraId="1DF18986" w14:textId="77777777" w:rsidR="009D2DF3" w:rsidRPr="009D2DF3" w:rsidRDefault="009D2DF3" w:rsidP="009D2DF3">
            <w:pPr>
              <w:pStyle w:val="table"/>
              <w:spacing w:before="0" w:after="0"/>
              <w:rPr>
                <w:sz w:val="21"/>
                <w:szCs w:val="21"/>
              </w:rPr>
            </w:pPr>
            <w:r w:rsidRPr="009D2DF3">
              <w:rPr>
                <w:rFonts w:hint="eastAsia"/>
                <w:sz w:val="21"/>
                <w:szCs w:val="21"/>
              </w:rPr>
              <w:t>项目群运营</w:t>
            </w:r>
          </w:p>
        </w:tc>
        <w:tc>
          <w:tcPr>
            <w:tcW w:w="710" w:type="pct"/>
          </w:tcPr>
          <w:p w14:paraId="56358BE1" w14:textId="77777777" w:rsidR="009D2DF3" w:rsidRPr="009D2DF3" w:rsidRDefault="009D2DF3" w:rsidP="009D2DF3">
            <w:pPr>
              <w:pStyle w:val="table"/>
              <w:spacing w:before="0" w:after="0"/>
              <w:rPr>
                <w:sz w:val="21"/>
                <w:szCs w:val="21"/>
              </w:rPr>
            </w:pPr>
            <w:r w:rsidRPr="009D2DF3">
              <w:rPr>
                <w:rFonts w:hint="eastAsia"/>
                <w:sz w:val="21"/>
                <w:szCs w:val="21"/>
              </w:rPr>
              <w:t>项目群绩效</w:t>
            </w:r>
          </w:p>
        </w:tc>
      </w:tr>
      <w:tr w:rsidR="009D2DF3" w:rsidRPr="009D2DF3" w14:paraId="07336D47" w14:textId="77777777" w:rsidTr="009D2DF3">
        <w:trPr>
          <w:trHeight w:val="20"/>
        </w:trPr>
        <w:tc>
          <w:tcPr>
            <w:tcW w:w="1181" w:type="pct"/>
            <w:tcBorders>
              <w:top w:val="single" w:sz="4" w:space="0" w:color="auto"/>
            </w:tcBorders>
          </w:tcPr>
          <w:p w14:paraId="5541E123" w14:textId="77777777" w:rsidR="009D2DF3" w:rsidRPr="009D2DF3" w:rsidRDefault="009D2DF3" w:rsidP="009D2DF3">
            <w:pPr>
              <w:pStyle w:val="table"/>
              <w:adjustRightInd/>
              <w:snapToGrid/>
              <w:spacing w:before="0" w:after="0"/>
              <w:jc w:val="both"/>
              <w:rPr>
                <w:sz w:val="21"/>
                <w:szCs w:val="21"/>
              </w:rPr>
            </w:pPr>
            <w:r w:rsidRPr="009D2DF3">
              <w:rPr>
                <w:rFonts w:hint="eastAsia"/>
                <w:sz w:val="21"/>
                <w:szCs w:val="21"/>
              </w:rPr>
              <w:t>外部条件</w:t>
            </w:r>
          </w:p>
        </w:tc>
        <w:tc>
          <w:tcPr>
            <w:tcW w:w="563" w:type="pct"/>
            <w:tcBorders>
              <w:top w:val="single" w:sz="4" w:space="0" w:color="auto"/>
            </w:tcBorders>
          </w:tcPr>
          <w:p w14:paraId="5B66E9EF" w14:textId="77777777" w:rsidR="009D2DF3" w:rsidRPr="009D2DF3" w:rsidRDefault="009D2DF3" w:rsidP="009D2DF3">
            <w:pPr>
              <w:pStyle w:val="table"/>
              <w:adjustRightInd/>
              <w:snapToGrid/>
              <w:spacing w:before="0" w:after="0"/>
              <w:rPr>
                <w:rFonts w:cs="Times New Roman"/>
                <w:color w:val="000000" w:themeColor="text1"/>
                <w:sz w:val="21"/>
                <w:szCs w:val="21"/>
              </w:rPr>
            </w:pPr>
            <w:r w:rsidRPr="009D2DF3">
              <w:rPr>
                <w:sz w:val="21"/>
                <w:szCs w:val="21"/>
              </w:rPr>
              <w:t>0.496***</w:t>
            </w:r>
          </w:p>
        </w:tc>
        <w:tc>
          <w:tcPr>
            <w:tcW w:w="563" w:type="pct"/>
            <w:tcBorders>
              <w:top w:val="single" w:sz="4" w:space="0" w:color="auto"/>
            </w:tcBorders>
          </w:tcPr>
          <w:p w14:paraId="16295716" w14:textId="77777777" w:rsidR="009D2DF3" w:rsidRPr="009D2DF3" w:rsidRDefault="009D2DF3" w:rsidP="009D2DF3">
            <w:pPr>
              <w:pStyle w:val="table"/>
              <w:adjustRightInd/>
              <w:snapToGrid/>
              <w:spacing w:before="0" w:after="0"/>
              <w:rPr>
                <w:rFonts w:cs="Times New Roman"/>
                <w:color w:val="000000" w:themeColor="text1"/>
                <w:sz w:val="21"/>
                <w:szCs w:val="21"/>
              </w:rPr>
            </w:pPr>
            <w:r w:rsidRPr="009D2DF3">
              <w:rPr>
                <w:sz w:val="21"/>
                <w:szCs w:val="21"/>
              </w:rPr>
              <w:t>0.372***</w:t>
            </w:r>
          </w:p>
        </w:tc>
        <w:tc>
          <w:tcPr>
            <w:tcW w:w="563" w:type="pct"/>
            <w:tcBorders>
              <w:top w:val="single" w:sz="4" w:space="0" w:color="auto"/>
            </w:tcBorders>
          </w:tcPr>
          <w:p w14:paraId="4AFE91A0" w14:textId="77777777" w:rsidR="009D2DF3" w:rsidRPr="009D2DF3" w:rsidRDefault="009D2DF3" w:rsidP="009D2DF3">
            <w:pPr>
              <w:pStyle w:val="table"/>
              <w:adjustRightInd/>
              <w:snapToGrid/>
              <w:spacing w:before="0" w:after="0"/>
              <w:rPr>
                <w:rFonts w:cs="Times New Roman"/>
                <w:color w:val="000000" w:themeColor="text1"/>
                <w:sz w:val="21"/>
                <w:szCs w:val="21"/>
              </w:rPr>
            </w:pPr>
            <w:r w:rsidRPr="009D2DF3">
              <w:rPr>
                <w:sz w:val="21"/>
                <w:szCs w:val="21"/>
              </w:rPr>
              <w:t>0.092**</w:t>
            </w:r>
          </w:p>
        </w:tc>
        <w:tc>
          <w:tcPr>
            <w:tcW w:w="710" w:type="pct"/>
            <w:tcBorders>
              <w:top w:val="single" w:sz="4" w:space="0" w:color="auto"/>
            </w:tcBorders>
          </w:tcPr>
          <w:p w14:paraId="23258E87" w14:textId="77777777" w:rsidR="009D2DF3" w:rsidRPr="009D2DF3" w:rsidRDefault="009D2DF3" w:rsidP="009D2DF3">
            <w:pPr>
              <w:pStyle w:val="table"/>
              <w:adjustRightInd/>
              <w:snapToGrid/>
              <w:spacing w:before="0" w:after="0"/>
              <w:rPr>
                <w:rFonts w:cs="Times New Roman"/>
                <w:color w:val="000000" w:themeColor="text1"/>
                <w:sz w:val="21"/>
                <w:szCs w:val="21"/>
              </w:rPr>
            </w:pPr>
            <w:r w:rsidRPr="009D2DF3">
              <w:rPr>
                <w:sz w:val="21"/>
                <w:szCs w:val="21"/>
              </w:rPr>
              <w:t>0.448***</w:t>
            </w:r>
          </w:p>
        </w:tc>
        <w:tc>
          <w:tcPr>
            <w:tcW w:w="710" w:type="pct"/>
            <w:tcBorders>
              <w:top w:val="single" w:sz="4" w:space="0" w:color="auto"/>
            </w:tcBorders>
          </w:tcPr>
          <w:p w14:paraId="72D99DFE" w14:textId="77777777" w:rsidR="009D2DF3" w:rsidRPr="009D2DF3" w:rsidRDefault="009D2DF3" w:rsidP="009D2DF3">
            <w:pPr>
              <w:pStyle w:val="table"/>
              <w:adjustRightInd/>
              <w:snapToGrid/>
              <w:spacing w:before="0" w:after="0"/>
              <w:rPr>
                <w:rFonts w:cs="Times New Roman"/>
                <w:color w:val="000000" w:themeColor="text1"/>
                <w:sz w:val="21"/>
                <w:szCs w:val="21"/>
              </w:rPr>
            </w:pPr>
            <w:r w:rsidRPr="009D2DF3">
              <w:rPr>
                <w:sz w:val="21"/>
                <w:szCs w:val="21"/>
              </w:rPr>
              <w:t>0.108**</w:t>
            </w:r>
          </w:p>
        </w:tc>
        <w:tc>
          <w:tcPr>
            <w:tcW w:w="710" w:type="pct"/>
            <w:tcBorders>
              <w:top w:val="single" w:sz="4" w:space="0" w:color="auto"/>
            </w:tcBorders>
          </w:tcPr>
          <w:p w14:paraId="218F0805" w14:textId="77777777" w:rsidR="009D2DF3" w:rsidRPr="009D2DF3" w:rsidRDefault="009D2DF3" w:rsidP="009D2DF3">
            <w:pPr>
              <w:pStyle w:val="table"/>
              <w:adjustRightInd/>
              <w:snapToGrid/>
              <w:spacing w:before="0" w:after="0"/>
              <w:rPr>
                <w:rFonts w:cs="Times New Roman"/>
                <w:color w:val="000000" w:themeColor="text1"/>
                <w:sz w:val="21"/>
                <w:szCs w:val="21"/>
              </w:rPr>
            </w:pPr>
            <w:r w:rsidRPr="009D2DF3">
              <w:rPr>
                <w:sz w:val="21"/>
                <w:szCs w:val="21"/>
              </w:rPr>
              <w:t>0.167***</w:t>
            </w:r>
          </w:p>
        </w:tc>
      </w:tr>
      <w:tr w:rsidR="009D2DF3" w:rsidRPr="009D2DF3" w14:paraId="651BA02A" w14:textId="77777777" w:rsidTr="009D2DF3">
        <w:trPr>
          <w:trHeight w:val="20"/>
        </w:trPr>
        <w:tc>
          <w:tcPr>
            <w:tcW w:w="1181" w:type="pct"/>
          </w:tcPr>
          <w:p w14:paraId="5AF3FEE1" w14:textId="77777777" w:rsidR="009D2DF3" w:rsidRPr="009D2DF3" w:rsidRDefault="009D2DF3" w:rsidP="009D2DF3">
            <w:pPr>
              <w:pStyle w:val="table"/>
              <w:adjustRightInd/>
              <w:snapToGrid/>
              <w:spacing w:before="0" w:after="0"/>
              <w:jc w:val="both"/>
              <w:rPr>
                <w:sz w:val="21"/>
                <w:szCs w:val="21"/>
              </w:rPr>
            </w:pPr>
            <w:r w:rsidRPr="009D2DF3">
              <w:rPr>
                <w:rFonts w:hint="eastAsia"/>
                <w:sz w:val="21"/>
                <w:szCs w:val="21"/>
              </w:rPr>
              <w:t>业主项目群管理能力</w:t>
            </w:r>
          </w:p>
        </w:tc>
        <w:tc>
          <w:tcPr>
            <w:tcW w:w="563" w:type="pct"/>
          </w:tcPr>
          <w:p w14:paraId="5D85DF85" w14:textId="77777777" w:rsidR="009D2DF3" w:rsidRPr="009D2DF3" w:rsidRDefault="009D2DF3" w:rsidP="009D2DF3">
            <w:pPr>
              <w:pStyle w:val="table"/>
              <w:adjustRightInd/>
              <w:snapToGrid/>
              <w:spacing w:before="0" w:after="0"/>
              <w:rPr>
                <w:rFonts w:cs="Times New Roman"/>
                <w:color w:val="000000" w:themeColor="text1"/>
                <w:sz w:val="21"/>
                <w:szCs w:val="21"/>
              </w:rPr>
            </w:pPr>
            <w:r w:rsidRPr="009D2DF3">
              <w:rPr>
                <w:sz w:val="21"/>
                <w:szCs w:val="21"/>
              </w:rPr>
              <w:t>0.473***</w:t>
            </w:r>
          </w:p>
        </w:tc>
        <w:tc>
          <w:tcPr>
            <w:tcW w:w="563" w:type="pct"/>
          </w:tcPr>
          <w:p w14:paraId="73DCCCBA" w14:textId="77777777" w:rsidR="009D2DF3" w:rsidRPr="009D2DF3" w:rsidRDefault="009D2DF3" w:rsidP="009D2DF3">
            <w:pPr>
              <w:pStyle w:val="table"/>
              <w:adjustRightInd/>
              <w:snapToGrid/>
              <w:spacing w:before="0" w:after="0"/>
              <w:rPr>
                <w:rFonts w:cs="Times New Roman"/>
                <w:color w:val="000000" w:themeColor="text1"/>
                <w:sz w:val="21"/>
                <w:szCs w:val="21"/>
              </w:rPr>
            </w:pPr>
            <w:r w:rsidRPr="009D2DF3">
              <w:rPr>
                <w:sz w:val="21"/>
                <w:szCs w:val="21"/>
              </w:rPr>
              <w:t>0.587***</w:t>
            </w:r>
          </w:p>
        </w:tc>
        <w:tc>
          <w:tcPr>
            <w:tcW w:w="563" w:type="pct"/>
          </w:tcPr>
          <w:p w14:paraId="78A6EC7C" w14:textId="77777777" w:rsidR="009D2DF3" w:rsidRPr="009D2DF3" w:rsidRDefault="009D2DF3" w:rsidP="009D2DF3">
            <w:pPr>
              <w:pStyle w:val="table"/>
              <w:adjustRightInd/>
              <w:snapToGrid/>
              <w:spacing w:before="0" w:after="0"/>
              <w:rPr>
                <w:rFonts w:cs="Times New Roman"/>
                <w:color w:val="000000" w:themeColor="text1"/>
                <w:sz w:val="21"/>
                <w:szCs w:val="21"/>
              </w:rPr>
            </w:pPr>
            <w:r w:rsidRPr="009D2DF3">
              <w:rPr>
                <w:sz w:val="21"/>
                <w:szCs w:val="21"/>
              </w:rPr>
              <w:t>0.658***</w:t>
            </w:r>
          </w:p>
        </w:tc>
        <w:tc>
          <w:tcPr>
            <w:tcW w:w="710" w:type="pct"/>
          </w:tcPr>
          <w:p w14:paraId="36CB470F" w14:textId="77777777" w:rsidR="009D2DF3" w:rsidRPr="009D2DF3" w:rsidRDefault="009D2DF3" w:rsidP="009D2DF3">
            <w:pPr>
              <w:pStyle w:val="table"/>
              <w:adjustRightInd/>
              <w:snapToGrid/>
              <w:spacing w:before="0" w:after="0"/>
              <w:rPr>
                <w:rFonts w:cs="Times New Roman"/>
                <w:color w:val="000000" w:themeColor="text1"/>
                <w:sz w:val="21"/>
                <w:szCs w:val="21"/>
              </w:rPr>
            </w:pPr>
            <w:r w:rsidRPr="009D2DF3">
              <w:rPr>
                <w:sz w:val="21"/>
                <w:szCs w:val="21"/>
              </w:rPr>
              <w:t>0.489***</w:t>
            </w:r>
          </w:p>
        </w:tc>
        <w:tc>
          <w:tcPr>
            <w:tcW w:w="710" w:type="pct"/>
          </w:tcPr>
          <w:p w14:paraId="2F71E796" w14:textId="77777777" w:rsidR="009D2DF3" w:rsidRPr="009D2DF3" w:rsidRDefault="009D2DF3" w:rsidP="009D2DF3">
            <w:pPr>
              <w:pStyle w:val="table"/>
              <w:adjustRightInd/>
              <w:snapToGrid/>
              <w:spacing w:before="0" w:after="0"/>
              <w:rPr>
                <w:rFonts w:cs="Times New Roman"/>
                <w:color w:val="000000" w:themeColor="text1"/>
                <w:sz w:val="21"/>
                <w:szCs w:val="21"/>
              </w:rPr>
            </w:pPr>
            <w:r w:rsidRPr="009D2DF3">
              <w:rPr>
                <w:sz w:val="21"/>
                <w:szCs w:val="21"/>
              </w:rPr>
              <w:t>0.712***</w:t>
            </w:r>
          </w:p>
        </w:tc>
        <w:tc>
          <w:tcPr>
            <w:tcW w:w="710" w:type="pct"/>
          </w:tcPr>
          <w:p w14:paraId="3FCE36DD" w14:textId="77777777" w:rsidR="009D2DF3" w:rsidRPr="009D2DF3" w:rsidRDefault="009D2DF3" w:rsidP="009D2DF3">
            <w:pPr>
              <w:pStyle w:val="table"/>
              <w:adjustRightInd/>
              <w:snapToGrid/>
              <w:spacing w:before="0" w:after="0"/>
              <w:rPr>
                <w:rFonts w:cs="Times New Roman"/>
                <w:color w:val="000000" w:themeColor="text1"/>
                <w:sz w:val="21"/>
                <w:szCs w:val="21"/>
              </w:rPr>
            </w:pPr>
            <w:r w:rsidRPr="009D2DF3">
              <w:rPr>
                <w:sz w:val="21"/>
                <w:szCs w:val="21"/>
              </w:rPr>
              <w:t>0.626***</w:t>
            </w:r>
          </w:p>
        </w:tc>
      </w:tr>
      <w:tr w:rsidR="009D2DF3" w:rsidRPr="009D2DF3" w14:paraId="6BD691BB" w14:textId="77777777" w:rsidTr="009D2DF3">
        <w:trPr>
          <w:trHeight w:val="20"/>
        </w:trPr>
        <w:tc>
          <w:tcPr>
            <w:tcW w:w="1181" w:type="pct"/>
          </w:tcPr>
          <w:p w14:paraId="6FDC49F7" w14:textId="77777777" w:rsidR="009D2DF3" w:rsidRPr="009D2DF3" w:rsidRDefault="009D2DF3" w:rsidP="009D2DF3">
            <w:pPr>
              <w:pStyle w:val="table"/>
              <w:adjustRightInd/>
              <w:snapToGrid/>
              <w:spacing w:before="0" w:after="0"/>
              <w:jc w:val="both"/>
              <w:rPr>
                <w:sz w:val="21"/>
                <w:szCs w:val="21"/>
              </w:rPr>
            </w:pPr>
            <w:r w:rsidRPr="009D2DF3">
              <w:rPr>
                <w:rFonts w:hint="eastAsia"/>
                <w:sz w:val="21"/>
                <w:szCs w:val="21"/>
              </w:rPr>
              <w:t>管理制度</w:t>
            </w:r>
          </w:p>
        </w:tc>
        <w:tc>
          <w:tcPr>
            <w:tcW w:w="563" w:type="pct"/>
          </w:tcPr>
          <w:p w14:paraId="710E7958" w14:textId="77777777" w:rsidR="009D2DF3" w:rsidRPr="009D2DF3" w:rsidRDefault="009D2DF3" w:rsidP="009D2DF3">
            <w:pPr>
              <w:pStyle w:val="table"/>
              <w:adjustRightInd/>
              <w:snapToGrid/>
              <w:spacing w:before="0" w:after="0"/>
              <w:rPr>
                <w:rFonts w:cs="Times New Roman"/>
                <w:color w:val="000000" w:themeColor="text1"/>
                <w:sz w:val="21"/>
                <w:szCs w:val="21"/>
              </w:rPr>
            </w:pPr>
          </w:p>
        </w:tc>
        <w:tc>
          <w:tcPr>
            <w:tcW w:w="563" w:type="pct"/>
          </w:tcPr>
          <w:p w14:paraId="53522578" w14:textId="77777777" w:rsidR="009D2DF3" w:rsidRPr="009D2DF3" w:rsidRDefault="009D2DF3" w:rsidP="009D2DF3">
            <w:pPr>
              <w:pStyle w:val="table"/>
              <w:adjustRightInd/>
              <w:snapToGrid/>
              <w:spacing w:before="0" w:after="0"/>
              <w:rPr>
                <w:rFonts w:cs="Times New Roman"/>
                <w:color w:val="000000" w:themeColor="text1"/>
                <w:sz w:val="21"/>
                <w:szCs w:val="21"/>
              </w:rPr>
            </w:pPr>
            <w:r w:rsidRPr="009D2DF3">
              <w:rPr>
                <w:sz w:val="21"/>
                <w:szCs w:val="21"/>
              </w:rPr>
              <w:t>0.399***</w:t>
            </w:r>
          </w:p>
        </w:tc>
        <w:tc>
          <w:tcPr>
            <w:tcW w:w="563" w:type="pct"/>
          </w:tcPr>
          <w:p w14:paraId="11745A38" w14:textId="77777777" w:rsidR="009D2DF3" w:rsidRPr="009D2DF3" w:rsidRDefault="009D2DF3" w:rsidP="009D2DF3">
            <w:pPr>
              <w:pStyle w:val="table"/>
              <w:adjustRightInd/>
              <w:snapToGrid/>
              <w:spacing w:before="0" w:after="0"/>
              <w:rPr>
                <w:rFonts w:cs="Times New Roman"/>
                <w:color w:val="000000" w:themeColor="text1"/>
                <w:sz w:val="21"/>
                <w:szCs w:val="21"/>
              </w:rPr>
            </w:pPr>
            <w:r w:rsidRPr="009D2DF3">
              <w:rPr>
                <w:sz w:val="21"/>
                <w:szCs w:val="21"/>
              </w:rPr>
              <w:t>0.186**</w:t>
            </w:r>
          </w:p>
        </w:tc>
        <w:tc>
          <w:tcPr>
            <w:tcW w:w="710" w:type="pct"/>
          </w:tcPr>
          <w:p w14:paraId="37B5BFDB" w14:textId="77777777" w:rsidR="009D2DF3" w:rsidRPr="009D2DF3" w:rsidRDefault="009D2DF3" w:rsidP="009D2DF3">
            <w:pPr>
              <w:pStyle w:val="table"/>
              <w:adjustRightInd/>
              <w:snapToGrid/>
              <w:spacing w:before="0" w:after="0"/>
              <w:rPr>
                <w:rFonts w:cs="Times New Roman"/>
                <w:color w:val="000000" w:themeColor="text1"/>
                <w:sz w:val="21"/>
                <w:szCs w:val="21"/>
              </w:rPr>
            </w:pPr>
            <w:r w:rsidRPr="009D2DF3">
              <w:rPr>
                <w:sz w:val="21"/>
                <w:szCs w:val="21"/>
              </w:rPr>
              <w:t>0.307***</w:t>
            </w:r>
          </w:p>
        </w:tc>
        <w:tc>
          <w:tcPr>
            <w:tcW w:w="710" w:type="pct"/>
          </w:tcPr>
          <w:p w14:paraId="528E0029" w14:textId="77777777" w:rsidR="009D2DF3" w:rsidRPr="009D2DF3" w:rsidRDefault="009D2DF3" w:rsidP="009D2DF3">
            <w:pPr>
              <w:pStyle w:val="table"/>
              <w:adjustRightInd/>
              <w:snapToGrid/>
              <w:spacing w:before="0" w:after="0"/>
              <w:rPr>
                <w:rFonts w:cs="Times New Roman"/>
                <w:color w:val="000000" w:themeColor="text1"/>
                <w:sz w:val="21"/>
                <w:szCs w:val="21"/>
              </w:rPr>
            </w:pPr>
            <w:r w:rsidRPr="009D2DF3">
              <w:rPr>
                <w:sz w:val="21"/>
                <w:szCs w:val="21"/>
              </w:rPr>
              <w:t>0.164**</w:t>
            </w:r>
          </w:p>
        </w:tc>
        <w:tc>
          <w:tcPr>
            <w:tcW w:w="710" w:type="pct"/>
          </w:tcPr>
          <w:p w14:paraId="2CA9094D" w14:textId="77777777" w:rsidR="009D2DF3" w:rsidRPr="009D2DF3" w:rsidRDefault="009D2DF3" w:rsidP="009D2DF3">
            <w:pPr>
              <w:pStyle w:val="table"/>
              <w:adjustRightInd/>
              <w:snapToGrid/>
              <w:spacing w:before="0" w:after="0"/>
              <w:rPr>
                <w:rFonts w:cs="Times New Roman"/>
                <w:color w:val="000000" w:themeColor="text1"/>
                <w:sz w:val="21"/>
                <w:szCs w:val="21"/>
              </w:rPr>
            </w:pPr>
            <w:r w:rsidRPr="009D2DF3">
              <w:rPr>
                <w:sz w:val="21"/>
                <w:szCs w:val="21"/>
              </w:rPr>
              <w:t>0.182***</w:t>
            </w:r>
          </w:p>
        </w:tc>
      </w:tr>
      <w:tr w:rsidR="009D2DF3" w:rsidRPr="009D2DF3" w14:paraId="652F75D0" w14:textId="77777777" w:rsidTr="009D2DF3">
        <w:trPr>
          <w:trHeight w:val="20"/>
        </w:trPr>
        <w:tc>
          <w:tcPr>
            <w:tcW w:w="1181" w:type="pct"/>
          </w:tcPr>
          <w:p w14:paraId="21A1AD12" w14:textId="77777777" w:rsidR="009D2DF3" w:rsidRPr="009D2DF3" w:rsidRDefault="009D2DF3" w:rsidP="009D2DF3">
            <w:pPr>
              <w:pStyle w:val="table"/>
              <w:adjustRightInd/>
              <w:snapToGrid/>
              <w:spacing w:before="0" w:after="0"/>
              <w:jc w:val="both"/>
              <w:rPr>
                <w:sz w:val="21"/>
                <w:szCs w:val="21"/>
              </w:rPr>
            </w:pPr>
            <w:r w:rsidRPr="009D2DF3">
              <w:rPr>
                <w:rFonts w:hint="eastAsia"/>
                <w:sz w:val="21"/>
                <w:szCs w:val="21"/>
              </w:rPr>
              <w:t>资源配置</w:t>
            </w:r>
          </w:p>
        </w:tc>
        <w:tc>
          <w:tcPr>
            <w:tcW w:w="563" w:type="pct"/>
          </w:tcPr>
          <w:p w14:paraId="52794203" w14:textId="77777777" w:rsidR="009D2DF3" w:rsidRPr="009D2DF3" w:rsidRDefault="009D2DF3" w:rsidP="009D2DF3">
            <w:pPr>
              <w:pStyle w:val="table"/>
              <w:adjustRightInd/>
              <w:snapToGrid/>
              <w:spacing w:before="0" w:after="0"/>
              <w:rPr>
                <w:rFonts w:cs="Times New Roman"/>
                <w:color w:val="000000" w:themeColor="text1"/>
                <w:sz w:val="21"/>
                <w:szCs w:val="21"/>
              </w:rPr>
            </w:pPr>
          </w:p>
        </w:tc>
        <w:tc>
          <w:tcPr>
            <w:tcW w:w="563" w:type="pct"/>
          </w:tcPr>
          <w:p w14:paraId="10E648F5" w14:textId="77777777" w:rsidR="009D2DF3" w:rsidRPr="009D2DF3" w:rsidRDefault="009D2DF3" w:rsidP="009D2DF3">
            <w:pPr>
              <w:pStyle w:val="table"/>
              <w:adjustRightInd/>
              <w:snapToGrid/>
              <w:spacing w:before="0" w:after="0"/>
              <w:rPr>
                <w:rFonts w:cs="Times New Roman"/>
                <w:color w:val="000000" w:themeColor="text1"/>
                <w:sz w:val="21"/>
                <w:szCs w:val="21"/>
              </w:rPr>
            </w:pPr>
          </w:p>
        </w:tc>
        <w:tc>
          <w:tcPr>
            <w:tcW w:w="563" w:type="pct"/>
          </w:tcPr>
          <w:p w14:paraId="6D8986A3" w14:textId="77777777" w:rsidR="009D2DF3" w:rsidRPr="009D2DF3" w:rsidRDefault="009D2DF3" w:rsidP="009D2DF3">
            <w:pPr>
              <w:pStyle w:val="table"/>
              <w:adjustRightInd/>
              <w:snapToGrid/>
              <w:spacing w:before="0" w:after="0"/>
              <w:rPr>
                <w:rFonts w:cs="Times New Roman"/>
                <w:color w:val="000000" w:themeColor="text1"/>
                <w:sz w:val="21"/>
                <w:szCs w:val="21"/>
              </w:rPr>
            </w:pPr>
          </w:p>
        </w:tc>
        <w:tc>
          <w:tcPr>
            <w:tcW w:w="710" w:type="pct"/>
          </w:tcPr>
          <w:p w14:paraId="4FFF1ECA" w14:textId="77777777" w:rsidR="009D2DF3" w:rsidRPr="009D2DF3" w:rsidRDefault="009D2DF3" w:rsidP="009D2DF3">
            <w:pPr>
              <w:pStyle w:val="table"/>
              <w:adjustRightInd/>
              <w:snapToGrid/>
              <w:spacing w:before="0" w:after="0"/>
              <w:rPr>
                <w:rFonts w:cs="Times New Roman"/>
                <w:color w:val="000000" w:themeColor="text1"/>
                <w:sz w:val="21"/>
                <w:szCs w:val="21"/>
              </w:rPr>
            </w:pPr>
            <w:r w:rsidRPr="009D2DF3">
              <w:rPr>
                <w:sz w:val="21"/>
                <w:szCs w:val="21"/>
              </w:rPr>
              <w:t>0.724***</w:t>
            </w:r>
          </w:p>
        </w:tc>
        <w:tc>
          <w:tcPr>
            <w:tcW w:w="710" w:type="pct"/>
          </w:tcPr>
          <w:p w14:paraId="094D03BA" w14:textId="77777777" w:rsidR="009D2DF3" w:rsidRPr="009D2DF3" w:rsidRDefault="009D2DF3" w:rsidP="009D2DF3">
            <w:pPr>
              <w:pStyle w:val="table"/>
              <w:adjustRightInd/>
              <w:snapToGrid/>
              <w:spacing w:before="0" w:after="0"/>
              <w:rPr>
                <w:rFonts w:cs="Times New Roman"/>
                <w:color w:val="000000" w:themeColor="text1"/>
                <w:sz w:val="21"/>
                <w:szCs w:val="21"/>
              </w:rPr>
            </w:pPr>
            <w:r w:rsidRPr="009D2DF3">
              <w:rPr>
                <w:sz w:val="21"/>
                <w:szCs w:val="21"/>
              </w:rPr>
              <w:t>0.152*</w:t>
            </w:r>
          </w:p>
        </w:tc>
        <w:tc>
          <w:tcPr>
            <w:tcW w:w="710" w:type="pct"/>
          </w:tcPr>
          <w:p w14:paraId="6A94AFF7" w14:textId="77777777" w:rsidR="009D2DF3" w:rsidRPr="009D2DF3" w:rsidRDefault="009D2DF3" w:rsidP="009D2DF3">
            <w:pPr>
              <w:pStyle w:val="table"/>
              <w:adjustRightInd/>
              <w:snapToGrid/>
              <w:spacing w:before="0" w:after="0"/>
              <w:rPr>
                <w:rFonts w:cs="Times New Roman"/>
                <w:color w:val="000000" w:themeColor="text1"/>
                <w:sz w:val="21"/>
                <w:szCs w:val="21"/>
              </w:rPr>
            </w:pPr>
            <w:r w:rsidRPr="009D2DF3">
              <w:rPr>
                <w:sz w:val="21"/>
                <w:szCs w:val="21"/>
              </w:rPr>
              <w:t>0.253**</w:t>
            </w:r>
          </w:p>
        </w:tc>
      </w:tr>
      <w:tr w:rsidR="009D2DF3" w:rsidRPr="009D2DF3" w14:paraId="12049619" w14:textId="77777777" w:rsidTr="009D2DF3">
        <w:trPr>
          <w:trHeight w:val="20"/>
        </w:trPr>
        <w:tc>
          <w:tcPr>
            <w:tcW w:w="1181" w:type="pct"/>
          </w:tcPr>
          <w:p w14:paraId="68C799A8" w14:textId="77777777" w:rsidR="009D2DF3" w:rsidRPr="009D2DF3" w:rsidRDefault="009D2DF3" w:rsidP="009D2DF3">
            <w:pPr>
              <w:pStyle w:val="table"/>
              <w:adjustRightInd/>
              <w:snapToGrid/>
              <w:spacing w:before="0" w:after="0"/>
              <w:jc w:val="both"/>
              <w:rPr>
                <w:sz w:val="21"/>
                <w:szCs w:val="21"/>
              </w:rPr>
            </w:pPr>
            <w:r w:rsidRPr="009D2DF3">
              <w:rPr>
                <w:rFonts w:hint="eastAsia"/>
                <w:sz w:val="21"/>
                <w:szCs w:val="21"/>
              </w:rPr>
              <w:t>伙伴关系</w:t>
            </w:r>
          </w:p>
        </w:tc>
        <w:tc>
          <w:tcPr>
            <w:tcW w:w="563" w:type="pct"/>
          </w:tcPr>
          <w:p w14:paraId="4C5EADDA" w14:textId="77777777" w:rsidR="009D2DF3" w:rsidRPr="009D2DF3" w:rsidRDefault="009D2DF3" w:rsidP="009D2DF3">
            <w:pPr>
              <w:pStyle w:val="table"/>
              <w:adjustRightInd/>
              <w:snapToGrid/>
              <w:spacing w:before="0" w:after="0"/>
              <w:rPr>
                <w:rFonts w:cs="Times New Roman"/>
                <w:color w:val="000000" w:themeColor="text1"/>
                <w:sz w:val="21"/>
                <w:szCs w:val="21"/>
              </w:rPr>
            </w:pPr>
          </w:p>
        </w:tc>
        <w:tc>
          <w:tcPr>
            <w:tcW w:w="563" w:type="pct"/>
          </w:tcPr>
          <w:p w14:paraId="67406CA5" w14:textId="77777777" w:rsidR="009D2DF3" w:rsidRPr="009D2DF3" w:rsidRDefault="009D2DF3" w:rsidP="009D2DF3">
            <w:pPr>
              <w:pStyle w:val="table"/>
              <w:adjustRightInd/>
              <w:snapToGrid/>
              <w:spacing w:before="0" w:after="0"/>
              <w:rPr>
                <w:rFonts w:cs="Times New Roman"/>
                <w:color w:val="000000" w:themeColor="text1"/>
                <w:sz w:val="21"/>
                <w:szCs w:val="21"/>
              </w:rPr>
            </w:pPr>
          </w:p>
        </w:tc>
        <w:tc>
          <w:tcPr>
            <w:tcW w:w="563" w:type="pct"/>
          </w:tcPr>
          <w:p w14:paraId="2D94D7B9" w14:textId="77777777" w:rsidR="009D2DF3" w:rsidRPr="009D2DF3" w:rsidRDefault="009D2DF3" w:rsidP="009D2DF3">
            <w:pPr>
              <w:pStyle w:val="table"/>
              <w:adjustRightInd/>
              <w:snapToGrid/>
              <w:spacing w:before="0" w:after="0"/>
              <w:rPr>
                <w:rFonts w:cs="Times New Roman"/>
                <w:color w:val="000000" w:themeColor="text1"/>
                <w:sz w:val="21"/>
                <w:szCs w:val="21"/>
              </w:rPr>
            </w:pPr>
          </w:p>
        </w:tc>
        <w:tc>
          <w:tcPr>
            <w:tcW w:w="710" w:type="pct"/>
          </w:tcPr>
          <w:p w14:paraId="4224AF9F" w14:textId="77777777" w:rsidR="009D2DF3" w:rsidRPr="009D2DF3" w:rsidRDefault="009D2DF3" w:rsidP="009D2DF3">
            <w:pPr>
              <w:pStyle w:val="table"/>
              <w:adjustRightInd/>
              <w:snapToGrid/>
              <w:spacing w:before="0" w:after="0"/>
              <w:rPr>
                <w:rFonts w:cs="Times New Roman"/>
                <w:color w:val="000000" w:themeColor="text1"/>
                <w:sz w:val="21"/>
                <w:szCs w:val="21"/>
              </w:rPr>
            </w:pPr>
            <w:r w:rsidRPr="009D2DF3">
              <w:rPr>
                <w:sz w:val="21"/>
                <w:szCs w:val="21"/>
              </w:rPr>
              <w:t>0.097*</w:t>
            </w:r>
          </w:p>
        </w:tc>
        <w:tc>
          <w:tcPr>
            <w:tcW w:w="710" w:type="pct"/>
          </w:tcPr>
          <w:p w14:paraId="14723151" w14:textId="77777777" w:rsidR="009D2DF3" w:rsidRPr="009D2DF3" w:rsidRDefault="009D2DF3" w:rsidP="009D2DF3">
            <w:pPr>
              <w:pStyle w:val="table"/>
              <w:adjustRightInd/>
              <w:snapToGrid/>
              <w:spacing w:before="0" w:after="0"/>
              <w:rPr>
                <w:rFonts w:cs="Times New Roman"/>
                <w:color w:val="000000" w:themeColor="text1"/>
                <w:sz w:val="21"/>
                <w:szCs w:val="21"/>
              </w:rPr>
            </w:pPr>
            <w:r w:rsidRPr="009D2DF3">
              <w:rPr>
                <w:sz w:val="21"/>
                <w:szCs w:val="21"/>
              </w:rPr>
              <w:t>0.554***</w:t>
            </w:r>
          </w:p>
        </w:tc>
        <w:tc>
          <w:tcPr>
            <w:tcW w:w="710" w:type="pct"/>
          </w:tcPr>
          <w:p w14:paraId="7BDABFFF" w14:textId="77777777" w:rsidR="009D2DF3" w:rsidRPr="009D2DF3" w:rsidRDefault="009D2DF3" w:rsidP="009D2DF3">
            <w:pPr>
              <w:pStyle w:val="table"/>
              <w:adjustRightInd/>
              <w:snapToGrid/>
              <w:spacing w:before="0" w:after="0"/>
              <w:rPr>
                <w:rFonts w:cs="Times New Roman"/>
                <w:color w:val="000000" w:themeColor="text1"/>
                <w:sz w:val="21"/>
                <w:szCs w:val="21"/>
              </w:rPr>
            </w:pPr>
            <w:r w:rsidRPr="009D2DF3">
              <w:rPr>
                <w:sz w:val="21"/>
                <w:szCs w:val="21"/>
              </w:rPr>
              <w:t>0.433***</w:t>
            </w:r>
          </w:p>
        </w:tc>
      </w:tr>
      <w:tr w:rsidR="009D2DF3" w:rsidRPr="009D2DF3" w14:paraId="390517D2" w14:textId="77777777" w:rsidTr="009D2DF3">
        <w:trPr>
          <w:trHeight w:val="20"/>
        </w:trPr>
        <w:tc>
          <w:tcPr>
            <w:tcW w:w="1181" w:type="pct"/>
          </w:tcPr>
          <w:p w14:paraId="54FEE551" w14:textId="77777777" w:rsidR="009D2DF3" w:rsidRPr="009D2DF3" w:rsidRDefault="009D2DF3" w:rsidP="009D2DF3">
            <w:pPr>
              <w:pStyle w:val="table"/>
              <w:adjustRightInd/>
              <w:snapToGrid/>
              <w:spacing w:before="0" w:after="0"/>
              <w:jc w:val="both"/>
              <w:rPr>
                <w:sz w:val="21"/>
                <w:szCs w:val="21"/>
              </w:rPr>
            </w:pPr>
            <w:r w:rsidRPr="009D2DF3">
              <w:rPr>
                <w:rFonts w:hint="eastAsia"/>
                <w:sz w:val="21"/>
                <w:szCs w:val="21"/>
              </w:rPr>
              <w:t>项目群实施</w:t>
            </w:r>
          </w:p>
        </w:tc>
        <w:tc>
          <w:tcPr>
            <w:tcW w:w="563" w:type="pct"/>
          </w:tcPr>
          <w:p w14:paraId="51B04305" w14:textId="77777777" w:rsidR="009D2DF3" w:rsidRPr="009D2DF3" w:rsidRDefault="009D2DF3" w:rsidP="009D2DF3">
            <w:pPr>
              <w:pStyle w:val="table"/>
              <w:adjustRightInd/>
              <w:snapToGrid/>
              <w:spacing w:before="0" w:after="0"/>
              <w:rPr>
                <w:rFonts w:cs="Times New Roman"/>
                <w:color w:val="000000" w:themeColor="text1"/>
                <w:sz w:val="21"/>
                <w:szCs w:val="21"/>
              </w:rPr>
            </w:pPr>
          </w:p>
        </w:tc>
        <w:tc>
          <w:tcPr>
            <w:tcW w:w="563" w:type="pct"/>
          </w:tcPr>
          <w:p w14:paraId="7207F48D" w14:textId="77777777" w:rsidR="009D2DF3" w:rsidRPr="009D2DF3" w:rsidRDefault="009D2DF3" w:rsidP="009D2DF3">
            <w:pPr>
              <w:pStyle w:val="table"/>
              <w:adjustRightInd/>
              <w:snapToGrid/>
              <w:spacing w:before="0" w:after="0"/>
              <w:rPr>
                <w:rFonts w:cs="Times New Roman"/>
                <w:color w:val="000000" w:themeColor="text1"/>
                <w:sz w:val="21"/>
                <w:szCs w:val="21"/>
              </w:rPr>
            </w:pPr>
          </w:p>
        </w:tc>
        <w:tc>
          <w:tcPr>
            <w:tcW w:w="563" w:type="pct"/>
          </w:tcPr>
          <w:p w14:paraId="363DA7FB" w14:textId="77777777" w:rsidR="009D2DF3" w:rsidRPr="009D2DF3" w:rsidRDefault="009D2DF3" w:rsidP="009D2DF3">
            <w:pPr>
              <w:pStyle w:val="table"/>
              <w:adjustRightInd/>
              <w:snapToGrid/>
              <w:spacing w:before="0" w:after="0"/>
              <w:rPr>
                <w:rFonts w:cs="Times New Roman"/>
                <w:color w:val="000000" w:themeColor="text1"/>
                <w:sz w:val="21"/>
                <w:szCs w:val="21"/>
              </w:rPr>
            </w:pPr>
          </w:p>
        </w:tc>
        <w:tc>
          <w:tcPr>
            <w:tcW w:w="710" w:type="pct"/>
          </w:tcPr>
          <w:p w14:paraId="76620B3E" w14:textId="77777777" w:rsidR="009D2DF3" w:rsidRPr="009D2DF3" w:rsidRDefault="009D2DF3" w:rsidP="009D2DF3">
            <w:pPr>
              <w:pStyle w:val="table"/>
              <w:adjustRightInd/>
              <w:snapToGrid/>
              <w:spacing w:before="0" w:after="0"/>
              <w:rPr>
                <w:rFonts w:cs="Times New Roman"/>
                <w:color w:val="000000" w:themeColor="text1"/>
                <w:sz w:val="21"/>
                <w:szCs w:val="21"/>
              </w:rPr>
            </w:pPr>
          </w:p>
        </w:tc>
        <w:tc>
          <w:tcPr>
            <w:tcW w:w="710" w:type="pct"/>
          </w:tcPr>
          <w:p w14:paraId="2A56392B" w14:textId="77777777" w:rsidR="009D2DF3" w:rsidRPr="009D2DF3" w:rsidRDefault="009D2DF3" w:rsidP="009D2DF3">
            <w:pPr>
              <w:pStyle w:val="table"/>
              <w:adjustRightInd/>
              <w:snapToGrid/>
              <w:spacing w:before="0" w:after="0"/>
              <w:rPr>
                <w:rFonts w:cs="Times New Roman"/>
                <w:color w:val="000000" w:themeColor="text1"/>
                <w:sz w:val="21"/>
                <w:szCs w:val="21"/>
              </w:rPr>
            </w:pPr>
          </w:p>
        </w:tc>
        <w:tc>
          <w:tcPr>
            <w:tcW w:w="710" w:type="pct"/>
          </w:tcPr>
          <w:p w14:paraId="48DBF2F9" w14:textId="77777777" w:rsidR="009D2DF3" w:rsidRPr="009D2DF3" w:rsidRDefault="009D2DF3" w:rsidP="009D2DF3">
            <w:pPr>
              <w:pStyle w:val="table"/>
              <w:adjustRightInd/>
              <w:snapToGrid/>
              <w:spacing w:before="0" w:after="0"/>
              <w:rPr>
                <w:rFonts w:cs="Times New Roman"/>
                <w:color w:val="000000" w:themeColor="text1"/>
                <w:sz w:val="21"/>
                <w:szCs w:val="21"/>
              </w:rPr>
            </w:pPr>
            <w:r w:rsidRPr="009D2DF3">
              <w:rPr>
                <w:sz w:val="21"/>
                <w:szCs w:val="21"/>
              </w:rPr>
              <w:t>0.193**</w:t>
            </w:r>
          </w:p>
        </w:tc>
      </w:tr>
      <w:tr w:rsidR="009D2DF3" w:rsidRPr="009D2DF3" w14:paraId="4ED6D8B8" w14:textId="77777777" w:rsidTr="009D2DF3">
        <w:trPr>
          <w:trHeight w:val="20"/>
        </w:trPr>
        <w:tc>
          <w:tcPr>
            <w:tcW w:w="1181" w:type="pct"/>
          </w:tcPr>
          <w:p w14:paraId="136F9335" w14:textId="77777777" w:rsidR="009D2DF3" w:rsidRPr="009D2DF3" w:rsidRDefault="009D2DF3" w:rsidP="009D2DF3">
            <w:pPr>
              <w:pStyle w:val="table"/>
              <w:adjustRightInd/>
              <w:snapToGrid/>
              <w:spacing w:before="0" w:after="0"/>
              <w:jc w:val="both"/>
              <w:rPr>
                <w:sz w:val="21"/>
                <w:szCs w:val="21"/>
              </w:rPr>
            </w:pPr>
            <w:r w:rsidRPr="009D2DF3">
              <w:rPr>
                <w:rFonts w:hint="eastAsia"/>
                <w:sz w:val="21"/>
                <w:szCs w:val="21"/>
              </w:rPr>
              <w:t>项目群运营</w:t>
            </w:r>
          </w:p>
        </w:tc>
        <w:tc>
          <w:tcPr>
            <w:tcW w:w="563" w:type="pct"/>
          </w:tcPr>
          <w:p w14:paraId="3A6F0968" w14:textId="77777777" w:rsidR="009D2DF3" w:rsidRPr="009D2DF3" w:rsidRDefault="009D2DF3" w:rsidP="009D2DF3">
            <w:pPr>
              <w:pStyle w:val="table"/>
              <w:adjustRightInd/>
              <w:snapToGrid/>
              <w:spacing w:before="0" w:after="0"/>
              <w:rPr>
                <w:rFonts w:cs="Times New Roman"/>
                <w:color w:val="000000" w:themeColor="text1"/>
                <w:sz w:val="21"/>
                <w:szCs w:val="21"/>
              </w:rPr>
            </w:pPr>
          </w:p>
        </w:tc>
        <w:tc>
          <w:tcPr>
            <w:tcW w:w="563" w:type="pct"/>
          </w:tcPr>
          <w:p w14:paraId="50C8BA9D" w14:textId="77777777" w:rsidR="009D2DF3" w:rsidRPr="009D2DF3" w:rsidRDefault="009D2DF3" w:rsidP="009D2DF3">
            <w:pPr>
              <w:pStyle w:val="table"/>
              <w:adjustRightInd/>
              <w:snapToGrid/>
              <w:spacing w:before="0" w:after="0"/>
              <w:rPr>
                <w:rFonts w:cs="Times New Roman"/>
                <w:color w:val="000000" w:themeColor="text1"/>
                <w:sz w:val="21"/>
                <w:szCs w:val="21"/>
              </w:rPr>
            </w:pPr>
          </w:p>
        </w:tc>
        <w:tc>
          <w:tcPr>
            <w:tcW w:w="563" w:type="pct"/>
          </w:tcPr>
          <w:p w14:paraId="3FABFF16" w14:textId="77777777" w:rsidR="009D2DF3" w:rsidRPr="009D2DF3" w:rsidRDefault="009D2DF3" w:rsidP="009D2DF3">
            <w:pPr>
              <w:pStyle w:val="table"/>
              <w:adjustRightInd/>
              <w:snapToGrid/>
              <w:spacing w:before="0" w:after="0"/>
              <w:rPr>
                <w:rFonts w:cs="Times New Roman"/>
                <w:color w:val="000000" w:themeColor="text1"/>
                <w:sz w:val="21"/>
                <w:szCs w:val="21"/>
              </w:rPr>
            </w:pPr>
          </w:p>
        </w:tc>
        <w:tc>
          <w:tcPr>
            <w:tcW w:w="710" w:type="pct"/>
          </w:tcPr>
          <w:p w14:paraId="4465D7F7" w14:textId="77777777" w:rsidR="009D2DF3" w:rsidRPr="009D2DF3" w:rsidRDefault="009D2DF3" w:rsidP="009D2DF3">
            <w:pPr>
              <w:pStyle w:val="table"/>
              <w:adjustRightInd/>
              <w:snapToGrid/>
              <w:spacing w:before="0" w:after="0"/>
              <w:rPr>
                <w:rFonts w:cs="Times New Roman"/>
                <w:color w:val="000000" w:themeColor="text1"/>
                <w:sz w:val="21"/>
                <w:szCs w:val="21"/>
              </w:rPr>
            </w:pPr>
          </w:p>
        </w:tc>
        <w:tc>
          <w:tcPr>
            <w:tcW w:w="710" w:type="pct"/>
          </w:tcPr>
          <w:p w14:paraId="121B0AEE" w14:textId="77777777" w:rsidR="009D2DF3" w:rsidRPr="009D2DF3" w:rsidRDefault="009D2DF3" w:rsidP="009D2DF3">
            <w:pPr>
              <w:pStyle w:val="table"/>
              <w:adjustRightInd/>
              <w:snapToGrid/>
              <w:spacing w:before="0" w:after="0"/>
              <w:rPr>
                <w:rFonts w:cs="Times New Roman"/>
                <w:color w:val="000000" w:themeColor="text1"/>
                <w:sz w:val="21"/>
                <w:szCs w:val="21"/>
              </w:rPr>
            </w:pPr>
          </w:p>
        </w:tc>
        <w:tc>
          <w:tcPr>
            <w:tcW w:w="710" w:type="pct"/>
          </w:tcPr>
          <w:p w14:paraId="327F0B07" w14:textId="77777777" w:rsidR="009D2DF3" w:rsidRPr="009D2DF3" w:rsidRDefault="009D2DF3" w:rsidP="009D2DF3">
            <w:pPr>
              <w:pStyle w:val="table"/>
              <w:adjustRightInd/>
              <w:snapToGrid/>
              <w:spacing w:before="0" w:after="0"/>
              <w:rPr>
                <w:rFonts w:cs="Times New Roman"/>
                <w:color w:val="000000" w:themeColor="text1"/>
                <w:sz w:val="21"/>
                <w:szCs w:val="21"/>
              </w:rPr>
            </w:pPr>
            <w:r w:rsidRPr="009D2DF3">
              <w:rPr>
                <w:sz w:val="21"/>
                <w:szCs w:val="21"/>
              </w:rPr>
              <w:t>0.747***</w:t>
            </w:r>
          </w:p>
        </w:tc>
      </w:tr>
    </w:tbl>
    <w:p w14:paraId="57978F4B" w14:textId="7009B0CC" w:rsidR="00116F7D" w:rsidRDefault="00116F7D" w:rsidP="009D2DF3">
      <w:pPr>
        <w:pStyle w:val="2"/>
        <w:numPr>
          <w:ilvl w:val="0"/>
          <w:numId w:val="0"/>
        </w:numPr>
        <w:sectPr w:rsidR="00116F7D" w:rsidSect="00116F7D">
          <w:type w:val="continuous"/>
          <w:pgSz w:w="11906" w:h="16838"/>
          <w:pgMar w:top="1440" w:right="1106" w:bottom="1440" w:left="1106" w:header="851" w:footer="992" w:gutter="0"/>
          <w:cols w:space="425"/>
          <w:titlePg/>
          <w:docGrid w:type="linesAndChars" w:linePitch="312"/>
        </w:sectPr>
      </w:pPr>
    </w:p>
    <w:p w14:paraId="555A51D1" w14:textId="221C29BB" w:rsidR="003B1990" w:rsidRDefault="009D2DF3" w:rsidP="003B1990">
      <w:pPr>
        <w:pStyle w:val="2"/>
      </w:pPr>
      <w:bookmarkStart w:id="34" w:name="_Toc198492820"/>
      <w:r>
        <w:rPr>
          <w:rFonts w:hint="eastAsia"/>
        </w:rPr>
        <w:t>清洁能源基地一体化管理路径分析</w:t>
      </w:r>
      <w:bookmarkEnd w:id="34"/>
    </w:p>
    <w:p w14:paraId="1CFF6723" w14:textId="458A247F" w:rsidR="009D2DF3" w:rsidRDefault="009D2DF3" w:rsidP="009D2DF3">
      <w:pPr>
        <w:ind w:firstLine="420"/>
      </w:pPr>
      <w:r>
        <w:rPr>
          <w:rFonts w:hint="eastAsia"/>
        </w:rPr>
        <w:t>为探究</w:t>
      </w:r>
      <w:r w:rsidRPr="00153F94">
        <w:rPr>
          <w:rFonts w:hint="eastAsia"/>
        </w:rPr>
        <w:t>清洁能源基地一体化管理</w:t>
      </w:r>
      <w:r>
        <w:rPr>
          <w:rFonts w:hint="eastAsia"/>
        </w:rPr>
        <w:t>的完整路径，</w:t>
      </w:r>
      <w:r>
        <w:rPr>
          <w:rFonts w:hint="eastAsia"/>
        </w:rPr>
        <w:t>应</w:t>
      </w:r>
      <w:r w:rsidRPr="00541135">
        <w:rPr>
          <w:rFonts w:hint="eastAsia"/>
        </w:rPr>
        <w:t>用</w:t>
      </w:r>
      <w:r w:rsidRPr="00541135">
        <w:t>B</w:t>
      </w:r>
      <w:r w:rsidRPr="00541135">
        <w:rPr>
          <w:rFonts w:hint="eastAsia"/>
        </w:rPr>
        <w:t>ootstrapping</w:t>
      </w:r>
      <w:r>
        <w:rPr>
          <w:rFonts w:hint="eastAsia"/>
        </w:rPr>
        <w:t>方法</w:t>
      </w:r>
      <w:r w:rsidRPr="00112557">
        <w:rPr>
          <w:rFonts w:hint="eastAsia"/>
        </w:rPr>
        <w:t>进行</w:t>
      </w:r>
      <w:r w:rsidRPr="00112557">
        <w:rPr>
          <w:rFonts w:hint="eastAsia"/>
        </w:rPr>
        <w:t>5000</w:t>
      </w:r>
      <w:r w:rsidRPr="00112557">
        <w:rPr>
          <w:rFonts w:hint="eastAsia"/>
        </w:rPr>
        <w:t>次重复抽样</w:t>
      </w:r>
      <w:r>
        <w:rPr>
          <w:rFonts w:hint="eastAsia"/>
        </w:rPr>
        <w:t>，</w:t>
      </w:r>
      <w:r w:rsidRPr="00541135">
        <w:rPr>
          <w:rFonts w:hint="eastAsia"/>
        </w:rPr>
        <w:t>对</w:t>
      </w:r>
      <w:r>
        <w:rPr>
          <w:rFonts w:hint="eastAsia"/>
        </w:rPr>
        <w:t>清洁能源基地一体化管理输入</w:t>
      </w:r>
      <w:r w:rsidRPr="00293D31">
        <w:rPr>
          <w:rFonts w:hint="eastAsia"/>
        </w:rPr>
        <w:t>因素</w:t>
      </w:r>
      <w:r>
        <w:rPr>
          <w:rFonts w:hint="eastAsia"/>
        </w:rPr>
        <w:t>对项目群绩效的</w:t>
      </w:r>
      <w:r>
        <w:rPr>
          <w:rFonts w:hint="eastAsia"/>
        </w:rPr>
        <w:lastRenderedPageBreak/>
        <w:t>作用</w:t>
      </w:r>
      <w:r w:rsidRPr="00541135">
        <w:rPr>
          <w:rFonts w:hint="eastAsia"/>
        </w:rPr>
        <w:t>路径进行显著性检验</w:t>
      </w:r>
      <w:r>
        <w:rPr>
          <w:rFonts w:hint="eastAsia"/>
        </w:rPr>
        <w:t>。</w:t>
      </w:r>
      <w:r w:rsidRPr="00541135">
        <w:rPr>
          <w:rFonts w:ascii="Times" w:hAnsi="Times" w:hint="eastAsia"/>
        </w:rPr>
        <w:t>路径检验结果显示，</w:t>
      </w:r>
      <w:r w:rsidRPr="00153F94">
        <w:rPr>
          <w:rFonts w:hint="eastAsia"/>
        </w:rPr>
        <w:t>清洁能源基地</w:t>
      </w:r>
      <w:r>
        <w:rPr>
          <w:rFonts w:hint="eastAsia"/>
        </w:rPr>
        <w:t>开发</w:t>
      </w:r>
      <w:r w:rsidRPr="00153F94">
        <w:rPr>
          <w:rFonts w:ascii="Times" w:hAnsi="Times" w:hint="eastAsia"/>
        </w:rPr>
        <w:t>外部条件</w:t>
      </w:r>
      <w:r w:rsidR="00EB718D">
        <w:rPr>
          <w:rFonts w:ascii="Times" w:hAnsi="Times" w:hint="eastAsia"/>
        </w:rPr>
        <w:t>、业主项目群管理能力</w:t>
      </w:r>
      <w:r w:rsidRPr="00541135">
        <w:rPr>
          <w:rFonts w:ascii="Times" w:hAnsi="Times" w:hint="eastAsia"/>
        </w:rPr>
        <w:t>对项</w:t>
      </w:r>
      <w:r>
        <w:rPr>
          <w:rFonts w:hint="eastAsia"/>
        </w:rPr>
        <w:t>目群</w:t>
      </w:r>
      <w:r w:rsidRPr="00541135">
        <w:rPr>
          <w:rFonts w:ascii="Times" w:hAnsi="Times" w:hint="eastAsia"/>
        </w:rPr>
        <w:t>绩效影响的各条路径中，有</w:t>
      </w:r>
      <w:r>
        <w:rPr>
          <w:rFonts w:ascii="Times" w:hAnsi="Times" w:hint="eastAsia"/>
        </w:rPr>
        <w:t>4</w:t>
      </w:r>
      <w:r w:rsidRPr="00541135">
        <w:rPr>
          <w:rFonts w:ascii="Times" w:hAnsi="Times" w:hint="eastAsia"/>
        </w:rPr>
        <w:t>条路径通过了显著性检验，具体</w:t>
      </w:r>
      <w:r w:rsidRPr="00541135">
        <w:rPr>
          <w:rFonts w:hint="eastAsia"/>
        </w:rPr>
        <w:t>如</w:t>
      </w:r>
      <w:r>
        <w:fldChar w:fldCharType="begin"/>
      </w:r>
      <w:r>
        <w:instrText xml:space="preserve"> </w:instrText>
      </w:r>
      <w:r>
        <w:rPr>
          <w:rFonts w:hint="eastAsia"/>
        </w:rPr>
        <w:instrText>REF _Ref200172781 \h</w:instrText>
      </w:r>
      <w:r>
        <w:instrText xml:space="preserve"> </w:instrText>
      </w:r>
      <w:r>
        <w:fldChar w:fldCharType="separate"/>
      </w:r>
      <w:r w:rsidR="000F2689">
        <w:rPr>
          <w:rFonts w:hint="eastAsia"/>
        </w:rPr>
        <w:t>表</w:t>
      </w:r>
      <w:r w:rsidR="000F2689">
        <w:rPr>
          <w:rFonts w:hint="eastAsia"/>
        </w:rPr>
        <w:t xml:space="preserve"> </w:t>
      </w:r>
      <w:r w:rsidR="000F2689">
        <w:rPr>
          <w:noProof/>
        </w:rPr>
        <w:t>14</w:t>
      </w:r>
      <w:r>
        <w:fldChar w:fldCharType="end"/>
      </w:r>
      <w:r w:rsidRPr="00541135">
        <w:rPr>
          <w:rFonts w:hint="eastAsia"/>
        </w:rPr>
        <w:t>所示。</w:t>
      </w:r>
    </w:p>
    <w:p w14:paraId="6F8ACE56" w14:textId="3EAAD7C2" w:rsidR="009D2DF3" w:rsidRPr="00A46094" w:rsidRDefault="009D2DF3" w:rsidP="00EB718D">
      <w:pPr>
        <w:pStyle w:val="afa"/>
        <w:keepNext/>
        <w:spacing w:beforeLines="50" w:before="156"/>
      </w:pPr>
      <w:bookmarkStart w:id="35" w:name="_Ref200172781"/>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0F2689">
        <w:rPr>
          <w:noProof/>
        </w:rPr>
        <w:t>14</w:t>
      </w:r>
      <w:r>
        <w:fldChar w:fldCharType="end"/>
      </w:r>
      <w:bookmarkEnd w:id="35"/>
      <w:r>
        <w:rPr>
          <w:rFonts w:hint="eastAsia"/>
        </w:rPr>
        <w:t xml:space="preserve"> </w:t>
      </w:r>
      <w:r>
        <w:rPr>
          <w:rFonts w:hint="eastAsia"/>
        </w:rPr>
        <w:t>清洁能源基地一体化</w:t>
      </w:r>
      <w:r w:rsidRPr="00153F94">
        <w:rPr>
          <w:rFonts w:hint="eastAsia"/>
        </w:rPr>
        <w:t>管理</w:t>
      </w:r>
      <w:r>
        <w:rPr>
          <w:rFonts w:hint="eastAsia"/>
        </w:rPr>
        <w:t>机理及其效应量</w:t>
      </w:r>
    </w:p>
    <w:tbl>
      <w:tblPr>
        <w:tblStyle w:val="af2"/>
        <w:tblW w:w="0" w:type="auto"/>
        <w:tblInd w:w="0"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948"/>
      </w:tblGrid>
      <w:tr w:rsidR="009D2DF3" w:rsidRPr="009D2DF3" w14:paraId="12CCA4E7" w14:textId="77777777" w:rsidTr="009D2DF3">
        <w:trPr>
          <w:trHeight w:val="20"/>
        </w:trPr>
        <w:tc>
          <w:tcPr>
            <w:tcW w:w="3686" w:type="dxa"/>
            <w:tcBorders>
              <w:top w:val="single" w:sz="12" w:space="0" w:color="auto"/>
              <w:bottom w:val="single" w:sz="8" w:space="0" w:color="auto"/>
            </w:tcBorders>
            <w:vAlign w:val="center"/>
          </w:tcPr>
          <w:p w14:paraId="4448908B" w14:textId="77777777" w:rsidR="009D2DF3" w:rsidRPr="009D2DF3" w:rsidRDefault="009D2DF3" w:rsidP="009D2DF3">
            <w:pPr>
              <w:pStyle w:val="table"/>
              <w:spacing w:before="0" w:after="0"/>
              <w:rPr>
                <w:b/>
                <w:bCs/>
                <w:sz w:val="21"/>
                <w:szCs w:val="21"/>
              </w:rPr>
            </w:pPr>
            <w:r w:rsidRPr="009D2DF3">
              <w:rPr>
                <w:rFonts w:hint="eastAsia"/>
                <w:b/>
                <w:bCs/>
                <w:sz w:val="21"/>
                <w:szCs w:val="21"/>
              </w:rPr>
              <w:t>路径</w:t>
            </w:r>
          </w:p>
        </w:tc>
        <w:tc>
          <w:tcPr>
            <w:tcW w:w="948" w:type="dxa"/>
            <w:tcBorders>
              <w:top w:val="single" w:sz="12" w:space="0" w:color="auto"/>
              <w:bottom w:val="single" w:sz="8" w:space="0" w:color="auto"/>
            </w:tcBorders>
            <w:vAlign w:val="center"/>
          </w:tcPr>
          <w:p w14:paraId="2EDDECA8" w14:textId="77777777" w:rsidR="009D2DF3" w:rsidRPr="009D2DF3" w:rsidRDefault="009D2DF3" w:rsidP="009D2DF3">
            <w:pPr>
              <w:pStyle w:val="table"/>
              <w:spacing w:before="0" w:after="0"/>
              <w:rPr>
                <w:b/>
                <w:bCs/>
                <w:sz w:val="21"/>
                <w:szCs w:val="21"/>
              </w:rPr>
            </w:pPr>
            <w:r w:rsidRPr="009D2DF3">
              <w:rPr>
                <w:rFonts w:hint="eastAsia"/>
                <w:b/>
                <w:bCs/>
                <w:sz w:val="21"/>
                <w:szCs w:val="21"/>
              </w:rPr>
              <w:t>效应量</w:t>
            </w:r>
          </w:p>
        </w:tc>
      </w:tr>
      <w:tr w:rsidR="009D2DF3" w:rsidRPr="009D2DF3" w14:paraId="16FAF0DA" w14:textId="77777777" w:rsidTr="009D2DF3">
        <w:trPr>
          <w:trHeight w:val="20"/>
        </w:trPr>
        <w:tc>
          <w:tcPr>
            <w:tcW w:w="3686" w:type="dxa"/>
            <w:vAlign w:val="center"/>
          </w:tcPr>
          <w:p w14:paraId="4FDEEA6A" w14:textId="77777777" w:rsidR="009D2DF3" w:rsidRPr="009D2DF3" w:rsidRDefault="009D2DF3" w:rsidP="009D2DF3">
            <w:pPr>
              <w:pStyle w:val="table"/>
              <w:spacing w:before="0" w:after="0"/>
              <w:jc w:val="both"/>
              <w:rPr>
                <w:sz w:val="21"/>
                <w:szCs w:val="21"/>
              </w:rPr>
            </w:pPr>
            <w:r w:rsidRPr="009D2DF3">
              <w:rPr>
                <w:rFonts w:hint="eastAsia"/>
                <w:color w:val="000000"/>
                <w:sz w:val="21"/>
                <w:szCs w:val="21"/>
              </w:rPr>
              <w:t>路径</w:t>
            </w:r>
            <w:r w:rsidRPr="009D2DF3">
              <w:rPr>
                <w:rFonts w:hint="eastAsia"/>
                <w:color w:val="000000"/>
                <w:sz w:val="21"/>
                <w:szCs w:val="21"/>
              </w:rPr>
              <w:t>A</w:t>
            </w:r>
            <w:r w:rsidRPr="009D2DF3">
              <w:rPr>
                <w:rFonts w:hint="eastAsia"/>
                <w:color w:val="000000"/>
                <w:sz w:val="21"/>
                <w:szCs w:val="21"/>
              </w:rPr>
              <w:t>：外部条件→管理制度→伙伴关系→项目群运营→项目群绩效</w:t>
            </w:r>
          </w:p>
        </w:tc>
        <w:tc>
          <w:tcPr>
            <w:tcW w:w="948" w:type="dxa"/>
          </w:tcPr>
          <w:p w14:paraId="35D3BCB3" w14:textId="77777777" w:rsidR="009D2DF3" w:rsidRPr="009D2DF3" w:rsidRDefault="009D2DF3" w:rsidP="009D2DF3">
            <w:pPr>
              <w:pStyle w:val="table"/>
              <w:spacing w:before="0" w:after="0"/>
              <w:rPr>
                <w:color w:val="000000"/>
                <w:sz w:val="21"/>
                <w:szCs w:val="21"/>
              </w:rPr>
            </w:pPr>
            <w:r w:rsidRPr="009D2DF3">
              <w:rPr>
                <w:rFonts w:hint="eastAsia"/>
                <w:sz w:val="21"/>
                <w:szCs w:val="21"/>
              </w:rPr>
              <w:t>0.038</w:t>
            </w:r>
          </w:p>
        </w:tc>
      </w:tr>
      <w:tr w:rsidR="009D2DF3" w:rsidRPr="009D2DF3" w14:paraId="0196023F" w14:textId="77777777" w:rsidTr="009D2DF3">
        <w:trPr>
          <w:trHeight w:val="20"/>
        </w:trPr>
        <w:tc>
          <w:tcPr>
            <w:tcW w:w="3686" w:type="dxa"/>
            <w:vAlign w:val="center"/>
          </w:tcPr>
          <w:p w14:paraId="33F69C29" w14:textId="77777777" w:rsidR="009D2DF3" w:rsidRPr="009D2DF3" w:rsidRDefault="009D2DF3" w:rsidP="009D2DF3">
            <w:pPr>
              <w:pStyle w:val="table"/>
              <w:spacing w:before="0" w:after="0"/>
              <w:jc w:val="both"/>
              <w:rPr>
                <w:sz w:val="21"/>
                <w:szCs w:val="21"/>
              </w:rPr>
            </w:pPr>
            <w:r w:rsidRPr="009D2DF3">
              <w:rPr>
                <w:rFonts w:hint="eastAsia"/>
                <w:color w:val="000000"/>
                <w:sz w:val="21"/>
                <w:szCs w:val="21"/>
              </w:rPr>
              <w:t>路径</w:t>
            </w:r>
            <w:r w:rsidRPr="009D2DF3">
              <w:rPr>
                <w:rFonts w:hint="eastAsia"/>
                <w:color w:val="000000"/>
                <w:sz w:val="21"/>
                <w:szCs w:val="21"/>
              </w:rPr>
              <w:t>B</w:t>
            </w:r>
            <w:r w:rsidRPr="009D2DF3">
              <w:rPr>
                <w:rFonts w:hint="eastAsia"/>
                <w:color w:val="000000"/>
                <w:sz w:val="21"/>
                <w:szCs w:val="21"/>
              </w:rPr>
              <w:t>：</w:t>
            </w:r>
            <w:r w:rsidRPr="009D2DF3">
              <w:rPr>
                <w:rFonts w:hint="eastAsia"/>
                <w:sz w:val="21"/>
                <w:szCs w:val="21"/>
              </w:rPr>
              <w:t>外部条件→（管理制度）→（资源配置）→项目群实施→项目群绩效</w:t>
            </w:r>
          </w:p>
        </w:tc>
        <w:tc>
          <w:tcPr>
            <w:tcW w:w="948" w:type="dxa"/>
          </w:tcPr>
          <w:p w14:paraId="16D196E1" w14:textId="77777777" w:rsidR="009D2DF3" w:rsidRPr="009D2DF3" w:rsidRDefault="009D2DF3" w:rsidP="009D2DF3">
            <w:pPr>
              <w:pStyle w:val="table"/>
              <w:spacing w:before="0" w:after="0"/>
              <w:rPr>
                <w:sz w:val="21"/>
                <w:szCs w:val="21"/>
              </w:rPr>
            </w:pPr>
            <w:r w:rsidRPr="009D2DF3">
              <w:rPr>
                <w:rFonts w:hint="eastAsia"/>
                <w:color w:val="000000"/>
                <w:sz w:val="21"/>
                <w:szCs w:val="21"/>
              </w:rPr>
              <w:t>0.085</w:t>
            </w:r>
          </w:p>
        </w:tc>
      </w:tr>
      <w:tr w:rsidR="009D2DF3" w:rsidRPr="009D2DF3" w14:paraId="16337104" w14:textId="77777777" w:rsidTr="009D2DF3">
        <w:trPr>
          <w:trHeight w:val="20"/>
        </w:trPr>
        <w:tc>
          <w:tcPr>
            <w:tcW w:w="3686" w:type="dxa"/>
            <w:vAlign w:val="center"/>
          </w:tcPr>
          <w:p w14:paraId="72E0C974" w14:textId="77777777" w:rsidR="009D2DF3" w:rsidRPr="009D2DF3" w:rsidRDefault="009D2DF3" w:rsidP="009D2DF3">
            <w:pPr>
              <w:pStyle w:val="table"/>
              <w:spacing w:before="0" w:after="0"/>
              <w:jc w:val="both"/>
              <w:rPr>
                <w:sz w:val="21"/>
                <w:szCs w:val="21"/>
              </w:rPr>
            </w:pPr>
            <w:r w:rsidRPr="009D2DF3">
              <w:rPr>
                <w:rFonts w:hint="eastAsia"/>
                <w:color w:val="000000"/>
                <w:sz w:val="21"/>
                <w:szCs w:val="21"/>
              </w:rPr>
              <w:t>路径</w:t>
            </w:r>
            <w:r w:rsidRPr="009D2DF3">
              <w:rPr>
                <w:rFonts w:hint="eastAsia"/>
                <w:color w:val="000000"/>
                <w:sz w:val="21"/>
                <w:szCs w:val="21"/>
              </w:rPr>
              <w:t>C</w:t>
            </w:r>
            <w:r w:rsidRPr="009D2DF3">
              <w:rPr>
                <w:rFonts w:hint="eastAsia"/>
                <w:color w:val="000000"/>
                <w:sz w:val="21"/>
                <w:szCs w:val="21"/>
              </w:rPr>
              <w:t>：</w:t>
            </w:r>
            <w:r w:rsidRPr="009D2DF3">
              <w:rPr>
                <w:rFonts w:hint="eastAsia"/>
                <w:sz w:val="21"/>
                <w:szCs w:val="21"/>
              </w:rPr>
              <w:t>业主项目群管理能力→（伙伴关系）→项目群运营→项目群绩效</w:t>
            </w:r>
          </w:p>
        </w:tc>
        <w:tc>
          <w:tcPr>
            <w:tcW w:w="948" w:type="dxa"/>
          </w:tcPr>
          <w:p w14:paraId="349D6B8B" w14:textId="77777777" w:rsidR="009D2DF3" w:rsidRPr="009D2DF3" w:rsidRDefault="009D2DF3" w:rsidP="009D2DF3">
            <w:pPr>
              <w:pStyle w:val="table"/>
              <w:spacing w:before="0" w:after="0"/>
              <w:rPr>
                <w:sz w:val="21"/>
                <w:szCs w:val="21"/>
              </w:rPr>
            </w:pPr>
            <w:r w:rsidRPr="009D2DF3">
              <w:rPr>
                <w:rFonts w:hint="eastAsia"/>
                <w:color w:val="000000"/>
                <w:sz w:val="21"/>
                <w:szCs w:val="21"/>
              </w:rPr>
              <w:t>0.429</w:t>
            </w:r>
          </w:p>
        </w:tc>
      </w:tr>
      <w:tr w:rsidR="009D2DF3" w:rsidRPr="009D2DF3" w14:paraId="32CDC1A3" w14:textId="77777777" w:rsidTr="009D2DF3">
        <w:trPr>
          <w:trHeight w:val="20"/>
        </w:trPr>
        <w:tc>
          <w:tcPr>
            <w:tcW w:w="3686" w:type="dxa"/>
            <w:vAlign w:val="center"/>
          </w:tcPr>
          <w:p w14:paraId="4E835ECC" w14:textId="77777777" w:rsidR="009D2DF3" w:rsidRPr="009D2DF3" w:rsidRDefault="009D2DF3" w:rsidP="009D2DF3">
            <w:pPr>
              <w:pStyle w:val="table"/>
              <w:spacing w:before="0" w:after="0"/>
              <w:jc w:val="both"/>
              <w:rPr>
                <w:color w:val="000000"/>
                <w:sz w:val="21"/>
                <w:szCs w:val="21"/>
              </w:rPr>
            </w:pPr>
            <w:r w:rsidRPr="009D2DF3">
              <w:rPr>
                <w:rFonts w:hint="eastAsia"/>
                <w:color w:val="000000"/>
                <w:sz w:val="21"/>
                <w:szCs w:val="21"/>
              </w:rPr>
              <w:t>路径</w:t>
            </w:r>
            <w:r w:rsidRPr="009D2DF3">
              <w:rPr>
                <w:rFonts w:hint="eastAsia"/>
                <w:color w:val="000000"/>
                <w:sz w:val="21"/>
                <w:szCs w:val="21"/>
              </w:rPr>
              <w:t>D</w:t>
            </w:r>
            <w:r w:rsidRPr="009D2DF3">
              <w:rPr>
                <w:rFonts w:hint="eastAsia"/>
                <w:color w:val="000000"/>
                <w:sz w:val="21"/>
                <w:szCs w:val="21"/>
              </w:rPr>
              <w:t>：</w:t>
            </w:r>
            <w:r w:rsidRPr="009D2DF3">
              <w:rPr>
                <w:rFonts w:hint="eastAsia"/>
                <w:sz w:val="21"/>
                <w:szCs w:val="21"/>
              </w:rPr>
              <w:t>业主项目群管理能力→（管理制度）→资源配置→项目群实施→项目群绩效</w:t>
            </w:r>
          </w:p>
        </w:tc>
        <w:tc>
          <w:tcPr>
            <w:tcW w:w="948" w:type="dxa"/>
          </w:tcPr>
          <w:p w14:paraId="20D8A8BB" w14:textId="77777777" w:rsidR="009D2DF3" w:rsidRPr="009D2DF3" w:rsidRDefault="009D2DF3" w:rsidP="009D2DF3">
            <w:pPr>
              <w:pStyle w:val="table"/>
              <w:spacing w:before="0" w:after="0"/>
              <w:rPr>
                <w:color w:val="000000"/>
                <w:sz w:val="21"/>
                <w:szCs w:val="21"/>
              </w:rPr>
            </w:pPr>
            <w:r w:rsidRPr="009D2DF3">
              <w:rPr>
                <w:rFonts w:hint="eastAsia"/>
                <w:color w:val="000000"/>
                <w:sz w:val="21"/>
                <w:szCs w:val="21"/>
              </w:rPr>
              <w:t>0.082</w:t>
            </w:r>
          </w:p>
        </w:tc>
      </w:tr>
    </w:tbl>
    <w:p w14:paraId="1B9B7EE5" w14:textId="77777777" w:rsidR="009D2DF3" w:rsidRPr="009D2DF3" w:rsidRDefault="009D2DF3" w:rsidP="009D2DF3">
      <w:pPr>
        <w:ind w:firstLineChars="0" w:firstLine="0"/>
      </w:pPr>
    </w:p>
    <w:p w14:paraId="44AB2DD0" w14:textId="3797C9BF" w:rsidR="009D2DF3" w:rsidRDefault="008A0775" w:rsidP="009D2DF3">
      <w:pPr>
        <w:pStyle w:val="3"/>
      </w:pPr>
      <w:r w:rsidRPr="008A0775">
        <w:rPr>
          <w:rFonts w:hint="eastAsia"/>
        </w:rPr>
        <w:t>路径</w:t>
      </w:r>
      <w:r w:rsidRPr="008A0775">
        <w:rPr>
          <w:rFonts w:hint="eastAsia"/>
        </w:rPr>
        <w:t>A</w:t>
      </w:r>
      <w:r w:rsidRPr="008A0775">
        <w:rPr>
          <w:rFonts w:hint="eastAsia"/>
        </w:rPr>
        <w:t>：</w:t>
      </w:r>
      <w:r w:rsidR="009D2DF3" w:rsidRPr="009D2DF3">
        <w:rPr>
          <w:rFonts w:hint="eastAsia"/>
        </w:rPr>
        <w:t>外部条件→管理制度→伙伴关系→项目群运营→项目群绩效</w:t>
      </w:r>
    </w:p>
    <w:p w14:paraId="03786BBF" w14:textId="67E97BE8" w:rsidR="00C610A6" w:rsidRDefault="009D2DF3" w:rsidP="009D2DF3">
      <w:pPr>
        <w:ind w:firstLine="420"/>
      </w:pPr>
      <w:r w:rsidRPr="00735B8B">
        <w:rPr>
          <w:rFonts w:hint="eastAsia"/>
        </w:rPr>
        <w:t>适宜的自然条件与合理的征地移民政策，以及完善的配套基础设施，为清洁能源基地的顺利开发奠定了坚实基础。支持</w:t>
      </w:r>
      <w:r>
        <w:rPr>
          <w:rFonts w:hint="eastAsia"/>
        </w:rPr>
        <w:t>的</w:t>
      </w:r>
      <w:r w:rsidRPr="00735B8B">
        <w:rPr>
          <w:rFonts w:hint="eastAsia"/>
        </w:rPr>
        <w:t>政策环境与完善的清洁能源电力市场参与机制</w:t>
      </w:r>
      <w:r>
        <w:rPr>
          <w:rFonts w:hint="eastAsia"/>
        </w:rPr>
        <w:t>，</w:t>
      </w:r>
      <w:r w:rsidRPr="00735B8B">
        <w:rPr>
          <w:rFonts w:hint="eastAsia"/>
        </w:rPr>
        <w:t>为基地的建设与运营提供了规制</w:t>
      </w:r>
      <w:r>
        <w:rPr>
          <w:rFonts w:hint="eastAsia"/>
        </w:rPr>
        <w:t>支撑</w:t>
      </w:r>
      <w:r w:rsidRPr="00735B8B">
        <w:rPr>
          <w:rFonts w:hint="eastAsia"/>
        </w:rPr>
        <w:t>。</w:t>
      </w:r>
      <w:r>
        <w:rPr>
          <w:rFonts w:hint="eastAsia"/>
        </w:rPr>
        <w:t>例如，</w:t>
      </w:r>
      <w:r w:rsidRPr="00135155">
        <w:rPr>
          <w:rFonts w:hint="eastAsia"/>
        </w:rPr>
        <w:t>“十四五”规划提出加快推进清洁能源基地建设，通过多能互补模式提升清洁能源消纳能力。这一政策导向推动了清洁能源基地优化水、风、光、储等多能源的协同调度模式，促进了项目群联合运营机制的制定，</w:t>
      </w:r>
      <w:r>
        <w:rPr>
          <w:rFonts w:hint="eastAsia"/>
        </w:rPr>
        <w:t>促使各电站运行单位相互协作，以</w:t>
      </w:r>
      <w:r w:rsidRPr="00135155">
        <w:rPr>
          <w:rFonts w:hint="eastAsia"/>
        </w:rPr>
        <w:t>保障</w:t>
      </w:r>
      <w:r>
        <w:rPr>
          <w:rFonts w:hint="eastAsia"/>
        </w:rPr>
        <w:t>基地</w:t>
      </w:r>
      <w:r w:rsidRPr="00135155">
        <w:rPr>
          <w:rFonts w:hint="eastAsia"/>
        </w:rPr>
        <w:t>电力供给的稳定性</w:t>
      </w:r>
      <w:r>
        <w:rPr>
          <w:rFonts w:hint="eastAsia"/>
        </w:rPr>
        <w:t>。</w:t>
      </w:r>
      <w:r w:rsidRPr="00135155">
        <w:rPr>
          <w:rFonts w:hint="eastAsia"/>
        </w:rPr>
        <w:t>此外，在外部政策支持与内部管理制度协同作用下，</w:t>
      </w:r>
      <w:r>
        <w:rPr>
          <w:rFonts w:hint="eastAsia"/>
        </w:rPr>
        <w:t>运行</w:t>
      </w:r>
      <w:r w:rsidRPr="00135155">
        <w:rPr>
          <w:rFonts w:hint="eastAsia"/>
        </w:rPr>
        <w:t>单位、政府、电网公司等关键利益相关方</w:t>
      </w:r>
      <w:r>
        <w:rPr>
          <w:rFonts w:hint="eastAsia"/>
        </w:rPr>
        <w:t>也</w:t>
      </w:r>
      <w:r w:rsidRPr="00135155">
        <w:rPr>
          <w:rFonts w:hint="eastAsia"/>
        </w:rPr>
        <w:t>能够</w:t>
      </w:r>
      <w:r>
        <w:rPr>
          <w:rFonts w:hint="eastAsia"/>
        </w:rPr>
        <w:t>构建良好的伙伴关系</w:t>
      </w:r>
      <w:r w:rsidRPr="00735B8B">
        <w:rPr>
          <w:rFonts w:hint="eastAsia"/>
        </w:rPr>
        <w:t>，共同促进</w:t>
      </w:r>
      <w:r>
        <w:rPr>
          <w:rFonts w:hint="eastAsia"/>
        </w:rPr>
        <w:t>清洁</w:t>
      </w:r>
      <w:r w:rsidRPr="00735B8B">
        <w:rPr>
          <w:rFonts w:hint="eastAsia"/>
        </w:rPr>
        <w:t>能源的高效并网</w:t>
      </w:r>
      <w:r>
        <w:rPr>
          <w:rFonts w:hint="eastAsia"/>
        </w:rPr>
        <w:t>与</w:t>
      </w:r>
      <w:r w:rsidRPr="00735B8B">
        <w:rPr>
          <w:rFonts w:hint="eastAsia"/>
        </w:rPr>
        <w:t>消纳。</w:t>
      </w:r>
      <w:r>
        <w:rPr>
          <w:rFonts w:hint="eastAsia"/>
        </w:rPr>
        <w:t>最终，</w:t>
      </w:r>
      <w:r w:rsidRPr="00135155">
        <w:rPr>
          <w:rFonts w:hint="eastAsia"/>
        </w:rPr>
        <w:t>项目群运营</w:t>
      </w:r>
      <w:r>
        <w:rPr>
          <w:rFonts w:hint="eastAsia"/>
        </w:rPr>
        <w:t>水平的提升能够提高清洁能源的利用率，降低运营成本，保障基地并网并参与电力市场交易，进而提升清洁能源基地</w:t>
      </w:r>
      <w:r w:rsidRPr="003C11CD">
        <w:rPr>
          <w:rFonts w:hint="eastAsia"/>
        </w:rPr>
        <w:t>绩效。</w:t>
      </w:r>
    </w:p>
    <w:p w14:paraId="4799AAB9" w14:textId="552371DD" w:rsidR="00211FFD" w:rsidRDefault="00211FFD" w:rsidP="009D2DF3">
      <w:pPr>
        <w:pStyle w:val="3"/>
        <w:rPr>
          <w:szCs w:val="21"/>
        </w:rPr>
      </w:pPr>
      <w:r w:rsidRPr="008A0775">
        <w:rPr>
          <w:rFonts w:hint="eastAsia"/>
        </w:rPr>
        <w:t>路径</w:t>
      </w:r>
      <w:r>
        <w:rPr>
          <w:rFonts w:hint="eastAsia"/>
        </w:rPr>
        <w:t>B</w:t>
      </w:r>
      <w:r w:rsidRPr="008A0775">
        <w:rPr>
          <w:rFonts w:hint="eastAsia"/>
        </w:rPr>
        <w:t>：</w:t>
      </w:r>
      <w:r w:rsidR="009D2DF3" w:rsidRPr="009D2DF3">
        <w:rPr>
          <w:rFonts w:hint="eastAsia"/>
        </w:rPr>
        <w:t>外部条件→（管理制度）→（资源配置）→项目群实施→项目群绩效</w:t>
      </w:r>
    </w:p>
    <w:p w14:paraId="7E1C52B2" w14:textId="77777777" w:rsidR="009D2DF3" w:rsidRDefault="009D2DF3" w:rsidP="009D2DF3">
      <w:pPr>
        <w:ind w:firstLine="420"/>
      </w:pPr>
      <w:r w:rsidRPr="005C51C0">
        <w:rPr>
          <w:rFonts w:hint="eastAsia"/>
        </w:rPr>
        <w:t>首先，清洁能源基地的外部条件能够直接影响项目群的实施水平，进而提升项目群绩效。适宜的建设环境</w:t>
      </w:r>
      <w:r>
        <w:rPr>
          <w:rFonts w:hint="eastAsia"/>
        </w:rPr>
        <w:t>、良好的征地移民条件</w:t>
      </w:r>
      <w:r w:rsidRPr="005C51C0">
        <w:rPr>
          <w:rFonts w:hint="eastAsia"/>
        </w:rPr>
        <w:t>、丰富的资源禀赋及其互补特性</w:t>
      </w:r>
      <w:r>
        <w:rPr>
          <w:rFonts w:hint="eastAsia"/>
        </w:rPr>
        <w:t>是</w:t>
      </w:r>
      <w:r w:rsidRPr="005C51C0">
        <w:rPr>
          <w:rFonts w:hint="eastAsia"/>
        </w:rPr>
        <w:t>清洁能源基地</w:t>
      </w:r>
      <w:r>
        <w:rPr>
          <w:rFonts w:hint="eastAsia"/>
        </w:rPr>
        <w:t>具备技术可行性并</w:t>
      </w:r>
      <w:r w:rsidRPr="005C51C0">
        <w:rPr>
          <w:rFonts w:hint="eastAsia"/>
        </w:rPr>
        <w:t>顺利</w:t>
      </w:r>
      <w:r>
        <w:rPr>
          <w:rFonts w:hint="eastAsia"/>
        </w:rPr>
        <w:t>开工</w:t>
      </w:r>
      <w:r w:rsidRPr="005C51C0">
        <w:rPr>
          <w:rFonts w:hint="eastAsia"/>
        </w:rPr>
        <w:t>的基础。</w:t>
      </w:r>
      <w:r>
        <w:rPr>
          <w:rFonts w:hint="eastAsia"/>
        </w:rPr>
        <w:t>良好的外部条件也</w:t>
      </w:r>
      <w:r w:rsidRPr="005C51C0">
        <w:rPr>
          <w:rFonts w:hint="eastAsia"/>
        </w:rPr>
        <w:t>能够有效降低设计、施工、采购环节的技术复杂性，从而提升</w:t>
      </w:r>
      <w:r>
        <w:rPr>
          <w:rFonts w:hint="eastAsia"/>
        </w:rPr>
        <w:t>清洁能源基地</w:t>
      </w:r>
      <w:r w:rsidRPr="005C51C0">
        <w:rPr>
          <w:rFonts w:hint="eastAsia"/>
        </w:rPr>
        <w:t>的实施水平</w:t>
      </w:r>
      <w:r>
        <w:rPr>
          <w:rFonts w:hint="eastAsia"/>
        </w:rPr>
        <w:t>，</w:t>
      </w:r>
      <w:r w:rsidRPr="005C51C0">
        <w:rPr>
          <w:rFonts w:hint="eastAsia"/>
        </w:rPr>
        <w:t>节约建设成本、降低安全风</w:t>
      </w:r>
      <w:r w:rsidRPr="005C51C0">
        <w:rPr>
          <w:rFonts w:hint="eastAsia"/>
        </w:rPr>
        <w:t>险、保障施工进度与质量，</w:t>
      </w:r>
      <w:r>
        <w:rPr>
          <w:rFonts w:hint="eastAsia"/>
        </w:rPr>
        <w:t>进而</w:t>
      </w:r>
      <w:r w:rsidRPr="005C51C0">
        <w:rPr>
          <w:rFonts w:hint="eastAsia"/>
        </w:rPr>
        <w:t>提升项目群绩效。其次，适宜的自然环境</w:t>
      </w:r>
      <w:r>
        <w:rPr>
          <w:rFonts w:hint="eastAsia"/>
        </w:rPr>
        <w:t>与</w:t>
      </w:r>
      <w:r w:rsidRPr="005C51C0">
        <w:rPr>
          <w:rFonts w:hint="eastAsia"/>
        </w:rPr>
        <w:t>完善的交通基础设施</w:t>
      </w:r>
      <w:r>
        <w:rPr>
          <w:rFonts w:hint="eastAsia"/>
        </w:rPr>
        <w:t>能够</w:t>
      </w:r>
      <w:r w:rsidRPr="005C51C0">
        <w:rPr>
          <w:rFonts w:hint="eastAsia"/>
        </w:rPr>
        <w:t>提高设备与材料的运输效率，确保资源能够精准、高效地调度和投入，从而保障</w:t>
      </w:r>
      <w:r>
        <w:rPr>
          <w:rFonts w:hint="eastAsia"/>
        </w:rPr>
        <w:t>清洁能源基地实施</w:t>
      </w:r>
      <w:r w:rsidRPr="005C51C0">
        <w:rPr>
          <w:rFonts w:hint="eastAsia"/>
        </w:rPr>
        <w:t>的顺利推进，</w:t>
      </w:r>
      <w:r>
        <w:rPr>
          <w:rFonts w:hint="eastAsia"/>
        </w:rPr>
        <w:t>并</w:t>
      </w:r>
      <w:r w:rsidRPr="005C51C0">
        <w:rPr>
          <w:rFonts w:hint="eastAsia"/>
        </w:rPr>
        <w:t>最终</w:t>
      </w:r>
      <w:r>
        <w:rPr>
          <w:rFonts w:hint="eastAsia"/>
        </w:rPr>
        <w:t>实现</w:t>
      </w:r>
      <w:r w:rsidRPr="005C51C0">
        <w:rPr>
          <w:rFonts w:hint="eastAsia"/>
        </w:rPr>
        <w:t>项目群绩效的提升。</w:t>
      </w:r>
      <w:r>
        <w:rPr>
          <w:rFonts w:hint="eastAsia"/>
        </w:rPr>
        <w:t>此外，</w:t>
      </w:r>
      <w:r w:rsidRPr="005C51C0">
        <w:rPr>
          <w:rFonts w:hint="eastAsia"/>
        </w:rPr>
        <w:t>良好的外部环境为清洁能源基地的开发提供了技术支持、财税优惠、人才引进等政策保障，并促使基地制定系统化的专业技能培训与知识管理制度，以高效整合和利用内外部资源。</w:t>
      </w:r>
      <w:r>
        <w:t>在此基础上，</w:t>
      </w:r>
      <w:r w:rsidRPr="009D2DF3">
        <w:rPr>
          <w:rStyle w:val="a3"/>
          <w:b w:val="0"/>
          <w:bCs w:val="0"/>
        </w:rPr>
        <w:t>合理的资源配置</w:t>
      </w:r>
      <w:r w:rsidRPr="009D2DF3">
        <w:rPr>
          <w:rStyle w:val="a3"/>
          <w:rFonts w:hint="eastAsia"/>
          <w:b w:val="0"/>
          <w:bCs w:val="0"/>
        </w:rPr>
        <w:t>能够提高</w:t>
      </w:r>
      <w:r w:rsidRPr="00250D44">
        <w:t>项目群实施</w:t>
      </w:r>
      <w:r>
        <w:rPr>
          <w:rFonts w:hint="eastAsia"/>
        </w:rPr>
        <w:t>效率，</w:t>
      </w:r>
      <w:r w:rsidRPr="005C51C0">
        <w:rPr>
          <w:rFonts w:hint="eastAsia"/>
        </w:rPr>
        <w:t>降低施工成本，</w:t>
      </w:r>
      <w:r>
        <w:rPr>
          <w:rFonts w:hint="eastAsia"/>
        </w:rPr>
        <w:t>并</w:t>
      </w:r>
      <w:r w:rsidRPr="005C51C0">
        <w:rPr>
          <w:rFonts w:hint="eastAsia"/>
        </w:rPr>
        <w:t>进一步提升项目群绩效</w:t>
      </w:r>
      <w:r>
        <w:rPr>
          <w:rFonts w:hint="eastAsia"/>
        </w:rPr>
        <w:t>。</w:t>
      </w:r>
    </w:p>
    <w:p w14:paraId="3040A20D" w14:textId="4BD3FE15" w:rsidR="009D2DF3" w:rsidRDefault="009D2DF3" w:rsidP="009D2DF3">
      <w:pPr>
        <w:pStyle w:val="3"/>
      </w:pPr>
      <w:r w:rsidRPr="009D2DF3">
        <w:rPr>
          <w:rFonts w:hint="eastAsia"/>
        </w:rPr>
        <w:t>路径</w:t>
      </w:r>
      <w:r w:rsidRPr="009D2DF3">
        <w:rPr>
          <w:rFonts w:hint="eastAsia"/>
        </w:rPr>
        <w:t>C</w:t>
      </w:r>
      <w:r w:rsidRPr="009D2DF3">
        <w:rPr>
          <w:rFonts w:hint="eastAsia"/>
        </w:rPr>
        <w:t>：业主项目群管理能力→（伙伴关系）→项目群运营→项目群绩效</w:t>
      </w:r>
    </w:p>
    <w:p w14:paraId="5E54BF81" w14:textId="7C5187C3" w:rsidR="009D2DF3" w:rsidRDefault="009D2DF3" w:rsidP="009D2DF3">
      <w:pPr>
        <w:ind w:firstLine="420"/>
      </w:pPr>
      <w:r w:rsidRPr="009D2DF3">
        <w:rPr>
          <w:rFonts w:hint="eastAsia"/>
        </w:rPr>
        <w:t>业主是清洁能源基地运营的核心相关方，其项目群管理能力能够直接影响清洁能源基地的运营水平，并作用于项目群绩效。首先，业主通过提升信息技术应用能力，建设智能调度系统，能够实时监测各电站运营情况，提升出力预测精度，从而提高对风、光出力波动性的调节能力，并及时响应负荷变化。业主的动态管理能力不仅能够及时跟踪前沿技术发展，通过应用先进技术提升运行效率，也有助于精准识别并解决运营过程中出现的问题，从而确保基地的安全稳定运行。整体而言，上述作用不仅能够减少弃风、弃光，促进清洁能源消纳，还能够降低运维成本，进而提高项目群绩效。其次，业主通过推动利益相关各方沟通协作，构建跨组织、跨项目的协同机制，有助于提升清洁能源基地中各电站的协同运营水平。业主通过建立统一的信息共享平台，也能够推动各电站间实时共享运行数据、市场交易信息，从而提升各子项目在多能互补、并网调度、灵活交易等方面的协同效率。此外，业主加强与电网企业、政府监管机构、市场运营主体的合作，则有助于清洁能源基地顺利并网，及时优化电力市场参与策略，最终提升项目群绩效。</w:t>
      </w:r>
    </w:p>
    <w:p w14:paraId="5C1A5146" w14:textId="5D3D208B" w:rsidR="009D2DF3" w:rsidRDefault="009D2DF3" w:rsidP="009D2DF3">
      <w:pPr>
        <w:pStyle w:val="3"/>
      </w:pPr>
      <w:r w:rsidRPr="009D2DF3">
        <w:rPr>
          <w:rFonts w:hint="eastAsia"/>
        </w:rPr>
        <w:t>路径</w:t>
      </w:r>
      <w:r w:rsidRPr="009D2DF3">
        <w:rPr>
          <w:rFonts w:hint="eastAsia"/>
        </w:rPr>
        <w:t>D</w:t>
      </w:r>
      <w:r w:rsidRPr="009D2DF3">
        <w:rPr>
          <w:rFonts w:hint="eastAsia"/>
        </w:rPr>
        <w:t>：业主项目群管理能力→（管理制度）→资源配置→项目群实施→项目群绩效</w:t>
      </w:r>
    </w:p>
    <w:p w14:paraId="40593DDE" w14:textId="77777777" w:rsidR="009D2DF3" w:rsidRPr="00FC565D" w:rsidRDefault="009D2DF3" w:rsidP="009D2DF3">
      <w:pPr>
        <w:ind w:firstLine="420"/>
        <w:rPr>
          <w:color w:val="FF0000"/>
        </w:rPr>
      </w:pPr>
      <w:r w:rsidRPr="00D454D2">
        <w:rPr>
          <w:rFonts w:hint="eastAsia"/>
        </w:rPr>
        <w:t>在清洁能源基地一体化管理过程中，业主的目标管理能力发挥着关键作用。清洁能源基地的开发涉及水、风、光、储等多项目的同步推进与协同管理，业主需精准识别各阶段资金、设备、人力及技术需求，并通过优化资源配置策略，确保各子项目按计划推进，减少资源错配，提高项目群实施效率，最终提升项目群绩效。业主的动态感知与调整能力使其能够精准监测资源需求变化，并及时优化配置</w:t>
      </w:r>
      <w:r w:rsidRPr="00D454D2">
        <w:rPr>
          <w:rFonts w:hint="eastAsia"/>
        </w:rPr>
        <w:lastRenderedPageBreak/>
        <w:t>策略，以提升整体施工效率。此外，业主借助信息技术构建数字化资源管理平台，</w:t>
      </w:r>
      <w:r>
        <w:rPr>
          <w:rFonts w:hint="eastAsia"/>
        </w:rPr>
        <w:t>能够</w:t>
      </w:r>
      <w:r w:rsidRPr="00D454D2">
        <w:rPr>
          <w:rFonts w:hint="eastAsia"/>
        </w:rPr>
        <w:t>实现资源配置过程的可视化与智能化管理，</w:t>
      </w:r>
      <w:r>
        <w:rPr>
          <w:rFonts w:hint="eastAsia"/>
        </w:rPr>
        <w:t>有效提升</w:t>
      </w:r>
      <w:r w:rsidRPr="00D454D2">
        <w:rPr>
          <w:rFonts w:hint="eastAsia"/>
        </w:rPr>
        <w:t>资源利用</w:t>
      </w:r>
      <w:r>
        <w:rPr>
          <w:rFonts w:hint="eastAsia"/>
        </w:rPr>
        <w:t>效率</w:t>
      </w:r>
      <w:r w:rsidRPr="00D454D2">
        <w:rPr>
          <w:rFonts w:hint="eastAsia"/>
        </w:rPr>
        <w:t>，并确保项目群高效</w:t>
      </w:r>
      <w:r>
        <w:rPr>
          <w:rFonts w:hint="eastAsia"/>
        </w:rPr>
        <w:t>开发</w:t>
      </w:r>
      <w:r w:rsidRPr="00DE0C6C">
        <w:rPr>
          <w:rFonts w:hint="eastAsia"/>
        </w:rPr>
        <w:t>。</w:t>
      </w:r>
    </w:p>
    <w:p w14:paraId="2F9C3ED1" w14:textId="3AA74384" w:rsidR="009D2DF3" w:rsidRPr="009D2DF3" w:rsidRDefault="009D2DF3" w:rsidP="009D2DF3">
      <w:pPr>
        <w:ind w:firstLineChars="202" w:firstLine="424"/>
      </w:pPr>
      <w:r>
        <w:rPr>
          <w:rFonts w:hint="eastAsia"/>
        </w:rPr>
        <w:t>业主也能够通过建立专业技术培训、外部专家咨询机制，</w:t>
      </w:r>
      <w:r w:rsidRPr="00A963C8">
        <w:rPr>
          <w:rFonts w:hint="eastAsia"/>
        </w:rPr>
        <w:t>及时引入外部</w:t>
      </w:r>
      <w:r>
        <w:rPr>
          <w:rFonts w:hint="eastAsia"/>
        </w:rPr>
        <w:t>技术支持，提高清洁能源基地的实施水平，保障施工进度，进一步提升基地的整体绩效。在采购管理方面，业主从项目群视角构建系统的采购管理体系，能够统筹调配场内物资，提高资源利用效率；通过建立考核评估与激励机制，则有助于优化供应商选择，</w:t>
      </w:r>
      <w:r w:rsidRPr="009921E9">
        <w:rPr>
          <w:rFonts w:hint="eastAsia"/>
        </w:rPr>
        <w:t>确保设备与材料的质量，同时提升采购方案的经济性</w:t>
      </w:r>
      <w:r>
        <w:rPr>
          <w:rFonts w:hint="eastAsia"/>
        </w:rPr>
        <w:t>。总体上</w:t>
      </w:r>
      <w:r w:rsidRPr="004F4960">
        <w:rPr>
          <w:rFonts w:hint="eastAsia"/>
        </w:rPr>
        <w:t>，</w:t>
      </w:r>
      <w:r>
        <w:rPr>
          <w:rFonts w:hint="eastAsia"/>
        </w:rPr>
        <w:t>上述作用能够提高资源利用效率，</w:t>
      </w:r>
      <w:r>
        <w:t>降低</w:t>
      </w:r>
      <w:r>
        <w:rPr>
          <w:rFonts w:hint="eastAsia"/>
        </w:rPr>
        <w:t>建设</w:t>
      </w:r>
      <w:r>
        <w:t>成本，</w:t>
      </w:r>
      <w:r>
        <w:rPr>
          <w:rFonts w:hint="eastAsia"/>
        </w:rPr>
        <w:t>进而提升</w:t>
      </w:r>
      <w:r>
        <w:t>清洁能源基地</w:t>
      </w:r>
      <w:r>
        <w:rPr>
          <w:rFonts w:hint="eastAsia"/>
        </w:rPr>
        <w:t>绩效。</w:t>
      </w:r>
    </w:p>
    <w:p w14:paraId="47D0AAC2" w14:textId="7CBBFB50" w:rsidR="00304090" w:rsidRDefault="00FD3419" w:rsidP="00166AE2">
      <w:pPr>
        <w:pStyle w:val="1"/>
      </w:pPr>
      <w:r w:rsidRPr="00FD3419">
        <w:rPr>
          <w:rFonts w:hint="eastAsia"/>
        </w:rPr>
        <w:t>清洁能源基地一体化管理策略</w:t>
      </w:r>
    </w:p>
    <w:p w14:paraId="2F2453C0" w14:textId="10123B9B" w:rsidR="00FD3419" w:rsidRDefault="00FD3419" w:rsidP="00FD3419">
      <w:pPr>
        <w:ind w:firstLine="422"/>
        <w:rPr>
          <w:b/>
          <w:bCs/>
        </w:rPr>
      </w:pPr>
      <w:r w:rsidRPr="006C35E9">
        <w:rPr>
          <w:rFonts w:hint="eastAsia"/>
          <w:b/>
          <w:bCs/>
        </w:rPr>
        <w:t>（</w:t>
      </w:r>
      <w:r>
        <w:rPr>
          <w:rFonts w:hint="eastAsia"/>
          <w:b/>
          <w:bCs/>
        </w:rPr>
        <w:t>1</w:t>
      </w:r>
      <w:r w:rsidRPr="006C35E9">
        <w:rPr>
          <w:rFonts w:hint="eastAsia"/>
          <w:b/>
          <w:bCs/>
        </w:rPr>
        <w:t>）提高</w:t>
      </w:r>
      <w:r w:rsidRPr="00FD3419">
        <w:rPr>
          <w:rFonts w:cs="Times New Roman" w:hint="eastAsia"/>
          <w:b/>
          <w:bCs/>
        </w:rPr>
        <w:t>多能互补系统建设</w:t>
      </w:r>
      <w:r>
        <w:rPr>
          <w:rFonts w:cs="Times New Roman" w:hint="eastAsia"/>
          <w:b/>
          <w:bCs/>
        </w:rPr>
        <w:t>水平</w:t>
      </w:r>
      <w:r>
        <w:rPr>
          <w:rFonts w:hint="eastAsia"/>
        </w:rPr>
        <w:t>：根据调研结果，清洁能源基地运营方面，</w:t>
      </w:r>
      <w:r>
        <w:rPr>
          <w:rFonts w:hint="eastAsia"/>
          <w:color w:val="000000"/>
        </w:rPr>
        <w:t>水风光储多能互补得分最低</w:t>
      </w:r>
      <w:r>
        <w:rPr>
          <w:rFonts w:hint="eastAsia"/>
        </w:rPr>
        <w:t>（见</w:t>
      </w:r>
      <w:r>
        <w:fldChar w:fldCharType="begin"/>
      </w:r>
      <w:r>
        <w:instrText xml:space="preserve"> </w:instrText>
      </w:r>
      <w:r>
        <w:rPr>
          <w:rFonts w:hint="eastAsia"/>
        </w:rPr>
        <w:instrText>REF _Ref200169756 \h</w:instrText>
      </w:r>
      <w:r>
        <w:instrText xml:space="preserve"> </w:instrText>
      </w:r>
      <w:r>
        <w:fldChar w:fldCharType="separate"/>
      </w:r>
      <w:r w:rsidR="000F2689">
        <w:rPr>
          <w:rFonts w:hint="eastAsia"/>
        </w:rPr>
        <w:t>表</w:t>
      </w:r>
      <w:r w:rsidR="000F2689">
        <w:rPr>
          <w:rFonts w:hint="eastAsia"/>
        </w:rPr>
        <w:t xml:space="preserve"> </w:t>
      </w:r>
      <w:r w:rsidR="000F2689">
        <w:rPr>
          <w:noProof/>
        </w:rPr>
        <w:t>8</w:t>
      </w:r>
      <w:r>
        <w:fldChar w:fldCharType="end"/>
      </w:r>
      <w:r>
        <w:rPr>
          <w:rFonts w:hint="eastAsia"/>
        </w:rPr>
        <w:t>）；业主项目群管理能力方面，</w:t>
      </w:r>
      <w:r w:rsidRPr="00435F90">
        <w:rPr>
          <w:rFonts w:hint="eastAsia"/>
          <w:bCs/>
        </w:rPr>
        <w:t>水风光储多能互补智能管控</w:t>
      </w:r>
      <w:r>
        <w:rPr>
          <w:rFonts w:hint="eastAsia"/>
          <w:bCs/>
        </w:rPr>
        <w:t>得分最低，</w:t>
      </w:r>
      <w:r>
        <w:t>在系统集成、出力预测精度及调度优化算法等</w:t>
      </w:r>
      <w:r>
        <w:rPr>
          <w:rFonts w:hint="eastAsia"/>
        </w:rPr>
        <w:t>方面的水平亟待提升（见</w:t>
      </w:r>
      <w:r>
        <w:fldChar w:fldCharType="begin"/>
      </w:r>
      <w:r>
        <w:instrText xml:space="preserve"> </w:instrText>
      </w:r>
      <w:r>
        <w:rPr>
          <w:rFonts w:hint="eastAsia"/>
        </w:rPr>
        <w:instrText>REF _Ref174346061 \h</w:instrText>
      </w:r>
      <w:r>
        <w:instrText xml:space="preserve"> </w:instrText>
      </w:r>
      <w:r>
        <w:fldChar w:fldCharType="separate"/>
      </w:r>
      <w:r w:rsidR="000F2689">
        <w:rPr>
          <w:rFonts w:hint="eastAsia"/>
        </w:rPr>
        <w:t>表</w:t>
      </w:r>
      <w:r w:rsidR="000F2689">
        <w:rPr>
          <w:rFonts w:hint="eastAsia"/>
        </w:rPr>
        <w:t xml:space="preserve"> </w:t>
      </w:r>
      <w:r w:rsidR="000F2689">
        <w:rPr>
          <w:noProof/>
        </w:rPr>
        <w:t>3</w:t>
      </w:r>
      <w:r>
        <w:fldChar w:fldCharType="end"/>
      </w:r>
      <w:r>
        <w:rPr>
          <w:rFonts w:hint="eastAsia"/>
        </w:rPr>
        <w:t>）。因此，需</w:t>
      </w:r>
      <w:r w:rsidRPr="00C273DF">
        <w:rPr>
          <w:rFonts w:hint="eastAsia"/>
        </w:rPr>
        <w:t>加强政府、企业、</w:t>
      </w:r>
      <w:r>
        <w:rPr>
          <w:rFonts w:hint="eastAsia"/>
        </w:rPr>
        <w:t>高校</w:t>
      </w:r>
      <w:r w:rsidRPr="00C273DF">
        <w:rPr>
          <w:rFonts w:hint="eastAsia"/>
        </w:rPr>
        <w:t>、研究机构之间的技术协作，针对多能互补系统开展核心技术攻关</w:t>
      </w:r>
      <w:r>
        <w:rPr>
          <w:rFonts w:hint="eastAsia"/>
        </w:rPr>
        <w:t>。</w:t>
      </w:r>
      <w:r>
        <w:t>通过政府扶持、企业试点等方式，加速多能互补技术的产业化落地</w:t>
      </w:r>
      <w:r w:rsidR="00537C96">
        <w:rPr>
          <w:rFonts w:hint="eastAsia"/>
        </w:rPr>
        <w:t>。同时，</w:t>
      </w:r>
      <w:r w:rsidRPr="00C273DF">
        <w:rPr>
          <w:rFonts w:hint="eastAsia"/>
        </w:rPr>
        <w:t>推动多能互补示范工程建设</w:t>
      </w:r>
      <w:r w:rsidRPr="00A96DD0">
        <w:rPr>
          <w:rFonts w:hint="eastAsia"/>
        </w:rPr>
        <w:t>，为行业提供可复制、可推广的工程实践经验</w:t>
      </w:r>
      <w:r>
        <w:rPr>
          <w:rFonts w:hint="eastAsia"/>
        </w:rPr>
        <w:t>。</w:t>
      </w:r>
    </w:p>
    <w:p w14:paraId="7E157B39" w14:textId="0953E259" w:rsidR="006C35E9" w:rsidRPr="006C35E9" w:rsidRDefault="006C35E9" w:rsidP="006C35E9">
      <w:pPr>
        <w:ind w:firstLine="422"/>
      </w:pPr>
      <w:r w:rsidRPr="006C35E9">
        <w:rPr>
          <w:rFonts w:hint="eastAsia"/>
          <w:b/>
          <w:bCs/>
        </w:rPr>
        <w:t>（</w:t>
      </w:r>
      <w:r w:rsidR="00FD3419">
        <w:rPr>
          <w:rFonts w:hint="eastAsia"/>
          <w:b/>
          <w:bCs/>
        </w:rPr>
        <w:t>2</w:t>
      </w:r>
      <w:r w:rsidRPr="006C35E9">
        <w:rPr>
          <w:rFonts w:hint="eastAsia"/>
          <w:b/>
          <w:bCs/>
        </w:rPr>
        <w:t>）</w:t>
      </w:r>
      <w:r w:rsidR="00FD3419">
        <w:rPr>
          <w:rFonts w:cs="Times New Roman" w:hint="eastAsia"/>
          <w:b/>
          <w:bCs/>
        </w:rPr>
        <w:t>加强清洁能源基地项目群数字化管理</w:t>
      </w:r>
      <w:r>
        <w:rPr>
          <w:rFonts w:cs="Times New Roman" w:hint="eastAsia"/>
        </w:rPr>
        <w:t>：</w:t>
      </w:r>
      <w:r w:rsidR="00FD3419">
        <w:rPr>
          <w:rFonts w:hint="eastAsia"/>
        </w:rPr>
        <w:t>清洁能源基地建设周期长，需进行多个电站的联合开发，以及众多相关方的统筹管理。因此，清洁能源基地在开发过程中涉及复杂的业务流程、组织架构和大量的工程信息。随着我国信息技术、计算资源的不断进步，在项目群层面建立统一的信息系统，提升数字化管理能力，能够有效提高管理效率，协助业主从战略视角对项目群进行调控</w:t>
      </w:r>
      <w:r w:rsidR="00471D48">
        <w:rPr>
          <w:rFonts w:hint="eastAsia"/>
        </w:rPr>
        <w:t>。</w:t>
      </w:r>
    </w:p>
    <w:p w14:paraId="0252E141" w14:textId="0C73FA32" w:rsidR="006C35E9" w:rsidRDefault="006C35E9" w:rsidP="006C35E9">
      <w:pPr>
        <w:ind w:firstLine="422"/>
        <w:rPr>
          <w:rFonts w:cs="Times New Roman"/>
        </w:rPr>
      </w:pPr>
      <w:r w:rsidRPr="006C35E9">
        <w:rPr>
          <w:rFonts w:hint="eastAsia"/>
          <w:b/>
          <w:bCs/>
        </w:rPr>
        <w:t>（</w:t>
      </w:r>
      <w:r w:rsidRPr="006C35E9">
        <w:rPr>
          <w:rFonts w:hint="eastAsia"/>
          <w:b/>
          <w:bCs/>
        </w:rPr>
        <w:t>3</w:t>
      </w:r>
      <w:r w:rsidRPr="006C35E9">
        <w:rPr>
          <w:rFonts w:hint="eastAsia"/>
          <w:b/>
          <w:bCs/>
        </w:rPr>
        <w:t>）</w:t>
      </w:r>
      <w:bookmarkStart w:id="36" w:name="_Toc198492847"/>
      <w:r w:rsidR="00FD3419">
        <w:rPr>
          <w:rFonts w:cs="Times New Roman" w:hint="eastAsia"/>
          <w:b/>
          <w:bCs/>
        </w:rPr>
        <w:t>推进</w:t>
      </w:r>
      <w:r w:rsidR="00FD3419" w:rsidRPr="00FD3419">
        <w:rPr>
          <w:rFonts w:hint="eastAsia"/>
          <w:b/>
          <w:bCs/>
        </w:rPr>
        <w:t>设计、采购、施工、运维一体化管理</w:t>
      </w:r>
      <w:bookmarkEnd w:id="36"/>
      <w:r>
        <w:rPr>
          <w:rFonts w:cs="Times New Roman" w:hint="eastAsia"/>
        </w:rPr>
        <w:t>：</w:t>
      </w:r>
      <w:r w:rsidR="00FD3419">
        <w:t>清洁能源基地各环节</w:t>
      </w:r>
      <w:r w:rsidR="00FD3419">
        <w:rPr>
          <w:rFonts w:hint="eastAsia"/>
        </w:rPr>
        <w:t>、各</w:t>
      </w:r>
      <w:r w:rsidR="00FD3419">
        <w:t>项目</w:t>
      </w:r>
      <w:r w:rsidR="00FD3419">
        <w:rPr>
          <w:rFonts w:hint="eastAsia"/>
        </w:rPr>
        <w:t>间信息反馈不及时、管理边界模糊</w:t>
      </w:r>
      <w:r w:rsidR="00FD3419">
        <w:t>，</w:t>
      </w:r>
      <w:r w:rsidR="00FD3419">
        <w:rPr>
          <w:rFonts w:hint="eastAsia"/>
        </w:rPr>
        <w:t>将</w:t>
      </w:r>
      <w:r w:rsidR="00FD3419">
        <w:t>引发资源浪费、调度冲突以及运营效率低下等问题</w:t>
      </w:r>
      <w:r w:rsidR="00FD3419">
        <w:rPr>
          <w:rFonts w:hint="eastAsia"/>
        </w:rPr>
        <w:t>。</w:t>
      </w:r>
      <w:r w:rsidR="00FD3419" w:rsidRPr="0075739A">
        <w:rPr>
          <w:rFonts w:hint="eastAsia"/>
        </w:rPr>
        <w:t>需</w:t>
      </w:r>
      <w:r w:rsidR="00537C96" w:rsidRPr="00C273DF">
        <w:rPr>
          <w:rFonts w:hint="eastAsia"/>
        </w:rPr>
        <w:t>明确清洁能源基地内各电站建设与运维需求</w:t>
      </w:r>
      <w:r w:rsidR="00537C96">
        <w:rPr>
          <w:rFonts w:hint="eastAsia"/>
        </w:rPr>
        <w:t>，</w:t>
      </w:r>
      <w:r w:rsidR="00FD3419" w:rsidRPr="0075739A">
        <w:t>采用一体化管理策略，从全生命周期的视角统筹清洁能源基地的</w:t>
      </w:r>
      <w:r w:rsidR="00FD3419" w:rsidRPr="00FD3419">
        <w:rPr>
          <w:rStyle w:val="a3"/>
          <w:b w:val="0"/>
          <w:bCs w:val="0"/>
        </w:rPr>
        <w:t>设计、采购、施工及运维</w:t>
      </w:r>
      <w:r w:rsidR="00FD3419" w:rsidRPr="00FD3419">
        <w:t>，</w:t>
      </w:r>
      <w:r w:rsidR="00FD3419" w:rsidRPr="0075739A">
        <w:t>确保各环节高效衔接，提高清洁能源基地</w:t>
      </w:r>
      <w:r w:rsidR="00FD3419">
        <w:rPr>
          <w:rFonts w:hint="eastAsia"/>
        </w:rPr>
        <w:t>绩效。</w:t>
      </w:r>
    </w:p>
    <w:p w14:paraId="1DC27159" w14:textId="054F6031" w:rsidR="006C35E9" w:rsidRDefault="006C35E9" w:rsidP="006D6E88">
      <w:pPr>
        <w:ind w:firstLine="422"/>
      </w:pPr>
      <w:r w:rsidRPr="006C35E9">
        <w:rPr>
          <w:rFonts w:hint="eastAsia"/>
          <w:b/>
          <w:bCs/>
        </w:rPr>
        <w:t>（</w:t>
      </w:r>
      <w:r w:rsidRPr="006C35E9">
        <w:rPr>
          <w:rFonts w:hint="eastAsia"/>
          <w:b/>
          <w:bCs/>
        </w:rPr>
        <w:t>4</w:t>
      </w:r>
      <w:r w:rsidRPr="006C35E9">
        <w:rPr>
          <w:rFonts w:hint="eastAsia"/>
          <w:b/>
          <w:bCs/>
        </w:rPr>
        <w:t>）</w:t>
      </w:r>
      <w:r w:rsidR="00537C96">
        <w:rPr>
          <w:rFonts w:hint="eastAsia"/>
          <w:b/>
          <w:bCs/>
        </w:rPr>
        <w:t>构建</w:t>
      </w:r>
      <w:r w:rsidR="00537C96" w:rsidRPr="00537C96">
        <w:rPr>
          <w:rFonts w:hint="eastAsia"/>
          <w:b/>
          <w:bCs/>
        </w:rPr>
        <w:t>业主、政府、电网公司、当地居民</w:t>
      </w:r>
      <w:r w:rsidR="00537C96" w:rsidRPr="00537C96">
        <w:rPr>
          <w:rFonts w:hint="eastAsia"/>
          <w:b/>
          <w:bCs/>
        </w:rPr>
        <w:t>伙伴关系</w:t>
      </w:r>
      <w:r>
        <w:rPr>
          <w:rFonts w:hint="eastAsia"/>
        </w:rPr>
        <w:t>：</w:t>
      </w:r>
      <w:r w:rsidR="00537C96" w:rsidRPr="005B06A8">
        <w:rPr>
          <w:rFonts w:cs="Times New Roman" w:hint="eastAsia"/>
          <w:kern w:val="0"/>
          <w:szCs w:val="20"/>
        </w:rPr>
        <w:t>清洁能源基地开发</w:t>
      </w:r>
      <w:r w:rsidR="00537C96">
        <w:rPr>
          <w:rFonts w:cs="Times New Roman" w:hint="eastAsia"/>
          <w:kern w:val="0"/>
          <w:szCs w:val="20"/>
        </w:rPr>
        <w:t>作为我国推进能源结构转型的重要战略举措</w:t>
      </w:r>
      <w:r w:rsidR="00537C96" w:rsidRPr="00DA6DE8">
        <w:rPr>
          <w:rFonts w:hint="eastAsia"/>
        </w:rPr>
        <w:t>，其规划、建设和运营涉及政府、电网公司及当地居民等多个利益相关方</w:t>
      </w:r>
      <w:r w:rsidR="00471D48">
        <w:rPr>
          <w:rFonts w:hint="eastAsia"/>
        </w:rPr>
        <w:t>。</w:t>
      </w:r>
      <w:r w:rsidR="00537C96" w:rsidRPr="00DA6DE8">
        <w:rPr>
          <w:rFonts w:hint="eastAsia"/>
        </w:rPr>
        <w:t>这些主体虽不直接参与项目投资与建设，但对项目的审批落地、并网消纳、社会接受度及长期可持续运营起</w:t>
      </w:r>
      <w:r w:rsidR="00537C96">
        <w:rPr>
          <w:rFonts w:hint="eastAsia"/>
        </w:rPr>
        <w:t>到</w:t>
      </w:r>
      <w:r w:rsidR="00537C96" w:rsidRPr="00DA6DE8">
        <w:rPr>
          <w:rFonts w:hint="eastAsia"/>
        </w:rPr>
        <w:t>至关重要的作用。</w:t>
      </w:r>
      <w:r w:rsidR="00537C96">
        <w:rPr>
          <w:rFonts w:hint="eastAsia"/>
        </w:rPr>
        <w:t>应</w:t>
      </w:r>
      <w:r w:rsidR="00537C96" w:rsidRPr="00C273DF">
        <w:rPr>
          <w:rFonts w:hint="eastAsia"/>
        </w:rPr>
        <w:t>加强业主与政府的沟通与协作，确保基地规划符合相关制度需求，提高审批效率</w:t>
      </w:r>
      <w:r w:rsidR="00537C96">
        <w:rPr>
          <w:rFonts w:hint="eastAsia"/>
        </w:rPr>
        <w:t>；并</w:t>
      </w:r>
      <w:r w:rsidR="00537C96" w:rsidRPr="00C273DF">
        <w:rPr>
          <w:rFonts w:hint="eastAsia"/>
        </w:rPr>
        <w:t>强化业主与电网公司的协同，确保电网基础设施建设完善，优化新能源并网策略</w:t>
      </w:r>
      <w:r w:rsidR="00537C96">
        <w:rPr>
          <w:rFonts w:hint="eastAsia"/>
        </w:rPr>
        <w:t>。此外，也应</w:t>
      </w:r>
      <w:r w:rsidR="00537C96" w:rsidRPr="00C273DF">
        <w:rPr>
          <w:rFonts w:hint="eastAsia"/>
        </w:rPr>
        <w:t>重视清洁能源基地开发的环境与社会影响评估，充分考虑当地居民利益</w:t>
      </w:r>
      <w:r w:rsidR="00537C96">
        <w:rPr>
          <w:rFonts w:hint="eastAsia"/>
        </w:rPr>
        <w:t>以及</w:t>
      </w:r>
      <w:r w:rsidR="00537C96" w:rsidRPr="00C273DF">
        <w:rPr>
          <w:rFonts w:hint="eastAsia"/>
        </w:rPr>
        <w:t>地方经济发展</w:t>
      </w:r>
      <w:r w:rsidR="00537C96">
        <w:rPr>
          <w:rFonts w:hint="eastAsia"/>
        </w:rPr>
        <w:t>。</w:t>
      </w:r>
    </w:p>
    <w:p w14:paraId="19CB77C7" w14:textId="579E5934" w:rsidR="006F7763" w:rsidRDefault="006F7763" w:rsidP="006D6E88">
      <w:pPr>
        <w:ind w:firstLine="422"/>
      </w:pPr>
      <w:r w:rsidRPr="006F7763">
        <w:rPr>
          <w:rFonts w:hint="eastAsia"/>
          <w:b/>
          <w:bCs/>
        </w:rPr>
        <w:t>（</w:t>
      </w:r>
      <w:r w:rsidRPr="006F7763">
        <w:rPr>
          <w:rFonts w:hint="eastAsia"/>
          <w:b/>
          <w:bCs/>
        </w:rPr>
        <w:t>5</w:t>
      </w:r>
      <w:r w:rsidRPr="006F7763">
        <w:rPr>
          <w:rFonts w:hint="eastAsia"/>
          <w:b/>
          <w:bCs/>
        </w:rPr>
        <w:t>）动态优化项目群管理</w:t>
      </w:r>
      <w:r>
        <w:rPr>
          <w:rFonts w:hint="eastAsia"/>
          <w:b/>
          <w:bCs/>
        </w:rPr>
        <w:t>策略</w:t>
      </w:r>
      <w:r>
        <w:rPr>
          <w:rFonts w:hint="eastAsia"/>
        </w:rPr>
        <w:t>：清洁能源基地建设周期长，面临的技术、管理挑战多。业主的动态优化与创新能力是提升项目群管理效率的重要因素。然而调研结果显示，当前清洁能源基地业主在动态</w:t>
      </w:r>
      <w:r>
        <w:t>优化管理策略</w:t>
      </w:r>
      <w:r>
        <w:rPr>
          <w:rFonts w:hint="eastAsia"/>
        </w:rPr>
        <w:t>、开展</w:t>
      </w:r>
      <w:r>
        <w:t>技术</w:t>
      </w:r>
      <w:r>
        <w:rPr>
          <w:rFonts w:hint="eastAsia"/>
        </w:rPr>
        <w:t>与管理</w:t>
      </w:r>
      <w:r>
        <w:t>创新</w:t>
      </w:r>
      <w:r>
        <w:rPr>
          <w:rFonts w:hint="eastAsia"/>
        </w:rPr>
        <w:t>方面仍有不足（</w:t>
      </w:r>
      <w:r>
        <w:fldChar w:fldCharType="begin"/>
      </w:r>
      <w:r>
        <w:instrText xml:space="preserve"> </w:instrText>
      </w:r>
      <w:r>
        <w:rPr>
          <w:rFonts w:hint="eastAsia"/>
        </w:rPr>
        <w:instrText>REF _Ref174346061 \h</w:instrText>
      </w:r>
      <w:r>
        <w:instrText xml:space="preserve"> </w:instrText>
      </w:r>
      <w:r>
        <w:fldChar w:fldCharType="separate"/>
      </w:r>
      <w:r w:rsidR="000F2689">
        <w:rPr>
          <w:rFonts w:hint="eastAsia"/>
        </w:rPr>
        <w:t>表</w:t>
      </w:r>
      <w:r w:rsidR="000F2689">
        <w:rPr>
          <w:rFonts w:hint="eastAsia"/>
        </w:rPr>
        <w:t xml:space="preserve"> </w:t>
      </w:r>
      <w:r w:rsidR="000F2689">
        <w:rPr>
          <w:noProof/>
        </w:rPr>
        <w:t>3</w:t>
      </w:r>
      <w:r>
        <w:fldChar w:fldCharType="end"/>
      </w:r>
      <w:r>
        <w:rPr>
          <w:rFonts w:hint="eastAsia"/>
        </w:rPr>
        <w:t>）。</w:t>
      </w:r>
      <w:r>
        <w:t>因此，</w:t>
      </w:r>
      <w:r>
        <w:rPr>
          <w:rFonts w:hint="eastAsia"/>
        </w:rPr>
        <w:t>需</w:t>
      </w:r>
      <w:r w:rsidRPr="00C273DF">
        <w:rPr>
          <w:rFonts w:hint="eastAsia"/>
        </w:rPr>
        <w:t>实时采集、分析项目群的建设与运行数据</w:t>
      </w:r>
      <w:r>
        <w:rPr>
          <w:rFonts w:hint="eastAsia"/>
        </w:rPr>
        <w:t>，</w:t>
      </w:r>
      <w:r w:rsidRPr="00C273DF">
        <w:rPr>
          <w:rFonts w:hint="eastAsia"/>
        </w:rPr>
        <w:t>制定多层级、多元化的考核评估体系与激励机制，</w:t>
      </w:r>
      <w:r>
        <w:rPr>
          <w:rFonts w:hint="eastAsia"/>
        </w:rPr>
        <w:t>并建立完善的</w:t>
      </w:r>
      <w:r w:rsidRPr="006F7763">
        <w:rPr>
          <w:rStyle w:val="a3"/>
          <w:b w:val="0"/>
          <w:bCs w:val="0"/>
        </w:rPr>
        <w:t>反馈与优化机制</w:t>
      </w:r>
      <w:r w:rsidRPr="00777FBE">
        <w:t>，</w:t>
      </w:r>
      <w:r>
        <w:rPr>
          <w:rFonts w:hint="eastAsia"/>
        </w:rPr>
        <w:t>以促进</w:t>
      </w:r>
      <w:r w:rsidRPr="00777FBE">
        <w:rPr>
          <w:rFonts w:hint="eastAsia"/>
        </w:rPr>
        <w:t>信息流通、经验共享、知识积累</w:t>
      </w:r>
      <w:r>
        <w:rPr>
          <w:rFonts w:hint="eastAsia"/>
        </w:rPr>
        <w:t>，进而实现开发技术与组织管理水平的持续提升。</w:t>
      </w:r>
    </w:p>
    <w:p w14:paraId="009C4E68" w14:textId="29BE27E0" w:rsidR="00166AE2" w:rsidRDefault="00166AE2" w:rsidP="00166AE2">
      <w:pPr>
        <w:pStyle w:val="1"/>
      </w:pPr>
      <w:r>
        <w:rPr>
          <w:rFonts w:hint="eastAsia"/>
        </w:rPr>
        <w:t>结论</w:t>
      </w:r>
    </w:p>
    <w:p w14:paraId="31C630A6" w14:textId="78D84425" w:rsidR="006F7763" w:rsidRDefault="006F7763" w:rsidP="006F7763">
      <w:pPr>
        <w:ind w:firstLine="420"/>
        <w:rPr>
          <w:rFonts w:cs="Times New Roman"/>
        </w:rPr>
      </w:pPr>
      <w:r>
        <w:rPr>
          <w:rFonts w:cs="Times New Roman" w:hint="eastAsia"/>
        </w:rPr>
        <w:t>本研究首先通过调研与访谈明确了</w:t>
      </w:r>
      <w:r w:rsidRPr="00FD3419">
        <w:rPr>
          <w:rFonts w:hint="eastAsia"/>
        </w:rPr>
        <w:t>清洁能源基地一体化</w:t>
      </w:r>
      <w:r>
        <w:rPr>
          <w:rFonts w:hint="eastAsia"/>
        </w:rPr>
        <w:t>管理需求，主要包括</w:t>
      </w:r>
      <w:r>
        <w:rPr>
          <w:rFonts w:ascii="Times" w:hAnsi="Times" w:hint="eastAsia"/>
        </w:rPr>
        <w:t>“</w:t>
      </w:r>
      <w:r w:rsidRPr="00475C2C">
        <w:rPr>
          <w:rFonts w:ascii="Times" w:hAnsi="Times" w:hint="eastAsia"/>
        </w:rPr>
        <w:t>实施一体化管理</w:t>
      </w:r>
      <w:r>
        <w:rPr>
          <w:rFonts w:ascii="Times" w:hAnsi="Times" w:hint="eastAsia"/>
        </w:rPr>
        <w:t>”、“</w:t>
      </w:r>
      <w:r w:rsidRPr="00475C2C">
        <w:rPr>
          <w:rFonts w:ascii="Times" w:hAnsi="Times" w:hint="eastAsia"/>
        </w:rPr>
        <w:t>关注外部需求</w:t>
      </w:r>
      <w:r>
        <w:rPr>
          <w:rFonts w:ascii="Times" w:hAnsi="Times" w:hint="eastAsia"/>
        </w:rPr>
        <w:t>”、“</w:t>
      </w:r>
      <w:r w:rsidRPr="00475C2C">
        <w:rPr>
          <w:rFonts w:ascii="Times" w:hAnsi="Times" w:hint="eastAsia"/>
        </w:rPr>
        <w:t>健全管理体系</w:t>
      </w:r>
      <w:r>
        <w:rPr>
          <w:rFonts w:ascii="Times" w:hAnsi="Times" w:hint="eastAsia"/>
        </w:rPr>
        <w:t>”与“</w:t>
      </w:r>
      <w:r w:rsidRPr="00475C2C">
        <w:rPr>
          <w:rFonts w:ascii="Times" w:hAnsi="Times" w:hint="eastAsia"/>
        </w:rPr>
        <w:t>攻克技术瓶颈</w:t>
      </w:r>
      <w:r>
        <w:rPr>
          <w:rFonts w:ascii="Times" w:hAnsi="Times" w:hint="eastAsia"/>
        </w:rPr>
        <w:t>”四方面</w:t>
      </w:r>
      <w:r>
        <w:rPr>
          <w:rFonts w:hint="eastAsia"/>
        </w:rPr>
        <w:t>。进一步</w:t>
      </w:r>
      <w:r>
        <w:rPr>
          <w:rFonts w:ascii="Times" w:hAnsi="Times" w:hint="eastAsia"/>
        </w:rPr>
        <w:t>从项目群管理视角辨识了</w:t>
      </w:r>
      <w:r w:rsidRPr="00475C2C">
        <w:rPr>
          <w:rFonts w:ascii="Times" w:hAnsi="Times" w:hint="eastAsia"/>
        </w:rPr>
        <w:t>清洁能源基地一体化管理关键因素</w:t>
      </w:r>
      <w:r>
        <w:rPr>
          <w:rFonts w:ascii="Times" w:hAnsi="Times" w:hint="eastAsia"/>
        </w:rPr>
        <w:t>，包括</w:t>
      </w:r>
      <w:r w:rsidRPr="004359EA">
        <w:rPr>
          <w:rFonts w:hint="eastAsia"/>
        </w:rPr>
        <w:t>外部环境、业主项目群管理能力</w:t>
      </w:r>
      <w:r>
        <w:rPr>
          <w:rFonts w:hint="eastAsia"/>
        </w:rPr>
        <w:t>、</w:t>
      </w:r>
      <w:r w:rsidRPr="004359EA">
        <w:rPr>
          <w:rFonts w:hint="eastAsia"/>
        </w:rPr>
        <w:t>管理制度</w:t>
      </w:r>
      <w:r>
        <w:rPr>
          <w:rFonts w:hint="eastAsia"/>
        </w:rPr>
        <w:t>、</w:t>
      </w:r>
      <w:r w:rsidRPr="006E31D6">
        <w:rPr>
          <w:rFonts w:hint="eastAsia"/>
        </w:rPr>
        <w:t>资源配置</w:t>
      </w:r>
      <w:r>
        <w:rPr>
          <w:rFonts w:hint="eastAsia"/>
        </w:rPr>
        <w:t>、</w:t>
      </w:r>
      <w:r w:rsidRPr="006E31D6">
        <w:rPr>
          <w:rFonts w:hint="eastAsia"/>
        </w:rPr>
        <w:t>伙伴关系</w:t>
      </w:r>
      <w:r>
        <w:rPr>
          <w:rFonts w:hint="eastAsia"/>
        </w:rPr>
        <w:t>、项目群实施、项目群运营与项目群绩效</w:t>
      </w:r>
      <w:r w:rsidR="006430DC">
        <w:rPr>
          <w:rFonts w:ascii="Times" w:hAnsi="Times" w:hint="eastAsia"/>
        </w:rPr>
        <w:t>，并揭示了现状、问题及其成因</w:t>
      </w:r>
      <w:r>
        <w:rPr>
          <w:rFonts w:hint="eastAsia"/>
        </w:rPr>
        <w:t>。</w:t>
      </w:r>
    </w:p>
    <w:p w14:paraId="5AF5B5C4" w14:textId="5B1D605A" w:rsidR="006F7763" w:rsidRDefault="006F7763" w:rsidP="00166AE2">
      <w:pPr>
        <w:ind w:firstLine="420"/>
        <w:rPr>
          <w:rFonts w:cs="Times New Roman"/>
        </w:rPr>
      </w:pPr>
      <w:r>
        <w:rPr>
          <w:rFonts w:hint="eastAsia"/>
        </w:rPr>
        <w:t>其次，构建了</w:t>
      </w:r>
      <w:r w:rsidRPr="006C487E">
        <w:rPr>
          <w:rFonts w:hint="eastAsia"/>
        </w:rPr>
        <w:t>清洁能源基地一体化管理理论</w:t>
      </w:r>
      <w:r>
        <w:rPr>
          <w:rFonts w:hint="eastAsia"/>
        </w:rPr>
        <w:t>模型，分析了关键因素间的相互作用关系，揭示了</w:t>
      </w:r>
      <w:r>
        <w:rPr>
          <w:rFonts w:hint="eastAsia"/>
        </w:rPr>
        <w:t>4</w:t>
      </w:r>
      <w:r>
        <w:rPr>
          <w:rFonts w:hint="eastAsia"/>
        </w:rPr>
        <w:t>条</w:t>
      </w:r>
      <w:r w:rsidRPr="006C487E">
        <w:rPr>
          <w:rFonts w:hint="eastAsia"/>
        </w:rPr>
        <w:t>清洁能源基地一体化管理</w:t>
      </w:r>
      <w:r>
        <w:rPr>
          <w:rFonts w:hint="eastAsia"/>
        </w:rPr>
        <w:t>机理</w:t>
      </w:r>
      <w:r>
        <w:rPr>
          <w:rFonts w:cs="Times New Roman" w:hint="eastAsia"/>
        </w:rPr>
        <w:t>：</w:t>
      </w:r>
      <w:r>
        <w:rPr>
          <w:rFonts w:hint="eastAsia"/>
        </w:rPr>
        <w:t>路径</w:t>
      </w:r>
      <w:r>
        <w:rPr>
          <w:rFonts w:hint="eastAsia"/>
        </w:rPr>
        <w:t>A</w:t>
      </w:r>
      <w:r>
        <w:rPr>
          <w:rFonts w:hint="eastAsia"/>
        </w:rPr>
        <w:t>“</w:t>
      </w:r>
      <w:r w:rsidRPr="006C487E">
        <w:rPr>
          <w:rFonts w:hint="eastAsia"/>
        </w:rPr>
        <w:t>外部条件</w:t>
      </w:r>
      <w:r w:rsidRPr="006C487E">
        <w:rPr>
          <w:rFonts w:hint="eastAsia"/>
        </w:rPr>
        <w:t xml:space="preserve"> </w:t>
      </w:r>
      <w:r w:rsidRPr="006C487E">
        <w:rPr>
          <w:rFonts w:hint="eastAsia"/>
        </w:rPr>
        <w:t>→</w:t>
      </w:r>
      <w:r w:rsidRPr="006C487E">
        <w:rPr>
          <w:rFonts w:hint="eastAsia"/>
        </w:rPr>
        <w:t xml:space="preserve"> </w:t>
      </w:r>
      <w:r w:rsidRPr="006C487E">
        <w:rPr>
          <w:rFonts w:hint="eastAsia"/>
        </w:rPr>
        <w:t>管理制度</w:t>
      </w:r>
      <w:r w:rsidRPr="006C487E">
        <w:rPr>
          <w:rFonts w:hint="eastAsia"/>
        </w:rPr>
        <w:t xml:space="preserve"> </w:t>
      </w:r>
      <w:r w:rsidRPr="006C487E">
        <w:rPr>
          <w:rFonts w:hint="eastAsia"/>
        </w:rPr>
        <w:t>→</w:t>
      </w:r>
      <w:r w:rsidRPr="006C487E">
        <w:rPr>
          <w:rFonts w:hint="eastAsia"/>
        </w:rPr>
        <w:t xml:space="preserve"> </w:t>
      </w:r>
      <w:r w:rsidRPr="006C487E">
        <w:rPr>
          <w:rFonts w:hint="eastAsia"/>
        </w:rPr>
        <w:t>伙伴关系</w:t>
      </w:r>
      <w:r w:rsidRPr="006C487E">
        <w:rPr>
          <w:rFonts w:hint="eastAsia"/>
        </w:rPr>
        <w:t xml:space="preserve"> </w:t>
      </w:r>
      <w:r w:rsidRPr="006C487E">
        <w:rPr>
          <w:rFonts w:hint="eastAsia"/>
        </w:rPr>
        <w:t>→</w:t>
      </w:r>
      <w:r w:rsidRPr="006C487E">
        <w:rPr>
          <w:rFonts w:hint="eastAsia"/>
        </w:rPr>
        <w:t xml:space="preserve"> </w:t>
      </w:r>
      <w:r w:rsidRPr="006C487E">
        <w:rPr>
          <w:rFonts w:hint="eastAsia"/>
        </w:rPr>
        <w:t>项目群运营</w:t>
      </w:r>
      <w:r w:rsidRPr="006C487E">
        <w:rPr>
          <w:rFonts w:hint="eastAsia"/>
        </w:rPr>
        <w:t xml:space="preserve"> </w:t>
      </w:r>
      <w:r w:rsidRPr="006C487E">
        <w:rPr>
          <w:rFonts w:hint="eastAsia"/>
        </w:rPr>
        <w:t>→</w:t>
      </w:r>
      <w:r w:rsidRPr="006C487E">
        <w:rPr>
          <w:rFonts w:hint="eastAsia"/>
        </w:rPr>
        <w:t xml:space="preserve"> </w:t>
      </w:r>
      <w:r w:rsidRPr="006C487E">
        <w:rPr>
          <w:rFonts w:hint="eastAsia"/>
        </w:rPr>
        <w:t>项目群绩效</w:t>
      </w:r>
      <w:r>
        <w:rPr>
          <w:rFonts w:hint="eastAsia"/>
        </w:rPr>
        <w:t>”；路径</w:t>
      </w:r>
      <w:r>
        <w:rPr>
          <w:rFonts w:hint="eastAsia"/>
        </w:rPr>
        <w:t>B</w:t>
      </w:r>
      <w:r>
        <w:rPr>
          <w:rFonts w:hint="eastAsia"/>
        </w:rPr>
        <w:t>“</w:t>
      </w:r>
      <w:r w:rsidRPr="006C487E">
        <w:rPr>
          <w:rFonts w:hint="eastAsia"/>
        </w:rPr>
        <w:t>外部条件</w:t>
      </w:r>
      <w:r w:rsidRPr="006C487E">
        <w:rPr>
          <w:rFonts w:hint="eastAsia"/>
        </w:rPr>
        <w:t xml:space="preserve"> </w:t>
      </w:r>
      <w:r w:rsidRPr="006C487E">
        <w:rPr>
          <w:rFonts w:hint="eastAsia"/>
        </w:rPr>
        <w:t>→（管理制度）→（资源配置）→</w:t>
      </w:r>
      <w:r w:rsidRPr="006C487E">
        <w:rPr>
          <w:rFonts w:hint="eastAsia"/>
        </w:rPr>
        <w:t xml:space="preserve"> </w:t>
      </w:r>
      <w:r w:rsidRPr="006C487E">
        <w:rPr>
          <w:rFonts w:hint="eastAsia"/>
        </w:rPr>
        <w:t>项目群实施</w:t>
      </w:r>
      <w:r w:rsidRPr="006C487E">
        <w:rPr>
          <w:rFonts w:hint="eastAsia"/>
        </w:rPr>
        <w:t xml:space="preserve"> </w:t>
      </w:r>
      <w:r w:rsidRPr="006C487E">
        <w:rPr>
          <w:rFonts w:hint="eastAsia"/>
        </w:rPr>
        <w:t>→</w:t>
      </w:r>
      <w:r w:rsidRPr="006C487E">
        <w:rPr>
          <w:rFonts w:hint="eastAsia"/>
        </w:rPr>
        <w:t xml:space="preserve"> </w:t>
      </w:r>
      <w:r w:rsidRPr="006C487E">
        <w:rPr>
          <w:rFonts w:hint="eastAsia"/>
        </w:rPr>
        <w:t>项目群绩效</w:t>
      </w:r>
      <w:r>
        <w:rPr>
          <w:rFonts w:hint="eastAsia"/>
        </w:rPr>
        <w:t>”；路径</w:t>
      </w:r>
      <w:r>
        <w:rPr>
          <w:rFonts w:hint="eastAsia"/>
        </w:rPr>
        <w:t>C</w:t>
      </w:r>
      <w:r>
        <w:rPr>
          <w:rFonts w:hint="eastAsia"/>
        </w:rPr>
        <w:t>“</w:t>
      </w:r>
      <w:r w:rsidRPr="006C487E">
        <w:rPr>
          <w:rFonts w:hint="eastAsia"/>
        </w:rPr>
        <w:t>业主项目群管理能力→（伙伴关系）→项目群运营→项目群绩效</w:t>
      </w:r>
      <w:r>
        <w:rPr>
          <w:rFonts w:hint="eastAsia"/>
        </w:rPr>
        <w:t>”；路径</w:t>
      </w:r>
      <w:r>
        <w:rPr>
          <w:rFonts w:hint="eastAsia"/>
        </w:rPr>
        <w:t>D</w:t>
      </w:r>
      <w:r>
        <w:rPr>
          <w:rFonts w:hint="eastAsia"/>
        </w:rPr>
        <w:t>“</w:t>
      </w:r>
      <w:r w:rsidRPr="006C487E">
        <w:rPr>
          <w:rFonts w:hint="eastAsia"/>
        </w:rPr>
        <w:t>业主项目群管理能力</w:t>
      </w:r>
      <w:r w:rsidRPr="006C487E">
        <w:rPr>
          <w:rFonts w:hint="eastAsia"/>
        </w:rPr>
        <w:t xml:space="preserve"> </w:t>
      </w:r>
      <w:r w:rsidRPr="006C487E">
        <w:rPr>
          <w:rFonts w:hint="eastAsia"/>
        </w:rPr>
        <w:t>→</w:t>
      </w:r>
      <w:r w:rsidRPr="006C487E">
        <w:rPr>
          <w:rFonts w:hint="eastAsia"/>
        </w:rPr>
        <w:t xml:space="preserve"> </w:t>
      </w:r>
      <w:r w:rsidRPr="006C487E">
        <w:rPr>
          <w:rFonts w:hint="eastAsia"/>
        </w:rPr>
        <w:t>（管理制度）→</w:t>
      </w:r>
      <w:r>
        <w:rPr>
          <w:rFonts w:hint="eastAsia"/>
        </w:rPr>
        <w:t xml:space="preserve"> </w:t>
      </w:r>
      <w:r w:rsidRPr="006C487E">
        <w:rPr>
          <w:rFonts w:hint="eastAsia"/>
        </w:rPr>
        <w:t>资源配置</w:t>
      </w:r>
      <w:r w:rsidRPr="006C487E">
        <w:rPr>
          <w:rFonts w:hint="eastAsia"/>
        </w:rPr>
        <w:t xml:space="preserve"> </w:t>
      </w:r>
      <w:r w:rsidRPr="006C487E">
        <w:rPr>
          <w:rFonts w:hint="eastAsia"/>
        </w:rPr>
        <w:t>→</w:t>
      </w:r>
      <w:r w:rsidRPr="006C487E">
        <w:rPr>
          <w:rFonts w:hint="eastAsia"/>
        </w:rPr>
        <w:t xml:space="preserve"> </w:t>
      </w:r>
      <w:r w:rsidRPr="006C487E">
        <w:rPr>
          <w:rFonts w:hint="eastAsia"/>
        </w:rPr>
        <w:t>项目群实施</w:t>
      </w:r>
      <w:r w:rsidRPr="006C487E">
        <w:rPr>
          <w:rFonts w:hint="eastAsia"/>
        </w:rPr>
        <w:t xml:space="preserve"> </w:t>
      </w:r>
      <w:r w:rsidRPr="006C487E">
        <w:rPr>
          <w:rFonts w:hint="eastAsia"/>
        </w:rPr>
        <w:t>→</w:t>
      </w:r>
      <w:r w:rsidRPr="006C487E">
        <w:rPr>
          <w:rFonts w:hint="eastAsia"/>
        </w:rPr>
        <w:t xml:space="preserve"> </w:t>
      </w:r>
      <w:r w:rsidRPr="006C487E">
        <w:rPr>
          <w:rFonts w:hint="eastAsia"/>
        </w:rPr>
        <w:t>项目群绩效</w:t>
      </w:r>
      <w:r>
        <w:rPr>
          <w:rFonts w:hint="eastAsia"/>
        </w:rPr>
        <w:t>”。</w:t>
      </w:r>
      <w:r w:rsidRPr="00AC715B">
        <w:rPr>
          <w:rFonts w:hint="eastAsia"/>
        </w:rPr>
        <w:t>各作用路径中，业主项目群管理能力通过提升项目群运营水平，作用于项目群绩效的路径总效应最大</w:t>
      </w:r>
      <w:r>
        <w:rPr>
          <w:rFonts w:hint="eastAsia"/>
        </w:rPr>
        <w:t>（见</w:t>
      </w:r>
      <w:r>
        <w:fldChar w:fldCharType="begin"/>
      </w:r>
      <w:r>
        <w:instrText xml:space="preserve"> </w:instrText>
      </w:r>
      <w:r>
        <w:rPr>
          <w:rFonts w:hint="eastAsia"/>
        </w:rPr>
        <w:instrText>REF _Ref200172781 \h</w:instrText>
      </w:r>
      <w:r>
        <w:instrText xml:space="preserve"> </w:instrText>
      </w:r>
      <w:r>
        <w:fldChar w:fldCharType="separate"/>
      </w:r>
      <w:r w:rsidR="000F2689">
        <w:rPr>
          <w:rFonts w:hint="eastAsia"/>
        </w:rPr>
        <w:t>表</w:t>
      </w:r>
      <w:r w:rsidR="000F2689">
        <w:rPr>
          <w:rFonts w:hint="eastAsia"/>
        </w:rPr>
        <w:t xml:space="preserve"> </w:t>
      </w:r>
      <w:r w:rsidR="000F2689">
        <w:rPr>
          <w:noProof/>
        </w:rPr>
        <w:t>14</w:t>
      </w:r>
      <w:r>
        <w:fldChar w:fldCharType="end"/>
      </w:r>
      <w:r>
        <w:rPr>
          <w:rFonts w:hint="eastAsia"/>
        </w:rPr>
        <w:t>）。</w:t>
      </w:r>
    </w:p>
    <w:p w14:paraId="3652DAE5" w14:textId="3BC77578" w:rsidR="0023312C" w:rsidRDefault="006F7763" w:rsidP="00E108CB">
      <w:pPr>
        <w:ind w:firstLine="420"/>
        <w:rPr>
          <w:szCs w:val="21"/>
        </w:rPr>
      </w:pPr>
      <w:r>
        <w:rPr>
          <w:rFonts w:hint="eastAsia"/>
        </w:rPr>
        <w:t>基于以上研究结论，本文提出了清洁能源基地</w:t>
      </w:r>
      <w:r>
        <w:rPr>
          <w:rFonts w:hint="eastAsia"/>
        </w:rPr>
        <w:lastRenderedPageBreak/>
        <w:t>一体化管理建议</w:t>
      </w:r>
      <w:r w:rsidR="00E108CB">
        <w:rPr>
          <w:rFonts w:hint="eastAsia"/>
        </w:rPr>
        <w:t>，包括：提高多能互补系统建设水平；加强清洁能源基地项目群数字化管理；推进设计、采购、施工、运维一体化管理；构建业主、政府、电网公司、当地居民伙伴关系；动态优化项目群管理策略</w:t>
      </w:r>
      <w:r>
        <w:rPr>
          <w:rFonts w:hint="eastAsia"/>
        </w:rPr>
        <w:t>。</w:t>
      </w:r>
    </w:p>
    <w:p w14:paraId="69E0F3C3" w14:textId="5254D403" w:rsidR="00C57685" w:rsidRDefault="00F705C1" w:rsidP="00E108CB">
      <w:pPr>
        <w:tabs>
          <w:tab w:val="left" w:pos="0"/>
          <w:tab w:val="left" w:pos="735"/>
        </w:tabs>
        <w:spacing w:line="360" w:lineRule="exact"/>
        <w:ind w:firstLine="420"/>
      </w:pPr>
      <w:bookmarkStart w:id="37" w:name="_Hlk88060790"/>
      <w:r>
        <w:rPr>
          <w:rFonts w:hint="eastAsia"/>
          <w:szCs w:val="21"/>
        </w:rPr>
        <w:t>以上研究成果可为</w:t>
      </w:r>
      <w:r w:rsidR="00E108CB">
        <w:rPr>
          <w:rFonts w:hint="eastAsia"/>
          <w:szCs w:val="21"/>
        </w:rPr>
        <w:t>清洁能源基地一体化管理</w:t>
      </w:r>
      <w:r>
        <w:rPr>
          <w:rFonts w:hint="eastAsia"/>
          <w:szCs w:val="21"/>
        </w:rPr>
        <w:t>提供理论与实践指导。</w:t>
      </w:r>
      <w:r>
        <w:rPr>
          <w:szCs w:val="21"/>
        </w:rPr>
        <w:t>未来可</w:t>
      </w:r>
      <w:r w:rsidR="00E108CB" w:rsidRPr="008C75C7">
        <w:rPr>
          <w:rFonts w:hint="eastAsia"/>
        </w:rPr>
        <w:t>充分考虑不同清洁能源基地在建设规模、管理模式</w:t>
      </w:r>
      <w:r w:rsidR="00E108CB">
        <w:rPr>
          <w:rFonts w:hint="eastAsia"/>
        </w:rPr>
        <w:t>、</w:t>
      </w:r>
      <w:r w:rsidR="00E108CB" w:rsidRPr="008C75C7">
        <w:rPr>
          <w:rFonts w:hint="eastAsia"/>
        </w:rPr>
        <w:t>利益相关方组成等方面的差异，系统分析不同文化背景下清洁能源基地一体化管理影响因素及其之间的作用关系</w:t>
      </w:r>
      <w:r>
        <w:rPr>
          <w:rFonts w:hint="eastAsia"/>
          <w:szCs w:val="21"/>
        </w:rPr>
        <w:t>。</w:t>
      </w:r>
      <w:bookmarkEnd w:id="37"/>
      <w:r w:rsidR="00E108CB">
        <w:rPr>
          <w:rFonts w:hint="eastAsia"/>
          <w:szCs w:val="21"/>
        </w:rPr>
        <w:t>也可</w:t>
      </w:r>
      <w:r w:rsidR="00E108CB" w:rsidRPr="00D11247">
        <w:rPr>
          <w:rFonts w:hint="eastAsia"/>
        </w:rPr>
        <w:t>考虑更多的输入因素，引入项目规模、承包模式等调节变量</w:t>
      </w:r>
      <w:r w:rsidR="00E108CB" w:rsidRPr="004E48EC">
        <w:rPr>
          <w:rFonts w:hint="eastAsia"/>
        </w:rPr>
        <w:t>，</w:t>
      </w:r>
      <w:r w:rsidR="00E108CB">
        <w:rPr>
          <w:rFonts w:hint="eastAsia"/>
        </w:rPr>
        <w:t>以</w:t>
      </w:r>
      <w:r w:rsidR="00E108CB" w:rsidRPr="00D11247">
        <w:rPr>
          <w:rFonts w:hint="eastAsia"/>
        </w:rPr>
        <w:t>完善理论模型中的作用机理，</w:t>
      </w:r>
      <w:r w:rsidR="00E108CB">
        <w:rPr>
          <w:rFonts w:hint="eastAsia"/>
        </w:rPr>
        <w:t>并</w:t>
      </w:r>
      <w:r w:rsidR="00E108CB" w:rsidRPr="00D11247">
        <w:rPr>
          <w:rFonts w:hint="eastAsia"/>
        </w:rPr>
        <w:t>提升模型与不同类型清洁能源基地开发实践的匹配程度</w:t>
      </w:r>
      <w:r w:rsidR="00E108CB">
        <w:rPr>
          <w:rFonts w:hint="eastAsia"/>
        </w:rPr>
        <w:t>。</w:t>
      </w:r>
    </w:p>
    <w:p w14:paraId="5B3A574F" w14:textId="77777777" w:rsidR="00B023A6" w:rsidRPr="00166AE2" w:rsidRDefault="00B023A6" w:rsidP="00E108CB">
      <w:pPr>
        <w:tabs>
          <w:tab w:val="left" w:pos="0"/>
          <w:tab w:val="left" w:pos="735"/>
        </w:tabs>
        <w:spacing w:line="360" w:lineRule="exact"/>
        <w:ind w:firstLine="420"/>
      </w:pPr>
    </w:p>
    <w:p w14:paraId="5731C6F4" w14:textId="66AD6FEF" w:rsidR="00450B4D" w:rsidRPr="00FD5AAE" w:rsidRDefault="00450B4D" w:rsidP="00FD5AAE">
      <w:pPr>
        <w:tabs>
          <w:tab w:val="left" w:pos="0"/>
        </w:tabs>
        <w:spacing w:line="240" w:lineRule="atLeast"/>
        <w:ind w:firstLineChars="0" w:firstLine="0"/>
        <w:jc w:val="center"/>
        <w:rPr>
          <w:rFonts w:eastAsia="黑体"/>
          <w:szCs w:val="21"/>
        </w:rPr>
      </w:pPr>
      <w:r w:rsidRPr="00FD5AAE">
        <w:rPr>
          <w:rFonts w:eastAsia="黑体"/>
          <w:szCs w:val="21"/>
        </w:rPr>
        <w:t>参考文献（</w:t>
      </w:r>
      <w:r w:rsidRPr="00FD5AAE">
        <w:rPr>
          <w:rFonts w:eastAsia="黑体"/>
          <w:szCs w:val="21"/>
        </w:rPr>
        <w:t>References</w:t>
      </w:r>
      <w:r w:rsidRPr="00FD5AAE">
        <w:rPr>
          <w:rFonts w:eastAsia="黑体"/>
          <w:szCs w:val="21"/>
        </w:rPr>
        <w:t>）</w:t>
      </w:r>
    </w:p>
    <w:p w14:paraId="12372BFE" w14:textId="77777777" w:rsidR="00E17813" w:rsidRPr="00E17813" w:rsidRDefault="002F3722" w:rsidP="00143B30">
      <w:pPr>
        <w:pStyle w:val="aff"/>
        <w:ind w:left="425" w:hangingChars="236" w:hanging="425"/>
        <w:contextualSpacing/>
        <w:mirrorIndents/>
        <w:rPr>
          <w:rFonts w:cs="Times New Roman"/>
          <w:kern w:val="0"/>
        </w:rPr>
      </w:pPr>
      <w:r>
        <w:fldChar w:fldCharType="begin"/>
      </w:r>
      <w:r w:rsidR="00E17813">
        <w:instrText xml:space="preserve"> ADDIN ZOTERO_BIBL {"uncited":[],"omitted":[],"custom":[]} CSL_BIBLIOGRAPHY </w:instrText>
      </w:r>
      <w:r>
        <w:fldChar w:fldCharType="separate"/>
      </w:r>
      <w:r w:rsidR="00E17813" w:rsidRPr="00E17813">
        <w:rPr>
          <w:rFonts w:cs="Times New Roman"/>
          <w:kern w:val="0"/>
        </w:rPr>
        <w:t>[1]</w:t>
      </w:r>
      <w:r w:rsidR="00E17813" w:rsidRPr="00E17813">
        <w:rPr>
          <w:rFonts w:cs="Times New Roman"/>
          <w:kern w:val="0"/>
        </w:rPr>
        <w:tab/>
        <w:t>IEA. Renewables 2022[R]. Paris: International Energy Agency, 2022.</w:t>
      </w:r>
    </w:p>
    <w:p w14:paraId="699F7973" w14:textId="1B54F6FC" w:rsidR="00E17813" w:rsidRDefault="00E17813" w:rsidP="00143B30">
      <w:pPr>
        <w:pStyle w:val="aff"/>
        <w:ind w:left="425" w:hangingChars="236" w:hanging="425"/>
        <w:contextualSpacing/>
        <w:mirrorIndents/>
        <w:rPr>
          <w:rFonts w:cs="Times New Roman"/>
          <w:kern w:val="0"/>
        </w:rPr>
      </w:pPr>
      <w:r w:rsidRPr="00E17813">
        <w:rPr>
          <w:rFonts w:cs="Times New Roman"/>
          <w:kern w:val="0"/>
        </w:rPr>
        <w:t>[2]</w:t>
      </w:r>
      <w:r w:rsidRPr="00E17813">
        <w:rPr>
          <w:rFonts w:cs="Times New Roman"/>
          <w:kern w:val="0"/>
        </w:rPr>
        <w:tab/>
      </w:r>
      <w:r w:rsidRPr="00E17813">
        <w:rPr>
          <w:rFonts w:cs="Times New Roman"/>
          <w:kern w:val="0"/>
        </w:rPr>
        <w:t>辛禾</w:t>
      </w:r>
      <w:r w:rsidRPr="00E17813">
        <w:rPr>
          <w:rFonts w:cs="Times New Roman"/>
          <w:kern w:val="0"/>
        </w:rPr>
        <w:t xml:space="preserve">. </w:t>
      </w:r>
      <w:r w:rsidRPr="00E17813">
        <w:rPr>
          <w:rFonts w:cs="Times New Roman"/>
          <w:kern w:val="0"/>
        </w:rPr>
        <w:t>考虑多能互补的清洁能源协同优化调度及效益均衡研究</w:t>
      </w:r>
      <w:r w:rsidRPr="00E17813">
        <w:rPr>
          <w:rFonts w:cs="Times New Roman"/>
          <w:kern w:val="0"/>
        </w:rPr>
        <w:t xml:space="preserve">[D]. </w:t>
      </w:r>
      <w:r w:rsidRPr="00E17813">
        <w:rPr>
          <w:rFonts w:cs="Times New Roman"/>
          <w:kern w:val="0"/>
        </w:rPr>
        <w:t>北京</w:t>
      </w:r>
      <w:r w:rsidRPr="00E17813">
        <w:rPr>
          <w:rFonts w:cs="Times New Roman"/>
          <w:kern w:val="0"/>
        </w:rPr>
        <w:t xml:space="preserve">: </w:t>
      </w:r>
      <w:r w:rsidRPr="00E17813">
        <w:rPr>
          <w:rFonts w:cs="Times New Roman"/>
          <w:kern w:val="0"/>
        </w:rPr>
        <w:t>华北电力大学</w:t>
      </w:r>
      <w:r w:rsidRPr="00E17813">
        <w:rPr>
          <w:rFonts w:cs="Times New Roman"/>
          <w:kern w:val="0"/>
        </w:rPr>
        <w:t>, 2019.</w:t>
      </w:r>
    </w:p>
    <w:p w14:paraId="2593E223" w14:textId="13AAEE59" w:rsidR="002D1967" w:rsidRPr="002D1967" w:rsidRDefault="002D1967" w:rsidP="002D1967">
      <w:pPr>
        <w:pStyle w:val="aff"/>
        <w:ind w:leftChars="202" w:left="424" w:firstLineChars="0" w:firstLine="1"/>
        <w:contextualSpacing/>
        <w:mirrorIndents/>
        <w:rPr>
          <w:rFonts w:cs="Times New Roman"/>
          <w:kern w:val="0"/>
        </w:rPr>
      </w:pPr>
      <w:r w:rsidRPr="002D1967">
        <w:rPr>
          <w:rFonts w:cs="Times New Roman" w:hint="eastAsia"/>
          <w:kern w:val="0"/>
        </w:rPr>
        <w:t>X</w:t>
      </w:r>
      <w:r w:rsidRPr="002D1967">
        <w:rPr>
          <w:rFonts w:cs="Times New Roman"/>
          <w:kern w:val="0"/>
        </w:rPr>
        <w:t>IN H</w:t>
      </w:r>
      <w:r>
        <w:rPr>
          <w:rFonts w:cs="Times New Roman"/>
          <w:kern w:val="0"/>
        </w:rPr>
        <w:t xml:space="preserve">. </w:t>
      </w:r>
      <w:r w:rsidRPr="002D1967">
        <w:rPr>
          <w:rFonts w:cs="Times New Roman"/>
          <w:kern w:val="0"/>
        </w:rPr>
        <w:t xml:space="preserve">The </w:t>
      </w:r>
      <w:r>
        <w:rPr>
          <w:rFonts w:cs="Times New Roman" w:hint="eastAsia"/>
          <w:kern w:val="0"/>
        </w:rPr>
        <w:t>s</w:t>
      </w:r>
      <w:r w:rsidRPr="002D1967">
        <w:rPr>
          <w:rFonts w:cs="Times New Roman"/>
          <w:kern w:val="0"/>
        </w:rPr>
        <w:t>ynergetic optimal scheduling and benefit</w:t>
      </w:r>
      <w:r>
        <w:rPr>
          <w:rFonts w:cs="Times New Roman"/>
          <w:kern w:val="0"/>
        </w:rPr>
        <w:t xml:space="preserve"> </w:t>
      </w:r>
      <w:r w:rsidRPr="002D1967">
        <w:rPr>
          <w:rFonts w:cs="Times New Roman"/>
          <w:kern w:val="0"/>
        </w:rPr>
        <w:t>equilibrium model for clean energy absorptive</w:t>
      </w:r>
      <w:r>
        <w:rPr>
          <w:rFonts w:cs="Times New Roman"/>
          <w:kern w:val="0"/>
        </w:rPr>
        <w:t xml:space="preserve"> </w:t>
      </w:r>
      <w:r w:rsidRPr="002D1967">
        <w:rPr>
          <w:rFonts w:cs="Times New Roman"/>
          <w:kern w:val="0"/>
        </w:rPr>
        <w:t>considering multi-energy hybrid</w:t>
      </w:r>
      <w:r>
        <w:rPr>
          <w:rFonts w:cs="Times New Roman"/>
          <w:kern w:val="0"/>
        </w:rPr>
        <w:t xml:space="preserve"> [D]. Beijing: </w:t>
      </w:r>
      <w:r w:rsidR="001B5CD5">
        <w:rPr>
          <w:rFonts w:cs="Times New Roman"/>
          <w:kern w:val="0"/>
        </w:rPr>
        <w:t>North China Electric Power University, 2019. (in Chinese)</w:t>
      </w:r>
    </w:p>
    <w:p w14:paraId="26032A3D" w14:textId="15F206C9" w:rsidR="00E17813" w:rsidRPr="00E17813" w:rsidRDefault="00E17813" w:rsidP="00143B30">
      <w:pPr>
        <w:pStyle w:val="aff"/>
        <w:ind w:left="425" w:hangingChars="236" w:hanging="425"/>
        <w:contextualSpacing/>
        <w:mirrorIndents/>
        <w:rPr>
          <w:rFonts w:cs="Times New Roman"/>
          <w:kern w:val="0"/>
        </w:rPr>
      </w:pPr>
      <w:r w:rsidRPr="00E17813">
        <w:rPr>
          <w:rFonts w:cs="Times New Roman"/>
          <w:kern w:val="0"/>
        </w:rPr>
        <w:t>[3]</w:t>
      </w:r>
      <w:r w:rsidRPr="00E17813">
        <w:rPr>
          <w:rFonts w:cs="Times New Roman"/>
          <w:kern w:val="0"/>
        </w:rPr>
        <w:tab/>
        <w:t xml:space="preserve">GOH H H, LEE S W, CHUA Q S, </w:t>
      </w:r>
      <w:r w:rsidR="00A00BBB">
        <w:rPr>
          <w:rFonts w:cs="Times New Roman" w:hint="eastAsia"/>
          <w:kern w:val="0"/>
        </w:rPr>
        <w:t>et al</w:t>
      </w:r>
      <w:r w:rsidRPr="00E17813">
        <w:rPr>
          <w:rFonts w:cs="Times New Roman"/>
          <w:kern w:val="0"/>
        </w:rPr>
        <w:t xml:space="preserve">. Renewable energy project: Project management, challenges and risk[J]. Renewable and Sustainable Energy Reviews, 2014, 38: 917-932. </w:t>
      </w:r>
    </w:p>
    <w:p w14:paraId="62782A7E" w14:textId="1F868415" w:rsidR="00E17813" w:rsidRPr="00E17813" w:rsidRDefault="00E17813" w:rsidP="00143B30">
      <w:pPr>
        <w:pStyle w:val="aff"/>
        <w:ind w:left="425" w:hangingChars="236" w:hanging="425"/>
        <w:contextualSpacing/>
        <w:mirrorIndents/>
        <w:rPr>
          <w:rFonts w:cs="Times New Roman"/>
          <w:kern w:val="0"/>
        </w:rPr>
      </w:pPr>
      <w:r w:rsidRPr="00E17813">
        <w:rPr>
          <w:rFonts w:cs="Times New Roman"/>
          <w:kern w:val="0"/>
        </w:rPr>
        <w:t>[4]</w:t>
      </w:r>
      <w:r w:rsidRPr="00E17813">
        <w:rPr>
          <w:rFonts w:cs="Times New Roman"/>
          <w:kern w:val="0"/>
        </w:rPr>
        <w:tab/>
        <w:t xml:space="preserve">IKEJEMBA E C X, MPUAN P B, SCHUUR P C, </w:t>
      </w:r>
      <w:r w:rsidR="00143B30">
        <w:rPr>
          <w:rFonts w:cs="Times New Roman"/>
          <w:kern w:val="0"/>
        </w:rPr>
        <w:t>et al</w:t>
      </w:r>
      <w:r w:rsidRPr="00E17813">
        <w:rPr>
          <w:rFonts w:cs="Times New Roman"/>
          <w:kern w:val="0"/>
        </w:rPr>
        <w:t>. The empirical reality &amp; sustainable management failures of renewable energy projects in Sub-Saharan Africa (part 1 of 2)[J]. Renewable Energy, 2017, 102: 234-240.</w:t>
      </w:r>
    </w:p>
    <w:p w14:paraId="370316CA" w14:textId="0685D281" w:rsidR="00E17813" w:rsidRPr="00E17813" w:rsidRDefault="00E17813" w:rsidP="00143B30">
      <w:pPr>
        <w:pStyle w:val="aff"/>
        <w:ind w:left="425" w:hangingChars="236" w:hanging="425"/>
        <w:contextualSpacing/>
        <w:mirrorIndents/>
        <w:rPr>
          <w:rFonts w:cs="Times New Roman"/>
          <w:kern w:val="0"/>
        </w:rPr>
      </w:pPr>
      <w:r w:rsidRPr="00E17813">
        <w:rPr>
          <w:rFonts w:cs="Times New Roman"/>
          <w:kern w:val="0"/>
        </w:rPr>
        <w:t>[5]</w:t>
      </w:r>
      <w:r w:rsidRPr="00E17813">
        <w:rPr>
          <w:rFonts w:cs="Times New Roman"/>
          <w:kern w:val="0"/>
        </w:rPr>
        <w:tab/>
        <w:t>MAQBOOL R. Efficiency and effectiveness of factors affecting renewable energy projects: An empirical perspective[J]. Energy, 2018, 158: 944-956.</w:t>
      </w:r>
    </w:p>
    <w:p w14:paraId="0C8E1642" w14:textId="775505FA" w:rsidR="00E17813" w:rsidRPr="00E17813" w:rsidRDefault="00E17813" w:rsidP="00143B30">
      <w:pPr>
        <w:pStyle w:val="aff"/>
        <w:ind w:left="425" w:hangingChars="236" w:hanging="425"/>
        <w:contextualSpacing/>
        <w:mirrorIndents/>
        <w:rPr>
          <w:rFonts w:cs="Times New Roman"/>
          <w:kern w:val="0"/>
        </w:rPr>
      </w:pPr>
      <w:r w:rsidRPr="00E17813">
        <w:rPr>
          <w:rFonts w:cs="Times New Roman"/>
          <w:kern w:val="0"/>
        </w:rPr>
        <w:t>[6]</w:t>
      </w:r>
      <w:r w:rsidRPr="00E17813">
        <w:rPr>
          <w:rFonts w:cs="Times New Roman"/>
          <w:kern w:val="0"/>
        </w:rPr>
        <w:tab/>
        <w:t xml:space="preserve">LEVANDER E, ENGSTRÖM S, SARDÉN Y, </w:t>
      </w:r>
      <w:r w:rsidR="00143B30">
        <w:rPr>
          <w:rFonts w:cs="Times New Roman"/>
          <w:kern w:val="0"/>
        </w:rPr>
        <w:t>et al</w:t>
      </w:r>
      <w:r w:rsidRPr="00E17813">
        <w:rPr>
          <w:rFonts w:cs="Times New Roman"/>
          <w:kern w:val="0"/>
        </w:rPr>
        <w:t>. Construction clients’ ability to manage uncertainty and equivocality[J]. Construction Management and Economics, 2011, 29(7): 753-764.</w:t>
      </w:r>
    </w:p>
    <w:p w14:paraId="41F89168" w14:textId="13D33F8F" w:rsidR="00E17813" w:rsidRPr="00E17813" w:rsidRDefault="00E17813" w:rsidP="00143B30">
      <w:pPr>
        <w:pStyle w:val="aff"/>
        <w:ind w:left="425" w:hangingChars="236" w:hanging="425"/>
        <w:contextualSpacing/>
        <w:mirrorIndents/>
        <w:rPr>
          <w:rFonts w:cs="Times New Roman"/>
          <w:kern w:val="0"/>
        </w:rPr>
      </w:pPr>
      <w:r w:rsidRPr="00E17813">
        <w:rPr>
          <w:rFonts w:cs="Times New Roman"/>
          <w:kern w:val="0"/>
        </w:rPr>
        <w:t>[7]</w:t>
      </w:r>
      <w:r w:rsidRPr="00E17813">
        <w:rPr>
          <w:rFonts w:cs="Times New Roman"/>
          <w:kern w:val="0"/>
        </w:rPr>
        <w:tab/>
        <w:t xml:space="preserve">ADAM A, LINDAHL G. Applying the dynamic capabilities framework in the case of a large public construction client[J]. Construction Management and Economics, 2017, 35(7): 420-431. </w:t>
      </w:r>
    </w:p>
    <w:p w14:paraId="77EF1BCB" w14:textId="2A3A0E9E" w:rsidR="00E17813" w:rsidRPr="00E17813" w:rsidRDefault="00E17813" w:rsidP="00143B30">
      <w:pPr>
        <w:pStyle w:val="aff"/>
        <w:ind w:left="425" w:hangingChars="236" w:hanging="425"/>
        <w:contextualSpacing/>
        <w:mirrorIndents/>
        <w:rPr>
          <w:rFonts w:cs="Times New Roman"/>
          <w:kern w:val="0"/>
        </w:rPr>
      </w:pPr>
      <w:r w:rsidRPr="00E17813">
        <w:rPr>
          <w:rFonts w:cs="Times New Roman"/>
          <w:kern w:val="0"/>
        </w:rPr>
        <w:t>[8]</w:t>
      </w:r>
      <w:r w:rsidRPr="00E17813">
        <w:rPr>
          <w:rFonts w:cs="Times New Roman"/>
          <w:kern w:val="0"/>
        </w:rPr>
        <w:tab/>
        <w:t xml:space="preserve">Cleaner production, project management and strategic drivers: An empirical study[J]. Journal of Cleaner Production, 2017, 141: 881-890. </w:t>
      </w:r>
    </w:p>
    <w:p w14:paraId="2B0A32DC" w14:textId="104F89AF" w:rsidR="00E17813" w:rsidRPr="00E17813" w:rsidRDefault="00E17813" w:rsidP="00143B30">
      <w:pPr>
        <w:pStyle w:val="aff"/>
        <w:ind w:left="425" w:hangingChars="236" w:hanging="425"/>
        <w:contextualSpacing/>
        <w:mirrorIndents/>
        <w:rPr>
          <w:rFonts w:cs="Times New Roman"/>
          <w:kern w:val="0"/>
        </w:rPr>
      </w:pPr>
      <w:r w:rsidRPr="00E17813">
        <w:rPr>
          <w:rFonts w:cs="Times New Roman"/>
          <w:kern w:val="0"/>
        </w:rPr>
        <w:t>[9]</w:t>
      </w:r>
      <w:r w:rsidRPr="00E17813">
        <w:rPr>
          <w:rFonts w:cs="Times New Roman"/>
          <w:kern w:val="0"/>
        </w:rPr>
        <w:tab/>
        <w:t xml:space="preserve">CHA Y, KIM J, HYUN C, </w:t>
      </w:r>
      <w:r w:rsidR="00143B30">
        <w:rPr>
          <w:rFonts w:cs="Times New Roman"/>
          <w:kern w:val="0"/>
        </w:rPr>
        <w:t>et al</w:t>
      </w:r>
      <w:r w:rsidRPr="00E17813">
        <w:rPr>
          <w:rFonts w:cs="Times New Roman"/>
          <w:kern w:val="0"/>
        </w:rPr>
        <w:t xml:space="preserve">. Development of a program definition rating index for the performance prediction of construction programs[J]. Sustainability, 2018, 10(8): 2747. </w:t>
      </w:r>
    </w:p>
    <w:p w14:paraId="414DDBFE" w14:textId="5661C096" w:rsidR="00E17813" w:rsidRPr="00E17813" w:rsidRDefault="00E17813" w:rsidP="00143B30">
      <w:pPr>
        <w:pStyle w:val="aff"/>
        <w:ind w:left="425" w:hangingChars="236" w:hanging="425"/>
        <w:contextualSpacing/>
        <w:mirrorIndents/>
        <w:rPr>
          <w:rFonts w:cs="Times New Roman"/>
          <w:kern w:val="0"/>
        </w:rPr>
      </w:pPr>
      <w:r w:rsidRPr="00E17813">
        <w:rPr>
          <w:rFonts w:cs="Times New Roman"/>
          <w:kern w:val="0"/>
        </w:rPr>
        <w:t>[10]</w:t>
      </w:r>
      <w:r w:rsidRPr="00E17813">
        <w:rPr>
          <w:rFonts w:cs="Times New Roman"/>
          <w:kern w:val="0"/>
        </w:rPr>
        <w:tab/>
        <w:t xml:space="preserve">FREDERIKSEN N, GOTTLIEB S C, LEIRINGER R. Organising for infrastructure development programmes: </w:t>
      </w:r>
      <w:r w:rsidRPr="00E17813">
        <w:rPr>
          <w:rFonts w:cs="Times New Roman"/>
          <w:kern w:val="0"/>
        </w:rPr>
        <w:t xml:space="preserve">Governing internal logic multiplicity across organisational spaces[J]. International Journal of Project Management, 2021, 39(3): 223-235. </w:t>
      </w:r>
    </w:p>
    <w:p w14:paraId="62FD7058" w14:textId="7F26154D" w:rsidR="00E17813" w:rsidRPr="00E17813" w:rsidRDefault="00E17813" w:rsidP="00143B30">
      <w:pPr>
        <w:pStyle w:val="aff"/>
        <w:ind w:left="425" w:hangingChars="236" w:hanging="425"/>
        <w:contextualSpacing/>
        <w:mirrorIndents/>
        <w:rPr>
          <w:rFonts w:cs="Times New Roman"/>
          <w:kern w:val="0"/>
        </w:rPr>
      </w:pPr>
      <w:r w:rsidRPr="00E17813">
        <w:rPr>
          <w:rFonts w:cs="Times New Roman"/>
          <w:kern w:val="0"/>
        </w:rPr>
        <w:t>[11]</w:t>
      </w:r>
      <w:r w:rsidRPr="00E17813">
        <w:rPr>
          <w:rFonts w:cs="Times New Roman"/>
          <w:kern w:val="0"/>
        </w:rPr>
        <w:tab/>
        <w:t>HU Y, CHAN A P C, LE Y. Understanding the determinants of program organization for construction megaproject success: Case study of the Shanghai Expo construction[J]. Journal of Management in Engineering, 2015, 31(5): 05014019.</w:t>
      </w:r>
    </w:p>
    <w:p w14:paraId="2FCBCE57" w14:textId="77777777" w:rsidR="00E17813" w:rsidRPr="00E17813" w:rsidRDefault="00E17813" w:rsidP="00143B30">
      <w:pPr>
        <w:pStyle w:val="aff"/>
        <w:ind w:left="425" w:hangingChars="236" w:hanging="425"/>
        <w:contextualSpacing/>
        <w:mirrorIndents/>
        <w:rPr>
          <w:rFonts w:cs="Times New Roman"/>
          <w:kern w:val="0"/>
        </w:rPr>
      </w:pPr>
      <w:r w:rsidRPr="00E17813">
        <w:rPr>
          <w:rFonts w:cs="Times New Roman"/>
          <w:kern w:val="0"/>
        </w:rPr>
        <w:t>[12]</w:t>
      </w:r>
      <w:r w:rsidRPr="00E17813">
        <w:rPr>
          <w:rFonts w:cs="Times New Roman"/>
          <w:kern w:val="0"/>
        </w:rPr>
        <w:tab/>
        <w:t>PMI. A guide to the project management body of knowledge and the standard for project management[M]. Seventh Edition. Pennsylvania: Project Management Institute, Inc, 2021.</w:t>
      </w:r>
    </w:p>
    <w:p w14:paraId="38B7A870" w14:textId="730C30DE" w:rsidR="00E17813" w:rsidRPr="00E17813" w:rsidRDefault="00E17813" w:rsidP="00143B30">
      <w:pPr>
        <w:pStyle w:val="aff"/>
        <w:ind w:left="425" w:hangingChars="236" w:hanging="425"/>
        <w:contextualSpacing/>
        <w:mirrorIndents/>
        <w:rPr>
          <w:rFonts w:cs="Times New Roman"/>
          <w:kern w:val="0"/>
        </w:rPr>
      </w:pPr>
      <w:r w:rsidRPr="00E17813">
        <w:rPr>
          <w:rFonts w:cs="Times New Roman"/>
          <w:kern w:val="0"/>
        </w:rPr>
        <w:t>[13]</w:t>
      </w:r>
      <w:r w:rsidRPr="00E17813">
        <w:rPr>
          <w:rFonts w:cs="Times New Roman"/>
          <w:kern w:val="0"/>
        </w:rPr>
        <w:tab/>
        <w:t xml:space="preserve">PARTINGTON D, PELLEGRINELLI S, YOUNG M. Attributes and levels of programme management competence: An interpretive study[J]. International Journal of Project Management, 2005, 23(2): 87-95. </w:t>
      </w:r>
    </w:p>
    <w:p w14:paraId="78C59971" w14:textId="35BBA544" w:rsidR="00E17813" w:rsidRPr="00E17813" w:rsidRDefault="00E17813" w:rsidP="00143B30">
      <w:pPr>
        <w:pStyle w:val="aff"/>
        <w:ind w:left="425" w:hangingChars="236" w:hanging="425"/>
        <w:contextualSpacing/>
        <w:mirrorIndents/>
        <w:rPr>
          <w:rFonts w:cs="Times New Roman"/>
          <w:kern w:val="0"/>
        </w:rPr>
      </w:pPr>
      <w:r w:rsidRPr="00E17813">
        <w:rPr>
          <w:rFonts w:cs="Times New Roman"/>
          <w:kern w:val="0"/>
        </w:rPr>
        <w:t>[14]</w:t>
      </w:r>
      <w:r w:rsidRPr="00E17813">
        <w:rPr>
          <w:rFonts w:cs="Times New Roman"/>
          <w:kern w:val="0"/>
        </w:rPr>
        <w:tab/>
        <w:t xml:space="preserve">PELLEGRINELLI S, MURRAY-WEBSTER R, TURNER N. Facilitating organizational ambidexterity through the complementary use of projects and programs[J]. International Journal of Project Management, 2015, 33(1): 153-164. </w:t>
      </w:r>
    </w:p>
    <w:p w14:paraId="4F9C6C33" w14:textId="7ABFFBD7" w:rsidR="00E17813" w:rsidRPr="00E17813" w:rsidRDefault="00E17813" w:rsidP="00143B30">
      <w:pPr>
        <w:pStyle w:val="aff"/>
        <w:ind w:left="425" w:hangingChars="236" w:hanging="425"/>
        <w:contextualSpacing/>
        <w:mirrorIndents/>
        <w:rPr>
          <w:rFonts w:cs="Times New Roman"/>
          <w:kern w:val="0"/>
        </w:rPr>
      </w:pPr>
      <w:r w:rsidRPr="00E17813">
        <w:rPr>
          <w:rFonts w:cs="Times New Roman"/>
          <w:kern w:val="0"/>
        </w:rPr>
        <w:t>[15]</w:t>
      </w:r>
      <w:r w:rsidRPr="00E17813">
        <w:rPr>
          <w:rFonts w:cs="Times New Roman"/>
          <w:kern w:val="0"/>
        </w:rPr>
        <w:tab/>
        <w:t xml:space="preserve">RIJKE J, VAN HERK S, ZEVENBERGEN C, </w:t>
      </w:r>
      <w:r w:rsidR="00143B30">
        <w:rPr>
          <w:rFonts w:cs="Times New Roman"/>
          <w:kern w:val="0"/>
        </w:rPr>
        <w:t>et al</w:t>
      </w:r>
      <w:r w:rsidRPr="00E17813">
        <w:rPr>
          <w:rFonts w:cs="Times New Roman"/>
          <w:kern w:val="0"/>
        </w:rPr>
        <w:t xml:space="preserve">. Adaptive programme management through a balanced performance/strategy-oriented focus[J]. International Journal of Project Management, 2014, 32(7): 1197-1209. </w:t>
      </w:r>
    </w:p>
    <w:p w14:paraId="3EEFCCF3" w14:textId="322D54A7" w:rsidR="00E17813" w:rsidRPr="00E17813" w:rsidRDefault="00E17813" w:rsidP="00143B30">
      <w:pPr>
        <w:pStyle w:val="aff"/>
        <w:ind w:left="425" w:hangingChars="236" w:hanging="425"/>
        <w:contextualSpacing/>
        <w:mirrorIndents/>
        <w:rPr>
          <w:rFonts w:cs="Times New Roman"/>
          <w:kern w:val="0"/>
        </w:rPr>
      </w:pPr>
      <w:r w:rsidRPr="00E17813">
        <w:rPr>
          <w:rFonts w:cs="Times New Roman"/>
          <w:kern w:val="0"/>
        </w:rPr>
        <w:t>[16]</w:t>
      </w:r>
      <w:r w:rsidRPr="00E17813">
        <w:rPr>
          <w:rFonts w:cs="Times New Roman"/>
          <w:kern w:val="0"/>
        </w:rPr>
        <w:tab/>
        <w:t xml:space="preserve">PELLEGRINELLI S. What’s in a name: Project or programme?[J]. International Journal of Project Management, 2011, 29(2): 232-240. </w:t>
      </w:r>
    </w:p>
    <w:p w14:paraId="109659C0" w14:textId="101553BA" w:rsidR="00E17813" w:rsidRPr="00E17813" w:rsidRDefault="00E17813" w:rsidP="00143B30">
      <w:pPr>
        <w:pStyle w:val="aff"/>
        <w:ind w:left="425" w:hangingChars="236" w:hanging="425"/>
        <w:contextualSpacing/>
        <w:mirrorIndents/>
        <w:rPr>
          <w:rFonts w:cs="Times New Roman"/>
          <w:kern w:val="0"/>
        </w:rPr>
      </w:pPr>
      <w:r w:rsidRPr="00E17813">
        <w:rPr>
          <w:rFonts w:cs="Times New Roman"/>
          <w:kern w:val="0"/>
        </w:rPr>
        <w:t>[17]</w:t>
      </w:r>
      <w:r w:rsidRPr="00E17813">
        <w:rPr>
          <w:rFonts w:cs="Times New Roman"/>
          <w:kern w:val="0"/>
        </w:rPr>
        <w:tab/>
        <w:t xml:space="preserve">ZAPALAC R, KUEMMLER K, MALAGON T. Establishing management information systems for multiproject programs[J]. Journal of Management in Engineering, 1994, 10(1): 37-42. </w:t>
      </w:r>
    </w:p>
    <w:p w14:paraId="72FDDB8F" w14:textId="1D39BDDF" w:rsidR="00E17813" w:rsidRPr="00E17813" w:rsidRDefault="00E17813" w:rsidP="00143B30">
      <w:pPr>
        <w:pStyle w:val="aff"/>
        <w:ind w:left="425" w:hangingChars="236" w:hanging="425"/>
        <w:contextualSpacing/>
        <w:mirrorIndents/>
        <w:rPr>
          <w:rFonts w:cs="Times New Roman"/>
          <w:kern w:val="0"/>
        </w:rPr>
      </w:pPr>
      <w:r w:rsidRPr="00E17813">
        <w:rPr>
          <w:rFonts w:cs="Times New Roman"/>
          <w:kern w:val="0"/>
        </w:rPr>
        <w:t>[18]</w:t>
      </w:r>
      <w:r w:rsidRPr="00E17813">
        <w:rPr>
          <w:rFonts w:cs="Times New Roman"/>
          <w:kern w:val="0"/>
        </w:rPr>
        <w:tab/>
        <w:t xml:space="preserve">KIM J H, YOON J Y, KIM K H, </w:t>
      </w:r>
      <w:r w:rsidR="00143B30">
        <w:rPr>
          <w:rFonts w:cs="Times New Roman"/>
          <w:kern w:val="0"/>
        </w:rPr>
        <w:t>et al</w:t>
      </w:r>
      <w:r w:rsidRPr="00E17813">
        <w:rPr>
          <w:rFonts w:cs="Times New Roman"/>
          <w:kern w:val="0"/>
        </w:rPr>
        <w:t>. A conceptual model of intelligent program management information systems (iPMIS) for urban renewal mega projects in Korea[J]. Journal of Asian Architecture and Building Engineering, 2009, 8(1): 57-64.</w:t>
      </w:r>
    </w:p>
    <w:p w14:paraId="0FDD01BA" w14:textId="4B35C96F" w:rsidR="00E17813" w:rsidRPr="00E17813" w:rsidRDefault="00E17813" w:rsidP="00143B30">
      <w:pPr>
        <w:pStyle w:val="aff"/>
        <w:ind w:left="425" w:hangingChars="236" w:hanging="425"/>
        <w:contextualSpacing/>
        <w:mirrorIndents/>
        <w:rPr>
          <w:rFonts w:cs="Times New Roman"/>
          <w:kern w:val="0"/>
        </w:rPr>
      </w:pPr>
      <w:r w:rsidRPr="00E17813">
        <w:rPr>
          <w:rFonts w:cs="Times New Roman"/>
          <w:kern w:val="0"/>
        </w:rPr>
        <w:t>[19]</w:t>
      </w:r>
      <w:r w:rsidRPr="00E17813">
        <w:rPr>
          <w:rFonts w:cs="Times New Roman"/>
          <w:kern w:val="0"/>
        </w:rPr>
        <w:tab/>
        <w:t xml:space="preserve">HU Y, CHAN A P C, LE Y, </w:t>
      </w:r>
      <w:r w:rsidR="00143B30">
        <w:rPr>
          <w:rFonts w:cs="Times New Roman"/>
          <w:kern w:val="0"/>
        </w:rPr>
        <w:t>et al</w:t>
      </w:r>
      <w:r w:rsidRPr="00E17813">
        <w:rPr>
          <w:rFonts w:cs="Times New Roman"/>
          <w:kern w:val="0"/>
        </w:rPr>
        <w:t>. Developing a program organization performance index for delivering construction megaprojects in China: Fuzzy synthetic evaluation analysis[J]. Journal of Management in Engineering, 2016, 32(4): 05016007.</w:t>
      </w:r>
    </w:p>
    <w:p w14:paraId="2C97EAF4" w14:textId="77777777" w:rsidR="00E17813" w:rsidRPr="00E17813" w:rsidRDefault="00E17813" w:rsidP="00143B30">
      <w:pPr>
        <w:pStyle w:val="aff"/>
        <w:ind w:left="425" w:hangingChars="236" w:hanging="425"/>
        <w:contextualSpacing/>
        <w:mirrorIndents/>
        <w:rPr>
          <w:rFonts w:cs="Times New Roman"/>
          <w:kern w:val="0"/>
        </w:rPr>
      </w:pPr>
      <w:r w:rsidRPr="00E17813">
        <w:rPr>
          <w:rFonts w:cs="Times New Roman"/>
          <w:kern w:val="0"/>
        </w:rPr>
        <w:t>[20]</w:t>
      </w:r>
      <w:r w:rsidRPr="00E17813">
        <w:rPr>
          <w:rFonts w:cs="Times New Roman"/>
          <w:kern w:val="0"/>
        </w:rPr>
        <w:tab/>
        <w:t>PMI. The standard for program management[M]. Newtown Square, PA: Project Management Institute, 2017.</w:t>
      </w:r>
    </w:p>
    <w:p w14:paraId="5B1D56D3" w14:textId="697D94B8" w:rsidR="00E17813" w:rsidRPr="00E17813" w:rsidRDefault="00E17813" w:rsidP="00143B30">
      <w:pPr>
        <w:pStyle w:val="aff"/>
        <w:ind w:left="425" w:hangingChars="236" w:hanging="425"/>
        <w:contextualSpacing/>
        <w:mirrorIndents/>
        <w:rPr>
          <w:rFonts w:cs="Times New Roman"/>
          <w:kern w:val="0"/>
        </w:rPr>
      </w:pPr>
      <w:r w:rsidRPr="00E17813">
        <w:rPr>
          <w:rFonts w:cs="Times New Roman"/>
          <w:kern w:val="0"/>
        </w:rPr>
        <w:t>[21]</w:t>
      </w:r>
      <w:r w:rsidRPr="00E17813">
        <w:rPr>
          <w:rFonts w:cs="Times New Roman"/>
          <w:kern w:val="0"/>
        </w:rPr>
        <w:tab/>
        <w:t xml:space="preserve">DEMIRKESEN S, OZORHON B. Impact of integration management on construction project management performance[J]. International Journal of Project Management, 2017, 35(8): 1639-1654. </w:t>
      </w:r>
    </w:p>
    <w:p w14:paraId="0F98C1BC" w14:textId="11BF382E" w:rsidR="00E17813" w:rsidRPr="00E17813" w:rsidRDefault="00E17813" w:rsidP="00143B30">
      <w:pPr>
        <w:pStyle w:val="aff"/>
        <w:ind w:left="425" w:hangingChars="236" w:hanging="425"/>
        <w:contextualSpacing/>
        <w:mirrorIndents/>
        <w:rPr>
          <w:rFonts w:cs="Times New Roman"/>
          <w:kern w:val="0"/>
        </w:rPr>
      </w:pPr>
      <w:r w:rsidRPr="00E17813">
        <w:rPr>
          <w:rFonts w:cs="Times New Roman"/>
          <w:kern w:val="0"/>
        </w:rPr>
        <w:t>[22]</w:t>
      </w:r>
      <w:r w:rsidRPr="00E17813">
        <w:rPr>
          <w:rFonts w:cs="Times New Roman"/>
          <w:kern w:val="0"/>
        </w:rPr>
        <w:tab/>
        <w:t xml:space="preserve">ASIF M, FISSCHER O A M, DE BRUIJN E J, </w:t>
      </w:r>
      <w:r w:rsidR="00143B30">
        <w:rPr>
          <w:rFonts w:cs="Times New Roman"/>
          <w:kern w:val="0"/>
        </w:rPr>
        <w:t>et al</w:t>
      </w:r>
      <w:r w:rsidRPr="00E17813">
        <w:rPr>
          <w:rFonts w:cs="Times New Roman"/>
          <w:kern w:val="0"/>
        </w:rPr>
        <w:t xml:space="preserve">. Integration of management systems: A methodology for operational excellence and strategic flexibility[J]. Operations Management Research, 2010, 3(3-4): 146-160. </w:t>
      </w:r>
    </w:p>
    <w:p w14:paraId="724CFE0B" w14:textId="155F5910" w:rsidR="00E17813" w:rsidRPr="00E17813" w:rsidRDefault="00E17813" w:rsidP="00143B30">
      <w:pPr>
        <w:pStyle w:val="aff"/>
        <w:ind w:left="425" w:hangingChars="236" w:hanging="425"/>
        <w:contextualSpacing/>
        <w:mirrorIndents/>
        <w:rPr>
          <w:rFonts w:cs="Times New Roman"/>
          <w:kern w:val="0"/>
        </w:rPr>
      </w:pPr>
      <w:r w:rsidRPr="00E17813">
        <w:rPr>
          <w:rFonts w:cs="Times New Roman"/>
          <w:kern w:val="0"/>
        </w:rPr>
        <w:t>[23]</w:t>
      </w:r>
      <w:r w:rsidRPr="00E17813">
        <w:rPr>
          <w:rFonts w:cs="Times New Roman"/>
          <w:kern w:val="0"/>
        </w:rPr>
        <w:tab/>
        <w:t>BAIDEN B K, PRICE A D F, DAINTY A R J. The extent of team integration within construction projects[J]. International Journal of Project Management, 2006, 24(1): 13-23.</w:t>
      </w:r>
    </w:p>
    <w:p w14:paraId="0EBAE768" w14:textId="7760B1C1" w:rsidR="00E17813" w:rsidRPr="00E17813" w:rsidRDefault="00E17813" w:rsidP="00143B30">
      <w:pPr>
        <w:pStyle w:val="aff"/>
        <w:ind w:left="425" w:hangingChars="236" w:hanging="425"/>
        <w:contextualSpacing/>
        <w:mirrorIndents/>
        <w:rPr>
          <w:rFonts w:cs="Times New Roman"/>
          <w:kern w:val="0"/>
        </w:rPr>
      </w:pPr>
      <w:r w:rsidRPr="00E17813">
        <w:rPr>
          <w:rFonts w:cs="Times New Roman"/>
          <w:kern w:val="0"/>
        </w:rPr>
        <w:t>[24]</w:t>
      </w:r>
      <w:r w:rsidRPr="00E17813">
        <w:rPr>
          <w:rFonts w:cs="Times New Roman"/>
          <w:kern w:val="0"/>
        </w:rPr>
        <w:tab/>
        <w:t xml:space="preserve">BERTEAUX F, JAVERNICK-WILL A. Adaptation and </w:t>
      </w:r>
      <w:r w:rsidRPr="00E17813">
        <w:rPr>
          <w:rFonts w:cs="Times New Roman"/>
          <w:kern w:val="0"/>
        </w:rPr>
        <w:lastRenderedPageBreak/>
        <w:t>integration for multinational project-based organizations[J]. Journal of Management in Engineering, 2015, 31(6): 04015008.</w:t>
      </w:r>
    </w:p>
    <w:p w14:paraId="334C3A8D" w14:textId="53902C5A" w:rsidR="00E17813" w:rsidRPr="00E17813" w:rsidRDefault="00E17813" w:rsidP="00143B30">
      <w:pPr>
        <w:pStyle w:val="aff"/>
        <w:ind w:left="425" w:hangingChars="236" w:hanging="425"/>
        <w:contextualSpacing/>
        <w:mirrorIndents/>
        <w:rPr>
          <w:rFonts w:cs="Times New Roman"/>
          <w:kern w:val="0"/>
        </w:rPr>
      </w:pPr>
      <w:r w:rsidRPr="00E17813">
        <w:rPr>
          <w:rFonts w:cs="Times New Roman"/>
          <w:kern w:val="0"/>
        </w:rPr>
        <w:t>[25]</w:t>
      </w:r>
      <w:r w:rsidRPr="00E17813">
        <w:rPr>
          <w:rFonts w:cs="Times New Roman"/>
          <w:kern w:val="0"/>
        </w:rPr>
        <w:tab/>
        <w:t>SHEHU Z, AKINTOYE A. Major challenges to the successful implementation and practice of programme management in the construction environment: A critical analysis[J]. International Journal of Project Management, 2010, 28(1): 26-39.</w:t>
      </w:r>
    </w:p>
    <w:p w14:paraId="0E6F0ECA" w14:textId="5D02609F" w:rsidR="00E17813" w:rsidRPr="00E17813" w:rsidRDefault="00E17813" w:rsidP="00143B30">
      <w:pPr>
        <w:pStyle w:val="aff"/>
        <w:ind w:left="425" w:hangingChars="236" w:hanging="425"/>
        <w:contextualSpacing/>
        <w:mirrorIndents/>
        <w:rPr>
          <w:rFonts w:cs="Times New Roman"/>
          <w:kern w:val="0"/>
        </w:rPr>
      </w:pPr>
      <w:r w:rsidRPr="00E17813">
        <w:rPr>
          <w:rFonts w:cs="Times New Roman"/>
          <w:kern w:val="0"/>
        </w:rPr>
        <w:t>[26]</w:t>
      </w:r>
      <w:r w:rsidRPr="00E17813">
        <w:rPr>
          <w:rFonts w:cs="Times New Roman"/>
          <w:kern w:val="0"/>
        </w:rPr>
        <w:tab/>
        <w:t xml:space="preserve">VUORINEN L, MARTINSUO M. Program integration in multi-project change programs: Agency in integration practice[J]. International Journal of Project Management, 2018, 36(4): 583-599. </w:t>
      </w:r>
    </w:p>
    <w:p w14:paraId="55970D82" w14:textId="3F418B21" w:rsidR="00E17813" w:rsidRPr="00E17813" w:rsidRDefault="00E17813" w:rsidP="00143B30">
      <w:pPr>
        <w:pStyle w:val="aff"/>
        <w:ind w:left="425" w:hangingChars="236" w:hanging="425"/>
        <w:contextualSpacing/>
        <w:mirrorIndents/>
        <w:rPr>
          <w:rFonts w:cs="Times New Roman"/>
          <w:kern w:val="0"/>
        </w:rPr>
      </w:pPr>
      <w:r w:rsidRPr="00E17813">
        <w:rPr>
          <w:rFonts w:cs="Times New Roman"/>
          <w:kern w:val="0"/>
        </w:rPr>
        <w:t>[27]</w:t>
      </w:r>
      <w:r w:rsidRPr="00E17813">
        <w:rPr>
          <w:rFonts w:cs="Times New Roman"/>
          <w:kern w:val="0"/>
        </w:rPr>
        <w:tab/>
        <w:t>BIRKINSHAW J, BRESMAN H, HÅKANSON L. Managing the post-acquisition integration process: How the human integration and task integration processes interact to foster value creation[J]. Journal of Management Studies, 2000, 37(3): 395-425.</w:t>
      </w:r>
    </w:p>
    <w:p w14:paraId="1EEE21ED" w14:textId="0F996093" w:rsidR="00E17813" w:rsidRPr="00E17813" w:rsidRDefault="00E17813" w:rsidP="00143B30">
      <w:pPr>
        <w:pStyle w:val="aff"/>
        <w:ind w:left="425" w:hangingChars="236" w:hanging="425"/>
        <w:contextualSpacing/>
        <w:mirrorIndents/>
        <w:rPr>
          <w:rFonts w:cs="Times New Roman"/>
          <w:kern w:val="0"/>
        </w:rPr>
      </w:pPr>
      <w:r w:rsidRPr="00E17813">
        <w:rPr>
          <w:rFonts w:cs="Times New Roman"/>
          <w:kern w:val="0"/>
        </w:rPr>
        <w:t>[28]</w:t>
      </w:r>
      <w:r w:rsidRPr="00E17813">
        <w:rPr>
          <w:rFonts w:cs="Times New Roman"/>
          <w:kern w:val="0"/>
        </w:rPr>
        <w:tab/>
        <w:t xml:space="preserve">JIA G, CHEN Y, XUE X, </w:t>
      </w:r>
      <w:r w:rsidR="00143B30">
        <w:rPr>
          <w:rFonts w:cs="Times New Roman"/>
          <w:kern w:val="0"/>
        </w:rPr>
        <w:t>et al</w:t>
      </w:r>
      <w:r w:rsidRPr="00E17813">
        <w:rPr>
          <w:rFonts w:cs="Times New Roman"/>
          <w:kern w:val="0"/>
        </w:rPr>
        <w:t>. Program management organization maturity integrated model for mega construction programs in China[J]. International Journal of Project Management, 2011, 29(7): 834-845.</w:t>
      </w:r>
    </w:p>
    <w:p w14:paraId="30983194" w14:textId="56A9C665" w:rsidR="00E17813" w:rsidRPr="00E17813" w:rsidRDefault="00E17813" w:rsidP="00143B30">
      <w:pPr>
        <w:pStyle w:val="aff"/>
        <w:ind w:left="425" w:hangingChars="236" w:hanging="425"/>
        <w:contextualSpacing/>
        <w:mirrorIndents/>
        <w:rPr>
          <w:rFonts w:cs="Times New Roman"/>
          <w:kern w:val="0"/>
        </w:rPr>
      </w:pPr>
      <w:r w:rsidRPr="00E17813">
        <w:rPr>
          <w:rFonts w:cs="Times New Roman"/>
          <w:kern w:val="0"/>
        </w:rPr>
        <w:t>[29]</w:t>
      </w:r>
      <w:r w:rsidRPr="00E17813">
        <w:rPr>
          <w:rFonts w:cs="Times New Roman"/>
          <w:kern w:val="0"/>
        </w:rPr>
        <w:tab/>
        <w:t>MAQBOOL R, DENG X, RASHID Y. Stakeholders’ satisfaction as a key determinant of critical success factors in renewable energy projects[J]. Energy, Sustainability and Society, 2020, 10(1): 1-15.</w:t>
      </w:r>
    </w:p>
    <w:p w14:paraId="59B2C23F" w14:textId="4A2CF8EB" w:rsidR="00E17813" w:rsidRPr="00E17813" w:rsidRDefault="00E17813" w:rsidP="00143B30">
      <w:pPr>
        <w:pStyle w:val="aff"/>
        <w:ind w:left="425" w:hangingChars="236" w:hanging="425"/>
        <w:contextualSpacing/>
        <w:mirrorIndents/>
        <w:rPr>
          <w:rFonts w:cs="Times New Roman"/>
          <w:kern w:val="0"/>
        </w:rPr>
      </w:pPr>
      <w:r w:rsidRPr="00E17813">
        <w:rPr>
          <w:rFonts w:cs="Times New Roman"/>
          <w:kern w:val="0"/>
        </w:rPr>
        <w:t>[30]</w:t>
      </w:r>
      <w:r w:rsidRPr="00E17813">
        <w:rPr>
          <w:rFonts w:cs="Times New Roman"/>
          <w:kern w:val="0"/>
        </w:rPr>
        <w:tab/>
        <w:t xml:space="preserve">RASOOL S F, CHIN T, WANG M, </w:t>
      </w:r>
      <w:r w:rsidR="00143B30">
        <w:rPr>
          <w:rFonts w:cs="Times New Roman"/>
          <w:kern w:val="0"/>
        </w:rPr>
        <w:t>et al</w:t>
      </w:r>
      <w:r w:rsidRPr="00E17813">
        <w:rPr>
          <w:rFonts w:cs="Times New Roman"/>
          <w:kern w:val="0"/>
        </w:rPr>
        <w:t xml:space="preserve">. Exploring the role of organizational support, and critical success factors on renewable energy projects of Pakistan[J]. Energy, 2022, 243: 122765. </w:t>
      </w:r>
    </w:p>
    <w:p w14:paraId="39D2CFAA" w14:textId="3A561C40" w:rsidR="00E17813" w:rsidRPr="00E17813" w:rsidRDefault="00E17813" w:rsidP="00143B30">
      <w:pPr>
        <w:pStyle w:val="aff"/>
        <w:ind w:left="425" w:hangingChars="236" w:hanging="425"/>
        <w:contextualSpacing/>
        <w:mirrorIndents/>
        <w:rPr>
          <w:rFonts w:cs="Times New Roman"/>
          <w:kern w:val="0"/>
        </w:rPr>
      </w:pPr>
      <w:r w:rsidRPr="00E17813">
        <w:rPr>
          <w:rFonts w:cs="Times New Roman"/>
          <w:kern w:val="0"/>
        </w:rPr>
        <w:t>[31]</w:t>
      </w:r>
      <w:r w:rsidRPr="00E17813">
        <w:rPr>
          <w:rFonts w:cs="Times New Roman"/>
          <w:kern w:val="0"/>
        </w:rPr>
        <w:tab/>
        <w:t xml:space="preserve">ZAMAN S, WANG Z, RASOOL S F, </w:t>
      </w:r>
      <w:r w:rsidR="00143B30">
        <w:rPr>
          <w:rFonts w:cs="Times New Roman"/>
          <w:kern w:val="0"/>
        </w:rPr>
        <w:t>et al</w:t>
      </w:r>
      <w:r w:rsidRPr="00E17813">
        <w:rPr>
          <w:rFonts w:cs="Times New Roman"/>
          <w:kern w:val="0"/>
        </w:rPr>
        <w:t>. Impact of critical success factors and supportive leadership on sustainable success of renewable energy projects: Empirical evidence from Pakistan[J]. Energy Policy, 2022, 162: 112793.</w:t>
      </w:r>
    </w:p>
    <w:p w14:paraId="6775925C" w14:textId="148684AA" w:rsidR="00E17813" w:rsidRPr="00E17813" w:rsidRDefault="00E17813" w:rsidP="00143B30">
      <w:pPr>
        <w:pStyle w:val="aff"/>
        <w:ind w:left="425" w:hangingChars="236" w:hanging="425"/>
        <w:contextualSpacing/>
        <w:mirrorIndents/>
        <w:rPr>
          <w:rFonts w:cs="Times New Roman"/>
          <w:kern w:val="0"/>
        </w:rPr>
      </w:pPr>
      <w:r w:rsidRPr="00E17813">
        <w:rPr>
          <w:rFonts w:cs="Times New Roman"/>
          <w:kern w:val="0"/>
        </w:rPr>
        <w:t>[32]</w:t>
      </w:r>
      <w:r w:rsidRPr="00E17813">
        <w:rPr>
          <w:rFonts w:cs="Times New Roman"/>
          <w:kern w:val="0"/>
        </w:rPr>
        <w:tab/>
        <w:t xml:space="preserve">QIU L, HE L, LU H, </w:t>
      </w:r>
      <w:r w:rsidR="00143B30">
        <w:rPr>
          <w:rFonts w:cs="Times New Roman"/>
          <w:kern w:val="0"/>
        </w:rPr>
        <w:t>et al</w:t>
      </w:r>
      <w:r w:rsidRPr="00E17813">
        <w:rPr>
          <w:rFonts w:cs="Times New Roman"/>
          <w:kern w:val="0"/>
        </w:rPr>
        <w:t xml:space="preserve">. Systematic potential analysis on renewable energy centralized co-development at high altitude: A case study in Qinghai-Tibet plateau[J]. Energy Conversion and Management, 2022, 267: 115879. </w:t>
      </w:r>
    </w:p>
    <w:p w14:paraId="247CB8F4" w14:textId="079C3731" w:rsidR="00E17813" w:rsidRPr="00E17813" w:rsidRDefault="00E17813" w:rsidP="00143B30">
      <w:pPr>
        <w:pStyle w:val="aff"/>
        <w:ind w:left="425" w:hangingChars="236" w:hanging="425"/>
        <w:contextualSpacing/>
        <w:mirrorIndents/>
        <w:rPr>
          <w:rFonts w:cs="Times New Roman"/>
          <w:kern w:val="0"/>
        </w:rPr>
      </w:pPr>
      <w:r w:rsidRPr="00E17813">
        <w:rPr>
          <w:rFonts w:cs="Times New Roman"/>
          <w:kern w:val="0"/>
        </w:rPr>
        <w:t>[33]</w:t>
      </w:r>
      <w:r w:rsidRPr="00E17813">
        <w:rPr>
          <w:rFonts w:cs="Times New Roman"/>
          <w:kern w:val="0"/>
        </w:rPr>
        <w:tab/>
        <w:t>LEE H C, CHANG C T. Comparative analysis of MCDM methods for ranking renewable energy sources in Taiwan[J]. Renewable and Sustainable Energy Reviews, 2018, 92: 883-896.</w:t>
      </w:r>
    </w:p>
    <w:p w14:paraId="5FD020D6" w14:textId="0EFE0694" w:rsidR="00E17813" w:rsidRPr="00E17813" w:rsidRDefault="00E17813" w:rsidP="00143B30">
      <w:pPr>
        <w:pStyle w:val="aff"/>
        <w:ind w:left="425" w:hangingChars="236" w:hanging="425"/>
        <w:contextualSpacing/>
        <w:mirrorIndents/>
        <w:rPr>
          <w:rFonts w:cs="Times New Roman"/>
          <w:kern w:val="0"/>
        </w:rPr>
      </w:pPr>
      <w:r w:rsidRPr="00E17813">
        <w:rPr>
          <w:rFonts w:cs="Times New Roman"/>
          <w:kern w:val="0"/>
        </w:rPr>
        <w:t>[34]</w:t>
      </w:r>
      <w:r w:rsidRPr="00E17813">
        <w:rPr>
          <w:rFonts w:cs="Times New Roman"/>
          <w:kern w:val="0"/>
        </w:rPr>
        <w:tab/>
        <w:t xml:space="preserve">MA T, YANG H, LU L, </w:t>
      </w:r>
      <w:r w:rsidR="00143B30">
        <w:rPr>
          <w:rFonts w:cs="Times New Roman"/>
          <w:kern w:val="0"/>
        </w:rPr>
        <w:t>et al</w:t>
      </w:r>
      <w:r w:rsidRPr="00E17813">
        <w:rPr>
          <w:rFonts w:cs="Times New Roman"/>
          <w:kern w:val="0"/>
        </w:rPr>
        <w:t xml:space="preserve">. Technical feasibility study on a standalone hybrid solar-wind system with pumped hydro storage for a remote island in Hong Kong[J]. Renewable Energy, 2014, 69: 7-15. </w:t>
      </w:r>
    </w:p>
    <w:p w14:paraId="4E88946C" w14:textId="424F22F3" w:rsidR="00E17813" w:rsidRPr="00E17813" w:rsidRDefault="00E17813" w:rsidP="00143B30">
      <w:pPr>
        <w:pStyle w:val="aff"/>
        <w:ind w:left="425" w:hangingChars="236" w:hanging="425"/>
        <w:contextualSpacing/>
        <w:mirrorIndents/>
        <w:rPr>
          <w:rFonts w:cs="Times New Roman"/>
          <w:kern w:val="0"/>
        </w:rPr>
      </w:pPr>
      <w:r w:rsidRPr="00E17813">
        <w:rPr>
          <w:rFonts w:cs="Times New Roman"/>
          <w:kern w:val="0"/>
        </w:rPr>
        <w:t>[35]</w:t>
      </w:r>
      <w:r w:rsidRPr="00E17813">
        <w:rPr>
          <w:rFonts w:cs="Times New Roman"/>
          <w:kern w:val="0"/>
        </w:rPr>
        <w:tab/>
        <w:t xml:space="preserve">PIWOWAR-SULEJ K, SOŁTYSIK M, JAROSZ S, </w:t>
      </w:r>
      <w:r w:rsidR="00143B30">
        <w:rPr>
          <w:rFonts w:cs="Times New Roman"/>
          <w:kern w:val="0"/>
        </w:rPr>
        <w:t>et al</w:t>
      </w:r>
      <w:r w:rsidRPr="00E17813">
        <w:rPr>
          <w:rFonts w:cs="Times New Roman"/>
          <w:kern w:val="0"/>
        </w:rPr>
        <w:t xml:space="preserve">. The linkage between renewable energy and project management: What do we already know, and what are the future directions of research?[J]. Energies, 2023, 16(12): 4609. </w:t>
      </w:r>
    </w:p>
    <w:p w14:paraId="68B2D58A" w14:textId="70FC8D2E" w:rsidR="00E17813" w:rsidRPr="00E17813" w:rsidRDefault="00E17813" w:rsidP="00143B30">
      <w:pPr>
        <w:pStyle w:val="aff"/>
        <w:ind w:left="425" w:hangingChars="236" w:hanging="425"/>
        <w:contextualSpacing/>
        <w:mirrorIndents/>
        <w:rPr>
          <w:rFonts w:cs="Times New Roman"/>
          <w:kern w:val="0"/>
        </w:rPr>
      </w:pPr>
      <w:r w:rsidRPr="00E17813">
        <w:rPr>
          <w:rFonts w:cs="Times New Roman"/>
          <w:kern w:val="0"/>
        </w:rPr>
        <w:t>[36]</w:t>
      </w:r>
      <w:r w:rsidRPr="00E17813">
        <w:rPr>
          <w:rFonts w:cs="Times New Roman"/>
          <w:kern w:val="0"/>
        </w:rPr>
        <w:tab/>
        <w:t>KENNEDY S F, QAYYUM F. Land acquisition governance and its implications for renewable energy development in Indonesia and the Philippines[J]. Journal of Planning Education and Research, 2024, 44(4): 2056-2067.</w:t>
      </w:r>
    </w:p>
    <w:p w14:paraId="2FB6F4F6" w14:textId="23C113CD" w:rsidR="00E17813" w:rsidRPr="00E17813" w:rsidRDefault="00E17813" w:rsidP="00143B30">
      <w:pPr>
        <w:pStyle w:val="aff"/>
        <w:ind w:left="425" w:hangingChars="236" w:hanging="425"/>
        <w:contextualSpacing/>
        <w:mirrorIndents/>
        <w:rPr>
          <w:rFonts w:cs="Times New Roman"/>
          <w:kern w:val="0"/>
        </w:rPr>
      </w:pPr>
      <w:r w:rsidRPr="00E17813">
        <w:rPr>
          <w:rFonts w:cs="Times New Roman"/>
          <w:kern w:val="0"/>
        </w:rPr>
        <w:t>[37]</w:t>
      </w:r>
      <w:r w:rsidRPr="00E17813">
        <w:rPr>
          <w:rFonts w:cs="Times New Roman"/>
          <w:kern w:val="0"/>
        </w:rPr>
        <w:tab/>
        <w:t xml:space="preserve">NDI F A. Land acquisition, renewable energy development, </w:t>
      </w:r>
      <w:r w:rsidRPr="00E17813">
        <w:rPr>
          <w:rFonts w:cs="Times New Roman"/>
          <w:kern w:val="0"/>
        </w:rPr>
        <w:t xml:space="preserve">and livelihood transformation in rural Kenya: The case of the Kipeto wind energy project[J]. Energy Research &amp; Social Science, 2024, 112: 103530. </w:t>
      </w:r>
    </w:p>
    <w:p w14:paraId="18E05570" w14:textId="41215D24" w:rsidR="00E17813" w:rsidRPr="00E17813" w:rsidRDefault="00E17813" w:rsidP="00143B30">
      <w:pPr>
        <w:pStyle w:val="aff"/>
        <w:ind w:left="425" w:hangingChars="236" w:hanging="425"/>
        <w:contextualSpacing/>
        <w:mirrorIndents/>
        <w:rPr>
          <w:rFonts w:cs="Times New Roman"/>
          <w:kern w:val="0"/>
        </w:rPr>
      </w:pPr>
      <w:r w:rsidRPr="00E17813">
        <w:rPr>
          <w:rFonts w:cs="Times New Roman"/>
          <w:kern w:val="0"/>
        </w:rPr>
        <w:t>[38]</w:t>
      </w:r>
      <w:r w:rsidRPr="00E17813">
        <w:rPr>
          <w:rFonts w:cs="Times New Roman"/>
          <w:kern w:val="0"/>
        </w:rPr>
        <w:tab/>
        <w:t xml:space="preserve">HUSSAIN S, XUETONG W, MAQBOOL R, </w:t>
      </w:r>
      <w:r w:rsidR="00143B30">
        <w:rPr>
          <w:rFonts w:cs="Times New Roman"/>
          <w:kern w:val="0"/>
        </w:rPr>
        <w:t>et al</w:t>
      </w:r>
      <w:r w:rsidRPr="00E17813">
        <w:rPr>
          <w:rFonts w:cs="Times New Roman"/>
          <w:kern w:val="0"/>
        </w:rPr>
        <w:t xml:space="preserve">. The influence of government support, organizational innovativeness and community participation in renewable energy project success: A case of Pakistan[J]. Energy, 2022, 239: 122172. </w:t>
      </w:r>
    </w:p>
    <w:p w14:paraId="713A7BE2" w14:textId="37FEF45D" w:rsidR="00E17813" w:rsidRPr="00E17813" w:rsidRDefault="00E17813" w:rsidP="00143B30">
      <w:pPr>
        <w:pStyle w:val="aff"/>
        <w:ind w:left="425" w:hangingChars="236" w:hanging="425"/>
        <w:contextualSpacing/>
        <w:mirrorIndents/>
        <w:rPr>
          <w:rFonts w:cs="Times New Roman"/>
          <w:kern w:val="0"/>
        </w:rPr>
      </w:pPr>
      <w:r w:rsidRPr="00E17813">
        <w:rPr>
          <w:rFonts w:cs="Times New Roman"/>
          <w:kern w:val="0"/>
        </w:rPr>
        <w:t>[39]</w:t>
      </w:r>
      <w:r w:rsidRPr="00E17813">
        <w:rPr>
          <w:rFonts w:cs="Times New Roman"/>
          <w:kern w:val="0"/>
        </w:rPr>
        <w:tab/>
        <w:t xml:space="preserve">DING Y, ZHANG X, ZHOU L, </w:t>
      </w:r>
      <w:r w:rsidR="00143B30">
        <w:rPr>
          <w:rFonts w:cs="Times New Roman"/>
          <w:kern w:val="0"/>
        </w:rPr>
        <w:t>et al</w:t>
      </w:r>
      <w:r w:rsidRPr="00E17813">
        <w:rPr>
          <w:rFonts w:cs="Times New Roman"/>
          <w:kern w:val="0"/>
        </w:rPr>
        <w:t xml:space="preserve">. Investment risk assessment of EPC power transmission and transformation projects under new energy grid connection based on the owner’s perspective[J]. Mathematical Problems in Engineering, 2022, 2022: 1-12. </w:t>
      </w:r>
    </w:p>
    <w:p w14:paraId="3DBEE3BA" w14:textId="5AC32BD9" w:rsidR="001B5CD5" w:rsidRDefault="00E17813" w:rsidP="00143B30">
      <w:pPr>
        <w:pStyle w:val="aff"/>
        <w:ind w:left="425" w:hangingChars="236" w:hanging="425"/>
        <w:contextualSpacing/>
        <w:mirrorIndents/>
        <w:rPr>
          <w:rFonts w:cs="Times New Roman"/>
          <w:kern w:val="0"/>
        </w:rPr>
      </w:pPr>
      <w:r w:rsidRPr="00E17813">
        <w:rPr>
          <w:rFonts w:cs="Times New Roman"/>
          <w:kern w:val="0"/>
        </w:rPr>
        <w:t>[40]</w:t>
      </w:r>
      <w:r w:rsidRPr="00E17813">
        <w:rPr>
          <w:rFonts w:cs="Times New Roman"/>
          <w:kern w:val="0"/>
        </w:rPr>
        <w:tab/>
      </w:r>
      <w:r w:rsidRPr="00E17813">
        <w:rPr>
          <w:rFonts w:cs="Times New Roman"/>
          <w:kern w:val="0"/>
        </w:rPr>
        <w:t>文云峰</w:t>
      </w:r>
      <w:r w:rsidRPr="00E17813">
        <w:rPr>
          <w:rFonts w:cs="Times New Roman"/>
          <w:kern w:val="0"/>
        </w:rPr>
        <w:t xml:space="preserve">, </w:t>
      </w:r>
      <w:r w:rsidRPr="00E17813">
        <w:rPr>
          <w:rFonts w:cs="Times New Roman"/>
          <w:kern w:val="0"/>
        </w:rPr>
        <w:t>杨伟峰</w:t>
      </w:r>
      <w:r w:rsidRPr="00E17813">
        <w:rPr>
          <w:rFonts w:cs="Times New Roman"/>
          <w:kern w:val="0"/>
        </w:rPr>
        <w:t xml:space="preserve">, </w:t>
      </w:r>
      <w:r w:rsidRPr="00E17813">
        <w:rPr>
          <w:rFonts w:cs="Times New Roman"/>
          <w:kern w:val="0"/>
        </w:rPr>
        <w:t>汪荣华</w:t>
      </w:r>
      <w:r w:rsidRPr="00E17813">
        <w:rPr>
          <w:rFonts w:cs="Times New Roman"/>
          <w:kern w:val="0"/>
        </w:rPr>
        <w:t xml:space="preserve">, </w:t>
      </w:r>
      <w:r w:rsidRPr="00E17813">
        <w:rPr>
          <w:rFonts w:cs="Times New Roman"/>
          <w:kern w:val="0"/>
        </w:rPr>
        <w:t>等</w:t>
      </w:r>
      <w:r w:rsidRPr="00E17813">
        <w:rPr>
          <w:rFonts w:cs="Times New Roman"/>
          <w:kern w:val="0"/>
        </w:rPr>
        <w:t xml:space="preserve">. </w:t>
      </w:r>
      <w:r w:rsidRPr="00E17813">
        <w:rPr>
          <w:rFonts w:cs="Times New Roman"/>
          <w:kern w:val="0"/>
        </w:rPr>
        <w:t>构建</w:t>
      </w:r>
      <w:r w:rsidRPr="00E17813">
        <w:rPr>
          <w:rFonts w:cs="Times New Roman"/>
          <w:kern w:val="0"/>
        </w:rPr>
        <w:t>100%</w:t>
      </w:r>
      <w:r w:rsidRPr="00E17813">
        <w:rPr>
          <w:rFonts w:cs="Times New Roman"/>
          <w:kern w:val="0"/>
        </w:rPr>
        <w:t>可再生能源电力系统述评与展望</w:t>
      </w:r>
      <w:r w:rsidRPr="00E17813">
        <w:rPr>
          <w:rFonts w:cs="Times New Roman"/>
          <w:kern w:val="0"/>
        </w:rPr>
        <w:t xml:space="preserve">[J]. </w:t>
      </w:r>
      <w:r w:rsidRPr="00E17813">
        <w:rPr>
          <w:rFonts w:cs="Times New Roman"/>
          <w:kern w:val="0"/>
        </w:rPr>
        <w:t>中国电机工程学报</w:t>
      </w:r>
      <w:r w:rsidRPr="00E17813">
        <w:rPr>
          <w:rFonts w:cs="Times New Roman"/>
          <w:kern w:val="0"/>
        </w:rPr>
        <w:t>, 2020, 40(6): 1843-1856.</w:t>
      </w:r>
    </w:p>
    <w:p w14:paraId="0C760518" w14:textId="1F3D7563" w:rsidR="001B5CD5" w:rsidRPr="001B5CD5" w:rsidRDefault="001B5CD5" w:rsidP="001B5CD5">
      <w:pPr>
        <w:adjustRightInd w:val="0"/>
        <w:snapToGrid w:val="0"/>
        <w:ind w:leftChars="202" w:left="424" w:firstLineChars="0" w:firstLine="0"/>
        <w:rPr>
          <w:rFonts w:cs="Times New Roman"/>
          <w:kern w:val="0"/>
          <w:sz w:val="18"/>
        </w:rPr>
      </w:pPr>
      <w:r w:rsidRPr="001B5CD5">
        <w:rPr>
          <w:rFonts w:cs="Times New Roman" w:hint="eastAsia"/>
          <w:kern w:val="0"/>
          <w:sz w:val="18"/>
        </w:rPr>
        <w:t>W</w:t>
      </w:r>
      <w:r w:rsidRPr="001B5CD5">
        <w:rPr>
          <w:rFonts w:cs="Times New Roman"/>
          <w:kern w:val="0"/>
          <w:sz w:val="18"/>
        </w:rPr>
        <w:t>EN Y F, YANG W F, WANG R H, et al. Review and prospect of toward 100% renewable energy power systems</w:t>
      </w:r>
      <w:r>
        <w:rPr>
          <w:rFonts w:cs="Times New Roman"/>
          <w:kern w:val="0"/>
          <w:sz w:val="18"/>
        </w:rPr>
        <w:t xml:space="preserve"> </w:t>
      </w:r>
      <w:r w:rsidRPr="001B5CD5">
        <w:rPr>
          <w:rFonts w:cs="Times New Roman"/>
          <w:kern w:val="0"/>
          <w:sz w:val="18"/>
        </w:rPr>
        <w:t>[J].</w:t>
      </w:r>
      <w:r>
        <w:rPr>
          <w:rFonts w:cs="Times New Roman"/>
          <w:kern w:val="0"/>
          <w:sz w:val="18"/>
        </w:rPr>
        <w:t xml:space="preserve"> </w:t>
      </w:r>
      <w:r w:rsidRPr="001B5CD5">
        <w:rPr>
          <w:rFonts w:cs="Times New Roman"/>
          <w:kern w:val="0"/>
          <w:sz w:val="18"/>
        </w:rPr>
        <w:t>Proceedings of the CSEE, 2020, 40(6): 1843-1856.</w:t>
      </w:r>
      <w:r>
        <w:rPr>
          <w:rFonts w:cs="Times New Roman"/>
          <w:kern w:val="0"/>
          <w:sz w:val="18"/>
        </w:rPr>
        <w:t xml:space="preserve"> (in Chinese)</w:t>
      </w:r>
    </w:p>
    <w:p w14:paraId="448B4C06" w14:textId="4AF155CC" w:rsidR="00E17813" w:rsidRPr="00E17813" w:rsidRDefault="00E17813" w:rsidP="00143B30">
      <w:pPr>
        <w:pStyle w:val="aff"/>
        <w:ind w:left="425" w:hangingChars="236" w:hanging="425"/>
        <w:contextualSpacing/>
        <w:mirrorIndents/>
        <w:rPr>
          <w:rFonts w:cs="Times New Roman"/>
          <w:kern w:val="0"/>
        </w:rPr>
      </w:pPr>
      <w:r w:rsidRPr="00E17813">
        <w:rPr>
          <w:rFonts w:cs="Times New Roman"/>
          <w:kern w:val="0"/>
        </w:rPr>
        <w:t>[41]</w:t>
      </w:r>
      <w:r w:rsidRPr="00E17813">
        <w:rPr>
          <w:rFonts w:cs="Times New Roman"/>
          <w:kern w:val="0"/>
        </w:rPr>
        <w:tab/>
        <w:t xml:space="preserve">FUJII H, SHINOZAKI A, KAGAWA S, </w:t>
      </w:r>
      <w:r w:rsidR="00143B30">
        <w:rPr>
          <w:rFonts w:cs="Times New Roman"/>
          <w:kern w:val="0"/>
        </w:rPr>
        <w:t>et al</w:t>
      </w:r>
      <w:r w:rsidRPr="00E17813">
        <w:rPr>
          <w:rFonts w:cs="Times New Roman"/>
          <w:kern w:val="0"/>
        </w:rPr>
        <w:t xml:space="preserve">. How does information and communication technology capital affect productivity in the energy sector? New evidence from 14 countries, considering the transition to renewable energy systems[J]. Energies, 2019, 12(9): 1786. </w:t>
      </w:r>
    </w:p>
    <w:p w14:paraId="2EF050A2" w14:textId="27754DED" w:rsidR="00E17813" w:rsidRPr="00E17813" w:rsidRDefault="00E17813" w:rsidP="00143B30">
      <w:pPr>
        <w:pStyle w:val="aff"/>
        <w:ind w:left="425" w:hangingChars="236" w:hanging="425"/>
        <w:contextualSpacing/>
        <w:mirrorIndents/>
        <w:rPr>
          <w:rFonts w:cs="Times New Roman"/>
          <w:kern w:val="0"/>
        </w:rPr>
      </w:pPr>
      <w:r w:rsidRPr="00E17813">
        <w:rPr>
          <w:rFonts w:cs="Times New Roman"/>
          <w:kern w:val="0"/>
        </w:rPr>
        <w:t>[42]</w:t>
      </w:r>
      <w:r w:rsidRPr="00E17813">
        <w:rPr>
          <w:rFonts w:cs="Times New Roman"/>
          <w:kern w:val="0"/>
        </w:rPr>
        <w:tab/>
        <w:t xml:space="preserve">LEE C C, HE Z W, XIAO F. How does information and communication technology affect renewable energy technology innovation? International evidence[J]. Renewable Energy, 2022, 200: 546-557. </w:t>
      </w:r>
    </w:p>
    <w:p w14:paraId="54521125" w14:textId="5A3B3644" w:rsidR="00E17813" w:rsidRPr="00E17813" w:rsidRDefault="00E17813" w:rsidP="00143B30">
      <w:pPr>
        <w:pStyle w:val="aff"/>
        <w:ind w:left="425" w:hangingChars="236" w:hanging="425"/>
        <w:contextualSpacing/>
        <w:mirrorIndents/>
        <w:rPr>
          <w:rFonts w:cs="Times New Roman"/>
          <w:kern w:val="0"/>
        </w:rPr>
      </w:pPr>
      <w:r w:rsidRPr="00E17813">
        <w:rPr>
          <w:rFonts w:cs="Times New Roman"/>
          <w:kern w:val="0"/>
        </w:rPr>
        <w:t>[43]</w:t>
      </w:r>
      <w:r w:rsidRPr="00E17813">
        <w:rPr>
          <w:rFonts w:cs="Times New Roman"/>
          <w:kern w:val="0"/>
        </w:rPr>
        <w:tab/>
        <w:t>LIU Y, FENG C. Promoting renewable energy through national energy legislation[J]. Energy Economics, 2023, 118: 106504.</w:t>
      </w:r>
    </w:p>
    <w:p w14:paraId="6B689E6B" w14:textId="2C9DBF3F" w:rsidR="00E17813" w:rsidRPr="00E17813" w:rsidRDefault="00E17813" w:rsidP="00143B30">
      <w:pPr>
        <w:pStyle w:val="aff"/>
        <w:ind w:left="425" w:hangingChars="236" w:hanging="425"/>
        <w:contextualSpacing/>
        <w:mirrorIndents/>
        <w:rPr>
          <w:rFonts w:cs="Times New Roman"/>
          <w:kern w:val="0"/>
        </w:rPr>
      </w:pPr>
      <w:r w:rsidRPr="00E17813">
        <w:rPr>
          <w:rFonts w:cs="Times New Roman"/>
          <w:kern w:val="0"/>
        </w:rPr>
        <w:t>[44]</w:t>
      </w:r>
      <w:r w:rsidRPr="00E17813">
        <w:rPr>
          <w:rFonts w:cs="Times New Roman"/>
          <w:kern w:val="0"/>
        </w:rPr>
        <w:tab/>
        <w:t xml:space="preserve">WANG Y, TAGHIZADEH-HESARY F. Green bonds markets and renewable energy development: Policy integration for achieving carbon neutrality[J]. Energy Economics, 2023, 123: 106725. </w:t>
      </w:r>
    </w:p>
    <w:p w14:paraId="279250E1" w14:textId="7D9A4256" w:rsidR="00E17813" w:rsidRPr="00E17813" w:rsidRDefault="00E17813" w:rsidP="00143B30">
      <w:pPr>
        <w:pStyle w:val="aff"/>
        <w:ind w:left="425" w:hangingChars="236" w:hanging="425"/>
        <w:contextualSpacing/>
        <w:mirrorIndents/>
        <w:rPr>
          <w:rFonts w:cs="Times New Roman"/>
          <w:kern w:val="0"/>
        </w:rPr>
      </w:pPr>
      <w:r w:rsidRPr="00E17813">
        <w:rPr>
          <w:rFonts w:cs="Times New Roman"/>
          <w:kern w:val="0"/>
        </w:rPr>
        <w:t>[45]</w:t>
      </w:r>
      <w:r w:rsidRPr="00E17813">
        <w:rPr>
          <w:rFonts w:cs="Times New Roman"/>
          <w:kern w:val="0"/>
        </w:rPr>
        <w:tab/>
        <w:t xml:space="preserve">ZHANG D, ZHENG M, FENG G F, </w:t>
      </w:r>
      <w:r w:rsidR="00143B30">
        <w:rPr>
          <w:rFonts w:cs="Times New Roman"/>
          <w:kern w:val="0"/>
        </w:rPr>
        <w:t>et al</w:t>
      </w:r>
      <w:r w:rsidRPr="00E17813">
        <w:rPr>
          <w:rFonts w:cs="Times New Roman"/>
          <w:kern w:val="0"/>
        </w:rPr>
        <w:t xml:space="preserve">. Does an environmental policy bring to green innovation in renewable energy?[J]. Renewable Energy, 2022, 195: 1113-1124. </w:t>
      </w:r>
    </w:p>
    <w:p w14:paraId="333591B2" w14:textId="077921D4" w:rsidR="00E17813" w:rsidRPr="00E17813" w:rsidRDefault="00E17813" w:rsidP="00143B30">
      <w:pPr>
        <w:pStyle w:val="aff"/>
        <w:ind w:left="425" w:hangingChars="236" w:hanging="425"/>
        <w:contextualSpacing/>
        <w:mirrorIndents/>
        <w:rPr>
          <w:rFonts w:cs="Times New Roman"/>
          <w:kern w:val="0"/>
        </w:rPr>
      </w:pPr>
      <w:r w:rsidRPr="00E17813">
        <w:rPr>
          <w:rFonts w:cs="Times New Roman"/>
          <w:kern w:val="0"/>
        </w:rPr>
        <w:t>[46]</w:t>
      </w:r>
      <w:r w:rsidRPr="00E17813">
        <w:rPr>
          <w:rFonts w:cs="Times New Roman"/>
          <w:kern w:val="0"/>
        </w:rPr>
        <w:tab/>
        <w:t xml:space="preserve">TANG W, DUFFIELD C, YOUNG D. Partnering mechanism in construction: An empirical study on the Chinese construction industry[J]. Journal of Construction Engineering and Management, 2006, 132(3): 217-229. </w:t>
      </w:r>
    </w:p>
    <w:p w14:paraId="292317DB" w14:textId="4D1369F4" w:rsidR="00E17813" w:rsidRPr="00E17813" w:rsidRDefault="00E17813" w:rsidP="00143B30">
      <w:pPr>
        <w:pStyle w:val="aff"/>
        <w:ind w:left="425" w:hangingChars="236" w:hanging="425"/>
        <w:contextualSpacing/>
        <w:mirrorIndents/>
        <w:rPr>
          <w:rFonts w:cs="Times New Roman"/>
          <w:kern w:val="0"/>
        </w:rPr>
      </w:pPr>
      <w:r w:rsidRPr="00E17813">
        <w:rPr>
          <w:rFonts w:cs="Times New Roman"/>
          <w:kern w:val="0"/>
        </w:rPr>
        <w:t>[47]</w:t>
      </w:r>
      <w:r w:rsidRPr="00E17813">
        <w:rPr>
          <w:rFonts w:cs="Times New Roman"/>
          <w:kern w:val="0"/>
        </w:rPr>
        <w:tab/>
        <w:t xml:space="preserve">WANG S, TANG W, LI Y. Relationship between owners’ capabilities and project performance on development of hydropower projects in China[J]. Journal of Construction Engineering and Management, 2013, 139(9): 1168-1178. </w:t>
      </w:r>
    </w:p>
    <w:p w14:paraId="4256FD42" w14:textId="7CD4885C" w:rsidR="00E17813" w:rsidRPr="00E17813" w:rsidRDefault="00E17813" w:rsidP="00143B30">
      <w:pPr>
        <w:pStyle w:val="aff"/>
        <w:ind w:left="425" w:hangingChars="236" w:hanging="425"/>
        <w:contextualSpacing/>
        <w:mirrorIndents/>
        <w:rPr>
          <w:rFonts w:cs="Times New Roman"/>
          <w:kern w:val="0"/>
        </w:rPr>
      </w:pPr>
      <w:r w:rsidRPr="00E17813">
        <w:rPr>
          <w:rFonts w:cs="Times New Roman"/>
          <w:kern w:val="0"/>
        </w:rPr>
        <w:t>[48]</w:t>
      </w:r>
      <w:r w:rsidRPr="00E17813">
        <w:rPr>
          <w:rFonts w:cs="Times New Roman"/>
          <w:kern w:val="0"/>
        </w:rPr>
        <w:tab/>
        <w:t xml:space="preserve">PELLEGRINELLI S. Shaping context: The role and challenge for programmes[J]. International Journal of Project Management, 2002, 20(3): 229-233. </w:t>
      </w:r>
    </w:p>
    <w:p w14:paraId="1E3E9882" w14:textId="00801FA5" w:rsidR="00E17813" w:rsidRPr="00E17813" w:rsidRDefault="00E17813" w:rsidP="00143B30">
      <w:pPr>
        <w:pStyle w:val="aff"/>
        <w:ind w:left="425" w:hangingChars="236" w:hanging="425"/>
        <w:contextualSpacing/>
        <w:mirrorIndents/>
        <w:rPr>
          <w:rFonts w:cs="Times New Roman"/>
          <w:kern w:val="0"/>
        </w:rPr>
      </w:pPr>
      <w:r w:rsidRPr="00E17813">
        <w:rPr>
          <w:rFonts w:cs="Times New Roman"/>
          <w:kern w:val="0"/>
        </w:rPr>
        <w:t>[49]</w:t>
      </w:r>
      <w:r w:rsidRPr="00E17813">
        <w:rPr>
          <w:rFonts w:cs="Times New Roman"/>
          <w:kern w:val="0"/>
        </w:rPr>
        <w:tab/>
        <w:t xml:space="preserve">MAQBOOL R, RASHID Y, SULTANA S, </w:t>
      </w:r>
      <w:r w:rsidR="00143B30">
        <w:rPr>
          <w:rFonts w:cs="Times New Roman"/>
          <w:kern w:val="0"/>
        </w:rPr>
        <w:t>et al</w:t>
      </w:r>
      <w:r w:rsidRPr="00E17813">
        <w:rPr>
          <w:rFonts w:cs="Times New Roman"/>
          <w:kern w:val="0"/>
        </w:rPr>
        <w:t xml:space="preserve">. Identifying the critical success factors and their relevant aspects for renewable energy projects: An empirical perspective[J]. Journal of Civil Engineering and Management, 2018, 24(3): 223-237. </w:t>
      </w:r>
    </w:p>
    <w:p w14:paraId="626D6A4C" w14:textId="4E4AB7E9" w:rsidR="00E17813" w:rsidRPr="00E17813" w:rsidRDefault="00E17813" w:rsidP="00143B30">
      <w:pPr>
        <w:pStyle w:val="aff"/>
        <w:ind w:left="425" w:hangingChars="236" w:hanging="425"/>
        <w:contextualSpacing/>
        <w:mirrorIndents/>
        <w:rPr>
          <w:rFonts w:cs="Times New Roman"/>
          <w:kern w:val="0"/>
        </w:rPr>
      </w:pPr>
      <w:r w:rsidRPr="00E17813">
        <w:rPr>
          <w:rFonts w:cs="Times New Roman"/>
          <w:kern w:val="0"/>
        </w:rPr>
        <w:t>[50]</w:t>
      </w:r>
      <w:r w:rsidRPr="00E17813">
        <w:rPr>
          <w:rFonts w:cs="Times New Roman"/>
          <w:kern w:val="0"/>
        </w:rPr>
        <w:tab/>
        <w:t xml:space="preserve">ZHANG X, LIU M, LE Y, </w:t>
      </w:r>
      <w:r w:rsidR="00143B30">
        <w:rPr>
          <w:rFonts w:cs="Times New Roman"/>
          <w:kern w:val="0"/>
        </w:rPr>
        <w:t>et al</w:t>
      </w:r>
      <w:r w:rsidRPr="00E17813">
        <w:rPr>
          <w:rFonts w:cs="Times New Roman"/>
          <w:kern w:val="0"/>
        </w:rPr>
        <w:t xml:space="preserve">. Deconstructing organizational capabilities of megaproject owners: </w:t>
      </w:r>
      <w:r w:rsidRPr="00E17813">
        <w:rPr>
          <w:rFonts w:cs="Times New Roman"/>
          <w:kern w:val="0"/>
        </w:rPr>
        <w:lastRenderedPageBreak/>
        <w:t xml:space="preserve">Dimensions and levels[J]. Journal of Construction Engineering and Management, 2023, 149(7): 04023055. </w:t>
      </w:r>
    </w:p>
    <w:p w14:paraId="1A93D2DC" w14:textId="237E3D9D" w:rsidR="00E17813" w:rsidRPr="00E17813" w:rsidRDefault="00E17813" w:rsidP="00143B30">
      <w:pPr>
        <w:pStyle w:val="aff"/>
        <w:ind w:left="425" w:hangingChars="236" w:hanging="425"/>
        <w:contextualSpacing/>
        <w:mirrorIndents/>
        <w:rPr>
          <w:rFonts w:cs="Times New Roman"/>
          <w:kern w:val="0"/>
        </w:rPr>
      </w:pPr>
      <w:r w:rsidRPr="00E17813">
        <w:rPr>
          <w:rFonts w:cs="Times New Roman"/>
          <w:kern w:val="0"/>
        </w:rPr>
        <w:t>[51]</w:t>
      </w:r>
      <w:r w:rsidRPr="00E17813">
        <w:rPr>
          <w:rFonts w:cs="Times New Roman"/>
          <w:kern w:val="0"/>
        </w:rPr>
        <w:tab/>
        <w:t xml:space="preserve">GUO Y, MING B, HUANG Q, </w:t>
      </w:r>
      <w:r w:rsidR="00143B30">
        <w:rPr>
          <w:rFonts w:cs="Times New Roman"/>
          <w:kern w:val="0"/>
        </w:rPr>
        <w:t>et al</w:t>
      </w:r>
      <w:r w:rsidRPr="00E17813">
        <w:rPr>
          <w:rFonts w:cs="Times New Roman"/>
          <w:kern w:val="0"/>
        </w:rPr>
        <w:t>. Risk-averse day-ahead generation scheduling of hydro–wind–photovoltaic complementary systems considering the steady requirement of power delivery[J]. Applied Energy, 2022, 309: 118467.</w:t>
      </w:r>
    </w:p>
    <w:p w14:paraId="340CEEF4" w14:textId="3D0E786B" w:rsidR="00E17813" w:rsidRPr="00E17813" w:rsidRDefault="00E17813" w:rsidP="00143B30">
      <w:pPr>
        <w:pStyle w:val="aff"/>
        <w:ind w:left="425" w:hangingChars="236" w:hanging="425"/>
        <w:contextualSpacing/>
        <w:mirrorIndents/>
        <w:rPr>
          <w:rFonts w:cs="Times New Roman"/>
          <w:kern w:val="0"/>
        </w:rPr>
      </w:pPr>
      <w:r w:rsidRPr="00E17813">
        <w:rPr>
          <w:rFonts w:cs="Times New Roman"/>
          <w:kern w:val="0"/>
        </w:rPr>
        <w:t>[52]</w:t>
      </w:r>
      <w:r w:rsidRPr="00E17813">
        <w:rPr>
          <w:rFonts w:cs="Times New Roman"/>
          <w:kern w:val="0"/>
        </w:rPr>
        <w:tab/>
        <w:t xml:space="preserve">LU J, LIU Y, CAO H, </w:t>
      </w:r>
      <w:r w:rsidR="00143B30">
        <w:rPr>
          <w:rFonts w:cs="Times New Roman"/>
          <w:kern w:val="0"/>
        </w:rPr>
        <w:t>et al</w:t>
      </w:r>
      <w:r w:rsidRPr="00E17813">
        <w:rPr>
          <w:rFonts w:cs="Times New Roman"/>
          <w:kern w:val="0"/>
        </w:rPr>
        <w:t xml:space="preserve">. Mid-term scheduling and trading decisions for cascade hydropower stations considering multiple variable uncertainties[J]. Frontiers in Energy Research, 2023, 11: 1252624. </w:t>
      </w:r>
    </w:p>
    <w:p w14:paraId="6F37E6D9" w14:textId="13CD15D5" w:rsidR="00E17813" w:rsidRDefault="00E17813" w:rsidP="00143B30">
      <w:pPr>
        <w:pStyle w:val="aff"/>
        <w:ind w:left="425" w:hangingChars="236" w:hanging="425"/>
        <w:contextualSpacing/>
        <w:mirrorIndents/>
        <w:rPr>
          <w:rFonts w:cs="Times New Roman"/>
          <w:kern w:val="0"/>
        </w:rPr>
      </w:pPr>
      <w:r w:rsidRPr="00E17813">
        <w:rPr>
          <w:rFonts w:cs="Times New Roman"/>
          <w:kern w:val="0"/>
        </w:rPr>
        <w:t>[53]</w:t>
      </w:r>
      <w:r w:rsidRPr="00E17813">
        <w:rPr>
          <w:rFonts w:cs="Times New Roman"/>
          <w:kern w:val="0"/>
        </w:rPr>
        <w:tab/>
      </w:r>
      <w:r w:rsidRPr="00E17813">
        <w:rPr>
          <w:rFonts w:cs="Times New Roman"/>
          <w:kern w:val="0"/>
        </w:rPr>
        <w:t>刘扬</w:t>
      </w:r>
      <w:r w:rsidRPr="00E17813">
        <w:rPr>
          <w:rFonts w:cs="Times New Roman"/>
          <w:kern w:val="0"/>
        </w:rPr>
        <w:t xml:space="preserve">. </w:t>
      </w:r>
      <w:r w:rsidRPr="00E17813">
        <w:rPr>
          <w:rFonts w:cs="Times New Roman"/>
          <w:kern w:val="0"/>
        </w:rPr>
        <w:t>价值共创视角下水利水电工程设计管理研究</w:t>
      </w:r>
      <w:r w:rsidRPr="00E17813">
        <w:rPr>
          <w:rFonts w:cs="Times New Roman"/>
          <w:kern w:val="0"/>
        </w:rPr>
        <w:t xml:space="preserve">[D]. </w:t>
      </w:r>
      <w:r w:rsidRPr="00E17813">
        <w:rPr>
          <w:rFonts w:cs="Times New Roman"/>
          <w:kern w:val="0"/>
        </w:rPr>
        <w:t>北京</w:t>
      </w:r>
      <w:r w:rsidRPr="00E17813">
        <w:rPr>
          <w:rFonts w:cs="Times New Roman"/>
          <w:kern w:val="0"/>
        </w:rPr>
        <w:t xml:space="preserve">: </w:t>
      </w:r>
      <w:r w:rsidRPr="00E17813">
        <w:rPr>
          <w:rFonts w:cs="Times New Roman"/>
          <w:kern w:val="0"/>
        </w:rPr>
        <w:t>清华大学</w:t>
      </w:r>
      <w:r w:rsidRPr="00E17813">
        <w:rPr>
          <w:rFonts w:cs="Times New Roman"/>
          <w:kern w:val="0"/>
        </w:rPr>
        <w:t>, 2023.</w:t>
      </w:r>
    </w:p>
    <w:p w14:paraId="3DCB4F11" w14:textId="109FDF76" w:rsidR="001B5CD5" w:rsidRPr="001B5CD5" w:rsidRDefault="001B5CD5" w:rsidP="00161A8A">
      <w:pPr>
        <w:pStyle w:val="aff"/>
        <w:ind w:leftChars="202" w:left="424" w:firstLineChars="0" w:firstLine="1"/>
        <w:contextualSpacing/>
        <w:mirrorIndents/>
        <w:rPr>
          <w:rFonts w:cs="Times New Roman"/>
          <w:kern w:val="0"/>
        </w:rPr>
      </w:pPr>
      <w:r w:rsidRPr="001B5CD5">
        <w:rPr>
          <w:rFonts w:cs="Times New Roman"/>
          <w:kern w:val="0"/>
        </w:rPr>
        <w:t>LIU Y.</w:t>
      </w:r>
      <w:r w:rsidR="00161A8A">
        <w:rPr>
          <w:rFonts w:cs="Times New Roman"/>
          <w:kern w:val="0"/>
        </w:rPr>
        <w:t xml:space="preserve"> </w:t>
      </w:r>
      <w:r w:rsidR="00161A8A" w:rsidRPr="00161A8A">
        <w:rPr>
          <w:rFonts w:cs="Times New Roman"/>
          <w:kern w:val="0"/>
        </w:rPr>
        <w:t>Design management in water conservancy and hydropower projects: From the perspective of value co-creation</w:t>
      </w:r>
      <w:r w:rsidR="00161A8A">
        <w:rPr>
          <w:rFonts w:cs="Times New Roman"/>
          <w:kern w:val="0"/>
        </w:rPr>
        <w:t xml:space="preserve"> [D]. Beijing: Tsinghua University, 2023. (in Chinese)</w:t>
      </w:r>
    </w:p>
    <w:p w14:paraId="4E9FF55D" w14:textId="604C74A0" w:rsidR="00E17813" w:rsidRDefault="00E17813" w:rsidP="00143B30">
      <w:pPr>
        <w:pStyle w:val="aff"/>
        <w:ind w:left="425" w:hangingChars="236" w:hanging="425"/>
        <w:contextualSpacing/>
        <w:mirrorIndents/>
        <w:rPr>
          <w:rFonts w:cs="Times New Roman"/>
          <w:kern w:val="0"/>
        </w:rPr>
      </w:pPr>
      <w:r w:rsidRPr="00E17813">
        <w:rPr>
          <w:rFonts w:cs="Times New Roman"/>
          <w:kern w:val="0"/>
        </w:rPr>
        <w:t>[54]</w:t>
      </w:r>
      <w:r w:rsidRPr="00E17813">
        <w:rPr>
          <w:rFonts w:cs="Times New Roman"/>
          <w:kern w:val="0"/>
        </w:rPr>
        <w:tab/>
      </w:r>
      <w:r w:rsidRPr="00E17813">
        <w:rPr>
          <w:rFonts w:cs="Times New Roman"/>
          <w:kern w:val="0"/>
        </w:rPr>
        <w:t>张亚坤</w:t>
      </w:r>
      <w:r w:rsidRPr="00E17813">
        <w:rPr>
          <w:rFonts w:cs="Times New Roman"/>
          <w:kern w:val="0"/>
        </w:rPr>
        <w:t xml:space="preserve">. </w:t>
      </w:r>
      <w:r w:rsidRPr="00E17813">
        <w:rPr>
          <w:rFonts w:cs="Times New Roman"/>
          <w:kern w:val="0"/>
        </w:rPr>
        <w:t>清洁能源工程科技创新机理研究</w:t>
      </w:r>
      <w:r w:rsidRPr="00E17813">
        <w:rPr>
          <w:rFonts w:cs="Times New Roman"/>
          <w:kern w:val="0"/>
        </w:rPr>
        <w:t xml:space="preserve">[D]. </w:t>
      </w:r>
      <w:r w:rsidRPr="00E17813">
        <w:rPr>
          <w:rFonts w:cs="Times New Roman"/>
          <w:kern w:val="0"/>
        </w:rPr>
        <w:t>北京</w:t>
      </w:r>
      <w:r w:rsidRPr="00E17813">
        <w:rPr>
          <w:rFonts w:cs="Times New Roman"/>
          <w:kern w:val="0"/>
        </w:rPr>
        <w:t xml:space="preserve">: </w:t>
      </w:r>
      <w:r w:rsidRPr="00E17813">
        <w:rPr>
          <w:rFonts w:cs="Times New Roman"/>
          <w:kern w:val="0"/>
        </w:rPr>
        <w:t>清华大学</w:t>
      </w:r>
      <w:r w:rsidRPr="00E17813">
        <w:rPr>
          <w:rFonts w:cs="Times New Roman"/>
          <w:kern w:val="0"/>
        </w:rPr>
        <w:t>, 2024.</w:t>
      </w:r>
    </w:p>
    <w:p w14:paraId="70231841" w14:textId="0AFCE4E8" w:rsidR="00161A8A" w:rsidRPr="00161A8A" w:rsidRDefault="00161A8A" w:rsidP="00161A8A">
      <w:pPr>
        <w:pStyle w:val="aff"/>
        <w:ind w:leftChars="202" w:left="424" w:firstLineChars="0" w:firstLine="1"/>
        <w:contextualSpacing/>
        <w:mirrorIndents/>
        <w:rPr>
          <w:rFonts w:cs="Times New Roman"/>
          <w:kern w:val="0"/>
        </w:rPr>
      </w:pPr>
      <w:r w:rsidRPr="00161A8A">
        <w:rPr>
          <w:rFonts w:cs="Times New Roman"/>
          <w:kern w:val="0"/>
        </w:rPr>
        <w:t>ZHANG Y K. Research on innovation mechanism of clean energy projects</w:t>
      </w:r>
      <w:r>
        <w:rPr>
          <w:rFonts w:cs="Times New Roman"/>
          <w:kern w:val="0"/>
        </w:rPr>
        <w:t>. Beijing: Tsinghua University, 202</w:t>
      </w:r>
      <w:r w:rsidR="006D3442">
        <w:rPr>
          <w:rFonts w:cs="Times New Roman"/>
          <w:kern w:val="0"/>
        </w:rPr>
        <w:t>4</w:t>
      </w:r>
      <w:r>
        <w:rPr>
          <w:rFonts w:cs="Times New Roman"/>
          <w:kern w:val="0"/>
        </w:rPr>
        <w:t>. (in Chinese)</w:t>
      </w:r>
    </w:p>
    <w:p w14:paraId="6994C53A" w14:textId="6F2E662D" w:rsidR="00E17813" w:rsidRPr="00E17813" w:rsidRDefault="00E17813" w:rsidP="00143B30">
      <w:pPr>
        <w:pStyle w:val="aff"/>
        <w:ind w:left="425" w:hangingChars="236" w:hanging="425"/>
        <w:contextualSpacing/>
        <w:mirrorIndents/>
        <w:rPr>
          <w:rFonts w:cs="Times New Roman"/>
          <w:kern w:val="0"/>
        </w:rPr>
      </w:pPr>
      <w:r w:rsidRPr="00E17813">
        <w:rPr>
          <w:rFonts w:cs="Times New Roman"/>
          <w:kern w:val="0"/>
        </w:rPr>
        <w:t>[55]</w:t>
      </w:r>
      <w:r w:rsidRPr="00E17813">
        <w:rPr>
          <w:rFonts w:cs="Times New Roman"/>
          <w:kern w:val="0"/>
        </w:rPr>
        <w:tab/>
        <w:t xml:space="preserve">WANG D, ZHAO X. Effect of resource integration on organizational resilience of megaprojects: Role of dynamic capability and resource availability[J]. Journal of Asian Architecture and Building Engineering, 2024: 1-16. </w:t>
      </w:r>
    </w:p>
    <w:p w14:paraId="0B5F371D" w14:textId="6212CD39" w:rsidR="00E17813" w:rsidRPr="00E17813" w:rsidRDefault="00E17813" w:rsidP="00143B30">
      <w:pPr>
        <w:pStyle w:val="aff"/>
        <w:ind w:left="425" w:hangingChars="236" w:hanging="425"/>
        <w:contextualSpacing/>
        <w:mirrorIndents/>
        <w:rPr>
          <w:rFonts w:cs="Times New Roman"/>
          <w:kern w:val="0"/>
        </w:rPr>
      </w:pPr>
      <w:r w:rsidRPr="00E17813">
        <w:rPr>
          <w:rFonts w:cs="Times New Roman"/>
          <w:kern w:val="0"/>
        </w:rPr>
        <w:t>[56]</w:t>
      </w:r>
      <w:r w:rsidRPr="00E17813">
        <w:rPr>
          <w:rFonts w:cs="Times New Roman"/>
          <w:kern w:val="0"/>
        </w:rPr>
        <w:tab/>
        <w:t xml:space="preserve">TANG W, LI Z, QIANG M, </w:t>
      </w:r>
      <w:r w:rsidR="00143B30">
        <w:rPr>
          <w:rFonts w:cs="Times New Roman"/>
          <w:kern w:val="0"/>
        </w:rPr>
        <w:t>et al</w:t>
      </w:r>
      <w:r w:rsidRPr="00E17813">
        <w:rPr>
          <w:rFonts w:cs="Times New Roman"/>
          <w:kern w:val="0"/>
        </w:rPr>
        <w:t>. Risk management of hydropower development in China[J]. Energy, 2013, 60: 316-324.</w:t>
      </w:r>
    </w:p>
    <w:p w14:paraId="5ED1FC5F" w14:textId="0657EDBC" w:rsidR="00E17813" w:rsidRPr="00E17813" w:rsidRDefault="00E17813" w:rsidP="00143B30">
      <w:pPr>
        <w:pStyle w:val="aff"/>
        <w:ind w:left="425" w:hangingChars="236" w:hanging="425"/>
        <w:contextualSpacing/>
        <w:mirrorIndents/>
        <w:rPr>
          <w:rFonts w:cs="Times New Roman"/>
          <w:kern w:val="0"/>
        </w:rPr>
      </w:pPr>
      <w:r w:rsidRPr="00E17813">
        <w:rPr>
          <w:rFonts w:cs="Times New Roman"/>
          <w:kern w:val="0"/>
        </w:rPr>
        <w:t>[57]</w:t>
      </w:r>
      <w:r w:rsidRPr="00E17813">
        <w:rPr>
          <w:rFonts w:cs="Times New Roman"/>
          <w:kern w:val="0"/>
        </w:rPr>
        <w:tab/>
        <w:t xml:space="preserve">MOHAMED E, SERESHT N G, JAFARI P, </w:t>
      </w:r>
      <w:r w:rsidR="00143B30">
        <w:rPr>
          <w:rFonts w:cs="Times New Roman"/>
          <w:kern w:val="0"/>
        </w:rPr>
        <w:t>et al</w:t>
      </w:r>
      <w:r w:rsidRPr="00E17813">
        <w:rPr>
          <w:rFonts w:cs="Times New Roman"/>
          <w:kern w:val="0"/>
        </w:rPr>
        <w:t xml:space="preserve">. Risk assessment for onshore wind projects in Canada[J]. Renewable and Sustainable Energy Reviews, 2024, 191: 114145. </w:t>
      </w:r>
    </w:p>
    <w:p w14:paraId="38CBA220" w14:textId="7647F998" w:rsidR="00E17813" w:rsidRPr="00E17813" w:rsidRDefault="00E17813" w:rsidP="00143B30">
      <w:pPr>
        <w:pStyle w:val="aff"/>
        <w:ind w:left="425" w:hangingChars="236" w:hanging="425"/>
        <w:contextualSpacing/>
        <w:mirrorIndents/>
        <w:rPr>
          <w:rFonts w:cs="Times New Roman"/>
          <w:kern w:val="0"/>
        </w:rPr>
      </w:pPr>
      <w:r w:rsidRPr="00E17813">
        <w:rPr>
          <w:rFonts w:cs="Times New Roman"/>
          <w:kern w:val="0"/>
        </w:rPr>
        <w:t>[58]</w:t>
      </w:r>
      <w:r w:rsidRPr="00E17813">
        <w:rPr>
          <w:rFonts w:cs="Times New Roman"/>
          <w:kern w:val="0"/>
        </w:rPr>
        <w:tab/>
        <w:t>MATINHEIKKI J, AALTONEN K, WALKER D. Politics, public servants, and profits: Institutional complexity and temporary hybridization in a public infrastructure alliance project[J]. International Journal of Project Management, 2019, 37(2): 298-317.</w:t>
      </w:r>
    </w:p>
    <w:p w14:paraId="771788C1" w14:textId="0DC19B36" w:rsidR="00E17813" w:rsidRPr="00E17813" w:rsidRDefault="00E17813" w:rsidP="00143B30">
      <w:pPr>
        <w:pStyle w:val="aff"/>
        <w:ind w:left="425" w:hangingChars="236" w:hanging="425"/>
        <w:contextualSpacing/>
        <w:mirrorIndents/>
        <w:rPr>
          <w:rFonts w:cs="Times New Roman"/>
          <w:kern w:val="0"/>
        </w:rPr>
      </w:pPr>
      <w:r w:rsidRPr="00E17813">
        <w:rPr>
          <w:rFonts w:cs="Times New Roman"/>
          <w:kern w:val="0"/>
        </w:rPr>
        <w:t>[59]</w:t>
      </w:r>
      <w:r w:rsidRPr="00E17813">
        <w:rPr>
          <w:rFonts w:cs="Times New Roman"/>
          <w:kern w:val="0"/>
        </w:rPr>
        <w:tab/>
        <w:t>FU C, LIU Y Q, SHAN M. Drivers of low-carbon practices in green supply chain management in construction industry: An empirical study in China[J]. Journal of Cleaner Production, 2023, 428: 139497.</w:t>
      </w:r>
    </w:p>
    <w:p w14:paraId="5CE639DD" w14:textId="2F06852A" w:rsidR="00E17813" w:rsidRPr="00E17813" w:rsidRDefault="00E17813" w:rsidP="00143B30">
      <w:pPr>
        <w:pStyle w:val="aff"/>
        <w:ind w:left="425" w:hangingChars="236" w:hanging="425"/>
        <w:contextualSpacing/>
        <w:mirrorIndents/>
        <w:rPr>
          <w:rFonts w:cs="Times New Roman"/>
          <w:kern w:val="0"/>
        </w:rPr>
      </w:pPr>
      <w:r w:rsidRPr="00E17813">
        <w:rPr>
          <w:rFonts w:cs="Times New Roman"/>
          <w:kern w:val="0"/>
        </w:rPr>
        <w:t>[60]</w:t>
      </w:r>
      <w:r w:rsidRPr="00E17813">
        <w:rPr>
          <w:rFonts w:cs="Times New Roman"/>
          <w:kern w:val="0"/>
        </w:rPr>
        <w:tab/>
        <w:t xml:space="preserve">ZHAO X, SUN C, ZHONG Z, </w:t>
      </w:r>
      <w:r w:rsidR="00143B30">
        <w:rPr>
          <w:rFonts w:cs="Times New Roman"/>
          <w:kern w:val="0"/>
        </w:rPr>
        <w:t>et al</w:t>
      </w:r>
      <w:r w:rsidRPr="00E17813">
        <w:rPr>
          <w:rFonts w:cs="Times New Roman"/>
          <w:kern w:val="0"/>
        </w:rPr>
        <w:t>. Effect of market structure on renewable energy development—A simulation study of a regional electricity market in China[J]. Renewable Energy, 2023, 215: 118911.</w:t>
      </w:r>
    </w:p>
    <w:p w14:paraId="0746C6E7" w14:textId="576C1991" w:rsidR="00E17813" w:rsidRPr="00E17813" w:rsidRDefault="00E17813" w:rsidP="00143B30">
      <w:pPr>
        <w:pStyle w:val="aff"/>
        <w:ind w:left="425" w:hangingChars="236" w:hanging="425"/>
        <w:contextualSpacing/>
        <w:mirrorIndents/>
        <w:rPr>
          <w:rFonts w:cs="Times New Roman"/>
          <w:kern w:val="0"/>
        </w:rPr>
      </w:pPr>
      <w:r w:rsidRPr="00E17813">
        <w:rPr>
          <w:rFonts w:cs="Times New Roman"/>
          <w:kern w:val="0"/>
        </w:rPr>
        <w:t>[61]</w:t>
      </w:r>
      <w:r w:rsidRPr="00E17813">
        <w:rPr>
          <w:rFonts w:cs="Times New Roman"/>
          <w:kern w:val="0"/>
        </w:rPr>
        <w:tab/>
        <w:t xml:space="preserve">DONASTORG A, RENUKAPPA S, SURESH S. Evaluating critical success factors for implementing renewable energy strategies in the Dominican Republic[J]. Renewable Energy, 2020, 149: 329-335. </w:t>
      </w:r>
    </w:p>
    <w:p w14:paraId="414949CF" w14:textId="691DBD4B" w:rsidR="00E17813" w:rsidRPr="00E17813" w:rsidRDefault="00E17813" w:rsidP="00143B30">
      <w:pPr>
        <w:pStyle w:val="aff"/>
        <w:ind w:left="425" w:hangingChars="236" w:hanging="425"/>
        <w:contextualSpacing/>
        <w:mirrorIndents/>
        <w:rPr>
          <w:rFonts w:cs="Times New Roman"/>
          <w:kern w:val="0"/>
        </w:rPr>
      </w:pPr>
      <w:r w:rsidRPr="00E17813">
        <w:rPr>
          <w:rFonts w:cs="Times New Roman"/>
          <w:kern w:val="0"/>
        </w:rPr>
        <w:t>[62]</w:t>
      </w:r>
      <w:r w:rsidRPr="00E17813">
        <w:rPr>
          <w:rFonts w:cs="Times New Roman"/>
          <w:kern w:val="0"/>
        </w:rPr>
        <w:tab/>
        <w:t xml:space="preserve">LIU M, ZHU Y, WEI J, </w:t>
      </w:r>
      <w:r w:rsidR="00143B30">
        <w:rPr>
          <w:rFonts w:cs="Times New Roman"/>
          <w:kern w:val="0"/>
        </w:rPr>
        <w:t>et al</w:t>
      </w:r>
      <w:r w:rsidRPr="00E17813">
        <w:rPr>
          <w:rFonts w:cs="Times New Roman"/>
          <w:kern w:val="0"/>
        </w:rPr>
        <w:t>. Impact of institutional pressures on external program manager involvement: Evidence from large projects in China[J]. Journal of Construction Engineering and Management, 2022, 148(9): 04022079.</w:t>
      </w:r>
    </w:p>
    <w:p w14:paraId="33A16563" w14:textId="34F3DC7C" w:rsidR="00E17813" w:rsidRPr="00E17813" w:rsidRDefault="00E17813" w:rsidP="00143B30">
      <w:pPr>
        <w:pStyle w:val="aff"/>
        <w:ind w:left="425" w:hangingChars="236" w:hanging="425"/>
        <w:contextualSpacing/>
        <w:mirrorIndents/>
        <w:rPr>
          <w:rFonts w:cs="Times New Roman"/>
          <w:kern w:val="0"/>
        </w:rPr>
      </w:pPr>
      <w:r w:rsidRPr="00E17813">
        <w:rPr>
          <w:rFonts w:cs="Times New Roman"/>
          <w:kern w:val="0"/>
        </w:rPr>
        <w:t>[63]</w:t>
      </w:r>
      <w:r w:rsidRPr="00E17813">
        <w:rPr>
          <w:rFonts w:cs="Times New Roman"/>
          <w:kern w:val="0"/>
        </w:rPr>
        <w:tab/>
        <w:t xml:space="preserve">SUN J, ZHANG P. Owner organization design for mega industrial construction projects[J]. International Journal of </w:t>
      </w:r>
      <w:r w:rsidRPr="00E17813">
        <w:rPr>
          <w:rFonts w:cs="Times New Roman"/>
          <w:kern w:val="0"/>
        </w:rPr>
        <w:t xml:space="preserve">Project Management, 2011, 29(7): 828-833. </w:t>
      </w:r>
    </w:p>
    <w:p w14:paraId="51BB62FA" w14:textId="0A5E4CA7" w:rsidR="00E17813" w:rsidRPr="00E17813" w:rsidRDefault="00E17813" w:rsidP="00143B30">
      <w:pPr>
        <w:pStyle w:val="aff"/>
        <w:ind w:left="425" w:hangingChars="236" w:hanging="425"/>
        <w:contextualSpacing/>
        <w:mirrorIndents/>
        <w:rPr>
          <w:rFonts w:cs="Times New Roman"/>
          <w:kern w:val="0"/>
        </w:rPr>
      </w:pPr>
      <w:r w:rsidRPr="00E17813">
        <w:rPr>
          <w:rFonts w:cs="Times New Roman"/>
          <w:kern w:val="0"/>
        </w:rPr>
        <w:t>[64]</w:t>
      </w:r>
      <w:r w:rsidRPr="00E17813">
        <w:rPr>
          <w:rFonts w:cs="Times New Roman"/>
          <w:kern w:val="0"/>
        </w:rPr>
        <w:tab/>
        <w:t xml:space="preserve">TRZECIAK M. Factors and areas of PgMO supporting the success of the program management in the construction sector[J]. Buildings, 2023, 13(5): 1336. </w:t>
      </w:r>
    </w:p>
    <w:p w14:paraId="1CD0ECC3" w14:textId="5EAF60B5" w:rsidR="00E17813" w:rsidRPr="00E17813" w:rsidRDefault="00E17813" w:rsidP="00143B30">
      <w:pPr>
        <w:pStyle w:val="aff"/>
        <w:ind w:left="425" w:hangingChars="236" w:hanging="425"/>
        <w:contextualSpacing/>
        <w:mirrorIndents/>
        <w:rPr>
          <w:rFonts w:cs="Times New Roman"/>
          <w:kern w:val="0"/>
        </w:rPr>
      </w:pPr>
      <w:r w:rsidRPr="00E17813">
        <w:rPr>
          <w:rFonts w:cs="Times New Roman"/>
          <w:kern w:val="0"/>
        </w:rPr>
        <w:t>[65]</w:t>
      </w:r>
      <w:r w:rsidRPr="00E17813">
        <w:rPr>
          <w:rFonts w:cs="Times New Roman"/>
          <w:kern w:val="0"/>
        </w:rPr>
        <w:tab/>
        <w:t xml:space="preserve">PINTO J K, SLEVIN D P, ENGLISH B. Trust in projects: An empirical assessment of owner/contractor relationships[J]. International Journal of Project Management, 2009, 27(6): 638-648. </w:t>
      </w:r>
    </w:p>
    <w:p w14:paraId="1617A373" w14:textId="091DE8E2" w:rsidR="00E17813" w:rsidRPr="00E17813" w:rsidRDefault="00E17813" w:rsidP="00143B30">
      <w:pPr>
        <w:pStyle w:val="aff"/>
        <w:ind w:left="425" w:hangingChars="236" w:hanging="425"/>
        <w:contextualSpacing/>
        <w:mirrorIndents/>
        <w:rPr>
          <w:rFonts w:cs="Times New Roman"/>
          <w:kern w:val="0"/>
        </w:rPr>
      </w:pPr>
      <w:r w:rsidRPr="00E17813">
        <w:rPr>
          <w:rFonts w:cs="Times New Roman"/>
          <w:kern w:val="0"/>
        </w:rPr>
        <w:t>[66]</w:t>
      </w:r>
      <w:r w:rsidRPr="00E17813">
        <w:rPr>
          <w:rFonts w:cs="Times New Roman"/>
          <w:kern w:val="0"/>
        </w:rPr>
        <w:tab/>
        <w:t xml:space="preserve">MARTINSUO M, AHOLA T. Multi-project management in inter-organizational contexts[J]. International Journal of Project Management, 2022, 40(7): 813-826. </w:t>
      </w:r>
    </w:p>
    <w:p w14:paraId="23E62581" w14:textId="5B7BD382" w:rsidR="00E17813" w:rsidRPr="00E17813" w:rsidRDefault="00E17813" w:rsidP="00143B30">
      <w:pPr>
        <w:pStyle w:val="aff"/>
        <w:ind w:left="425" w:hangingChars="236" w:hanging="425"/>
        <w:contextualSpacing/>
        <w:mirrorIndents/>
        <w:rPr>
          <w:rFonts w:cs="Times New Roman"/>
          <w:kern w:val="0"/>
        </w:rPr>
      </w:pPr>
      <w:r w:rsidRPr="00E17813">
        <w:rPr>
          <w:rFonts w:cs="Times New Roman"/>
          <w:kern w:val="0"/>
        </w:rPr>
        <w:t>[67]</w:t>
      </w:r>
      <w:r w:rsidRPr="00E17813">
        <w:rPr>
          <w:rFonts w:cs="Times New Roman"/>
          <w:kern w:val="0"/>
        </w:rPr>
        <w:tab/>
        <w:t xml:space="preserve">GATZERT N, KOSUB T. Risks and risk management of renewable energy projects: The case of onshore and offshore wind parks[J]. Renewable and Sustainable Energy Reviews, 2016, 60: 982-998. </w:t>
      </w:r>
    </w:p>
    <w:p w14:paraId="4F399E94" w14:textId="386DFEEA" w:rsidR="00E17813" w:rsidRPr="00E17813" w:rsidRDefault="00E17813" w:rsidP="00143B30">
      <w:pPr>
        <w:pStyle w:val="aff"/>
        <w:ind w:left="425" w:hangingChars="236" w:hanging="425"/>
        <w:contextualSpacing/>
        <w:mirrorIndents/>
        <w:rPr>
          <w:rFonts w:cs="Times New Roman"/>
          <w:kern w:val="0"/>
        </w:rPr>
      </w:pPr>
      <w:r w:rsidRPr="00E17813">
        <w:rPr>
          <w:rFonts w:cs="Times New Roman"/>
          <w:kern w:val="0"/>
        </w:rPr>
        <w:t>[68]</w:t>
      </w:r>
      <w:r w:rsidRPr="00E17813">
        <w:rPr>
          <w:rFonts w:cs="Times New Roman"/>
          <w:kern w:val="0"/>
        </w:rPr>
        <w:tab/>
        <w:t xml:space="preserve">TAN H, LI Z, WANG Q, </w:t>
      </w:r>
      <w:r w:rsidR="00143B30">
        <w:rPr>
          <w:rFonts w:cs="Times New Roman"/>
          <w:kern w:val="0"/>
        </w:rPr>
        <w:t>et al</w:t>
      </w:r>
      <w:r w:rsidRPr="00E17813">
        <w:rPr>
          <w:rFonts w:cs="Times New Roman"/>
          <w:kern w:val="0"/>
        </w:rPr>
        <w:t>. A novel forecast scenario-based robust energy management method for integrated rural energy systems with greenhouses[J]. Applied Energy, 2023, 330: 120343.</w:t>
      </w:r>
    </w:p>
    <w:p w14:paraId="70857000" w14:textId="6ED924EE" w:rsidR="00E17813" w:rsidRPr="00E17813" w:rsidRDefault="00E17813" w:rsidP="00143B30">
      <w:pPr>
        <w:pStyle w:val="aff"/>
        <w:ind w:left="425" w:hangingChars="236" w:hanging="425"/>
        <w:contextualSpacing/>
        <w:mirrorIndents/>
        <w:rPr>
          <w:rFonts w:cs="Times New Roman"/>
          <w:kern w:val="0"/>
        </w:rPr>
      </w:pPr>
      <w:r w:rsidRPr="00E17813">
        <w:rPr>
          <w:rFonts w:cs="Times New Roman"/>
          <w:kern w:val="0"/>
        </w:rPr>
        <w:t>[69]</w:t>
      </w:r>
      <w:r w:rsidRPr="00E17813">
        <w:rPr>
          <w:rFonts w:cs="Times New Roman"/>
          <w:kern w:val="0"/>
        </w:rPr>
        <w:tab/>
        <w:t>DJØRUP S, THELLUFSEN J Z, SORKNÆS P. The electricity market in a renewable energy system[J]. Energy, 2018, 162: 148-157.</w:t>
      </w:r>
    </w:p>
    <w:p w14:paraId="4A26A0D7" w14:textId="1B6ABB12" w:rsidR="00E17813" w:rsidRPr="00E17813" w:rsidRDefault="00E17813" w:rsidP="00143B30">
      <w:pPr>
        <w:pStyle w:val="aff"/>
        <w:ind w:left="425" w:hangingChars="236" w:hanging="425"/>
        <w:contextualSpacing/>
        <w:mirrorIndents/>
        <w:rPr>
          <w:rFonts w:cs="Times New Roman"/>
          <w:kern w:val="0"/>
        </w:rPr>
      </w:pPr>
      <w:r w:rsidRPr="00E17813">
        <w:rPr>
          <w:rFonts w:cs="Times New Roman"/>
          <w:kern w:val="0"/>
        </w:rPr>
        <w:t>[70]</w:t>
      </w:r>
      <w:r w:rsidRPr="00E17813">
        <w:rPr>
          <w:rFonts w:cs="Times New Roman"/>
          <w:kern w:val="0"/>
        </w:rPr>
        <w:tab/>
        <w:t xml:space="preserve">HARIS M, YANG Q. Investigating the moderating role of political factors on internal success factors and project success: Empirical evidence from Pakistan[J]. Sustainability, 2023, 15(11): 8910. </w:t>
      </w:r>
    </w:p>
    <w:p w14:paraId="46F54739" w14:textId="689757B6" w:rsidR="00E17813" w:rsidRPr="00E17813" w:rsidRDefault="00E17813" w:rsidP="00143B30">
      <w:pPr>
        <w:pStyle w:val="aff"/>
        <w:ind w:left="425" w:hangingChars="236" w:hanging="425"/>
        <w:contextualSpacing/>
        <w:mirrorIndents/>
        <w:rPr>
          <w:rFonts w:cs="Times New Roman"/>
          <w:kern w:val="0"/>
        </w:rPr>
      </w:pPr>
      <w:r w:rsidRPr="00E17813">
        <w:rPr>
          <w:rFonts w:cs="Times New Roman"/>
          <w:kern w:val="0"/>
        </w:rPr>
        <w:t>[71]</w:t>
      </w:r>
      <w:r w:rsidRPr="00E17813">
        <w:rPr>
          <w:rFonts w:cs="Times New Roman"/>
          <w:kern w:val="0"/>
        </w:rPr>
        <w:tab/>
        <w:t>DIMAGGIO P J, POWELL W W. The iron cage revisited: Institutional isomorphism and collective rationality in organizational fields[J]. American Sociological Review, 1983, 48(2): 147-160.</w:t>
      </w:r>
    </w:p>
    <w:p w14:paraId="4ABA3DDB" w14:textId="110CC779" w:rsidR="00E17813" w:rsidRPr="00E17813" w:rsidRDefault="00E17813" w:rsidP="00143B30">
      <w:pPr>
        <w:pStyle w:val="aff"/>
        <w:ind w:left="425" w:hangingChars="236" w:hanging="425"/>
        <w:contextualSpacing/>
        <w:mirrorIndents/>
        <w:rPr>
          <w:rFonts w:cs="Times New Roman"/>
          <w:kern w:val="0"/>
        </w:rPr>
      </w:pPr>
      <w:r w:rsidRPr="00E17813">
        <w:rPr>
          <w:rFonts w:cs="Times New Roman"/>
          <w:kern w:val="0"/>
        </w:rPr>
        <w:t>[72]</w:t>
      </w:r>
      <w:r w:rsidRPr="00E17813">
        <w:rPr>
          <w:rFonts w:cs="Times New Roman"/>
          <w:kern w:val="0"/>
        </w:rPr>
        <w:tab/>
        <w:t xml:space="preserve">MORRIS P W G, GERALDI J. Managing the institutional context for projects[J]. Project Management Journal, 2011, 42(6): 20-32. </w:t>
      </w:r>
    </w:p>
    <w:p w14:paraId="65E3E6D4" w14:textId="324D2514" w:rsidR="00E17813" w:rsidRPr="00E17813" w:rsidRDefault="00E17813" w:rsidP="00143B30">
      <w:pPr>
        <w:pStyle w:val="aff"/>
        <w:ind w:left="425" w:hangingChars="236" w:hanging="425"/>
        <w:contextualSpacing/>
        <w:mirrorIndents/>
        <w:rPr>
          <w:rFonts w:cs="Times New Roman"/>
          <w:kern w:val="0"/>
        </w:rPr>
      </w:pPr>
      <w:r w:rsidRPr="00E17813">
        <w:rPr>
          <w:rFonts w:cs="Times New Roman"/>
          <w:kern w:val="0"/>
        </w:rPr>
        <w:t>[73]</w:t>
      </w:r>
      <w:r w:rsidRPr="00E17813">
        <w:rPr>
          <w:rFonts w:cs="Times New Roman"/>
          <w:kern w:val="0"/>
        </w:rPr>
        <w:tab/>
        <w:t xml:space="preserve">SHEHU Z, AKINTOYE A. Construction programme management theory and practice: Contextual and pragmatic approach[J]. International Journal of Project Management, 2009, 27(7): 703-716. </w:t>
      </w:r>
    </w:p>
    <w:p w14:paraId="731B3EE9" w14:textId="54944BFA" w:rsidR="00E17813" w:rsidRPr="00E17813" w:rsidRDefault="00E17813" w:rsidP="00143B30">
      <w:pPr>
        <w:pStyle w:val="aff"/>
        <w:ind w:left="425" w:hangingChars="236" w:hanging="425"/>
        <w:contextualSpacing/>
        <w:mirrorIndents/>
        <w:rPr>
          <w:rFonts w:cs="Times New Roman"/>
          <w:kern w:val="0"/>
        </w:rPr>
      </w:pPr>
      <w:r w:rsidRPr="00E17813">
        <w:rPr>
          <w:rFonts w:cs="Times New Roman"/>
          <w:kern w:val="0"/>
        </w:rPr>
        <w:t>[74]</w:t>
      </w:r>
      <w:r w:rsidRPr="00E17813">
        <w:rPr>
          <w:rFonts w:cs="Times New Roman"/>
          <w:kern w:val="0"/>
        </w:rPr>
        <w:tab/>
        <w:t xml:space="preserve">SENARATNE S, SEXTON M. Managing construction project change: A knowledge management perspective[J]. Construction Management and Economics, 2008, 26(12): 1303-1311. </w:t>
      </w:r>
    </w:p>
    <w:p w14:paraId="7749600F" w14:textId="6C9347A7" w:rsidR="00E17813" w:rsidRDefault="00E17813" w:rsidP="00143B30">
      <w:pPr>
        <w:pStyle w:val="aff"/>
        <w:ind w:left="425" w:hangingChars="236" w:hanging="425"/>
        <w:contextualSpacing/>
        <w:mirrorIndents/>
        <w:rPr>
          <w:rFonts w:cs="Times New Roman"/>
          <w:kern w:val="0"/>
        </w:rPr>
      </w:pPr>
      <w:r w:rsidRPr="00E17813">
        <w:rPr>
          <w:rFonts w:cs="Times New Roman"/>
          <w:kern w:val="0"/>
        </w:rPr>
        <w:t>[75]</w:t>
      </w:r>
      <w:r w:rsidRPr="00E17813">
        <w:rPr>
          <w:rFonts w:cs="Times New Roman"/>
          <w:kern w:val="0"/>
        </w:rPr>
        <w:tab/>
      </w:r>
      <w:r w:rsidRPr="00E17813">
        <w:rPr>
          <w:rFonts w:cs="Times New Roman"/>
          <w:kern w:val="0"/>
        </w:rPr>
        <w:t>娄长圣</w:t>
      </w:r>
      <w:r w:rsidRPr="00E17813">
        <w:rPr>
          <w:rFonts w:cs="Times New Roman"/>
          <w:kern w:val="0"/>
        </w:rPr>
        <w:t xml:space="preserve">. </w:t>
      </w:r>
      <w:r w:rsidRPr="00E17813">
        <w:rPr>
          <w:rFonts w:cs="Times New Roman"/>
          <w:kern w:val="0"/>
        </w:rPr>
        <w:t>清洁能源项目风险管理研究</w:t>
      </w:r>
      <w:r w:rsidRPr="00E17813">
        <w:rPr>
          <w:rFonts w:cs="Times New Roman"/>
          <w:kern w:val="0"/>
        </w:rPr>
        <w:t xml:space="preserve">[D]. </w:t>
      </w:r>
      <w:r w:rsidRPr="00E17813">
        <w:rPr>
          <w:rFonts w:cs="Times New Roman"/>
          <w:kern w:val="0"/>
        </w:rPr>
        <w:t>北京</w:t>
      </w:r>
      <w:r w:rsidRPr="00E17813">
        <w:rPr>
          <w:rFonts w:cs="Times New Roman"/>
          <w:kern w:val="0"/>
        </w:rPr>
        <w:t xml:space="preserve">: </w:t>
      </w:r>
      <w:r w:rsidRPr="00E17813">
        <w:rPr>
          <w:rFonts w:cs="Times New Roman"/>
          <w:kern w:val="0"/>
        </w:rPr>
        <w:t>清华大学</w:t>
      </w:r>
      <w:r w:rsidRPr="00E17813">
        <w:rPr>
          <w:rFonts w:cs="Times New Roman"/>
          <w:kern w:val="0"/>
        </w:rPr>
        <w:t>, 2024.</w:t>
      </w:r>
    </w:p>
    <w:p w14:paraId="6930B313" w14:textId="55E96358" w:rsidR="00515DAD" w:rsidRPr="00515DAD" w:rsidRDefault="00515DAD" w:rsidP="00515DAD">
      <w:pPr>
        <w:pStyle w:val="aff"/>
        <w:ind w:leftChars="202" w:left="424" w:firstLineChars="0" w:firstLine="1"/>
        <w:contextualSpacing/>
        <w:mirrorIndents/>
        <w:rPr>
          <w:rFonts w:cs="Times New Roman"/>
          <w:kern w:val="0"/>
        </w:rPr>
      </w:pPr>
      <w:r w:rsidRPr="00515DAD">
        <w:rPr>
          <w:rFonts w:cs="Times New Roman"/>
          <w:kern w:val="0"/>
        </w:rPr>
        <w:t>LOU C S. Research on risk management of clean energy projects</w:t>
      </w:r>
      <w:r w:rsidRPr="00E17813">
        <w:rPr>
          <w:rFonts w:cs="Times New Roman"/>
          <w:kern w:val="0"/>
        </w:rPr>
        <w:t xml:space="preserve">[D]. </w:t>
      </w:r>
      <w:r>
        <w:rPr>
          <w:rFonts w:cs="Times New Roman" w:hint="eastAsia"/>
          <w:kern w:val="0"/>
        </w:rPr>
        <w:t>B</w:t>
      </w:r>
      <w:r>
        <w:rPr>
          <w:rFonts w:cs="Times New Roman"/>
          <w:kern w:val="0"/>
        </w:rPr>
        <w:t>eijing</w:t>
      </w:r>
      <w:r w:rsidRPr="00E17813">
        <w:rPr>
          <w:rFonts w:cs="Times New Roman"/>
          <w:kern w:val="0"/>
        </w:rPr>
        <w:t xml:space="preserve">: </w:t>
      </w:r>
      <w:r>
        <w:rPr>
          <w:rFonts w:cs="Times New Roman" w:hint="eastAsia"/>
          <w:kern w:val="0"/>
        </w:rPr>
        <w:t>T</w:t>
      </w:r>
      <w:r>
        <w:rPr>
          <w:rFonts w:cs="Times New Roman"/>
          <w:kern w:val="0"/>
        </w:rPr>
        <w:t>singhua University</w:t>
      </w:r>
      <w:r w:rsidRPr="00E17813">
        <w:rPr>
          <w:rFonts w:cs="Times New Roman"/>
          <w:kern w:val="0"/>
        </w:rPr>
        <w:t>, 2024.</w:t>
      </w:r>
      <w:r>
        <w:rPr>
          <w:rFonts w:cs="Times New Roman"/>
          <w:kern w:val="0"/>
        </w:rPr>
        <w:t xml:space="preserve"> (in Chinese)</w:t>
      </w:r>
    </w:p>
    <w:p w14:paraId="54F7238C" w14:textId="58339C3F" w:rsidR="00E17813" w:rsidRPr="00E17813" w:rsidRDefault="00E17813" w:rsidP="00143B30">
      <w:pPr>
        <w:pStyle w:val="aff"/>
        <w:ind w:left="425" w:hangingChars="236" w:hanging="425"/>
        <w:contextualSpacing/>
        <w:mirrorIndents/>
        <w:rPr>
          <w:rFonts w:cs="Times New Roman"/>
          <w:kern w:val="0"/>
        </w:rPr>
      </w:pPr>
      <w:r w:rsidRPr="00E17813">
        <w:rPr>
          <w:rFonts w:cs="Times New Roman"/>
          <w:kern w:val="0"/>
        </w:rPr>
        <w:t>[76]</w:t>
      </w:r>
      <w:r w:rsidRPr="00E17813">
        <w:rPr>
          <w:rFonts w:cs="Times New Roman"/>
          <w:kern w:val="0"/>
        </w:rPr>
        <w:tab/>
        <w:t xml:space="preserve">TANG W, QIANG M, DUFFIELD C, </w:t>
      </w:r>
      <w:r w:rsidR="00143B30">
        <w:rPr>
          <w:rFonts w:cs="Times New Roman"/>
          <w:kern w:val="0"/>
        </w:rPr>
        <w:t>et al</w:t>
      </w:r>
      <w:r w:rsidRPr="00E17813">
        <w:rPr>
          <w:rFonts w:cs="Times New Roman"/>
          <w:kern w:val="0"/>
        </w:rPr>
        <w:t xml:space="preserve">. Enhancing total quality management by partnering in construction[J]. Journal of Professional Issues in Engineering Education and Practice, 2009, 135(4): 129-141. </w:t>
      </w:r>
    </w:p>
    <w:p w14:paraId="281B94B1" w14:textId="4EFE0257" w:rsidR="00E17813" w:rsidRPr="00E17813" w:rsidRDefault="00E17813" w:rsidP="00143B30">
      <w:pPr>
        <w:pStyle w:val="aff"/>
        <w:ind w:left="425" w:hangingChars="236" w:hanging="425"/>
        <w:contextualSpacing/>
        <w:mirrorIndents/>
        <w:rPr>
          <w:rFonts w:cs="Times New Roman"/>
          <w:kern w:val="0"/>
        </w:rPr>
      </w:pPr>
      <w:r w:rsidRPr="00E17813">
        <w:rPr>
          <w:rFonts w:cs="Times New Roman"/>
          <w:kern w:val="0"/>
        </w:rPr>
        <w:t>[77]</w:t>
      </w:r>
      <w:r w:rsidRPr="00E17813">
        <w:rPr>
          <w:rFonts w:cs="Times New Roman"/>
          <w:kern w:val="0"/>
        </w:rPr>
        <w:tab/>
        <w:t xml:space="preserve">DU L, TANG W, LIU C, </w:t>
      </w:r>
      <w:r w:rsidR="00143B30">
        <w:rPr>
          <w:rFonts w:cs="Times New Roman"/>
          <w:kern w:val="0"/>
        </w:rPr>
        <w:t>et al</w:t>
      </w:r>
      <w:r w:rsidRPr="00E17813">
        <w:rPr>
          <w:rFonts w:cs="Times New Roman"/>
          <w:kern w:val="0"/>
        </w:rPr>
        <w:t xml:space="preserve">. Enhancing engineer–procure–construct project performance by partnering in international markets: Perspective from Chinese construction companies[J]. International Journal of Project Management, 2016, 34(1): 30-43. </w:t>
      </w:r>
    </w:p>
    <w:p w14:paraId="4524142E" w14:textId="01AC9B33" w:rsidR="00E17813" w:rsidRPr="00E17813" w:rsidRDefault="00E17813" w:rsidP="00143B30">
      <w:pPr>
        <w:pStyle w:val="aff"/>
        <w:ind w:left="425" w:hangingChars="236" w:hanging="425"/>
        <w:contextualSpacing/>
        <w:mirrorIndents/>
        <w:rPr>
          <w:rFonts w:cs="Times New Roman"/>
          <w:kern w:val="0"/>
        </w:rPr>
      </w:pPr>
      <w:r w:rsidRPr="00E17813">
        <w:rPr>
          <w:rFonts w:cs="Times New Roman"/>
          <w:kern w:val="0"/>
        </w:rPr>
        <w:t>[78]</w:t>
      </w:r>
      <w:r w:rsidRPr="00E17813">
        <w:rPr>
          <w:rFonts w:cs="Times New Roman"/>
          <w:kern w:val="0"/>
        </w:rPr>
        <w:tab/>
        <w:t xml:space="preserve">LIU Y, TANG W, DUFFIELD C F, </w:t>
      </w:r>
      <w:r w:rsidR="00143B30">
        <w:rPr>
          <w:rFonts w:cs="Times New Roman"/>
          <w:kern w:val="0"/>
        </w:rPr>
        <w:t>et al</w:t>
      </w:r>
      <w:r w:rsidRPr="00E17813">
        <w:rPr>
          <w:rFonts w:cs="Times New Roman"/>
          <w:kern w:val="0"/>
        </w:rPr>
        <w:t xml:space="preserve">. Improving design by partnering in engineering–procurement–construction </w:t>
      </w:r>
      <w:r w:rsidRPr="00E17813">
        <w:rPr>
          <w:rFonts w:cs="Times New Roman"/>
          <w:kern w:val="0"/>
        </w:rPr>
        <w:lastRenderedPageBreak/>
        <w:t xml:space="preserve">(EPC) hydropower projects: A case study of a large-scale hydropower project in China[J]. Water, 2021, 13(23): 3410. </w:t>
      </w:r>
    </w:p>
    <w:p w14:paraId="1427064D" w14:textId="55CAB3F7" w:rsidR="00E17813" w:rsidRPr="00E17813" w:rsidRDefault="00E17813" w:rsidP="00143B30">
      <w:pPr>
        <w:pStyle w:val="aff"/>
        <w:ind w:left="425" w:hangingChars="236" w:hanging="425"/>
        <w:contextualSpacing/>
        <w:mirrorIndents/>
        <w:rPr>
          <w:rFonts w:cs="Times New Roman"/>
          <w:kern w:val="0"/>
        </w:rPr>
      </w:pPr>
      <w:r w:rsidRPr="00E17813">
        <w:rPr>
          <w:rFonts w:cs="Times New Roman"/>
          <w:kern w:val="0"/>
        </w:rPr>
        <w:t>[79]</w:t>
      </w:r>
      <w:r w:rsidRPr="00E17813">
        <w:rPr>
          <w:rFonts w:cs="Times New Roman"/>
          <w:kern w:val="0"/>
        </w:rPr>
        <w:tab/>
        <w:t xml:space="preserve">SHEN W, TANG W, WANG Y, </w:t>
      </w:r>
      <w:r w:rsidR="00143B30">
        <w:rPr>
          <w:rFonts w:cs="Times New Roman"/>
          <w:kern w:val="0"/>
        </w:rPr>
        <w:t>et al</w:t>
      </w:r>
      <w:r w:rsidRPr="00E17813">
        <w:rPr>
          <w:rFonts w:cs="Times New Roman"/>
          <w:kern w:val="0"/>
        </w:rPr>
        <w:t xml:space="preserve">. Managing interfaces in large-scale projects: The roles of formal governance and partnering[J]. Journal of Construction Engineering and Management, 2021, 147(7): 04021064. </w:t>
      </w:r>
    </w:p>
    <w:p w14:paraId="3829666E" w14:textId="5C66ECAA" w:rsidR="00E17813" w:rsidRPr="00E17813" w:rsidRDefault="00E17813" w:rsidP="00143B30">
      <w:pPr>
        <w:pStyle w:val="aff"/>
        <w:ind w:left="425" w:hangingChars="236" w:hanging="425"/>
        <w:contextualSpacing/>
        <w:mirrorIndents/>
        <w:rPr>
          <w:rFonts w:cs="Times New Roman"/>
          <w:kern w:val="0"/>
        </w:rPr>
      </w:pPr>
      <w:r w:rsidRPr="00E17813">
        <w:rPr>
          <w:rFonts w:cs="Times New Roman"/>
          <w:kern w:val="0"/>
        </w:rPr>
        <w:t>[80]</w:t>
      </w:r>
      <w:r w:rsidRPr="00E17813">
        <w:rPr>
          <w:rFonts w:cs="Times New Roman"/>
          <w:kern w:val="0"/>
        </w:rPr>
        <w:tab/>
        <w:t xml:space="preserve">XU Z, YIN Y, LI D, </w:t>
      </w:r>
      <w:r w:rsidR="00143B30">
        <w:rPr>
          <w:rFonts w:cs="Times New Roman"/>
          <w:kern w:val="0"/>
        </w:rPr>
        <w:t>et al</w:t>
      </w:r>
      <w:r w:rsidRPr="00E17813">
        <w:rPr>
          <w:rFonts w:cs="Times New Roman"/>
          <w:kern w:val="0"/>
        </w:rPr>
        <w:t xml:space="preserve">. Owner’s risk allocation and contractor’s role behavior in a project: A parallel-mediation model[J]. Engineering Management Journal, 2018, 30(1): 14-23. </w:t>
      </w:r>
    </w:p>
    <w:p w14:paraId="274B551E" w14:textId="73920FBE" w:rsidR="00E17813" w:rsidRPr="00E17813" w:rsidRDefault="00E17813" w:rsidP="00143B30">
      <w:pPr>
        <w:pStyle w:val="aff"/>
        <w:ind w:left="425" w:hangingChars="236" w:hanging="425"/>
        <w:contextualSpacing/>
        <w:mirrorIndents/>
        <w:rPr>
          <w:rFonts w:cs="Times New Roman"/>
          <w:kern w:val="0"/>
        </w:rPr>
      </w:pPr>
      <w:r w:rsidRPr="00E17813">
        <w:rPr>
          <w:rFonts w:cs="Times New Roman"/>
          <w:kern w:val="0"/>
        </w:rPr>
        <w:t>[81]</w:t>
      </w:r>
      <w:r w:rsidRPr="00E17813">
        <w:rPr>
          <w:rFonts w:cs="Times New Roman"/>
          <w:kern w:val="0"/>
        </w:rPr>
        <w:tab/>
        <w:t>XU X, MA L, DING L. A framework for BIM-enabled life-cycle information management of construction project[J]. International Journal of Advanced Robotic Systems, 2014, 11(8): 126.</w:t>
      </w:r>
    </w:p>
    <w:p w14:paraId="100D1A7F" w14:textId="4572F1FF" w:rsidR="00E17813" w:rsidRPr="00E17813" w:rsidRDefault="00E17813" w:rsidP="00143B30">
      <w:pPr>
        <w:pStyle w:val="aff"/>
        <w:ind w:left="425" w:hangingChars="236" w:hanging="425"/>
        <w:contextualSpacing/>
        <w:mirrorIndents/>
        <w:rPr>
          <w:rFonts w:cs="Times New Roman"/>
          <w:kern w:val="0"/>
        </w:rPr>
      </w:pPr>
      <w:r w:rsidRPr="00E17813">
        <w:rPr>
          <w:rFonts w:cs="Times New Roman"/>
          <w:kern w:val="0"/>
        </w:rPr>
        <w:t>[82]</w:t>
      </w:r>
      <w:r w:rsidRPr="00E17813">
        <w:rPr>
          <w:rFonts w:cs="Times New Roman"/>
          <w:kern w:val="0"/>
        </w:rPr>
        <w:tab/>
        <w:t xml:space="preserve">WANG S, SHEN W, TANG W, </w:t>
      </w:r>
      <w:r w:rsidR="00143B30">
        <w:rPr>
          <w:rFonts w:cs="Times New Roman"/>
          <w:kern w:val="0"/>
        </w:rPr>
        <w:t>et al</w:t>
      </w:r>
      <w:r w:rsidRPr="00E17813">
        <w:rPr>
          <w:rFonts w:cs="Times New Roman"/>
          <w:kern w:val="0"/>
        </w:rPr>
        <w:t>. Understanding the social network of stakeholders in hydropower project development: An owners’ view[J]. Renewable Energy, 2019, 132: 326-334.</w:t>
      </w:r>
    </w:p>
    <w:p w14:paraId="61BE2F42" w14:textId="65BA94C8" w:rsidR="00E17813" w:rsidRPr="00E17813" w:rsidRDefault="00E17813" w:rsidP="00143B30">
      <w:pPr>
        <w:pStyle w:val="aff"/>
        <w:ind w:left="425" w:hangingChars="236" w:hanging="425"/>
        <w:contextualSpacing/>
        <w:mirrorIndents/>
        <w:rPr>
          <w:rFonts w:cs="Times New Roman"/>
          <w:kern w:val="0"/>
        </w:rPr>
      </w:pPr>
      <w:r w:rsidRPr="00E17813">
        <w:rPr>
          <w:rFonts w:cs="Times New Roman"/>
          <w:kern w:val="0"/>
        </w:rPr>
        <w:t>[83]</w:t>
      </w:r>
      <w:r w:rsidRPr="00E17813">
        <w:rPr>
          <w:rFonts w:cs="Times New Roman"/>
          <w:kern w:val="0"/>
        </w:rPr>
        <w:tab/>
        <w:t xml:space="preserve">TIAN Z, HE Q, WANG T. How to mobilize owner-dynamic capabilities in megaprojects? A tripartite evolutionary game approach[J]. Engineering, Construction and Architectural Management, 2023, 32(3): 1478-1498. </w:t>
      </w:r>
    </w:p>
    <w:p w14:paraId="5827EEDC" w14:textId="41EAB1FF" w:rsidR="00E17813" w:rsidRPr="00E17813" w:rsidRDefault="00E17813" w:rsidP="00143B30">
      <w:pPr>
        <w:pStyle w:val="aff"/>
        <w:ind w:left="425" w:hangingChars="236" w:hanging="425"/>
        <w:contextualSpacing/>
        <w:mirrorIndents/>
        <w:rPr>
          <w:rFonts w:cs="Times New Roman"/>
          <w:kern w:val="0"/>
        </w:rPr>
      </w:pPr>
      <w:r w:rsidRPr="00E17813">
        <w:rPr>
          <w:rFonts w:cs="Times New Roman"/>
          <w:kern w:val="0"/>
        </w:rPr>
        <w:t>[84]</w:t>
      </w:r>
      <w:r w:rsidRPr="00E17813">
        <w:rPr>
          <w:rFonts w:cs="Times New Roman"/>
          <w:kern w:val="0"/>
        </w:rPr>
        <w:tab/>
        <w:t>LU S, HAO G. The influence of owner power in fostering contractor cooperation: Evidence from China[J]. International Journal of Project Management, 2013, 31(4): 522-531.</w:t>
      </w:r>
    </w:p>
    <w:p w14:paraId="0F035FBE" w14:textId="63BB4858" w:rsidR="00E17813" w:rsidRPr="00E17813" w:rsidRDefault="00E17813" w:rsidP="00143B30">
      <w:pPr>
        <w:pStyle w:val="aff"/>
        <w:ind w:left="425" w:hangingChars="236" w:hanging="425"/>
        <w:contextualSpacing/>
        <w:mirrorIndents/>
        <w:rPr>
          <w:rFonts w:cs="Times New Roman"/>
          <w:kern w:val="0"/>
        </w:rPr>
      </w:pPr>
      <w:r w:rsidRPr="00E17813">
        <w:rPr>
          <w:rFonts w:cs="Times New Roman"/>
          <w:kern w:val="0"/>
        </w:rPr>
        <w:t>[85]</w:t>
      </w:r>
      <w:r w:rsidRPr="00E17813">
        <w:rPr>
          <w:rFonts w:cs="Times New Roman"/>
          <w:kern w:val="0"/>
        </w:rPr>
        <w:tab/>
        <w:t xml:space="preserve">JOHNSEN T E, MIKKELSEN O S, WONG C Y. Strategies for complex supply networks: Findings from the offshore wind power industry[J]. Supply Chain Management: An International Journal, 2019, 24(6): 872-886. </w:t>
      </w:r>
    </w:p>
    <w:p w14:paraId="0F7CAC21" w14:textId="759513E9" w:rsidR="00E17813" w:rsidRDefault="00E17813" w:rsidP="00143B30">
      <w:pPr>
        <w:pStyle w:val="aff"/>
        <w:ind w:left="425" w:hangingChars="236" w:hanging="425"/>
        <w:contextualSpacing/>
        <w:mirrorIndents/>
        <w:rPr>
          <w:rFonts w:cs="Times New Roman"/>
          <w:kern w:val="0"/>
        </w:rPr>
      </w:pPr>
      <w:r w:rsidRPr="00E17813">
        <w:rPr>
          <w:rFonts w:cs="Times New Roman"/>
          <w:kern w:val="0"/>
        </w:rPr>
        <w:t>[86]</w:t>
      </w:r>
      <w:r w:rsidRPr="00E17813">
        <w:rPr>
          <w:rFonts w:cs="Times New Roman"/>
          <w:kern w:val="0"/>
        </w:rPr>
        <w:tab/>
      </w:r>
      <w:r w:rsidRPr="00E17813">
        <w:rPr>
          <w:rFonts w:cs="Times New Roman"/>
          <w:kern w:val="0"/>
        </w:rPr>
        <w:t>王姝力</w:t>
      </w:r>
      <w:r w:rsidRPr="00E17813">
        <w:rPr>
          <w:rFonts w:cs="Times New Roman"/>
          <w:kern w:val="0"/>
        </w:rPr>
        <w:t xml:space="preserve">. </w:t>
      </w:r>
      <w:r w:rsidRPr="00E17813">
        <w:rPr>
          <w:rFonts w:cs="Times New Roman"/>
          <w:kern w:val="0"/>
        </w:rPr>
        <w:t>基于供应链一体化的国际工程</w:t>
      </w:r>
      <w:r w:rsidRPr="00E17813">
        <w:rPr>
          <w:rFonts w:cs="Times New Roman"/>
          <w:kern w:val="0"/>
        </w:rPr>
        <w:t>EPC</w:t>
      </w:r>
      <w:r w:rsidRPr="00E17813">
        <w:rPr>
          <w:rFonts w:cs="Times New Roman"/>
          <w:kern w:val="0"/>
        </w:rPr>
        <w:t>项目采购管理研究</w:t>
      </w:r>
      <w:r w:rsidRPr="00E17813">
        <w:rPr>
          <w:rFonts w:cs="Times New Roman"/>
          <w:kern w:val="0"/>
        </w:rPr>
        <w:t xml:space="preserve">[D]. </w:t>
      </w:r>
      <w:r w:rsidRPr="00E17813">
        <w:rPr>
          <w:rFonts w:cs="Times New Roman"/>
          <w:kern w:val="0"/>
        </w:rPr>
        <w:t>北京</w:t>
      </w:r>
      <w:r w:rsidRPr="00E17813">
        <w:rPr>
          <w:rFonts w:cs="Times New Roman"/>
          <w:kern w:val="0"/>
        </w:rPr>
        <w:t xml:space="preserve">: </w:t>
      </w:r>
      <w:r w:rsidRPr="00E17813">
        <w:rPr>
          <w:rFonts w:cs="Times New Roman"/>
          <w:kern w:val="0"/>
        </w:rPr>
        <w:t>清华大学</w:t>
      </w:r>
      <w:r w:rsidRPr="00E17813">
        <w:rPr>
          <w:rFonts w:cs="Times New Roman"/>
          <w:kern w:val="0"/>
        </w:rPr>
        <w:t>, 2016.</w:t>
      </w:r>
    </w:p>
    <w:p w14:paraId="7329D5E4" w14:textId="250D7458" w:rsidR="00515DAD" w:rsidRPr="00515DAD" w:rsidRDefault="00515DAD" w:rsidP="00515DAD">
      <w:pPr>
        <w:pStyle w:val="aff"/>
        <w:ind w:leftChars="202" w:left="424" w:firstLineChars="0" w:firstLine="1"/>
        <w:contextualSpacing/>
        <w:mirrorIndents/>
        <w:rPr>
          <w:rFonts w:cs="Times New Roman"/>
          <w:kern w:val="0"/>
        </w:rPr>
      </w:pPr>
      <w:r w:rsidRPr="00515DAD">
        <w:rPr>
          <w:rFonts w:cs="Times New Roman" w:hint="eastAsia"/>
          <w:kern w:val="0"/>
        </w:rPr>
        <w:t>W</w:t>
      </w:r>
      <w:r w:rsidRPr="00515DAD">
        <w:rPr>
          <w:rFonts w:cs="Times New Roman"/>
          <w:kern w:val="0"/>
        </w:rPr>
        <w:t xml:space="preserve">ANG S L. </w:t>
      </w:r>
      <w:r w:rsidR="00E87E7F" w:rsidRPr="00E87E7F">
        <w:rPr>
          <w:rFonts w:cs="Times New Roman"/>
          <w:kern w:val="0"/>
        </w:rPr>
        <w:t>Research on procurement management of international EPC projects from the perspective of supply chain integration</w:t>
      </w:r>
      <w:r w:rsidR="00E87E7F">
        <w:rPr>
          <w:rFonts w:cs="Times New Roman"/>
          <w:kern w:val="0"/>
        </w:rPr>
        <w:t xml:space="preserve">. </w:t>
      </w:r>
      <w:r>
        <w:rPr>
          <w:rFonts w:cs="Times New Roman" w:hint="eastAsia"/>
          <w:kern w:val="0"/>
        </w:rPr>
        <w:t>B</w:t>
      </w:r>
      <w:r>
        <w:rPr>
          <w:rFonts w:cs="Times New Roman"/>
          <w:kern w:val="0"/>
        </w:rPr>
        <w:t>eijing</w:t>
      </w:r>
      <w:r w:rsidRPr="00E17813">
        <w:rPr>
          <w:rFonts w:cs="Times New Roman"/>
          <w:kern w:val="0"/>
        </w:rPr>
        <w:t xml:space="preserve">: </w:t>
      </w:r>
      <w:r>
        <w:rPr>
          <w:rFonts w:cs="Times New Roman" w:hint="eastAsia"/>
          <w:kern w:val="0"/>
        </w:rPr>
        <w:t>T</w:t>
      </w:r>
      <w:r>
        <w:rPr>
          <w:rFonts w:cs="Times New Roman"/>
          <w:kern w:val="0"/>
        </w:rPr>
        <w:t>singhua University</w:t>
      </w:r>
      <w:r w:rsidRPr="00E17813">
        <w:rPr>
          <w:rFonts w:cs="Times New Roman"/>
          <w:kern w:val="0"/>
        </w:rPr>
        <w:t>, 20</w:t>
      </w:r>
      <w:r w:rsidR="00E87E7F">
        <w:rPr>
          <w:rFonts w:cs="Times New Roman"/>
          <w:kern w:val="0"/>
        </w:rPr>
        <w:t>16</w:t>
      </w:r>
      <w:r w:rsidRPr="00E17813">
        <w:rPr>
          <w:rFonts w:cs="Times New Roman"/>
          <w:kern w:val="0"/>
        </w:rPr>
        <w:t>.</w:t>
      </w:r>
      <w:r>
        <w:rPr>
          <w:rFonts w:cs="Times New Roman"/>
          <w:kern w:val="0"/>
        </w:rPr>
        <w:t xml:space="preserve"> (in Chinese)</w:t>
      </w:r>
    </w:p>
    <w:p w14:paraId="3CE438FE" w14:textId="22D34777" w:rsidR="00E17813" w:rsidRPr="00E17813" w:rsidRDefault="00E17813" w:rsidP="00143B30">
      <w:pPr>
        <w:pStyle w:val="aff"/>
        <w:ind w:left="425" w:hangingChars="236" w:hanging="425"/>
        <w:contextualSpacing/>
        <w:mirrorIndents/>
        <w:rPr>
          <w:rFonts w:cs="Times New Roman"/>
          <w:kern w:val="0"/>
        </w:rPr>
      </w:pPr>
      <w:r w:rsidRPr="00E17813">
        <w:rPr>
          <w:rFonts w:cs="Times New Roman"/>
          <w:kern w:val="0"/>
        </w:rPr>
        <w:t>[87]</w:t>
      </w:r>
      <w:r w:rsidRPr="00E17813">
        <w:rPr>
          <w:rFonts w:cs="Times New Roman"/>
          <w:kern w:val="0"/>
        </w:rPr>
        <w:tab/>
        <w:t xml:space="preserve">SHEN W, TANG W, WANG S, </w:t>
      </w:r>
      <w:r w:rsidR="00143B30">
        <w:rPr>
          <w:rFonts w:cs="Times New Roman"/>
          <w:kern w:val="0"/>
        </w:rPr>
        <w:t>et al</w:t>
      </w:r>
      <w:r w:rsidRPr="00E17813">
        <w:rPr>
          <w:rFonts w:cs="Times New Roman"/>
          <w:kern w:val="0"/>
        </w:rPr>
        <w:t xml:space="preserve">. Enhancing trust-based interface management in international engineering-procurement-construction projects[J]. Journal of Construction Engineering and Management, 2017, 143(9): 04017061. </w:t>
      </w:r>
    </w:p>
    <w:p w14:paraId="1A6B3B4C" w14:textId="7DFA773D" w:rsidR="00E17813" w:rsidRPr="00E17813" w:rsidRDefault="00E17813" w:rsidP="00143B30">
      <w:pPr>
        <w:pStyle w:val="aff"/>
        <w:ind w:left="425" w:hangingChars="236" w:hanging="425"/>
        <w:contextualSpacing/>
        <w:mirrorIndents/>
        <w:rPr>
          <w:rFonts w:cs="Times New Roman"/>
          <w:kern w:val="0"/>
        </w:rPr>
      </w:pPr>
      <w:r w:rsidRPr="00E17813">
        <w:rPr>
          <w:rFonts w:cs="Times New Roman"/>
          <w:kern w:val="0"/>
        </w:rPr>
        <w:t>[88]</w:t>
      </w:r>
      <w:r w:rsidRPr="00E17813">
        <w:rPr>
          <w:rFonts w:cs="Times New Roman"/>
          <w:kern w:val="0"/>
        </w:rPr>
        <w:tab/>
        <w:t xml:space="preserve">ADEYINKA A M, ESAN O C, IJAOLA A O, </w:t>
      </w:r>
      <w:r w:rsidR="00143B30">
        <w:rPr>
          <w:rFonts w:cs="Times New Roman"/>
          <w:kern w:val="0"/>
        </w:rPr>
        <w:t>et al</w:t>
      </w:r>
      <w:r w:rsidRPr="00E17813">
        <w:rPr>
          <w:rFonts w:cs="Times New Roman"/>
          <w:kern w:val="0"/>
        </w:rPr>
        <w:t xml:space="preserve">. Advancements in hybrid energy storage systems for enhancing renewable energy-to-grid integration[J]. Sustainable Energy Research, 2024, 11(1): 1-23. </w:t>
      </w:r>
    </w:p>
    <w:p w14:paraId="1ECE8FFA" w14:textId="5F0F1F34" w:rsidR="00E17813" w:rsidRDefault="00E17813" w:rsidP="00143B30">
      <w:pPr>
        <w:pStyle w:val="aff"/>
        <w:ind w:left="425" w:hangingChars="236" w:hanging="425"/>
        <w:contextualSpacing/>
        <w:mirrorIndents/>
        <w:rPr>
          <w:rFonts w:cs="Times New Roman"/>
          <w:kern w:val="0"/>
        </w:rPr>
      </w:pPr>
      <w:r w:rsidRPr="00E17813">
        <w:rPr>
          <w:rFonts w:cs="Times New Roman"/>
          <w:kern w:val="0"/>
        </w:rPr>
        <w:t>[89]</w:t>
      </w:r>
      <w:r w:rsidRPr="00E17813">
        <w:rPr>
          <w:rFonts w:cs="Times New Roman"/>
          <w:kern w:val="0"/>
        </w:rPr>
        <w:tab/>
      </w:r>
      <w:r w:rsidRPr="00E17813">
        <w:rPr>
          <w:rFonts w:cs="Times New Roman"/>
          <w:kern w:val="0"/>
        </w:rPr>
        <w:t>张旭腾</w:t>
      </w:r>
      <w:r w:rsidRPr="00E17813">
        <w:rPr>
          <w:rFonts w:cs="Times New Roman"/>
          <w:kern w:val="0"/>
        </w:rPr>
        <w:t xml:space="preserve">. </w:t>
      </w:r>
      <w:r w:rsidRPr="00E17813">
        <w:rPr>
          <w:rFonts w:cs="Times New Roman"/>
          <w:kern w:val="0"/>
        </w:rPr>
        <w:t>工程建设企业创新机理研究</w:t>
      </w:r>
      <w:r w:rsidRPr="00E17813">
        <w:rPr>
          <w:rFonts w:cs="Times New Roman"/>
          <w:kern w:val="0"/>
        </w:rPr>
        <w:t xml:space="preserve">[D]. </w:t>
      </w:r>
      <w:r w:rsidRPr="00E17813">
        <w:rPr>
          <w:rFonts w:cs="Times New Roman"/>
          <w:kern w:val="0"/>
        </w:rPr>
        <w:t>北京</w:t>
      </w:r>
      <w:r w:rsidRPr="00E17813">
        <w:rPr>
          <w:rFonts w:cs="Times New Roman"/>
          <w:kern w:val="0"/>
        </w:rPr>
        <w:t xml:space="preserve">: </w:t>
      </w:r>
      <w:r w:rsidRPr="00E17813">
        <w:rPr>
          <w:rFonts w:cs="Times New Roman"/>
          <w:kern w:val="0"/>
        </w:rPr>
        <w:t>清华大学</w:t>
      </w:r>
      <w:r w:rsidRPr="00E17813">
        <w:rPr>
          <w:rFonts w:cs="Times New Roman"/>
          <w:kern w:val="0"/>
        </w:rPr>
        <w:t>, 2022.</w:t>
      </w:r>
    </w:p>
    <w:p w14:paraId="622CF36B" w14:textId="5D3A95D2" w:rsidR="00E87E7F" w:rsidRPr="00E87E7F" w:rsidRDefault="00E87E7F" w:rsidP="00E87E7F">
      <w:pPr>
        <w:pStyle w:val="aff"/>
        <w:ind w:leftChars="202" w:left="424" w:firstLineChars="0" w:firstLine="1"/>
        <w:contextualSpacing/>
        <w:mirrorIndents/>
        <w:rPr>
          <w:rFonts w:cs="Times New Roman"/>
          <w:kern w:val="0"/>
        </w:rPr>
      </w:pPr>
      <w:r w:rsidRPr="00E87E7F">
        <w:rPr>
          <w:rFonts w:cs="Times New Roman"/>
          <w:kern w:val="0"/>
        </w:rPr>
        <w:t>ZHANG X T.</w:t>
      </w:r>
      <w:r w:rsidRPr="00E87E7F">
        <w:t xml:space="preserve"> </w:t>
      </w:r>
      <w:r w:rsidRPr="00E87E7F">
        <w:rPr>
          <w:rFonts w:cs="Times New Roman"/>
          <w:kern w:val="0"/>
        </w:rPr>
        <w:t>Research on the mechanism of company innovation in construction industry</w:t>
      </w:r>
      <w:r>
        <w:rPr>
          <w:rFonts w:cs="Times New Roman"/>
          <w:kern w:val="0"/>
        </w:rPr>
        <w:t xml:space="preserve">. </w:t>
      </w:r>
      <w:r>
        <w:rPr>
          <w:rFonts w:cs="Times New Roman" w:hint="eastAsia"/>
          <w:kern w:val="0"/>
        </w:rPr>
        <w:t>B</w:t>
      </w:r>
      <w:r>
        <w:rPr>
          <w:rFonts w:cs="Times New Roman"/>
          <w:kern w:val="0"/>
        </w:rPr>
        <w:t>eijing</w:t>
      </w:r>
      <w:r w:rsidRPr="00E17813">
        <w:rPr>
          <w:rFonts w:cs="Times New Roman"/>
          <w:kern w:val="0"/>
        </w:rPr>
        <w:t xml:space="preserve">: </w:t>
      </w:r>
      <w:r>
        <w:rPr>
          <w:rFonts w:cs="Times New Roman" w:hint="eastAsia"/>
          <w:kern w:val="0"/>
        </w:rPr>
        <w:t>T</w:t>
      </w:r>
      <w:r>
        <w:rPr>
          <w:rFonts w:cs="Times New Roman"/>
          <w:kern w:val="0"/>
        </w:rPr>
        <w:t>singhua University</w:t>
      </w:r>
      <w:r w:rsidRPr="00E17813">
        <w:rPr>
          <w:rFonts w:cs="Times New Roman"/>
          <w:kern w:val="0"/>
        </w:rPr>
        <w:t>, 20</w:t>
      </w:r>
      <w:r>
        <w:rPr>
          <w:rFonts w:cs="Times New Roman"/>
          <w:kern w:val="0"/>
        </w:rPr>
        <w:t>22</w:t>
      </w:r>
      <w:r w:rsidRPr="00E17813">
        <w:rPr>
          <w:rFonts w:cs="Times New Roman"/>
          <w:kern w:val="0"/>
        </w:rPr>
        <w:t>.</w:t>
      </w:r>
      <w:r>
        <w:rPr>
          <w:rFonts w:cs="Times New Roman"/>
          <w:kern w:val="0"/>
        </w:rPr>
        <w:t xml:space="preserve"> (in Chinese)</w:t>
      </w:r>
    </w:p>
    <w:p w14:paraId="75763A97" w14:textId="58989D9A" w:rsidR="00E17813" w:rsidRPr="00E17813" w:rsidRDefault="00E17813" w:rsidP="00143B30">
      <w:pPr>
        <w:pStyle w:val="aff"/>
        <w:ind w:left="425" w:hangingChars="236" w:hanging="425"/>
        <w:contextualSpacing/>
        <w:mirrorIndents/>
        <w:rPr>
          <w:rFonts w:cs="Times New Roman"/>
          <w:kern w:val="0"/>
        </w:rPr>
      </w:pPr>
      <w:r w:rsidRPr="00E17813">
        <w:rPr>
          <w:rFonts w:cs="Times New Roman"/>
          <w:kern w:val="0"/>
        </w:rPr>
        <w:t>[90]</w:t>
      </w:r>
      <w:r w:rsidRPr="00E17813">
        <w:rPr>
          <w:rFonts w:cs="Times New Roman"/>
          <w:kern w:val="0"/>
        </w:rPr>
        <w:tab/>
        <w:t xml:space="preserve">CHEN C, LIU H, XIAO Y, </w:t>
      </w:r>
      <w:r w:rsidR="00143B30">
        <w:rPr>
          <w:rFonts w:cs="Times New Roman"/>
          <w:kern w:val="0"/>
        </w:rPr>
        <w:t>et al</w:t>
      </w:r>
      <w:r w:rsidRPr="00E17813">
        <w:rPr>
          <w:rFonts w:cs="Times New Roman"/>
          <w:kern w:val="0"/>
        </w:rPr>
        <w:t>. Power generation scheduling for a hydro-wind-solar hybrid system: A systematic survey and prospect[J]. Energies, 2022, 15(22): 8747.</w:t>
      </w:r>
    </w:p>
    <w:p w14:paraId="53B2ABB7" w14:textId="2B927D18" w:rsidR="00E17813" w:rsidRDefault="00E17813" w:rsidP="00143B30">
      <w:pPr>
        <w:pStyle w:val="aff"/>
        <w:ind w:left="425" w:hangingChars="236" w:hanging="425"/>
        <w:contextualSpacing/>
        <w:mirrorIndents/>
        <w:rPr>
          <w:rFonts w:cs="Times New Roman"/>
          <w:kern w:val="0"/>
        </w:rPr>
      </w:pPr>
      <w:r w:rsidRPr="00E17813">
        <w:rPr>
          <w:rFonts w:cs="Times New Roman"/>
          <w:kern w:val="0"/>
        </w:rPr>
        <w:t>[91]</w:t>
      </w:r>
      <w:r w:rsidRPr="00E17813">
        <w:rPr>
          <w:rFonts w:cs="Times New Roman"/>
          <w:kern w:val="0"/>
        </w:rPr>
        <w:tab/>
      </w:r>
      <w:r w:rsidRPr="00E17813">
        <w:rPr>
          <w:rFonts w:cs="Times New Roman"/>
          <w:kern w:val="0"/>
        </w:rPr>
        <w:t>卓振宇</w:t>
      </w:r>
      <w:r w:rsidRPr="00E17813">
        <w:rPr>
          <w:rFonts w:cs="Times New Roman"/>
          <w:kern w:val="0"/>
        </w:rPr>
        <w:t xml:space="preserve">, </w:t>
      </w:r>
      <w:r w:rsidRPr="00E17813">
        <w:rPr>
          <w:rFonts w:cs="Times New Roman"/>
          <w:kern w:val="0"/>
        </w:rPr>
        <w:t>张宁</w:t>
      </w:r>
      <w:r w:rsidRPr="00E17813">
        <w:rPr>
          <w:rFonts w:cs="Times New Roman"/>
          <w:kern w:val="0"/>
        </w:rPr>
        <w:t xml:space="preserve">, </w:t>
      </w:r>
      <w:r w:rsidRPr="00E17813">
        <w:rPr>
          <w:rFonts w:cs="Times New Roman"/>
          <w:kern w:val="0"/>
        </w:rPr>
        <w:t>谢小荣</w:t>
      </w:r>
      <w:r w:rsidRPr="00E17813">
        <w:rPr>
          <w:rFonts w:cs="Times New Roman"/>
          <w:kern w:val="0"/>
        </w:rPr>
        <w:t xml:space="preserve">, </w:t>
      </w:r>
      <w:r w:rsidRPr="00E17813">
        <w:rPr>
          <w:rFonts w:cs="Times New Roman"/>
          <w:kern w:val="0"/>
        </w:rPr>
        <w:t>等</w:t>
      </w:r>
      <w:r w:rsidRPr="00E17813">
        <w:rPr>
          <w:rFonts w:cs="Times New Roman"/>
          <w:kern w:val="0"/>
        </w:rPr>
        <w:t xml:space="preserve">. </w:t>
      </w:r>
      <w:r w:rsidRPr="00E17813">
        <w:rPr>
          <w:rFonts w:cs="Times New Roman"/>
          <w:kern w:val="0"/>
        </w:rPr>
        <w:t>高比例可再生能源电力系统关键技术及发展挑战</w:t>
      </w:r>
      <w:r w:rsidRPr="00E17813">
        <w:rPr>
          <w:rFonts w:cs="Times New Roman"/>
          <w:kern w:val="0"/>
        </w:rPr>
        <w:t xml:space="preserve">[J]. </w:t>
      </w:r>
      <w:r w:rsidRPr="00E17813">
        <w:rPr>
          <w:rFonts w:cs="Times New Roman"/>
          <w:kern w:val="0"/>
        </w:rPr>
        <w:t>电力系统自动化</w:t>
      </w:r>
      <w:r w:rsidRPr="00E17813">
        <w:rPr>
          <w:rFonts w:cs="Times New Roman"/>
          <w:kern w:val="0"/>
        </w:rPr>
        <w:t xml:space="preserve">, 2021, 45(9): </w:t>
      </w:r>
      <w:r w:rsidRPr="00E17813">
        <w:rPr>
          <w:rFonts w:cs="Times New Roman"/>
          <w:kern w:val="0"/>
        </w:rPr>
        <w:t>171-191.</w:t>
      </w:r>
    </w:p>
    <w:p w14:paraId="2DD5D976" w14:textId="54FAE07B" w:rsidR="00E87E7F" w:rsidRPr="00E87E7F" w:rsidRDefault="00E87E7F" w:rsidP="00E87E7F">
      <w:pPr>
        <w:pStyle w:val="aff"/>
        <w:ind w:leftChars="202" w:left="424" w:firstLineChars="0" w:firstLine="1"/>
        <w:contextualSpacing/>
        <w:mirrorIndents/>
        <w:rPr>
          <w:rFonts w:cs="Times New Roman"/>
          <w:kern w:val="0"/>
        </w:rPr>
      </w:pPr>
      <w:r w:rsidRPr="00E87E7F">
        <w:rPr>
          <w:rFonts w:cs="Times New Roman" w:hint="eastAsia"/>
          <w:kern w:val="0"/>
        </w:rPr>
        <w:t>Z</w:t>
      </w:r>
      <w:r w:rsidRPr="00E87E7F">
        <w:rPr>
          <w:rFonts w:cs="Times New Roman"/>
          <w:kern w:val="0"/>
        </w:rPr>
        <w:t>HUO Z Y, ZHANG N, XIE X R, et al. key technologies and developing</w:t>
      </w:r>
      <w:r>
        <w:rPr>
          <w:rFonts w:cs="Times New Roman"/>
          <w:kern w:val="0"/>
        </w:rPr>
        <w:t xml:space="preserve"> </w:t>
      </w:r>
      <w:r w:rsidRPr="00E87E7F">
        <w:rPr>
          <w:rFonts w:cs="Times New Roman"/>
          <w:kern w:val="0"/>
        </w:rPr>
        <w:t>challenges of power system with</w:t>
      </w:r>
      <w:r>
        <w:rPr>
          <w:rFonts w:cs="Times New Roman"/>
          <w:kern w:val="0"/>
        </w:rPr>
        <w:t xml:space="preserve"> </w:t>
      </w:r>
      <w:r w:rsidRPr="00E87E7F">
        <w:rPr>
          <w:rFonts w:cs="Times New Roman"/>
          <w:kern w:val="0"/>
        </w:rPr>
        <w:t>high proportion of renewable</w:t>
      </w:r>
      <w:r>
        <w:rPr>
          <w:rFonts w:cs="Times New Roman"/>
          <w:kern w:val="0"/>
        </w:rPr>
        <w:t xml:space="preserve"> </w:t>
      </w:r>
      <w:r w:rsidRPr="00E87E7F">
        <w:rPr>
          <w:rFonts w:cs="Times New Roman"/>
          <w:kern w:val="0"/>
        </w:rPr>
        <w:t>energy</w:t>
      </w:r>
      <w:r>
        <w:rPr>
          <w:rFonts w:cs="Times New Roman"/>
          <w:kern w:val="0"/>
        </w:rPr>
        <w:t xml:space="preserve"> [J]. </w:t>
      </w:r>
      <w:r w:rsidRPr="00E87E7F">
        <w:rPr>
          <w:rFonts w:cs="Times New Roman"/>
          <w:kern w:val="0"/>
        </w:rPr>
        <w:t>Automation of Electric Power Systems, 2021, 45(9): 171-191.</w:t>
      </w:r>
      <w:r>
        <w:rPr>
          <w:rFonts w:cs="Times New Roman"/>
          <w:kern w:val="0"/>
        </w:rPr>
        <w:t xml:space="preserve"> (in Chinese)</w:t>
      </w:r>
    </w:p>
    <w:p w14:paraId="087264E0" w14:textId="71E30219" w:rsidR="00E17813" w:rsidRPr="00E17813" w:rsidRDefault="00E17813" w:rsidP="00143B30">
      <w:pPr>
        <w:pStyle w:val="aff"/>
        <w:ind w:left="425" w:hangingChars="236" w:hanging="425"/>
        <w:contextualSpacing/>
        <w:mirrorIndents/>
        <w:rPr>
          <w:rFonts w:cs="Times New Roman"/>
          <w:kern w:val="0"/>
        </w:rPr>
      </w:pPr>
      <w:r w:rsidRPr="00E17813">
        <w:rPr>
          <w:rFonts w:cs="Times New Roman"/>
          <w:kern w:val="0"/>
        </w:rPr>
        <w:t>[92]</w:t>
      </w:r>
      <w:r w:rsidRPr="00E17813">
        <w:rPr>
          <w:rFonts w:cs="Times New Roman"/>
          <w:kern w:val="0"/>
        </w:rPr>
        <w:tab/>
        <w:t xml:space="preserve">CUPPEN E, BOSCH-REKVELDT M G C, PIKAAR E, </w:t>
      </w:r>
      <w:r w:rsidR="00143B30">
        <w:rPr>
          <w:rFonts w:cs="Times New Roman"/>
          <w:kern w:val="0"/>
        </w:rPr>
        <w:t>et al</w:t>
      </w:r>
      <w:r w:rsidRPr="00E17813">
        <w:rPr>
          <w:rFonts w:cs="Times New Roman"/>
          <w:kern w:val="0"/>
        </w:rPr>
        <w:t xml:space="preserve">. Stakeholder engagement in large-scale energy infrastructure projects: Revealing perspectives using Q methodology[J]. International Journal of Project Management, 2016, 34(7): 1347-1359. </w:t>
      </w:r>
    </w:p>
    <w:p w14:paraId="27948D3D" w14:textId="69C2832C" w:rsidR="00E17813" w:rsidRPr="00E17813" w:rsidRDefault="00E17813" w:rsidP="00143B30">
      <w:pPr>
        <w:pStyle w:val="aff"/>
        <w:ind w:left="425" w:hangingChars="236" w:hanging="425"/>
        <w:contextualSpacing/>
        <w:mirrorIndents/>
        <w:rPr>
          <w:rFonts w:cs="Times New Roman"/>
          <w:kern w:val="0"/>
        </w:rPr>
      </w:pPr>
      <w:r w:rsidRPr="002F4CE6">
        <w:rPr>
          <w:rFonts w:cs="Times New Roman"/>
          <w:kern w:val="0"/>
        </w:rPr>
        <w:t>[93]</w:t>
      </w:r>
      <w:r w:rsidRPr="002F4CE6">
        <w:rPr>
          <w:rFonts w:cs="Times New Roman"/>
          <w:kern w:val="0"/>
        </w:rPr>
        <w:tab/>
        <w:t>GREEN J, MCMILLAN A. Operations management processes in the continuous production of renewable energy: The basic social process of proficient amalgamating[C]//Advances in Manufacturing Processes, Intelligent Methods and Systems in Production Engineering. Switzerland: Springer, Cham, 2022: 714-728.</w:t>
      </w:r>
      <w:r w:rsidRPr="00E17813">
        <w:rPr>
          <w:rFonts w:cs="Times New Roman"/>
          <w:kern w:val="0"/>
        </w:rPr>
        <w:t xml:space="preserve"> </w:t>
      </w:r>
    </w:p>
    <w:p w14:paraId="08FB28EB" w14:textId="7E09A058" w:rsidR="00E17813" w:rsidRPr="00E17813" w:rsidRDefault="00E17813" w:rsidP="00143B30">
      <w:pPr>
        <w:pStyle w:val="aff"/>
        <w:ind w:left="425" w:hangingChars="236" w:hanging="425"/>
        <w:contextualSpacing/>
        <w:mirrorIndents/>
        <w:rPr>
          <w:rFonts w:cs="Times New Roman"/>
          <w:kern w:val="0"/>
        </w:rPr>
      </w:pPr>
      <w:r w:rsidRPr="00E17813">
        <w:rPr>
          <w:rFonts w:cs="Times New Roman"/>
          <w:kern w:val="0"/>
        </w:rPr>
        <w:t>[94]</w:t>
      </w:r>
      <w:r w:rsidRPr="00E17813">
        <w:rPr>
          <w:rFonts w:cs="Times New Roman"/>
          <w:kern w:val="0"/>
        </w:rPr>
        <w:tab/>
        <w:t xml:space="preserve">ŻYWIOŁEK J, ROSAK-SZYROCKA J, KHAN M A, </w:t>
      </w:r>
      <w:r w:rsidR="00143B30">
        <w:rPr>
          <w:rFonts w:cs="Times New Roman"/>
          <w:kern w:val="0"/>
        </w:rPr>
        <w:t>et al</w:t>
      </w:r>
      <w:r w:rsidRPr="00E17813">
        <w:rPr>
          <w:rFonts w:cs="Times New Roman"/>
          <w:kern w:val="0"/>
        </w:rPr>
        <w:t xml:space="preserve">. Trust in renewable energy as part of energy-saving knowledge[J]. Energies, 2022, 15(4): 1566. </w:t>
      </w:r>
    </w:p>
    <w:p w14:paraId="265D64FD" w14:textId="3782BBB5" w:rsidR="00E17813" w:rsidRDefault="00E17813" w:rsidP="00143B30">
      <w:pPr>
        <w:pStyle w:val="aff"/>
        <w:ind w:left="425" w:hangingChars="236" w:hanging="425"/>
        <w:contextualSpacing/>
        <w:mirrorIndents/>
        <w:rPr>
          <w:rFonts w:cs="Times New Roman"/>
          <w:kern w:val="0"/>
        </w:rPr>
      </w:pPr>
      <w:r w:rsidRPr="00E17813">
        <w:rPr>
          <w:rFonts w:cs="Times New Roman"/>
          <w:kern w:val="0"/>
        </w:rPr>
        <w:t>[95]</w:t>
      </w:r>
      <w:r w:rsidRPr="00E17813">
        <w:rPr>
          <w:rFonts w:cs="Times New Roman"/>
          <w:kern w:val="0"/>
        </w:rPr>
        <w:tab/>
      </w:r>
      <w:r w:rsidRPr="00E17813">
        <w:rPr>
          <w:rFonts w:cs="Times New Roman"/>
          <w:kern w:val="0"/>
        </w:rPr>
        <w:t>程浩忠</w:t>
      </w:r>
      <w:r w:rsidRPr="00E17813">
        <w:rPr>
          <w:rFonts w:cs="Times New Roman"/>
          <w:kern w:val="0"/>
        </w:rPr>
        <w:t xml:space="preserve">, </w:t>
      </w:r>
      <w:r w:rsidRPr="00E17813">
        <w:rPr>
          <w:rFonts w:cs="Times New Roman"/>
          <w:kern w:val="0"/>
        </w:rPr>
        <w:t>李隽</w:t>
      </w:r>
      <w:r w:rsidRPr="00E17813">
        <w:rPr>
          <w:rFonts w:cs="Times New Roman"/>
          <w:kern w:val="0"/>
        </w:rPr>
        <w:t xml:space="preserve">, </w:t>
      </w:r>
      <w:r w:rsidRPr="00E17813">
        <w:rPr>
          <w:rFonts w:cs="Times New Roman"/>
          <w:kern w:val="0"/>
        </w:rPr>
        <w:t>吴耀武</w:t>
      </w:r>
      <w:r w:rsidRPr="00E17813">
        <w:rPr>
          <w:rFonts w:cs="Times New Roman"/>
          <w:kern w:val="0"/>
        </w:rPr>
        <w:t xml:space="preserve">, </w:t>
      </w:r>
      <w:r w:rsidRPr="00E17813">
        <w:rPr>
          <w:rFonts w:cs="Times New Roman"/>
          <w:kern w:val="0"/>
        </w:rPr>
        <w:t>等</w:t>
      </w:r>
      <w:r w:rsidRPr="00E17813">
        <w:rPr>
          <w:rFonts w:cs="Times New Roman"/>
          <w:kern w:val="0"/>
        </w:rPr>
        <w:t xml:space="preserve">. </w:t>
      </w:r>
      <w:r w:rsidRPr="00E17813">
        <w:rPr>
          <w:rFonts w:cs="Times New Roman"/>
          <w:kern w:val="0"/>
        </w:rPr>
        <w:t>考虑高比例可再生能源的交直流输电网规划挑战与展望</w:t>
      </w:r>
      <w:r w:rsidRPr="00E17813">
        <w:rPr>
          <w:rFonts w:cs="Times New Roman"/>
          <w:kern w:val="0"/>
        </w:rPr>
        <w:t xml:space="preserve">[J]. </w:t>
      </w:r>
      <w:r w:rsidRPr="00E17813">
        <w:rPr>
          <w:rFonts w:cs="Times New Roman"/>
          <w:kern w:val="0"/>
        </w:rPr>
        <w:t>电力系统自动化</w:t>
      </w:r>
      <w:r w:rsidRPr="00E17813">
        <w:rPr>
          <w:rFonts w:cs="Times New Roman"/>
          <w:kern w:val="0"/>
        </w:rPr>
        <w:t>, 2017, 41(9): 19-27.</w:t>
      </w:r>
    </w:p>
    <w:p w14:paraId="2D67CD3F" w14:textId="1B4DB805" w:rsidR="00E87E7F" w:rsidRPr="00E87E7F" w:rsidRDefault="00E87E7F" w:rsidP="00E87E7F">
      <w:pPr>
        <w:pStyle w:val="aff"/>
        <w:ind w:leftChars="202" w:left="424" w:firstLineChars="0" w:firstLine="1"/>
        <w:contextualSpacing/>
        <w:mirrorIndents/>
        <w:rPr>
          <w:rFonts w:cs="Times New Roman"/>
          <w:kern w:val="0"/>
        </w:rPr>
      </w:pPr>
      <w:r w:rsidRPr="00E87E7F">
        <w:rPr>
          <w:rFonts w:cs="Times New Roman" w:hint="eastAsia"/>
          <w:kern w:val="0"/>
        </w:rPr>
        <w:t>C</w:t>
      </w:r>
      <w:r w:rsidRPr="00E87E7F">
        <w:rPr>
          <w:rFonts w:cs="Times New Roman"/>
          <w:kern w:val="0"/>
        </w:rPr>
        <w:t>HENG H Z, LI J, WU Y W, et al.</w:t>
      </w:r>
      <w:r w:rsidRPr="00E87E7F">
        <w:t xml:space="preserve"> </w:t>
      </w:r>
      <w:r w:rsidRPr="00E87E7F">
        <w:rPr>
          <w:rFonts w:cs="Times New Roman"/>
          <w:kern w:val="0"/>
        </w:rPr>
        <w:t>Challenges and prospects for</w:t>
      </w:r>
      <w:r>
        <w:rPr>
          <w:rFonts w:cs="Times New Roman"/>
          <w:kern w:val="0"/>
        </w:rPr>
        <w:t xml:space="preserve"> </w:t>
      </w:r>
      <w:r w:rsidR="009E42B6">
        <w:rPr>
          <w:rFonts w:cs="Times New Roman"/>
          <w:kern w:val="0"/>
        </w:rPr>
        <w:t>AC</w:t>
      </w:r>
      <w:r w:rsidRPr="00E87E7F">
        <w:rPr>
          <w:rFonts w:cs="Times New Roman"/>
          <w:kern w:val="0"/>
        </w:rPr>
        <w:t>/</w:t>
      </w:r>
      <w:r w:rsidR="009E42B6">
        <w:rPr>
          <w:rFonts w:cs="Times New Roman" w:hint="eastAsia"/>
          <w:kern w:val="0"/>
        </w:rPr>
        <w:t>DC</w:t>
      </w:r>
      <w:r w:rsidRPr="00E87E7F">
        <w:rPr>
          <w:rFonts w:cs="Times New Roman"/>
          <w:kern w:val="0"/>
        </w:rPr>
        <w:t xml:space="preserve"> transmission expansion</w:t>
      </w:r>
      <w:r>
        <w:rPr>
          <w:rFonts w:cs="Times New Roman"/>
          <w:kern w:val="0"/>
        </w:rPr>
        <w:t xml:space="preserve"> </w:t>
      </w:r>
      <w:r w:rsidRPr="00E87E7F">
        <w:rPr>
          <w:rFonts w:cs="Times New Roman"/>
          <w:kern w:val="0"/>
        </w:rPr>
        <w:t>planning considering high</w:t>
      </w:r>
      <w:r>
        <w:rPr>
          <w:rFonts w:cs="Times New Roman"/>
          <w:kern w:val="0"/>
        </w:rPr>
        <w:t xml:space="preserve"> </w:t>
      </w:r>
      <w:r w:rsidRPr="00E87E7F">
        <w:rPr>
          <w:rFonts w:cs="Times New Roman"/>
          <w:kern w:val="0"/>
        </w:rPr>
        <w:t xml:space="preserve">proportion of renewable energy </w:t>
      </w:r>
      <w:r w:rsidRPr="00E17813">
        <w:rPr>
          <w:rFonts w:cs="Times New Roman"/>
          <w:kern w:val="0"/>
        </w:rPr>
        <w:t>[J].</w:t>
      </w:r>
      <w:r w:rsidRPr="00E87E7F">
        <w:rPr>
          <w:rFonts w:cs="Times New Roman"/>
          <w:kern w:val="0"/>
        </w:rPr>
        <w:t xml:space="preserve"> Automation of Electric Power Systems, 2017, 41(9): 19-27.</w:t>
      </w:r>
      <w:r>
        <w:rPr>
          <w:rFonts w:cs="Times New Roman"/>
          <w:kern w:val="0"/>
        </w:rPr>
        <w:t xml:space="preserve"> (in Chinese)</w:t>
      </w:r>
    </w:p>
    <w:p w14:paraId="67F7F86D" w14:textId="3C468591" w:rsidR="00E17813" w:rsidRDefault="00E17813" w:rsidP="00143B30">
      <w:pPr>
        <w:pStyle w:val="aff"/>
        <w:ind w:left="425" w:hangingChars="236" w:hanging="425"/>
        <w:contextualSpacing/>
        <w:mirrorIndents/>
        <w:rPr>
          <w:rFonts w:cs="Times New Roman"/>
          <w:kern w:val="0"/>
        </w:rPr>
      </w:pPr>
      <w:r w:rsidRPr="00E17813">
        <w:rPr>
          <w:rFonts w:cs="Times New Roman"/>
          <w:kern w:val="0"/>
        </w:rPr>
        <w:t>[96]</w:t>
      </w:r>
      <w:r w:rsidRPr="00E17813">
        <w:rPr>
          <w:rFonts w:cs="Times New Roman"/>
          <w:kern w:val="0"/>
        </w:rPr>
        <w:tab/>
      </w:r>
      <w:r w:rsidRPr="00E17813">
        <w:rPr>
          <w:rFonts w:cs="Times New Roman"/>
          <w:kern w:val="0"/>
        </w:rPr>
        <w:t>王俊豪</w:t>
      </w:r>
      <w:r w:rsidRPr="00E17813">
        <w:rPr>
          <w:rFonts w:cs="Times New Roman"/>
          <w:kern w:val="0"/>
        </w:rPr>
        <w:t xml:space="preserve">, </w:t>
      </w:r>
      <w:r w:rsidRPr="00E17813">
        <w:rPr>
          <w:rFonts w:cs="Times New Roman"/>
          <w:kern w:val="0"/>
        </w:rPr>
        <w:t>金暄暄</w:t>
      </w:r>
      <w:r w:rsidRPr="00E17813">
        <w:rPr>
          <w:rFonts w:cs="Times New Roman"/>
          <w:kern w:val="0"/>
        </w:rPr>
        <w:t xml:space="preserve">, </w:t>
      </w:r>
      <w:r w:rsidRPr="00E17813">
        <w:rPr>
          <w:rFonts w:cs="Times New Roman"/>
          <w:kern w:val="0"/>
        </w:rPr>
        <w:t>刘相锋</w:t>
      </w:r>
      <w:r w:rsidRPr="00E17813">
        <w:rPr>
          <w:rFonts w:cs="Times New Roman"/>
          <w:kern w:val="0"/>
        </w:rPr>
        <w:t xml:space="preserve">. </w:t>
      </w:r>
      <w:r w:rsidRPr="00E17813">
        <w:rPr>
          <w:rFonts w:cs="Times New Roman"/>
          <w:kern w:val="0"/>
        </w:rPr>
        <w:t>电网企业纵向一体化、成本效率与主辅分离改革</w:t>
      </w:r>
      <w:r w:rsidRPr="00E17813">
        <w:rPr>
          <w:rFonts w:cs="Times New Roman"/>
          <w:kern w:val="0"/>
        </w:rPr>
        <w:t xml:space="preserve">[J]. </w:t>
      </w:r>
      <w:r w:rsidRPr="00E17813">
        <w:rPr>
          <w:rFonts w:cs="Times New Roman"/>
          <w:kern w:val="0"/>
        </w:rPr>
        <w:t>中国工业经济</w:t>
      </w:r>
      <w:r w:rsidRPr="00E17813">
        <w:rPr>
          <w:rFonts w:cs="Times New Roman"/>
          <w:kern w:val="0"/>
        </w:rPr>
        <w:t>, 2021(3): 42-60.</w:t>
      </w:r>
    </w:p>
    <w:p w14:paraId="7D46D48F" w14:textId="3B97DC3F" w:rsidR="00601356" w:rsidRPr="00601356" w:rsidRDefault="00E87E7F" w:rsidP="00601356">
      <w:pPr>
        <w:pStyle w:val="aff"/>
        <w:ind w:leftChars="202" w:left="424" w:firstLineChars="0" w:firstLine="1"/>
        <w:contextualSpacing/>
        <w:mirrorIndents/>
        <w:rPr>
          <w:rFonts w:cs="Times New Roman"/>
          <w:kern w:val="0"/>
        </w:rPr>
      </w:pPr>
      <w:r w:rsidRPr="00E87E7F">
        <w:rPr>
          <w:rFonts w:cs="Times New Roman" w:hint="eastAsia"/>
          <w:kern w:val="0"/>
        </w:rPr>
        <w:t>W</w:t>
      </w:r>
      <w:r w:rsidRPr="00E87E7F">
        <w:rPr>
          <w:rFonts w:cs="Times New Roman"/>
          <w:kern w:val="0"/>
        </w:rPr>
        <w:t xml:space="preserve">ANG J H, JIN X X, LIU X F. </w:t>
      </w:r>
      <w:r w:rsidR="00601356" w:rsidRPr="00601356">
        <w:rPr>
          <w:rFonts w:cs="Times New Roman"/>
          <w:kern w:val="0"/>
        </w:rPr>
        <w:t>Vertical integration, cost-</w:t>
      </w:r>
    </w:p>
    <w:p w14:paraId="358903DA" w14:textId="637BCC67" w:rsidR="00E87E7F" w:rsidRPr="00E87E7F" w:rsidRDefault="00601356" w:rsidP="00601356">
      <w:pPr>
        <w:pStyle w:val="aff"/>
        <w:ind w:leftChars="202" w:left="424" w:firstLineChars="0" w:firstLine="1"/>
        <w:contextualSpacing/>
        <w:mirrorIndents/>
        <w:rPr>
          <w:rFonts w:cs="Times New Roman"/>
          <w:kern w:val="0"/>
        </w:rPr>
      </w:pPr>
      <w:r w:rsidRPr="00601356">
        <w:rPr>
          <w:rFonts w:cs="Times New Roman"/>
          <w:kern w:val="0"/>
        </w:rPr>
        <w:t>efficiency and main-auxiliary</w:t>
      </w:r>
      <w:r>
        <w:rPr>
          <w:rFonts w:cs="Times New Roman"/>
          <w:kern w:val="0"/>
        </w:rPr>
        <w:t xml:space="preserve"> </w:t>
      </w:r>
      <w:r w:rsidRPr="00601356">
        <w:rPr>
          <w:rFonts w:cs="Times New Roman"/>
          <w:kern w:val="0"/>
        </w:rPr>
        <w:t>business separation reform of</w:t>
      </w:r>
      <w:r>
        <w:rPr>
          <w:rFonts w:cs="Times New Roman"/>
          <w:kern w:val="0"/>
        </w:rPr>
        <w:t xml:space="preserve"> </w:t>
      </w:r>
      <w:r w:rsidRPr="00601356">
        <w:rPr>
          <w:rFonts w:cs="Times New Roman"/>
          <w:kern w:val="0"/>
        </w:rPr>
        <w:t>power grid corporation</w:t>
      </w:r>
      <w:r w:rsidR="00E87E7F" w:rsidRPr="00E87E7F">
        <w:rPr>
          <w:rFonts w:cs="Times New Roman"/>
          <w:kern w:val="0"/>
        </w:rPr>
        <w:t xml:space="preserve"> </w:t>
      </w:r>
      <w:r w:rsidR="00E87E7F" w:rsidRPr="00E17813">
        <w:rPr>
          <w:rFonts w:cs="Times New Roman"/>
          <w:kern w:val="0"/>
        </w:rPr>
        <w:t xml:space="preserve">[J]. </w:t>
      </w:r>
      <w:r w:rsidRPr="00601356">
        <w:rPr>
          <w:rFonts w:cs="Times New Roman"/>
          <w:kern w:val="0"/>
        </w:rPr>
        <w:t>China Industrial Economics</w:t>
      </w:r>
      <w:r w:rsidR="00E87E7F" w:rsidRPr="00E17813">
        <w:rPr>
          <w:rFonts w:cs="Times New Roman"/>
          <w:kern w:val="0"/>
        </w:rPr>
        <w:t>, 2021(3): 42-60.</w:t>
      </w:r>
      <w:r w:rsidR="00E87E7F" w:rsidRPr="00E87E7F">
        <w:rPr>
          <w:rFonts w:cs="Times New Roman"/>
          <w:kern w:val="0"/>
        </w:rPr>
        <w:t xml:space="preserve"> </w:t>
      </w:r>
      <w:r w:rsidR="00E87E7F">
        <w:rPr>
          <w:rFonts w:cs="Times New Roman"/>
          <w:kern w:val="0"/>
        </w:rPr>
        <w:t>(in Chinese)</w:t>
      </w:r>
    </w:p>
    <w:p w14:paraId="2F02687B" w14:textId="52594A8D" w:rsidR="00E17813" w:rsidRPr="00E17813" w:rsidRDefault="00E17813" w:rsidP="00143B30">
      <w:pPr>
        <w:pStyle w:val="aff"/>
        <w:ind w:left="425" w:hangingChars="236" w:hanging="425"/>
        <w:contextualSpacing/>
        <w:mirrorIndents/>
        <w:rPr>
          <w:rFonts w:cs="Times New Roman"/>
          <w:kern w:val="0"/>
        </w:rPr>
      </w:pPr>
      <w:r w:rsidRPr="00E17813">
        <w:rPr>
          <w:rFonts w:cs="Times New Roman"/>
          <w:kern w:val="0"/>
        </w:rPr>
        <w:t>[97]</w:t>
      </w:r>
      <w:r w:rsidRPr="00E17813">
        <w:rPr>
          <w:rFonts w:cs="Times New Roman"/>
          <w:kern w:val="0"/>
        </w:rPr>
        <w:tab/>
        <w:t xml:space="preserve">GUNDUZ M, ALY A A, EL MEKKAWY T. Value engineering factors with an impact on design management performance of construction projects[J]. Journal of Management in Engineering, 2022, 38(3): 04022012. </w:t>
      </w:r>
    </w:p>
    <w:p w14:paraId="0A6F0C55" w14:textId="468DE35B" w:rsidR="00E17813" w:rsidRPr="00E17813" w:rsidRDefault="00E17813" w:rsidP="00143B30">
      <w:pPr>
        <w:pStyle w:val="aff"/>
        <w:ind w:left="425" w:hangingChars="236" w:hanging="425"/>
        <w:contextualSpacing/>
        <w:mirrorIndents/>
        <w:rPr>
          <w:rFonts w:cs="Times New Roman"/>
          <w:kern w:val="0"/>
        </w:rPr>
      </w:pPr>
      <w:r w:rsidRPr="00E17813">
        <w:rPr>
          <w:rFonts w:cs="Times New Roman"/>
          <w:kern w:val="0"/>
        </w:rPr>
        <w:t>[98]</w:t>
      </w:r>
      <w:r w:rsidRPr="00E17813">
        <w:rPr>
          <w:rFonts w:cs="Times New Roman"/>
          <w:kern w:val="0"/>
        </w:rPr>
        <w:tab/>
        <w:t xml:space="preserve">ABUDAYYEH O, FREDERICKS T K, BUTT S E, </w:t>
      </w:r>
      <w:r w:rsidR="00143B30">
        <w:rPr>
          <w:rFonts w:cs="Times New Roman"/>
          <w:kern w:val="0"/>
        </w:rPr>
        <w:t>et al</w:t>
      </w:r>
      <w:r w:rsidRPr="00E17813">
        <w:rPr>
          <w:rFonts w:cs="Times New Roman"/>
          <w:kern w:val="0"/>
        </w:rPr>
        <w:t xml:space="preserve">. An investigation of management’s commitment to construction safety[J]. International Journal of Project Management, 2006, 24(2): 167-174. </w:t>
      </w:r>
    </w:p>
    <w:p w14:paraId="6138BD98" w14:textId="4C57F59F" w:rsidR="00E17813" w:rsidRPr="00E17813" w:rsidRDefault="00E17813" w:rsidP="00143B30">
      <w:pPr>
        <w:pStyle w:val="aff"/>
        <w:ind w:left="425" w:hangingChars="236" w:hanging="425"/>
        <w:contextualSpacing/>
        <w:mirrorIndents/>
        <w:rPr>
          <w:rFonts w:cs="Times New Roman"/>
          <w:kern w:val="0"/>
        </w:rPr>
      </w:pPr>
      <w:r w:rsidRPr="00E17813">
        <w:rPr>
          <w:rFonts w:cs="Times New Roman"/>
          <w:kern w:val="0"/>
        </w:rPr>
        <w:t>[99]</w:t>
      </w:r>
      <w:r w:rsidRPr="00E17813">
        <w:rPr>
          <w:rFonts w:cs="Times New Roman"/>
          <w:kern w:val="0"/>
        </w:rPr>
        <w:tab/>
        <w:t xml:space="preserve">YUNNA W, QING B, PING L. The ISM analysis on influence factors of cost control in the wind power construction project[J]. Physics Procedia, 2012, 24: 587-590. </w:t>
      </w:r>
    </w:p>
    <w:p w14:paraId="58CE4A35" w14:textId="77777777" w:rsidR="00E17813" w:rsidRPr="00E17813" w:rsidRDefault="00E17813" w:rsidP="00143B30">
      <w:pPr>
        <w:pStyle w:val="aff"/>
        <w:ind w:left="425" w:hangingChars="236" w:hanging="425"/>
        <w:contextualSpacing/>
        <w:mirrorIndents/>
        <w:rPr>
          <w:rFonts w:cs="Times New Roman"/>
          <w:kern w:val="0"/>
        </w:rPr>
      </w:pPr>
      <w:r w:rsidRPr="00E17813">
        <w:rPr>
          <w:rFonts w:cs="Times New Roman"/>
          <w:kern w:val="0"/>
        </w:rPr>
        <w:t>[100]</w:t>
      </w:r>
      <w:r w:rsidRPr="00E17813">
        <w:rPr>
          <w:rFonts w:cs="Times New Roman"/>
          <w:kern w:val="0"/>
        </w:rPr>
        <w:tab/>
        <w:t>SHEIKH N J, KOCAOGLU D F, LUTZENHISER L. Social and political impacts of renewable energy: Literature review[J]. Technological Forecasting &amp; Social Change, 2016, 108(2016): 102-110.</w:t>
      </w:r>
    </w:p>
    <w:p w14:paraId="7D01B2DC" w14:textId="14E15DF3" w:rsidR="00E17813" w:rsidRPr="00E17813" w:rsidRDefault="00E17813" w:rsidP="00143B30">
      <w:pPr>
        <w:pStyle w:val="aff"/>
        <w:ind w:left="425" w:hangingChars="236" w:hanging="425"/>
        <w:contextualSpacing/>
        <w:mirrorIndents/>
        <w:rPr>
          <w:rFonts w:cs="Times New Roman"/>
          <w:kern w:val="0"/>
        </w:rPr>
      </w:pPr>
      <w:r w:rsidRPr="00E17813">
        <w:rPr>
          <w:rFonts w:cs="Times New Roman"/>
          <w:kern w:val="0"/>
        </w:rPr>
        <w:t>[101]</w:t>
      </w:r>
      <w:r w:rsidRPr="00E17813">
        <w:rPr>
          <w:rFonts w:cs="Times New Roman"/>
          <w:kern w:val="0"/>
        </w:rPr>
        <w:tab/>
        <w:t>DINCER I. Renewable energy and sustainable development: A crucial review[J]. Renewable and Sustainable Energy Reviews, 2000, 4(2): 157-175.</w:t>
      </w:r>
    </w:p>
    <w:p w14:paraId="4537996F" w14:textId="24DDE3C2" w:rsidR="00E17813" w:rsidRPr="00E17813" w:rsidRDefault="00E17813" w:rsidP="00143B30">
      <w:pPr>
        <w:pStyle w:val="aff"/>
        <w:ind w:left="425" w:hangingChars="236" w:hanging="425"/>
        <w:contextualSpacing/>
        <w:mirrorIndents/>
        <w:rPr>
          <w:rFonts w:cs="Times New Roman"/>
          <w:kern w:val="0"/>
        </w:rPr>
      </w:pPr>
      <w:r w:rsidRPr="00E17813">
        <w:rPr>
          <w:rFonts w:cs="Times New Roman"/>
          <w:kern w:val="0"/>
        </w:rPr>
        <w:t>[102]</w:t>
      </w:r>
      <w:r w:rsidRPr="00E17813">
        <w:rPr>
          <w:rFonts w:cs="Times New Roman"/>
          <w:kern w:val="0"/>
        </w:rPr>
        <w:tab/>
        <w:t xml:space="preserve">SOLAUN K, CERDÁ E. Climate change impacts on renewable energy generation: A review of quantitative projections[J]. Renewable and Sustainable Energy Reviews, 2019, 116: 109415. </w:t>
      </w:r>
    </w:p>
    <w:p w14:paraId="01060661" w14:textId="4F69ABC8" w:rsidR="00E17813" w:rsidRPr="00E17813" w:rsidRDefault="00E17813" w:rsidP="00143B30">
      <w:pPr>
        <w:pStyle w:val="aff"/>
        <w:ind w:left="425" w:hangingChars="236" w:hanging="425"/>
        <w:contextualSpacing/>
        <w:mirrorIndents/>
        <w:rPr>
          <w:rFonts w:cs="Times New Roman"/>
          <w:kern w:val="0"/>
        </w:rPr>
      </w:pPr>
      <w:r w:rsidRPr="00E17813">
        <w:rPr>
          <w:rFonts w:cs="Times New Roman"/>
          <w:kern w:val="0"/>
        </w:rPr>
        <w:t>[103]</w:t>
      </w:r>
      <w:r w:rsidRPr="00E17813">
        <w:rPr>
          <w:rFonts w:cs="Times New Roman"/>
          <w:kern w:val="0"/>
        </w:rPr>
        <w:tab/>
        <w:t xml:space="preserve">FELIX C, FRANCONERI S, BERTINI E. Taking word </w:t>
      </w:r>
      <w:r w:rsidRPr="00E17813">
        <w:rPr>
          <w:rFonts w:cs="Times New Roman"/>
          <w:kern w:val="0"/>
        </w:rPr>
        <w:lastRenderedPageBreak/>
        <w:t>clouds apart: An empirical investigation of the design space for keyword summaries[J]. IEEE Transactions on Visualization and Computer Graphics, 2018, 24(1): 657-666.</w:t>
      </w:r>
    </w:p>
    <w:p w14:paraId="5F2F5C8D" w14:textId="23EFFD56" w:rsidR="00E17813" w:rsidRPr="00E17813" w:rsidRDefault="00E17813" w:rsidP="00143B30">
      <w:pPr>
        <w:pStyle w:val="aff"/>
        <w:ind w:left="425" w:hangingChars="236" w:hanging="425"/>
        <w:contextualSpacing/>
        <w:mirrorIndents/>
        <w:rPr>
          <w:rFonts w:cs="Times New Roman"/>
          <w:kern w:val="0"/>
        </w:rPr>
      </w:pPr>
      <w:r w:rsidRPr="00E17813">
        <w:rPr>
          <w:rFonts w:cs="Times New Roman"/>
          <w:kern w:val="0"/>
        </w:rPr>
        <w:t>[104]</w:t>
      </w:r>
      <w:r w:rsidRPr="00E17813">
        <w:rPr>
          <w:rFonts w:cs="Times New Roman"/>
          <w:kern w:val="0"/>
        </w:rPr>
        <w:tab/>
        <w:t>BLEI D M, KUCUKELBIR A, MCAULIFFE J D. Variational inference: A review for statisticians[J]. Journal of the American Statistical Association, 2017, 112(518): 859-877.</w:t>
      </w:r>
    </w:p>
    <w:p w14:paraId="36FE7899" w14:textId="48D69260" w:rsidR="00E17813" w:rsidRPr="00E17813" w:rsidRDefault="00E17813" w:rsidP="00143B30">
      <w:pPr>
        <w:pStyle w:val="aff"/>
        <w:ind w:left="425" w:hangingChars="236" w:hanging="425"/>
        <w:contextualSpacing/>
        <w:mirrorIndents/>
        <w:rPr>
          <w:rFonts w:cs="Times New Roman"/>
          <w:kern w:val="0"/>
        </w:rPr>
      </w:pPr>
      <w:r w:rsidRPr="00E17813">
        <w:rPr>
          <w:rFonts w:cs="Times New Roman"/>
          <w:kern w:val="0"/>
        </w:rPr>
        <w:t>[105]</w:t>
      </w:r>
      <w:r w:rsidRPr="00E17813">
        <w:rPr>
          <w:rFonts w:cs="Times New Roman"/>
          <w:kern w:val="0"/>
        </w:rPr>
        <w:tab/>
        <w:t>VALDES-VASQUEZ R, KLOTZ L E. Social sustainability considerations during planning and design: Framework of processes for construction projects[J]. Journal of Construction Engineering and Management, 2013, 139(1): 80-89.</w:t>
      </w:r>
    </w:p>
    <w:p w14:paraId="5B654FAF" w14:textId="77777777" w:rsidR="00E17813" w:rsidRPr="00E17813" w:rsidRDefault="00E17813" w:rsidP="00143B30">
      <w:pPr>
        <w:pStyle w:val="aff"/>
        <w:ind w:left="425" w:hangingChars="236" w:hanging="425"/>
        <w:contextualSpacing/>
        <w:mirrorIndents/>
        <w:rPr>
          <w:rFonts w:cs="Times New Roman"/>
          <w:kern w:val="0"/>
        </w:rPr>
      </w:pPr>
      <w:r w:rsidRPr="00E17813">
        <w:rPr>
          <w:rFonts w:cs="Times New Roman"/>
          <w:kern w:val="0"/>
        </w:rPr>
        <w:t>[106]</w:t>
      </w:r>
      <w:r w:rsidRPr="00E17813">
        <w:rPr>
          <w:rFonts w:cs="Times New Roman"/>
          <w:kern w:val="0"/>
        </w:rPr>
        <w:tab/>
        <w:t>HOYLE R H. Structural equation modeling: Concepts, issues, and applications[M]. London: Sage Publications, 1995.</w:t>
      </w:r>
    </w:p>
    <w:p w14:paraId="58AEDF10" w14:textId="6ABA4750" w:rsidR="00E17813" w:rsidRPr="00E17813" w:rsidRDefault="00E17813" w:rsidP="00143B30">
      <w:pPr>
        <w:pStyle w:val="aff"/>
        <w:ind w:left="425" w:hangingChars="236" w:hanging="425"/>
        <w:contextualSpacing/>
        <w:mirrorIndents/>
        <w:rPr>
          <w:rFonts w:cs="Times New Roman"/>
          <w:kern w:val="0"/>
        </w:rPr>
      </w:pPr>
      <w:r w:rsidRPr="00E17813">
        <w:rPr>
          <w:rFonts w:cs="Times New Roman"/>
          <w:kern w:val="0"/>
        </w:rPr>
        <w:t>[107]</w:t>
      </w:r>
      <w:r w:rsidRPr="00E17813">
        <w:rPr>
          <w:rFonts w:cs="Times New Roman"/>
          <w:kern w:val="0"/>
        </w:rPr>
        <w:tab/>
        <w:t xml:space="preserve">HAIR J F, RISHER J J, SARSTEDT M, </w:t>
      </w:r>
      <w:r w:rsidR="00143B30">
        <w:rPr>
          <w:rFonts w:cs="Times New Roman"/>
          <w:kern w:val="0"/>
        </w:rPr>
        <w:t>et al</w:t>
      </w:r>
      <w:r w:rsidRPr="00E17813">
        <w:rPr>
          <w:rFonts w:cs="Times New Roman"/>
          <w:kern w:val="0"/>
        </w:rPr>
        <w:t xml:space="preserve">. When to use </w:t>
      </w:r>
      <w:r w:rsidRPr="00E17813">
        <w:rPr>
          <w:rFonts w:cs="Times New Roman"/>
          <w:kern w:val="0"/>
        </w:rPr>
        <w:t>and how to report the results of PLS-SEM[J]. European Business Review, 2019, 31(1): 2-24.</w:t>
      </w:r>
    </w:p>
    <w:p w14:paraId="47B057A2" w14:textId="074EAB1F" w:rsidR="00E17813" w:rsidRPr="00E17813" w:rsidRDefault="00E17813" w:rsidP="00143B30">
      <w:pPr>
        <w:pStyle w:val="aff"/>
        <w:ind w:left="425" w:hangingChars="236" w:hanging="425"/>
        <w:contextualSpacing/>
        <w:mirrorIndents/>
        <w:rPr>
          <w:rFonts w:cs="Times New Roman"/>
          <w:kern w:val="0"/>
        </w:rPr>
      </w:pPr>
      <w:r w:rsidRPr="00E17813">
        <w:rPr>
          <w:rFonts w:cs="Times New Roman"/>
          <w:kern w:val="0"/>
        </w:rPr>
        <w:t>[108]</w:t>
      </w:r>
      <w:r w:rsidRPr="00E17813">
        <w:rPr>
          <w:rFonts w:cs="Times New Roman"/>
          <w:kern w:val="0"/>
        </w:rPr>
        <w:tab/>
        <w:t xml:space="preserve">HAIR J F, SARSTEDT M, RINGLE C M, </w:t>
      </w:r>
      <w:r w:rsidR="00143B30">
        <w:rPr>
          <w:rFonts w:cs="Times New Roman"/>
          <w:kern w:val="0"/>
        </w:rPr>
        <w:t>et al</w:t>
      </w:r>
      <w:r w:rsidRPr="00E17813">
        <w:rPr>
          <w:rFonts w:cs="Times New Roman"/>
          <w:kern w:val="0"/>
        </w:rPr>
        <w:t xml:space="preserve">. An assessment of the use of partial least squares structural equation modeling in marketing research[J]. Journal of the Academy of Marketing Science, 2012, 40(3): 414-433. </w:t>
      </w:r>
    </w:p>
    <w:p w14:paraId="531EAE21" w14:textId="70077CAE" w:rsidR="00E17813" w:rsidRPr="00E17813" w:rsidRDefault="00E17813" w:rsidP="00143B30">
      <w:pPr>
        <w:pStyle w:val="aff"/>
        <w:ind w:left="425" w:hangingChars="236" w:hanging="425"/>
        <w:contextualSpacing/>
        <w:mirrorIndents/>
        <w:rPr>
          <w:rFonts w:cs="Times New Roman"/>
          <w:kern w:val="0"/>
        </w:rPr>
      </w:pPr>
      <w:r w:rsidRPr="00E17813">
        <w:rPr>
          <w:rFonts w:cs="Times New Roman"/>
          <w:kern w:val="0"/>
        </w:rPr>
        <w:t>[109]</w:t>
      </w:r>
      <w:r w:rsidRPr="00E17813">
        <w:rPr>
          <w:rFonts w:cs="Times New Roman"/>
          <w:kern w:val="0"/>
        </w:rPr>
        <w:tab/>
        <w:t xml:space="preserve">WINCH G, LEIRINGER R. Owner project capabilities for infrastructure development: A review and development of the “strong owner” concept[J]. International Journal of Project Management, 2016, 34(2): 271-281. </w:t>
      </w:r>
    </w:p>
    <w:p w14:paraId="5B0AFE61" w14:textId="3252271B" w:rsidR="00E17813" w:rsidRDefault="00E17813" w:rsidP="00143B30">
      <w:pPr>
        <w:pStyle w:val="aff"/>
        <w:ind w:left="425" w:hangingChars="236" w:hanging="425"/>
        <w:contextualSpacing/>
        <w:mirrorIndents/>
        <w:rPr>
          <w:rFonts w:cs="Times New Roman"/>
          <w:kern w:val="0"/>
        </w:rPr>
      </w:pPr>
      <w:r w:rsidRPr="00E17813">
        <w:rPr>
          <w:rFonts w:cs="Times New Roman"/>
          <w:kern w:val="0"/>
        </w:rPr>
        <w:t>[110]</w:t>
      </w:r>
      <w:r w:rsidRPr="00E17813">
        <w:rPr>
          <w:rFonts w:cs="Times New Roman"/>
          <w:kern w:val="0"/>
        </w:rPr>
        <w:tab/>
      </w:r>
      <w:r w:rsidRPr="00E17813">
        <w:rPr>
          <w:rFonts w:cs="Times New Roman"/>
          <w:kern w:val="0"/>
        </w:rPr>
        <w:t>孟祥鑫</w:t>
      </w:r>
      <w:r w:rsidRPr="00E17813">
        <w:rPr>
          <w:rFonts w:cs="Times New Roman"/>
          <w:kern w:val="0"/>
        </w:rPr>
        <w:t xml:space="preserve">. </w:t>
      </w:r>
      <w:r w:rsidRPr="00E17813">
        <w:rPr>
          <w:rFonts w:cs="Times New Roman"/>
          <w:kern w:val="0"/>
        </w:rPr>
        <w:t>多能互补视角下清洁能源电站一体化运营管理研究</w:t>
      </w:r>
      <w:r w:rsidRPr="00E17813">
        <w:rPr>
          <w:rFonts w:cs="Times New Roman"/>
          <w:kern w:val="0"/>
        </w:rPr>
        <w:t xml:space="preserve">[D]. </w:t>
      </w:r>
      <w:r w:rsidRPr="00E17813">
        <w:rPr>
          <w:rFonts w:cs="Times New Roman"/>
          <w:kern w:val="0"/>
        </w:rPr>
        <w:t>北京</w:t>
      </w:r>
      <w:r w:rsidRPr="00E17813">
        <w:rPr>
          <w:rFonts w:cs="Times New Roman"/>
          <w:kern w:val="0"/>
        </w:rPr>
        <w:t xml:space="preserve">: </w:t>
      </w:r>
      <w:r w:rsidRPr="00E17813">
        <w:rPr>
          <w:rFonts w:cs="Times New Roman"/>
          <w:kern w:val="0"/>
        </w:rPr>
        <w:t>清华大学</w:t>
      </w:r>
      <w:r w:rsidRPr="00E17813">
        <w:rPr>
          <w:rFonts w:cs="Times New Roman"/>
          <w:kern w:val="0"/>
        </w:rPr>
        <w:t>, 2024.</w:t>
      </w:r>
    </w:p>
    <w:p w14:paraId="541F8A25" w14:textId="0A298EB9" w:rsidR="00DA5C07" w:rsidRDefault="00601356" w:rsidP="00601356">
      <w:pPr>
        <w:pStyle w:val="aff"/>
        <w:ind w:leftChars="202" w:left="424" w:firstLineChars="0" w:firstLine="1"/>
        <w:contextualSpacing/>
        <w:mirrorIndents/>
        <w:sectPr w:rsidR="00DA5C07" w:rsidSect="00181A00">
          <w:type w:val="continuous"/>
          <w:pgSz w:w="11906" w:h="16838"/>
          <w:pgMar w:top="1440" w:right="1106" w:bottom="1440" w:left="1106" w:header="851" w:footer="992" w:gutter="0"/>
          <w:cols w:num="2" w:space="425"/>
          <w:titlePg/>
          <w:docGrid w:type="linesAndChars" w:linePitch="312"/>
        </w:sectPr>
      </w:pPr>
      <w:r w:rsidRPr="00601356">
        <w:rPr>
          <w:rFonts w:cs="Times New Roman"/>
          <w:kern w:val="0"/>
        </w:rPr>
        <w:t>MENG X X.</w:t>
      </w:r>
      <w:r>
        <w:t xml:space="preserve"> </w:t>
      </w:r>
      <w:r w:rsidRPr="00601356">
        <w:t>Research on integrated operation management of clean energy power stations from a multi-energy complementary perspective</w:t>
      </w:r>
      <w:r>
        <w:t xml:space="preserve"> [D]. B</w:t>
      </w:r>
      <w:r>
        <w:rPr>
          <w:rFonts w:hint="eastAsia"/>
        </w:rPr>
        <w:t>eijing</w:t>
      </w:r>
      <w:r>
        <w:t>: Tsinghua University, 2024. (in Chinese)</w:t>
      </w:r>
      <w:r w:rsidRPr="00601356">
        <w:rPr>
          <w:rFonts w:cs="Times New Roman"/>
          <w:kern w:val="0"/>
        </w:rPr>
        <w:t xml:space="preserve"> </w:t>
      </w:r>
      <w:r w:rsidR="002F3722">
        <w:fldChar w:fldCharType="end"/>
      </w:r>
      <w:r w:rsidRPr="00601356">
        <w:t xml:space="preserve"> </w:t>
      </w:r>
    </w:p>
    <w:p w14:paraId="456EE1B9" w14:textId="7FF5BFCB" w:rsidR="002D10AB" w:rsidRDefault="002D10AB">
      <w:pPr>
        <w:ind w:firstLineChars="0" w:firstLine="0"/>
        <w:jc w:val="left"/>
        <w:rPr>
          <w:rFonts w:eastAsia="黑体" w:cs="Times New Roman"/>
          <w:kern w:val="0"/>
          <w:sz w:val="36"/>
          <w:szCs w:val="36"/>
        </w:rPr>
      </w:pPr>
    </w:p>
    <w:p w14:paraId="6F61F734" w14:textId="71AE7A4B" w:rsidR="00844E93" w:rsidRPr="00F10E7E" w:rsidRDefault="00E17813" w:rsidP="00402B71">
      <w:pPr>
        <w:spacing w:line="240" w:lineRule="atLeast"/>
        <w:ind w:firstLineChars="0" w:firstLine="0"/>
        <w:jc w:val="center"/>
        <w:rPr>
          <w:rFonts w:eastAsia="黑体" w:cs="Times New Roman"/>
          <w:kern w:val="0"/>
          <w:sz w:val="36"/>
          <w:szCs w:val="36"/>
        </w:rPr>
      </w:pPr>
      <w:r w:rsidRPr="00E17813">
        <w:rPr>
          <w:rFonts w:eastAsia="黑体" w:cs="Times New Roman"/>
          <w:kern w:val="0"/>
          <w:sz w:val="36"/>
          <w:szCs w:val="36"/>
        </w:rPr>
        <w:t>Integration Management of Clean Energy Bases</w:t>
      </w:r>
    </w:p>
    <w:p w14:paraId="6D91AE18" w14:textId="42D699E5" w:rsidR="00844E93" w:rsidRPr="001222A3" w:rsidRDefault="00844E93" w:rsidP="001222A3">
      <w:pPr>
        <w:spacing w:line="240" w:lineRule="atLeast"/>
        <w:ind w:firstLineChars="0" w:firstLine="0"/>
        <w:rPr>
          <w:rFonts w:cs="Times New Roman"/>
          <w:kern w:val="0"/>
          <w:szCs w:val="21"/>
        </w:rPr>
      </w:pPr>
    </w:p>
    <w:p w14:paraId="4DECA210" w14:textId="40B7A2DE" w:rsidR="00844E93" w:rsidRDefault="00844E93" w:rsidP="00402B71">
      <w:pPr>
        <w:spacing w:line="240" w:lineRule="atLeast"/>
        <w:ind w:firstLineChars="0" w:firstLine="0"/>
      </w:pPr>
      <w:r w:rsidRPr="00C97253">
        <w:rPr>
          <w:rFonts w:cs="Times New Roman"/>
          <w:b/>
          <w:bCs/>
          <w:kern w:val="0"/>
          <w:szCs w:val="21"/>
        </w:rPr>
        <w:t>Abstract:</w:t>
      </w:r>
      <w:r w:rsidRPr="00743641">
        <w:rPr>
          <w:rFonts w:cs="Times New Roman"/>
          <w:kern w:val="0"/>
          <w:szCs w:val="21"/>
        </w:rPr>
        <w:t xml:space="preserve"> </w:t>
      </w:r>
      <w:r w:rsidR="00E17813" w:rsidRPr="00E17813">
        <w:rPr>
          <w:rFonts w:cs="Times New Roman"/>
          <w:kern w:val="0"/>
          <w:szCs w:val="21"/>
        </w:rPr>
        <w:t>Clean energy bases involve the joint development of multiple projects, characterized by long construction periods, numerous stakeholders, and high management complexity. Existing studies primarily focus on key factors influencing the management of individual clean energy projects, while lacking a systematic exploration of the underlying managerial mechanisms. Furthermore, empirical studies addressing the characteristics of clean energy bases remain insufficient.</w:t>
      </w:r>
      <w:r w:rsidR="00E17813">
        <w:rPr>
          <w:rFonts w:cs="Times New Roman" w:hint="eastAsia"/>
          <w:kern w:val="0"/>
          <w:szCs w:val="21"/>
        </w:rPr>
        <w:t xml:space="preserve"> Based on data collected </w:t>
      </w:r>
      <w:r w:rsidR="00E17813" w:rsidRPr="00A62C69">
        <w:rPr>
          <w:kern w:val="0"/>
        </w:rPr>
        <w:t>through questionnaires and semi-structured interviews</w:t>
      </w:r>
      <w:r w:rsidR="00E17813">
        <w:rPr>
          <w:rFonts w:hint="eastAsia"/>
          <w:kern w:val="0"/>
        </w:rPr>
        <w:t xml:space="preserve">, this study first determines </w:t>
      </w:r>
      <w:r w:rsidR="00E17813" w:rsidRPr="00E32E76">
        <w:rPr>
          <w:kern w:val="0"/>
        </w:rPr>
        <w:t>the primary demands of clean energy bases</w:t>
      </w:r>
      <w:r w:rsidR="00E17813" w:rsidRPr="003207E1">
        <w:rPr>
          <w:kern w:val="0"/>
        </w:rPr>
        <w:t xml:space="preserve"> </w:t>
      </w:r>
      <w:r w:rsidR="00E17813" w:rsidRPr="00E32E76">
        <w:rPr>
          <w:kern w:val="0"/>
        </w:rPr>
        <w:t>management</w:t>
      </w:r>
      <w:r w:rsidR="00E17813">
        <w:rPr>
          <w:rFonts w:hint="eastAsia"/>
          <w:kern w:val="0"/>
        </w:rPr>
        <w:t xml:space="preserve"> by using text analysis. T</w:t>
      </w:r>
      <w:r w:rsidR="00E17813" w:rsidRPr="00E32E76">
        <w:rPr>
          <w:kern w:val="0"/>
        </w:rPr>
        <w:t>his study</w:t>
      </w:r>
      <w:r w:rsidR="00E17813">
        <w:rPr>
          <w:rFonts w:hint="eastAsia"/>
          <w:kern w:val="0"/>
        </w:rPr>
        <w:t xml:space="preserve"> further</w:t>
      </w:r>
      <w:r w:rsidR="00E17813" w:rsidRPr="00E32E76">
        <w:rPr>
          <w:kern w:val="0"/>
        </w:rPr>
        <w:t xml:space="preserve"> </w:t>
      </w:r>
      <w:r w:rsidR="00E17813">
        <w:rPr>
          <w:rFonts w:hint="eastAsia"/>
          <w:kern w:val="0"/>
        </w:rPr>
        <w:t>builds</w:t>
      </w:r>
      <w:r w:rsidR="00E17813" w:rsidRPr="00E32E76">
        <w:rPr>
          <w:kern w:val="0"/>
        </w:rPr>
        <w:t xml:space="preserve"> and </w:t>
      </w:r>
      <w:r w:rsidR="00E17813" w:rsidRPr="00A62C69">
        <w:rPr>
          <w:kern w:val="0"/>
        </w:rPr>
        <w:t>examine</w:t>
      </w:r>
      <w:r w:rsidR="00E17813">
        <w:rPr>
          <w:rFonts w:hint="eastAsia"/>
          <w:kern w:val="0"/>
        </w:rPr>
        <w:t>s</w:t>
      </w:r>
      <w:r w:rsidR="00E17813" w:rsidRPr="00A62C69">
        <w:rPr>
          <w:kern w:val="0"/>
        </w:rPr>
        <w:t xml:space="preserve"> </w:t>
      </w:r>
      <w:r w:rsidR="00E17813" w:rsidRPr="00E32E76">
        <w:rPr>
          <w:kern w:val="0"/>
        </w:rPr>
        <w:t xml:space="preserve">a theoretical model for the integration management of clean energy bases, elucidating the interrelationships among </w:t>
      </w:r>
      <w:r w:rsidR="00E17813">
        <w:rPr>
          <w:rFonts w:hint="eastAsia"/>
          <w:kern w:val="0"/>
        </w:rPr>
        <w:t>the key factors</w:t>
      </w:r>
      <w:r w:rsidR="00E17813" w:rsidRPr="00E32E76">
        <w:rPr>
          <w:kern w:val="0"/>
        </w:rPr>
        <w:t xml:space="preserve"> </w:t>
      </w:r>
      <w:r w:rsidR="00E17813">
        <w:rPr>
          <w:rFonts w:hint="eastAsia"/>
          <w:kern w:val="0"/>
        </w:rPr>
        <w:t xml:space="preserve">in </w:t>
      </w:r>
      <w:r w:rsidR="00E17813" w:rsidRPr="00E32E76">
        <w:rPr>
          <w:kern w:val="0"/>
        </w:rPr>
        <w:t xml:space="preserve">program </w:t>
      </w:r>
      <w:r w:rsidR="00E17813">
        <w:rPr>
          <w:rFonts w:hint="eastAsia"/>
          <w:kern w:val="0"/>
        </w:rPr>
        <w:t xml:space="preserve">management </w:t>
      </w:r>
      <w:r w:rsidR="00E17813" w:rsidRPr="00E32E76">
        <w:rPr>
          <w:kern w:val="0"/>
        </w:rPr>
        <w:t xml:space="preserve">and their impact pathways on program performance. The structural equation modeling results </w:t>
      </w:r>
      <w:r w:rsidR="00E17813">
        <w:rPr>
          <w:rFonts w:hint="eastAsia"/>
          <w:kern w:val="0"/>
        </w:rPr>
        <w:t>reveal</w:t>
      </w:r>
      <w:r w:rsidR="00E17813" w:rsidRPr="00E32E76">
        <w:rPr>
          <w:kern w:val="0"/>
        </w:rPr>
        <w:t xml:space="preserve"> that external conditions, owner program management capability, and management </w:t>
      </w:r>
      <w:r w:rsidR="00E17813">
        <w:rPr>
          <w:rFonts w:hint="eastAsia"/>
          <w:kern w:val="0"/>
        </w:rPr>
        <w:t>system</w:t>
      </w:r>
      <w:r w:rsidR="00E17813" w:rsidRPr="00E32E76">
        <w:rPr>
          <w:kern w:val="0"/>
        </w:rPr>
        <w:t xml:space="preserve"> contribute to optimizing resource allocation and fostering partnership</w:t>
      </w:r>
      <w:r w:rsidR="00E17813">
        <w:rPr>
          <w:rFonts w:hint="eastAsia"/>
          <w:kern w:val="0"/>
        </w:rPr>
        <w:t xml:space="preserve">. </w:t>
      </w:r>
      <w:r w:rsidR="00E17813" w:rsidRPr="001F3EA4">
        <w:rPr>
          <w:kern w:val="0"/>
        </w:rPr>
        <w:t>These improvements further enhance program implementation and</w:t>
      </w:r>
      <w:r w:rsidR="00E17813" w:rsidRPr="008E374D">
        <w:rPr>
          <w:kern w:val="0"/>
        </w:rPr>
        <w:t xml:space="preserve"> </w:t>
      </w:r>
      <w:r w:rsidR="00E17813" w:rsidRPr="001F3EA4">
        <w:rPr>
          <w:kern w:val="0"/>
        </w:rPr>
        <w:t>program operation</w:t>
      </w:r>
      <w:r w:rsidR="00E17813" w:rsidRPr="00E32E76">
        <w:rPr>
          <w:kern w:val="0"/>
        </w:rPr>
        <w:t xml:space="preserve">, ultimately </w:t>
      </w:r>
      <w:r w:rsidR="00E17813" w:rsidRPr="001F3EA4">
        <w:rPr>
          <w:kern w:val="0"/>
        </w:rPr>
        <w:t>leading to better</w:t>
      </w:r>
      <w:r w:rsidR="00E17813" w:rsidRPr="00E32E76">
        <w:rPr>
          <w:kern w:val="0"/>
        </w:rPr>
        <w:t xml:space="preserve"> program performance.</w:t>
      </w:r>
      <w:r w:rsidR="00E17813">
        <w:rPr>
          <w:rFonts w:hint="eastAsia"/>
          <w:kern w:val="0"/>
        </w:rPr>
        <w:t xml:space="preserve"> </w:t>
      </w:r>
      <w:r w:rsidR="00E17813" w:rsidRPr="00E32E76">
        <w:rPr>
          <w:kern w:val="0"/>
        </w:rPr>
        <w:t xml:space="preserve">Finally, integration management strategies </w:t>
      </w:r>
      <w:r w:rsidR="00E17813">
        <w:rPr>
          <w:rFonts w:hint="eastAsia"/>
          <w:kern w:val="0"/>
        </w:rPr>
        <w:t>for</w:t>
      </w:r>
      <w:r w:rsidR="00E17813" w:rsidRPr="00E32E76">
        <w:rPr>
          <w:kern w:val="0"/>
        </w:rPr>
        <w:t xml:space="preserve"> clean energy bases</w:t>
      </w:r>
      <w:r w:rsidR="00E17813">
        <w:rPr>
          <w:rFonts w:hint="eastAsia"/>
          <w:kern w:val="0"/>
        </w:rPr>
        <w:t xml:space="preserve"> are</w:t>
      </w:r>
      <w:r w:rsidR="00E17813" w:rsidRPr="00E32E76">
        <w:rPr>
          <w:kern w:val="0"/>
        </w:rPr>
        <w:t xml:space="preserve"> proposed</w:t>
      </w:r>
      <w:r w:rsidR="00E17813">
        <w:rPr>
          <w:rFonts w:hint="eastAsia"/>
          <w:kern w:val="0"/>
        </w:rPr>
        <w:t xml:space="preserve">. </w:t>
      </w:r>
      <w:r w:rsidR="00E17813" w:rsidRPr="00E32E76">
        <w:rPr>
          <w:kern w:val="0"/>
        </w:rPr>
        <w:t>These research findings provide practical guidance for enhancing the integration management of clean energy bases</w:t>
      </w:r>
      <w:r w:rsidR="00E17813" w:rsidRPr="0032216C">
        <w:rPr>
          <w:kern w:val="0"/>
        </w:rPr>
        <w:t>.</w:t>
      </w:r>
    </w:p>
    <w:p w14:paraId="51BE46F3" w14:textId="37FEBBA1" w:rsidR="00C97253" w:rsidRPr="008563C8" w:rsidRDefault="00844E93" w:rsidP="00402B71">
      <w:pPr>
        <w:spacing w:line="240" w:lineRule="atLeast"/>
        <w:ind w:firstLineChars="0" w:firstLine="0"/>
        <w:rPr>
          <w:rFonts w:cs="Times New Roman"/>
          <w:color w:val="FF0000"/>
          <w:kern w:val="0"/>
          <w:szCs w:val="21"/>
        </w:rPr>
      </w:pPr>
      <w:r w:rsidRPr="00C97253">
        <w:rPr>
          <w:rFonts w:cs="Times New Roman"/>
          <w:b/>
          <w:bCs/>
          <w:kern w:val="0"/>
          <w:szCs w:val="21"/>
        </w:rPr>
        <w:t>Key words:</w:t>
      </w:r>
      <w:r w:rsidRPr="007E1944">
        <w:rPr>
          <w:rFonts w:cs="Times New Roman"/>
          <w:kern w:val="0"/>
          <w:szCs w:val="21"/>
        </w:rPr>
        <w:t xml:space="preserve"> </w:t>
      </w:r>
      <w:r w:rsidR="00E17813">
        <w:rPr>
          <w:rFonts w:hint="eastAsia"/>
        </w:rPr>
        <w:t xml:space="preserve">program management; </w:t>
      </w:r>
      <w:r w:rsidR="00E17813" w:rsidRPr="000E1177">
        <w:t>clean energy base</w:t>
      </w:r>
      <w:r w:rsidR="00E17813">
        <w:rPr>
          <w:rFonts w:hint="eastAsia"/>
        </w:rPr>
        <w:t xml:space="preserve">; stakeholder; </w:t>
      </w:r>
      <w:r w:rsidR="00E17813" w:rsidRPr="004607D5">
        <w:t>partnership</w:t>
      </w:r>
      <w:r w:rsidR="00E17813">
        <w:rPr>
          <w:rFonts w:hint="eastAsia"/>
        </w:rPr>
        <w:t>; resource allocation</w:t>
      </w:r>
    </w:p>
    <w:sectPr w:rsidR="00C97253" w:rsidRPr="008563C8" w:rsidSect="00181A00">
      <w:type w:val="continuous"/>
      <w:pgSz w:w="11906" w:h="16838"/>
      <w:pgMar w:top="1440" w:right="1106" w:bottom="1440" w:left="1106" w:header="851" w:footer="992" w:gutter="0"/>
      <w:cols w:space="425"/>
      <w:titlePg/>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803FCC" w14:textId="77777777" w:rsidR="00A10FCD" w:rsidRDefault="00A10FCD" w:rsidP="00450015">
      <w:pPr>
        <w:ind w:firstLine="420"/>
      </w:pPr>
      <w:r>
        <w:separator/>
      </w:r>
    </w:p>
  </w:endnote>
  <w:endnote w:type="continuationSeparator" w:id="0">
    <w:p w14:paraId="170FEF5E" w14:textId="77777777" w:rsidR="00A10FCD" w:rsidRDefault="00A10FCD" w:rsidP="00450015">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NewRoman">
    <w:altName w:val="Times New Roman"/>
    <w:panose1 w:val="00000000000000000000"/>
    <w:charset w:val="00"/>
    <w:family w:val="roman"/>
    <w:notTrueType/>
    <w:pitch w:val="default"/>
  </w:font>
  <w:font w:name="黑体">
    <w:altName w:val="SimHei"/>
    <w:panose1 w:val="02010609060101010101"/>
    <w:charset w:val="86"/>
    <w:family w:val="modern"/>
    <w:pitch w:val="fixed"/>
    <w:sig w:usb0="800002BF" w:usb1="38CF7CFA" w:usb2="00000016" w:usb3="00000000" w:csb0="00040001" w:csb1="00000000"/>
  </w:font>
  <w:font w:name="Times">
    <w:altName w:val="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40E8F" w14:textId="77777777" w:rsidR="002D1967" w:rsidRDefault="002D1967">
    <w:pPr>
      <w:pStyle w:val="a5"/>
      <w:ind w:firstLine="480"/>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CEB9F" w14:textId="77777777" w:rsidR="002D1967" w:rsidRPr="00AF4E5B" w:rsidRDefault="002D1967" w:rsidP="00AF4E5B">
    <w:pPr>
      <w:pStyle w:val="a5"/>
      <w:ind w:firstLine="480"/>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87B0C" w14:textId="77777777" w:rsidR="002D1967" w:rsidRPr="003017E0" w:rsidRDefault="002D1967" w:rsidP="003017E0">
    <w:pPr>
      <w:ind w:firstLine="360"/>
      <w:jc w:val="left"/>
      <w:rPr>
        <w:rFonts w:ascii="宋体" w:hAnsi="宋体" w:cs="宋体" w:hint="eastAsia"/>
        <w:kern w:val="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904E1D" w14:textId="77777777" w:rsidR="00A10FCD" w:rsidRDefault="00A10FCD" w:rsidP="00450015">
      <w:pPr>
        <w:ind w:firstLine="420"/>
      </w:pPr>
      <w:r>
        <w:separator/>
      </w:r>
    </w:p>
  </w:footnote>
  <w:footnote w:type="continuationSeparator" w:id="0">
    <w:p w14:paraId="79026184" w14:textId="77777777" w:rsidR="00A10FCD" w:rsidRDefault="00A10FCD" w:rsidP="00450015">
      <w:pPr>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7A955" w14:textId="77777777" w:rsidR="002D1967" w:rsidRDefault="002D1967">
    <w:pPr>
      <w:pStyle w:val="a7"/>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09FD2" w14:textId="77777777" w:rsidR="002D1967" w:rsidRDefault="002D1967">
    <w:pPr>
      <w:pStyle w:val="a7"/>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B7CC3" w14:textId="77777777" w:rsidR="002D1967" w:rsidRDefault="002D1967" w:rsidP="00373C80">
    <w:pPr>
      <w:ind w:firstLine="4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8919D2"/>
    <w:multiLevelType w:val="hybridMultilevel"/>
    <w:tmpl w:val="80665C8A"/>
    <w:lvl w:ilvl="0" w:tplc="91668BAA">
      <w:start w:val="1"/>
      <w:numFmt w:val="decimal"/>
      <w:lvlText w:val="[%1]"/>
      <w:lvlJc w:val="right"/>
      <w:pPr>
        <w:ind w:left="1697"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BE75D6A"/>
    <w:multiLevelType w:val="multilevel"/>
    <w:tmpl w:val="C66239F0"/>
    <w:lvl w:ilvl="0">
      <w:start w:val="1"/>
      <w:numFmt w:val="decimal"/>
      <w:pStyle w:val="1"/>
      <w:suff w:val="space"/>
      <w:lvlText w:val="%1"/>
      <w:lvlJc w:val="left"/>
      <w:pPr>
        <w:ind w:left="0" w:firstLine="0"/>
      </w:pPr>
      <w:rPr>
        <w:rFonts w:hint="eastAsia"/>
      </w:rPr>
    </w:lvl>
    <w:lvl w:ilvl="1">
      <w:start w:val="1"/>
      <w:numFmt w:val="decimal"/>
      <w:pStyle w:val="2"/>
      <w:suff w:val="space"/>
      <w:lvlText w:val="%1.%2"/>
      <w:lvlJc w:val="left"/>
      <w:pPr>
        <w:ind w:left="0" w:firstLine="0"/>
      </w:pPr>
      <w:rPr>
        <w:rFonts w:hint="eastAsia"/>
      </w:rPr>
    </w:lvl>
    <w:lvl w:ilvl="2">
      <w:start w:val="1"/>
      <w:numFmt w:val="decimal"/>
      <w:pStyle w:val="3"/>
      <w:suff w:val="space"/>
      <w:lvlText w:val="%1.%2.%3"/>
      <w:lvlJc w:val="left"/>
      <w:pPr>
        <w:ind w:left="0" w:firstLine="0"/>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15:restartNumberingAfterBreak="0">
    <w:nsid w:val="111626EF"/>
    <w:multiLevelType w:val="hybridMultilevel"/>
    <w:tmpl w:val="D6562C3E"/>
    <w:lvl w:ilvl="0" w:tplc="5A70DFA0">
      <w:start w:val="1"/>
      <w:numFmt w:val="decimal"/>
      <w:lvlText w:val="[%1] "/>
      <w:lvlJc w:val="left"/>
      <w:pPr>
        <w:ind w:left="710" w:hanging="440"/>
      </w:pPr>
      <w:rPr>
        <w:rFonts w:hint="eastAsia"/>
      </w:rPr>
    </w:lvl>
    <w:lvl w:ilvl="1" w:tplc="04090019" w:tentative="1">
      <w:start w:val="1"/>
      <w:numFmt w:val="lowerLetter"/>
      <w:lvlText w:val="%2)"/>
      <w:lvlJc w:val="left"/>
      <w:pPr>
        <w:ind w:left="1150" w:hanging="440"/>
      </w:pPr>
    </w:lvl>
    <w:lvl w:ilvl="2" w:tplc="0409001B" w:tentative="1">
      <w:start w:val="1"/>
      <w:numFmt w:val="lowerRoman"/>
      <w:lvlText w:val="%3."/>
      <w:lvlJc w:val="right"/>
      <w:pPr>
        <w:ind w:left="1590" w:hanging="440"/>
      </w:pPr>
    </w:lvl>
    <w:lvl w:ilvl="3" w:tplc="0409000F" w:tentative="1">
      <w:start w:val="1"/>
      <w:numFmt w:val="decimal"/>
      <w:lvlText w:val="%4."/>
      <w:lvlJc w:val="left"/>
      <w:pPr>
        <w:ind w:left="2030" w:hanging="440"/>
      </w:pPr>
    </w:lvl>
    <w:lvl w:ilvl="4" w:tplc="04090019" w:tentative="1">
      <w:start w:val="1"/>
      <w:numFmt w:val="lowerLetter"/>
      <w:lvlText w:val="%5)"/>
      <w:lvlJc w:val="left"/>
      <w:pPr>
        <w:ind w:left="2470" w:hanging="440"/>
      </w:pPr>
    </w:lvl>
    <w:lvl w:ilvl="5" w:tplc="0409001B" w:tentative="1">
      <w:start w:val="1"/>
      <w:numFmt w:val="lowerRoman"/>
      <w:lvlText w:val="%6."/>
      <w:lvlJc w:val="right"/>
      <w:pPr>
        <w:ind w:left="2910" w:hanging="440"/>
      </w:pPr>
    </w:lvl>
    <w:lvl w:ilvl="6" w:tplc="0409000F" w:tentative="1">
      <w:start w:val="1"/>
      <w:numFmt w:val="decimal"/>
      <w:lvlText w:val="%7."/>
      <w:lvlJc w:val="left"/>
      <w:pPr>
        <w:ind w:left="3350" w:hanging="440"/>
      </w:pPr>
    </w:lvl>
    <w:lvl w:ilvl="7" w:tplc="04090019" w:tentative="1">
      <w:start w:val="1"/>
      <w:numFmt w:val="lowerLetter"/>
      <w:lvlText w:val="%8)"/>
      <w:lvlJc w:val="left"/>
      <w:pPr>
        <w:ind w:left="3790" w:hanging="440"/>
      </w:pPr>
    </w:lvl>
    <w:lvl w:ilvl="8" w:tplc="0409001B" w:tentative="1">
      <w:start w:val="1"/>
      <w:numFmt w:val="lowerRoman"/>
      <w:lvlText w:val="%9."/>
      <w:lvlJc w:val="right"/>
      <w:pPr>
        <w:ind w:left="4230" w:hanging="440"/>
      </w:pPr>
    </w:lvl>
  </w:abstractNum>
  <w:abstractNum w:abstractNumId="3" w15:restartNumberingAfterBreak="0">
    <w:nsid w:val="17524902"/>
    <w:multiLevelType w:val="hybridMultilevel"/>
    <w:tmpl w:val="167AAE6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B345556"/>
    <w:multiLevelType w:val="hybridMultilevel"/>
    <w:tmpl w:val="2D686AEC"/>
    <w:lvl w:ilvl="0" w:tplc="04090019">
      <w:start w:val="1"/>
      <w:numFmt w:val="lowerLetter"/>
      <w:lvlText w:val="%1)"/>
      <w:lvlJc w:val="left"/>
      <w:pPr>
        <w:ind w:left="1130" w:hanging="420"/>
      </w:pPr>
    </w:lvl>
    <w:lvl w:ilvl="1" w:tplc="04090019">
      <w:start w:val="1"/>
      <w:numFmt w:val="lowerLetter"/>
      <w:lvlText w:val="%2)"/>
      <w:lvlJc w:val="left"/>
      <w:pPr>
        <w:ind w:left="1550" w:hanging="420"/>
      </w:pPr>
    </w:lvl>
    <w:lvl w:ilvl="2" w:tplc="0409001B" w:tentative="1">
      <w:start w:val="1"/>
      <w:numFmt w:val="lowerRoman"/>
      <w:lvlText w:val="%3."/>
      <w:lvlJc w:val="right"/>
      <w:pPr>
        <w:ind w:left="1970" w:hanging="420"/>
      </w:pPr>
    </w:lvl>
    <w:lvl w:ilvl="3" w:tplc="0409000F" w:tentative="1">
      <w:start w:val="1"/>
      <w:numFmt w:val="decimal"/>
      <w:lvlText w:val="%4."/>
      <w:lvlJc w:val="left"/>
      <w:pPr>
        <w:ind w:left="2390" w:hanging="420"/>
      </w:pPr>
    </w:lvl>
    <w:lvl w:ilvl="4" w:tplc="04090019" w:tentative="1">
      <w:start w:val="1"/>
      <w:numFmt w:val="lowerLetter"/>
      <w:lvlText w:val="%5)"/>
      <w:lvlJc w:val="left"/>
      <w:pPr>
        <w:ind w:left="2810" w:hanging="420"/>
      </w:pPr>
    </w:lvl>
    <w:lvl w:ilvl="5" w:tplc="0409001B" w:tentative="1">
      <w:start w:val="1"/>
      <w:numFmt w:val="lowerRoman"/>
      <w:lvlText w:val="%6."/>
      <w:lvlJc w:val="right"/>
      <w:pPr>
        <w:ind w:left="3230" w:hanging="420"/>
      </w:pPr>
    </w:lvl>
    <w:lvl w:ilvl="6" w:tplc="0409000F" w:tentative="1">
      <w:start w:val="1"/>
      <w:numFmt w:val="decimal"/>
      <w:lvlText w:val="%7."/>
      <w:lvlJc w:val="left"/>
      <w:pPr>
        <w:ind w:left="3650" w:hanging="420"/>
      </w:pPr>
    </w:lvl>
    <w:lvl w:ilvl="7" w:tplc="04090019" w:tentative="1">
      <w:start w:val="1"/>
      <w:numFmt w:val="lowerLetter"/>
      <w:lvlText w:val="%8)"/>
      <w:lvlJc w:val="left"/>
      <w:pPr>
        <w:ind w:left="4070" w:hanging="420"/>
      </w:pPr>
    </w:lvl>
    <w:lvl w:ilvl="8" w:tplc="0409001B" w:tentative="1">
      <w:start w:val="1"/>
      <w:numFmt w:val="lowerRoman"/>
      <w:lvlText w:val="%9."/>
      <w:lvlJc w:val="right"/>
      <w:pPr>
        <w:ind w:left="4490" w:hanging="420"/>
      </w:pPr>
    </w:lvl>
  </w:abstractNum>
  <w:abstractNum w:abstractNumId="5" w15:restartNumberingAfterBreak="0">
    <w:nsid w:val="1F232769"/>
    <w:multiLevelType w:val="hybridMultilevel"/>
    <w:tmpl w:val="1F2654FE"/>
    <w:lvl w:ilvl="0" w:tplc="5DFAB2D4">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207323CB"/>
    <w:multiLevelType w:val="hybridMultilevel"/>
    <w:tmpl w:val="A2FE7EE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2162698E"/>
    <w:multiLevelType w:val="hybridMultilevel"/>
    <w:tmpl w:val="BF686EAA"/>
    <w:lvl w:ilvl="0" w:tplc="5CE40F90">
      <w:start w:val="1"/>
      <w:numFmt w:val="decimal"/>
      <w:lvlText w:val="[%1] "/>
      <w:lvlJc w:val="right"/>
      <w:pPr>
        <w:ind w:left="454" w:hanging="454"/>
      </w:pPr>
      <w:rPr>
        <w:rFonts w:asciiTheme="minorEastAsia" w:eastAsia="宋体" w:hAnsiTheme="minorEastAsia"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37810C19"/>
    <w:multiLevelType w:val="hybridMultilevel"/>
    <w:tmpl w:val="BAD4DB00"/>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15:restartNumberingAfterBreak="0">
    <w:nsid w:val="3B9F11E5"/>
    <w:multiLevelType w:val="hybridMultilevel"/>
    <w:tmpl w:val="157EF6E2"/>
    <w:lvl w:ilvl="0" w:tplc="5F70A38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3EAA4755"/>
    <w:multiLevelType w:val="hybridMultilevel"/>
    <w:tmpl w:val="02D055A8"/>
    <w:lvl w:ilvl="0" w:tplc="9D24DFB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3EB847B3"/>
    <w:multiLevelType w:val="hybridMultilevel"/>
    <w:tmpl w:val="E4BEE22A"/>
    <w:lvl w:ilvl="0" w:tplc="9D24DFB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405123B5"/>
    <w:multiLevelType w:val="hybridMultilevel"/>
    <w:tmpl w:val="B82C05F8"/>
    <w:lvl w:ilvl="0" w:tplc="2A7054E8">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458257B0"/>
    <w:multiLevelType w:val="hybridMultilevel"/>
    <w:tmpl w:val="47B2E14C"/>
    <w:lvl w:ilvl="0" w:tplc="9B581288">
      <w:start w:val="2"/>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4" w15:restartNumberingAfterBreak="0">
    <w:nsid w:val="493541CA"/>
    <w:multiLevelType w:val="hybridMultilevel"/>
    <w:tmpl w:val="436C037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4E6B2441"/>
    <w:multiLevelType w:val="hybridMultilevel"/>
    <w:tmpl w:val="528E7CBE"/>
    <w:lvl w:ilvl="0" w:tplc="5DFAB2D4">
      <w:start w:val="1"/>
      <w:numFmt w:val="bullet"/>
      <w:lvlText w:val=""/>
      <w:lvlJc w:val="left"/>
      <w:pPr>
        <w:ind w:left="420" w:hanging="420"/>
      </w:pPr>
      <w:rPr>
        <w:rFonts w:ascii="Wingdings" w:hAnsi="Wingding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4F1342C8"/>
    <w:multiLevelType w:val="hybridMultilevel"/>
    <w:tmpl w:val="31ECA8EE"/>
    <w:lvl w:ilvl="0" w:tplc="C7B4BEF4">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17" w15:restartNumberingAfterBreak="0">
    <w:nsid w:val="511146FC"/>
    <w:multiLevelType w:val="hybridMultilevel"/>
    <w:tmpl w:val="E8908EA2"/>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8" w15:restartNumberingAfterBreak="0">
    <w:nsid w:val="518065F7"/>
    <w:multiLevelType w:val="hybridMultilevel"/>
    <w:tmpl w:val="4552C084"/>
    <w:lvl w:ilvl="0" w:tplc="1D9AE1C8">
      <w:start w:val="1"/>
      <w:numFmt w:val="decimal"/>
      <w:lvlText w:val="%1、"/>
      <w:lvlJc w:val="left"/>
      <w:pPr>
        <w:ind w:left="390" w:hanging="39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557408CC"/>
    <w:multiLevelType w:val="hybridMultilevel"/>
    <w:tmpl w:val="D5189DD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5BB16AD5"/>
    <w:multiLevelType w:val="hybridMultilevel"/>
    <w:tmpl w:val="49D00294"/>
    <w:lvl w:ilvl="0" w:tplc="BCACB034">
      <w:start w:val="2"/>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1" w15:restartNumberingAfterBreak="0">
    <w:nsid w:val="5ECD2033"/>
    <w:multiLevelType w:val="hybridMultilevel"/>
    <w:tmpl w:val="059EBA1C"/>
    <w:lvl w:ilvl="0" w:tplc="9D24DFB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688C0F07"/>
    <w:multiLevelType w:val="hybridMultilevel"/>
    <w:tmpl w:val="855E11BE"/>
    <w:lvl w:ilvl="0" w:tplc="0409000F">
      <w:start w:val="1"/>
      <w:numFmt w:val="decimal"/>
      <w:lvlText w:val="%1."/>
      <w:lvlJc w:val="left"/>
      <w:pPr>
        <w:ind w:left="420" w:hanging="42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6B73765B"/>
    <w:multiLevelType w:val="hybridMultilevel"/>
    <w:tmpl w:val="AB06759A"/>
    <w:lvl w:ilvl="0" w:tplc="1938C666">
      <w:start w:val="1"/>
      <w:numFmt w:val="bullet"/>
      <w:lvlText w:val=""/>
      <w:lvlJc w:val="left"/>
      <w:pPr>
        <w:ind w:left="420" w:hanging="420"/>
      </w:pPr>
      <w:rPr>
        <w:rFonts w:ascii="Wingdings" w:hAnsi="Wingdings" w:hint="default"/>
        <w:color w:val="FF0000"/>
        <w:sz w:val="22"/>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6F4D291E"/>
    <w:multiLevelType w:val="hybridMultilevel"/>
    <w:tmpl w:val="97DC578C"/>
    <w:lvl w:ilvl="0" w:tplc="2DD0ED56">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5" w15:restartNumberingAfterBreak="0">
    <w:nsid w:val="78262D8F"/>
    <w:multiLevelType w:val="multilevel"/>
    <w:tmpl w:val="D31464CA"/>
    <w:lvl w:ilvl="0">
      <w:start w:val="1"/>
      <w:numFmt w:val="decimal"/>
      <w:lvlText w:val="%1."/>
      <w:lvlJc w:val="left"/>
      <w:pPr>
        <w:ind w:left="425" w:hanging="425"/>
      </w:pPr>
      <w:rPr>
        <w:rFonts w:hint="eastAsia"/>
      </w:rPr>
    </w:lvl>
    <w:lvl w:ilvl="1">
      <w:start w:val="1"/>
      <w:numFmt w:val="decimal"/>
      <w:lvlText w:val="%1.%2."/>
      <w:lvlJc w:val="left"/>
      <w:pPr>
        <w:ind w:left="851" w:hanging="851"/>
      </w:pPr>
      <w:rPr>
        <w:rFonts w:hint="eastAsia"/>
      </w:rPr>
    </w:lvl>
    <w:lvl w:ilvl="2">
      <w:start w:val="1"/>
      <w:numFmt w:val="decimal"/>
      <w:lvlText w:val="%1.%2.%3."/>
      <w:lvlJc w:val="left"/>
      <w:pPr>
        <w:ind w:left="851" w:hanging="851"/>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num w:numId="1" w16cid:durableId="78521783">
    <w:abstractNumId w:val="18"/>
  </w:num>
  <w:num w:numId="2" w16cid:durableId="1362974917">
    <w:abstractNumId w:val="11"/>
  </w:num>
  <w:num w:numId="3" w16cid:durableId="1985310393">
    <w:abstractNumId w:val="7"/>
  </w:num>
  <w:num w:numId="4" w16cid:durableId="1511140909">
    <w:abstractNumId w:val="21"/>
  </w:num>
  <w:num w:numId="5" w16cid:durableId="911157344">
    <w:abstractNumId w:val="10"/>
  </w:num>
  <w:num w:numId="6" w16cid:durableId="545138904">
    <w:abstractNumId w:val="19"/>
  </w:num>
  <w:num w:numId="7" w16cid:durableId="883522985">
    <w:abstractNumId w:val="4"/>
  </w:num>
  <w:num w:numId="8" w16cid:durableId="1080325136">
    <w:abstractNumId w:val="25"/>
  </w:num>
  <w:num w:numId="9" w16cid:durableId="1650287690">
    <w:abstractNumId w:val="17"/>
  </w:num>
  <w:num w:numId="10" w16cid:durableId="448626568">
    <w:abstractNumId w:val="3"/>
  </w:num>
  <w:num w:numId="11" w16cid:durableId="665744504">
    <w:abstractNumId w:val="22"/>
  </w:num>
  <w:num w:numId="12" w16cid:durableId="727652486">
    <w:abstractNumId w:val="23"/>
  </w:num>
  <w:num w:numId="13" w16cid:durableId="411705997">
    <w:abstractNumId w:val="15"/>
  </w:num>
  <w:num w:numId="14" w16cid:durableId="1174536859">
    <w:abstractNumId w:val="5"/>
  </w:num>
  <w:num w:numId="15" w16cid:durableId="2143887108">
    <w:abstractNumId w:val="8"/>
  </w:num>
  <w:num w:numId="16" w16cid:durableId="1964459789">
    <w:abstractNumId w:val="6"/>
  </w:num>
  <w:num w:numId="17" w16cid:durableId="610085446">
    <w:abstractNumId w:val="14"/>
  </w:num>
  <w:num w:numId="18" w16cid:durableId="820852236">
    <w:abstractNumId w:val="12"/>
  </w:num>
  <w:num w:numId="19" w16cid:durableId="1984892348">
    <w:abstractNumId w:val="9"/>
  </w:num>
  <w:num w:numId="20" w16cid:durableId="1079667893">
    <w:abstractNumId w:val="20"/>
  </w:num>
  <w:num w:numId="21" w16cid:durableId="1247617735">
    <w:abstractNumId w:val="24"/>
  </w:num>
  <w:num w:numId="22" w16cid:durableId="1634560523">
    <w:abstractNumId w:val="16"/>
  </w:num>
  <w:num w:numId="23" w16cid:durableId="1632396844">
    <w:abstractNumId w:val="13"/>
  </w:num>
  <w:num w:numId="24" w16cid:durableId="481584069">
    <w:abstractNumId w:val="1"/>
  </w:num>
  <w:num w:numId="25" w16cid:durableId="1902862041">
    <w:abstractNumId w:val="2"/>
  </w:num>
  <w:num w:numId="26" w16cid:durableId="1081608696">
    <w:abstractNumId w:val="0"/>
  </w:num>
  <w:num w:numId="27" w16cid:durableId="104845269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504837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defaultTabStop w:val="420"/>
  <w:drawingGridHorizontalSpacing w:val="105"/>
  <w:drawingGridVerticalSpacing w:val="156"/>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7EwNDUytjQ1MzQ2tzRV0lEKTi0uzszPAykwMqoFABIXuzItAAAA"/>
  </w:docVars>
  <w:rsids>
    <w:rsidRoot w:val="00652A1C"/>
    <w:rsid w:val="00003336"/>
    <w:rsid w:val="00003548"/>
    <w:rsid w:val="00004BA1"/>
    <w:rsid w:val="00005175"/>
    <w:rsid w:val="0000547A"/>
    <w:rsid w:val="00007600"/>
    <w:rsid w:val="00010AA9"/>
    <w:rsid w:val="00011004"/>
    <w:rsid w:val="000132E7"/>
    <w:rsid w:val="0001643B"/>
    <w:rsid w:val="000262B9"/>
    <w:rsid w:val="000314FB"/>
    <w:rsid w:val="000333BF"/>
    <w:rsid w:val="00033EC0"/>
    <w:rsid w:val="00044052"/>
    <w:rsid w:val="0004423E"/>
    <w:rsid w:val="000540F0"/>
    <w:rsid w:val="00056B93"/>
    <w:rsid w:val="0006099E"/>
    <w:rsid w:val="00060CB8"/>
    <w:rsid w:val="00062519"/>
    <w:rsid w:val="00067B7F"/>
    <w:rsid w:val="000763CA"/>
    <w:rsid w:val="0008007F"/>
    <w:rsid w:val="00080F55"/>
    <w:rsid w:val="000811ED"/>
    <w:rsid w:val="000913F4"/>
    <w:rsid w:val="000954BC"/>
    <w:rsid w:val="000A0377"/>
    <w:rsid w:val="000B0527"/>
    <w:rsid w:val="000B2764"/>
    <w:rsid w:val="000B2B64"/>
    <w:rsid w:val="000B3C05"/>
    <w:rsid w:val="000C5FC1"/>
    <w:rsid w:val="000D0D7D"/>
    <w:rsid w:val="000D4802"/>
    <w:rsid w:val="000D4FB5"/>
    <w:rsid w:val="000D5CBB"/>
    <w:rsid w:val="000D5FF7"/>
    <w:rsid w:val="000E2FE6"/>
    <w:rsid w:val="000E38EB"/>
    <w:rsid w:val="000E6861"/>
    <w:rsid w:val="000E6C61"/>
    <w:rsid w:val="000E6DDB"/>
    <w:rsid w:val="000F1BE5"/>
    <w:rsid w:val="000F2689"/>
    <w:rsid w:val="000F4C91"/>
    <w:rsid w:val="000F76F4"/>
    <w:rsid w:val="00100320"/>
    <w:rsid w:val="001003C5"/>
    <w:rsid w:val="00100511"/>
    <w:rsid w:val="00101090"/>
    <w:rsid w:val="00103319"/>
    <w:rsid w:val="00106CA5"/>
    <w:rsid w:val="00111C04"/>
    <w:rsid w:val="00115354"/>
    <w:rsid w:val="00116F7D"/>
    <w:rsid w:val="0012152F"/>
    <w:rsid w:val="001222A3"/>
    <w:rsid w:val="00122556"/>
    <w:rsid w:val="00122D47"/>
    <w:rsid w:val="001234E0"/>
    <w:rsid w:val="00123BD4"/>
    <w:rsid w:val="0012453B"/>
    <w:rsid w:val="001256A6"/>
    <w:rsid w:val="00127413"/>
    <w:rsid w:val="00133673"/>
    <w:rsid w:val="001370D7"/>
    <w:rsid w:val="00143B30"/>
    <w:rsid w:val="00150EE3"/>
    <w:rsid w:val="0015261F"/>
    <w:rsid w:val="00161A8A"/>
    <w:rsid w:val="0016325B"/>
    <w:rsid w:val="001644A8"/>
    <w:rsid w:val="001668DB"/>
    <w:rsid w:val="00166AE2"/>
    <w:rsid w:val="001674B7"/>
    <w:rsid w:val="001724F6"/>
    <w:rsid w:val="001749A8"/>
    <w:rsid w:val="00174DE9"/>
    <w:rsid w:val="00177368"/>
    <w:rsid w:val="001808DA"/>
    <w:rsid w:val="00181A00"/>
    <w:rsid w:val="00185D2B"/>
    <w:rsid w:val="001861F8"/>
    <w:rsid w:val="0018668C"/>
    <w:rsid w:val="00190575"/>
    <w:rsid w:val="0019489F"/>
    <w:rsid w:val="001949AF"/>
    <w:rsid w:val="001A1944"/>
    <w:rsid w:val="001A2515"/>
    <w:rsid w:val="001A5091"/>
    <w:rsid w:val="001A50AA"/>
    <w:rsid w:val="001A50EA"/>
    <w:rsid w:val="001A6C69"/>
    <w:rsid w:val="001A7591"/>
    <w:rsid w:val="001B428E"/>
    <w:rsid w:val="001B5CD5"/>
    <w:rsid w:val="001B7E4A"/>
    <w:rsid w:val="001C06EF"/>
    <w:rsid w:val="001C32FE"/>
    <w:rsid w:val="001C391E"/>
    <w:rsid w:val="001C684D"/>
    <w:rsid w:val="001C774A"/>
    <w:rsid w:val="001D02B0"/>
    <w:rsid w:val="001D31DF"/>
    <w:rsid w:val="001D339E"/>
    <w:rsid w:val="001D5C77"/>
    <w:rsid w:val="001D6A9A"/>
    <w:rsid w:val="001E2BDD"/>
    <w:rsid w:val="001E763C"/>
    <w:rsid w:val="001F12CD"/>
    <w:rsid w:val="001F7800"/>
    <w:rsid w:val="001F7A8E"/>
    <w:rsid w:val="001F7C3F"/>
    <w:rsid w:val="0020038E"/>
    <w:rsid w:val="0020048F"/>
    <w:rsid w:val="002004D5"/>
    <w:rsid w:val="00200F61"/>
    <w:rsid w:val="0020126D"/>
    <w:rsid w:val="002026F1"/>
    <w:rsid w:val="00202B66"/>
    <w:rsid w:val="0020709B"/>
    <w:rsid w:val="002112EB"/>
    <w:rsid w:val="00211992"/>
    <w:rsid w:val="00211FFD"/>
    <w:rsid w:val="00213A45"/>
    <w:rsid w:val="0021757D"/>
    <w:rsid w:val="002274EB"/>
    <w:rsid w:val="00227A8F"/>
    <w:rsid w:val="002312F2"/>
    <w:rsid w:val="00231EA4"/>
    <w:rsid w:val="0023312C"/>
    <w:rsid w:val="00234B98"/>
    <w:rsid w:val="0023635D"/>
    <w:rsid w:val="002411E0"/>
    <w:rsid w:val="00244CE7"/>
    <w:rsid w:val="00247F7C"/>
    <w:rsid w:val="00251419"/>
    <w:rsid w:val="002613D1"/>
    <w:rsid w:val="0026720B"/>
    <w:rsid w:val="0027047F"/>
    <w:rsid w:val="00275235"/>
    <w:rsid w:val="0027782D"/>
    <w:rsid w:val="00277F10"/>
    <w:rsid w:val="00281CF7"/>
    <w:rsid w:val="002872BB"/>
    <w:rsid w:val="002928AF"/>
    <w:rsid w:val="00293B55"/>
    <w:rsid w:val="0029530E"/>
    <w:rsid w:val="002A2319"/>
    <w:rsid w:val="002A402F"/>
    <w:rsid w:val="002A6B0D"/>
    <w:rsid w:val="002A6FCF"/>
    <w:rsid w:val="002B07E2"/>
    <w:rsid w:val="002B2C8D"/>
    <w:rsid w:val="002B43B9"/>
    <w:rsid w:val="002B4535"/>
    <w:rsid w:val="002B474B"/>
    <w:rsid w:val="002B7713"/>
    <w:rsid w:val="002C1573"/>
    <w:rsid w:val="002C27A3"/>
    <w:rsid w:val="002C5A48"/>
    <w:rsid w:val="002C6FB7"/>
    <w:rsid w:val="002D0B44"/>
    <w:rsid w:val="002D10AB"/>
    <w:rsid w:val="002D1967"/>
    <w:rsid w:val="002D29E6"/>
    <w:rsid w:val="002D312C"/>
    <w:rsid w:val="002D41C8"/>
    <w:rsid w:val="002E1A4F"/>
    <w:rsid w:val="002E1B29"/>
    <w:rsid w:val="002E2A26"/>
    <w:rsid w:val="002E3682"/>
    <w:rsid w:val="002E4D70"/>
    <w:rsid w:val="002E52B8"/>
    <w:rsid w:val="002E5A32"/>
    <w:rsid w:val="002F08D1"/>
    <w:rsid w:val="002F1D37"/>
    <w:rsid w:val="002F35EE"/>
    <w:rsid w:val="002F3722"/>
    <w:rsid w:val="002F4CE6"/>
    <w:rsid w:val="0030005E"/>
    <w:rsid w:val="0030080A"/>
    <w:rsid w:val="003017E0"/>
    <w:rsid w:val="0030398B"/>
    <w:rsid w:val="00304090"/>
    <w:rsid w:val="00304B97"/>
    <w:rsid w:val="003079D0"/>
    <w:rsid w:val="00311A98"/>
    <w:rsid w:val="00313B7F"/>
    <w:rsid w:val="00313E99"/>
    <w:rsid w:val="00314763"/>
    <w:rsid w:val="00314CE3"/>
    <w:rsid w:val="0031695D"/>
    <w:rsid w:val="0032011C"/>
    <w:rsid w:val="00320965"/>
    <w:rsid w:val="00320EA1"/>
    <w:rsid w:val="003220F6"/>
    <w:rsid w:val="00323006"/>
    <w:rsid w:val="003232B7"/>
    <w:rsid w:val="00323DC9"/>
    <w:rsid w:val="003245AA"/>
    <w:rsid w:val="0032625F"/>
    <w:rsid w:val="00326E11"/>
    <w:rsid w:val="00331828"/>
    <w:rsid w:val="003341A5"/>
    <w:rsid w:val="00334431"/>
    <w:rsid w:val="003346B5"/>
    <w:rsid w:val="003348E5"/>
    <w:rsid w:val="00335D8D"/>
    <w:rsid w:val="00335FD7"/>
    <w:rsid w:val="0033612A"/>
    <w:rsid w:val="003411C3"/>
    <w:rsid w:val="003444A0"/>
    <w:rsid w:val="00345266"/>
    <w:rsid w:val="00346A15"/>
    <w:rsid w:val="00346B66"/>
    <w:rsid w:val="0035144B"/>
    <w:rsid w:val="00351E0E"/>
    <w:rsid w:val="00356083"/>
    <w:rsid w:val="00356E2D"/>
    <w:rsid w:val="00361D3F"/>
    <w:rsid w:val="00366986"/>
    <w:rsid w:val="00371EBA"/>
    <w:rsid w:val="003720EF"/>
    <w:rsid w:val="00373C80"/>
    <w:rsid w:val="003819C4"/>
    <w:rsid w:val="00381A38"/>
    <w:rsid w:val="00390250"/>
    <w:rsid w:val="0039058E"/>
    <w:rsid w:val="00392AC1"/>
    <w:rsid w:val="0039553A"/>
    <w:rsid w:val="003A047C"/>
    <w:rsid w:val="003A3CED"/>
    <w:rsid w:val="003A66FD"/>
    <w:rsid w:val="003B03C1"/>
    <w:rsid w:val="003B13DA"/>
    <w:rsid w:val="003B1990"/>
    <w:rsid w:val="003C1253"/>
    <w:rsid w:val="003C1DDB"/>
    <w:rsid w:val="003C1EE4"/>
    <w:rsid w:val="003C3DAD"/>
    <w:rsid w:val="003D304A"/>
    <w:rsid w:val="003D3507"/>
    <w:rsid w:val="003D403C"/>
    <w:rsid w:val="003D4BEB"/>
    <w:rsid w:val="003D6CAC"/>
    <w:rsid w:val="003D73B8"/>
    <w:rsid w:val="003E1444"/>
    <w:rsid w:val="003E17F3"/>
    <w:rsid w:val="003E494B"/>
    <w:rsid w:val="003E686F"/>
    <w:rsid w:val="003E7F81"/>
    <w:rsid w:val="003F1DC9"/>
    <w:rsid w:val="003F3AE6"/>
    <w:rsid w:val="003F3DED"/>
    <w:rsid w:val="003F3F2F"/>
    <w:rsid w:val="003F566B"/>
    <w:rsid w:val="004009BF"/>
    <w:rsid w:val="00400A43"/>
    <w:rsid w:val="00401099"/>
    <w:rsid w:val="004013FA"/>
    <w:rsid w:val="00402B71"/>
    <w:rsid w:val="004045D3"/>
    <w:rsid w:val="00404A80"/>
    <w:rsid w:val="00407E6C"/>
    <w:rsid w:val="004107D8"/>
    <w:rsid w:val="00414C95"/>
    <w:rsid w:val="004167BC"/>
    <w:rsid w:val="0042282A"/>
    <w:rsid w:val="00423A02"/>
    <w:rsid w:val="00424D7F"/>
    <w:rsid w:val="00424E6E"/>
    <w:rsid w:val="004300F4"/>
    <w:rsid w:val="0043200C"/>
    <w:rsid w:val="004354FF"/>
    <w:rsid w:val="00435FAB"/>
    <w:rsid w:val="00436F62"/>
    <w:rsid w:val="00450015"/>
    <w:rsid w:val="00450B4D"/>
    <w:rsid w:val="00454C0A"/>
    <w:rsid w:val="004550BE"/>
    <w:rsid w:val="004559FA"/>
    <w:rsid w:val="00457AB1"/>
    <w:rsid w:val="004620F9"/>
    <w:rsid w:val="00464151"/>
    <w:rsid w:val="004702D4"/>
    <w:rsid w:val="0047128A"/>
    <w:rsid w:val="00471D48"/>
    <w:rsid w:val="00473926"/>
    <w:rsid w:val="0047568F"/>
    <w:rsid w:val="00477CFE"/>
    <w:rsid w:val="00477D55"/>
    <w:rsid w:val="00481376"/>
    <w:rsid w:val="004839CA"/>
    <w:rsid w:val="00485FDC"/>
    <w:rsid w:val="00490F1A"/>
    <w:rsid w:val="0049159F"/>
    <w:rsid w:val="004923E8"/>
    <w:rsid w:val="0049426A"/>
    <w:rsid w:val="00496CF0"/>
    <w:rsid w:val="004A1048"/>
    <w:rsid w:val="004A4F0B"/>
    <w:rsid w:val="004B0C55"/>
    <w:rsid w:val="004B581A"/>
    <w:rsid w:val="004C0AB5"/>
    <w:rsid w:val="004C3C1F"/>
    <w:rsid w:val="004C5A84"/>
    <w:rsid w:val="004C643C"/>
    <w:rsid w:val="004C71DF"/>
    <w:rsid w:val="004D2EE8"/>
    <w:rsid w:val="004D4B03"/>
    <w:rsid w:val="004D5E44"/>
    <w:rsid w:val="004D7BC9"/>
    <w:rsid w:val="004E1F4C"/>
    <w:rsid w:val="004F20E1"/>
    <w:rsid w:val="004F3AC7"/>
    <w:rsid w:val="004F5163"/>
    <w:rsid w:val="004F7F6D"/>
    <w:rsid w:val="005004A8"/>
    <w:rsid w:val="005009A1"/>
    <w:rsid w:val="00501499"/>
    <w:rsid w:val="0050377C"/>
    <w:rsid w:val="00503EFF"/>
    <w:rsid w:val="0050501E"/>
    <w:rsid w:val="00506AF7"/>
    <w:rsid w:val="005073F3"/>
    <w:rsid w:val="00511CD6"/>
    <w:rsid w:val="005125D2"/>
    <w:rsid w:val="00513774"/>
    <w:rsid w:val="00513E21"/>
    <w:rsid w:val="0051527D"/>
    <w:rsid w:val="00515DAD"/>
    <w:rsid w:val="00516AA6"/>
    <w:rsid w:val="00517860"/>
    <w:rsid w:val="00522153"/>
    <w:rsid w:val="00535DAA"/>
    <w:rsid w:val="00537C96"/>
    <w:rsid w:val="0054314E"/>
    <w:rsid w:val="00550BCF"/>
    <w:rsid w:val="00551709"/>
    <w:rsid w:val="00552E58"/>
    <w:rsid w:val="005535B3"/>
    <w:rsid w:val="005536CC"/>
    <w:rsid w:val="005614EF"/>
    <w:rsid w:val="00563937"/>
    <w:rsid w:val="0056417B"/>
    <w:rsid w:val="00564264"/>
    <w:rsid w:val="00565FCA"/>
    <w:rsid w:val="00567F4C"/>
    <w:rsid w:val="00570A2B"/>
    <w:rsid w:val="005752C8"/>
    <w:rsid w:val="00575A82"/>
    <w:rsid w:val="0057677C"/>
    <w:rsid w:val="005769C7"/>
    <w:rsid w:val="00577718"/>
    <w:rsid w:val="00580197"/>
    <w:rsid w:val="00580F0B"/>
    <w:rsid w:val="0058184A"/>
    <w:rsid w:val="00582D04"/>
    <w:rsid w:val="00587DBD"/>
    <w:rsid w:val="005914CF"/>
    <w:rsid w:val="00591C76"/>
    <w:rsid w:val="00594529"/>
    <w:rsid w:val="00594ACE"/>
    <w:rsid w:val="00594BB3"/>
    <w:rsid w:val="005959E8"/>
    <w:rsid w:val="00595F9B"/>
    <w:rsid w:val="005A3E13"/>
    <w:rsid w:val="005A3E75"/>
    <w:rsid w:val="005A4F6B"/>
    <w:rsid w:val="005A5DDB"/>
    <w:rsid w:val="005A6FD0"/>
    <w:rsid w:val="005B30B1"/>
    <w:rsid w:val="005B3B3F"/>
    <w:rsid w:val="005B4A89"/>
    <w:rsid w:val="005B4E8F"/>
    <w:rsid w:val="005C0C15"/>
    <w:rsid w:val="005C3352"/>
    <w:rsid w:val="005C47A9"/>
    <w:rsid w:val="005D6551"/>
    <w:rsid w:val="005E0072"/>
    <w:rsid w:val="005E0D9C"/>
    <w:rsid w:val="005E0E42"/>
    <w:rsid w:val="005F0997"/>
    <w:rsid w:val="005F0A15"/>
    <w:rsid w:val="005F4CDD"/>
    <w:rsid w:val="005F513E"/>
    <w:rsid w:val="005F5F15"/>
    <w:rsid w:val="00600B1E"/>
    <w:rsid w:val="00601356"/>
    <w:rsid w:val="00603F9F"/>
    <w:rsid w:val="00605ADF"/>
    <w:rsid w:val="00605BCB"/>
    <w:rsid w:val="00606258"/>
    <w:rsid w:val="006075FF"/>
    <w:rsid w:val="00617D1F"/>
    <w:rsid w:val="006201E9"/>
    <w:rsid w:val="00624201"/>
    <w:rsid w:val="006265F3"/>
    <w:rsid w:val="00630AD1"/>
    <w:rsid w:val="00633992"/>
    <w:rsid w:val="00635236"/>
    <w:rsid w:val="00641A57"/>
    <w:rsid w:val="00642418"/>
    <w:rsid w:val="006430DC"/>
    <w:rsid w:val="00646196"/>
    <w:rsid w:val="00651DF2"/>
    <w:rsid w:val="00651DF4"/>
    <w:rsid w:val="00652A1C"/>
    <w:rsid w:val="00653A36"/>
    <w:rsid w:val="006541EA"/>
    <w:rsid w:val="006563D3"/>
    <w:rsid w:val="0066112B"/>
    <w:rsid w:val="00661872"/>
    <w:rsid w:val="00661FC2"/>
    <w:rsid w:val="0066299E"/>
    <w:rsid w:val="00664608"/>
    <w:rsid w:val="00664B0C"/>
    <w:rsid w:val="006650A9"/>
    <w:rsid w:val="00671F0F"/>
    <w:rsid w:val="0067212C"/>
    <w:rsid w:val="006729ED"/>
    <w:rsid w:val="006761CD"/>
    <w:rsid w:val="00676830"/>
    <w:rsid w:val="006804EC"/>
    <w:rsid w:val="00682337"/>
    <w:rsid w:val="00684963"/>
    <w:rsid w:val="00687BFE"/>
    <w:rsid w:val="0069199C"/>
    <w:rsid w:val="00693528"/>
    <w:rsid w:val="006949E3"/>
    <w:rsid w:val="006A25F9"/>
    <w:rsid w:val="006B1C2D"/>
    <w:rsid w:val="006B2738"/>
    <w:rsid w:val="006B6352"/>
    <w:rsid w:val="006B6372"/>
    <w:rsid w:val="006B6A63"/>
    <w:rsid w:val="006C0984"/>
    <w:rsid w:val="006C2013"/>
    <w:rsid w:val="006C324B"/>
    <w:rsid w:val="006C35E9"/>
    <w:rsid w:val="006C7180"/>
    <w:rsid w:val="006C74A7"/>
    <w:rsid w:val="006C7E1B"/>
    <w:rsid w:val="006C7F55"/>
    <w:rsid w:val="006D3442"/>
    <w:rsid w:val="006D42A3"/>
    <w:rsid w:val="006D4642"/>
    <w:rsid w:val="006D476C"/>
    <w:rsid w:val="006D6E88"/>
    <w:rsid w:val="006E209D"/>
    <w:rsid w:val="006F1DAF"/>
    <w:rsid w:val="006F27E8"/>
    <w:rsid w:val="006F300C"/>
    <w:rsid w:val="006F498E"/>
    <w:rsid w:val="006F62E1"/>
    <w:rsid w:val="006F7763"/>
    <w:rsid w:val="00702918"/>
    <w:rsid w:val="00704A2A"/>
    <w:rsid w:val="00706997"/>
    <w:rsid w:val="00707BB8"/>
    <w:rsid w:val="00707D7F"/>
    <w:rsid w:val="00710340"/>
    <w:rsid w:val="007120C2"/>
    <w:rsid w:val="00713787"/>
    <w:rsid w:val="00713BCC"/>
    <w:rsid w:val="00714ADB"/>
    <w:rsid w:val="00716B54"/>
    <w:rsid w:val="00721707"/>
    <w:rsid w:val="007233F2"/>
    <w:rsid w:val="00726F39"/>
    <w:rsid w:val="007306A6"/>
    <w:rsid w:val="00730C08"/>
    <w:rsid w:val="00736685"/>
    <w:rsid w:val="0073710B"/>
    <w:rsid w:val="0074272A"/>
    <w:rsid w:val="00743641"/>
    <w:rsid w:val="007445F2"/>
    <w:rsid w:val="00745A70"/>
    <w:rsid w:val="00747755"/>
    <w:rsid w:val="0075790C"/>
    <w:rsid w:val="00763391"/>
    <w:rsid w:val="00764726"/>
    <w:rsid w:val="007651DF"/>
    <w:rsid w:val="00766F89"/>
    <w:rsid w:val="0076759E"/>
    <w:rsid w:val="00771DC8"/>
    <w:rsid w:val="00772415"/>
    <w:rsid w:val="00774046"/>
    <w:rsid w:val="0077464A"/>
    <w:rsid w:val="007746AF"/>
    <w:rsid w:val="00776E20"/>
    <w:rsid w:val="00781C7D"/>
    <w:rsid w:val="00783AB2"/>
    <w:rsid w:val="00783BB4"/>
    <w:rsid w:val="00786E71"/>
    <w:rsid w:val="0078726B"/>
    <w:rsid w:val="00791DCD"/>
    <w:rsid w:val="007920F4"/>
    <w:rsid w:val="007A0396"/>
    <w:rsid w:val="007A12FA"/>
    <w:rsid w:val="007A2E58"/>
    <w:rsid w:val="007A704A"/>
    <w:rsid w:val="007B0542"/>
    <w:rsid w:val="007B0C5D"/>
    <w:rsid w:val="007B44F6"/>
    <w:rsid w:val="007B6DFC"/>
    <w:rsid w:val="007C0758"/>
    <w:rsid w:val="007C1E5A"/>
    <w:rsid w:val="007E18F2"/>
    <w:rsid w:val="007E1944"/>
    <w:rsid w:val="007E458E"/>
    <w:rsid w:val="007F4672"/>
    <w:rsid w:val="007F702D"/>
    <w:rsid w:val="00801485"/>
    <w:rsid w:val="00804F09"/>
    <w:rsid w:val="00811DFC"/>
    <w:rsid w:val="008160BD"/>
    <w:rsid w:val="00816628"/>
    <w:rsid w:val="008171BF"/>
    <w:rsid w:val="008177BE"/>
    <w:rsid w:val="00824500"/>
    <w:rsid w:val="00825ABE"/>
    <w:rsid w:val="00826403"/>
    <w:rsid w:val="008315CD"/>
    <w:rsid w:val="008316B4"/>
    <w:rsid w:val="00831CC2"/>
    <w:rsid w:val="00841062"/>
    <w:rsid w:val="0084447D"/>
    <w:rsid w:val="00844E93"/>
    <w:rsid w:val="0084715F"/>
    <w:rsid w:val="00850DE8"/>
    <w:rsid w:val="00851924"/>
    <w:rsid w:val="008563C8"/>
    <w:rsid w:val="00856B72"/>
    <w:rsid w:val="00864A5D"/>
    <w:rsid w:val="00866E9A"/>
    <w:rsid w:val="008700E7"/>
    <w:rsid w:val="00872EF9"/>
    <w:rsid w:val="00873BC4"/>
    <w:rsid w:val="00877B0D"/>
    <w:rsid w:val="0088000D"/>
    <w:rsid w:val="008803DE"/>
    <w:rsid w:val="0088125A"/>
    <w:rsid w:val="00882044"/>
    <w:rsid w:val="0088209B"/>
    <w:rsid w:val="00884D61"/>
    <w:rsid w:val="008925BD"/>
    <w:rsid w:val="00895560"/>
    <w:rsid w:val="00896082"/>
    <w:rsid w:val="00897DDC"/>
    <w:rsid w:val="008A0775"/>
    <w:rsid w:val="008A0DEC"/>
    <w:rsid w:val="008A532D"/>
    <w:rsid w:val="008A61D6"/>
    <w:rsid w:val="008A76AE"/>
    <w:rsid w:val="008B0FB1"/>
    <w:rsid w:val="008B1974"/>
    <w:rsid w:val="008B5337"/>
    <w:rsid w:val="008B7F9D"/>
    <w:rsid w:val="008C2DAB"/>
    <w:rsid w:val="008C3B42"/>
    <w:rsid w:val="008D02DF"/>
    <w:rsid w:val="008D178C"/>
    <w:rsid w:val="008D38D7"/>
    <w:rsid w:val="008D4F87"/>
    <w:rsid w:val="008D7003"/>
    <w:rsid w:val="008E1A25"/>
    <w:rsid w:val="008E4FE0"/>
    <w:rsid w:val="008E7372"/>
    <w:rsid w:val="008E74A8"/>
    <w:rsid w:val="008F1586"/>
    <w:rsid w:val="008F485A"/>
    <w:rsid w:val="008F4BA2"/>
    <w:rsid w:val="008F5839"/>
    <w:rsid w:val="0090086B"/>
    <w:rsid w:val="00904381"/>
    <w:rsid w:val="0090494B"/>
    <w:rsid w:val="00905D14"/>
    <w:rsid w:val="009143AB"/>
    <w:rsid w:val="00914507"/>
    <w:rsid w:val="0091700B"/>
    <w:rsid w:val="009210EF"/>
    <w:rsid w:val="00922437"/>
    <w:rsid w:val="009253A2"/>
    <w:rsid w:val="009254B4"/>
    <w:rsid w:val="00926109"/>
    <w:rsid w:val="00926AEB"/>
    <w:rsid w:val="0093048E"/>
    <w:rsid w:val="009357F5"/>
    <w:rsid w:val="0094558D"/>
    <w:rsid w:val="00947E31"/>
    <w:rsid w:val="00952AAE"/>
    <w:rsid w:val="00954888"/>
    <w:rsid w:val="009557BC"/>
    <w:rsid w:val="00957C5A"/>
    <w:rsid w:val="0096326E"/>
    <w:rsid w:val="009637DF"/>
    <w:rsid w:val="00965C1E"/>
    <w:rsid w:val="00966015"/>
    <w:rsid w:val="009672E3"/>
    <w:rsid w:val="009673FA"/>
    <w:rsid w:val="009675AA"/>
    <w:rsid w:val="009719DD"/>
    <w:rsid w:val="0097412B"/>
    <w:rsid w:val="009746FA"/>
    <w:rsid w:val="00975E62"/>
    <w:rsid w:val="009761CA"/>
    <w:rsid w:val="0097658D"/>
    <w:rsid w:val="00977DEA"/>
    <w:rsid w:val="00981535"/>
    <w:rsid w:val="00982CFA"/>
    <w:rsid w:val="00983D2B"/>
    <w:rsid w:val="00986E5C"/>
    <w:rsid w:val="00994347"/>
    <w:rsid w:val="0099497E"/>
    <w:rsid w:val="00994FE7"/>
    <w:rsid w:val="009A67C4"/>
    <w:rsid w:val="009B07EA"/>
    <w:rsid w:val="009B0C4A"/>
    <w:rsid w:val="009B0D3C"/>
    <w:rsid w:val="009B67F6"/>
    <w:rsid w:val="009B6EA3"/>
    <w:rsid w:val="009B7113"/>
    <w:rsid w:val="009C09FF"/>
    <w:rsid w:val="009C16EC"/>
    <w:rsid w:val="009C4F97"/>
    <w:rsid w:val="009C55DC"/>
    <w:rsid w:val="009C62D9"/>
    <w:rsid w:val="009C6D7F"/>
    <w:rsid w:val="009D2DF3"/>
    <w:rsid w:val="009D6413"/>
    <w:rsid w:val="009D7621"/>
    <w:rsid w:val="009E3872"/>
    <w:rsid w:val="009E3ACA"/>
    <w:rsid w:val="009E3F73"/>
    <w:rsid w:val="009E42B6"/>
    <w:rsid w:val="009E5AF6"/>
    <w:rsid w:val="009F41EF"/>
    <w:rsid w:val="00A00BBB"/>
    <w:rsid w:val="00A0195D"/>
    <w:rsid w:val="00A03939"/>
    <w:rsid w:val="00A069DE"/>
    <w:rsid w:val="00A07AB8"/>
    <w:rsid w:val="00A10799"/>
    <w:rsid w:val="00A10FCD"/>
    <w:rsid w:val="00A15538"/>
    <w:rsid w:val="00A16498"/>
    <w:rsid w:val="00A21324"/>
    <w:rsid w:val="00A24090"/>
    <w:rsid w:val="00A24FE3"/>
    <w:rsid w:val="00A3108F"/>
    <w:rsid w:val="00A31CA3"/>
    <w:rsid w:val="00A34E2E"/>
    <w:rsid w:val="00A36AB6"/>
    <w:rsid w:val="00A4271D"/>
    <w:rsid w:val="00A43460"/>
    <w:rsid w:val="00A438D8"/>
    <w:rsid w:val="00A4551C"/>
    <w:rsid w:val="00A46094"/>
    <w:rsid w:val="00A470F1"/>
    <w:rsid w:val="00A524BB"/>
    <w:rsid w:val="00A525A9"/>
    <w:rsid w:val="00A546E2"/>
    <w:rsid w:val="00A557F6"/>
    <w:rsid w:val="00A60991"/>
    <w:rsid w:val="00A6110B"/>
    <w:rsid w:val="00A62905"/>
    <w:rsid w:val="00A66BFD"/>
    <w:rsid w:val="00A677CA"/>
    <w:rsid w:val="00A7370E"/>
    <w:rsid w:val="00A74C91"/>
    <w:rsid w:val="00A775A4"/>
    <w:rsid w:val="00A77B7F"/>
    <w:rsid w:val="00A77F2F"/>
    <w:rsid w:val="00A834E9"/>
    <w:rsid w:val="00A83DAE"/>
    <w:rsid w:val="00A90E68"/>
    <w:rsid w:val="00A91C20"/>
    <w:rsid w:val="00A959AF"/>
    <w:rsid w:val="00AA26EF"/>
    <w:rsid w:val="00AA4329"/>
    <w:rsid w:val="00AA4B01"/>
    <w:rsid w:val="00AA580F"/>
    <w:rsid w:val="00AB168E"/>
    <w:rsid w:val="00AB37A9"/>
    <w:rsid w:val="00AC1EFD"/>
    <w:rsid w:val="00AC5AA6"/>
    <w:rsid w:val="00AD2188"/>
    <w:rsid w:val="00AD257B"/>
    <w:rsid w:val="00AD2DF5"/>
    <w:rsid w:val="00AD4143"/>
    <w:rsid w:val="00AD509B"/>
    <w:rsid w:val="00AD5D1B"/>
    <w:rsid w:val="00AD6337"/>
    <w:rsid w:val="00AD6D1E"/>
    <w:rsid w:val="00AE4506"/>
    <w:rsid w:val="00AF4E5B"/>
    <w:rsid w:val="00AF785E"/>
    <w:rsid w:val="00B023A6"/>
    <w:rsid w:val="00B0605A"/>
    <w:rsid w:val="00B06C26"/>
    <w:rsid w:val="00B11AA0"/>
    <w:rsid w:val="00B125D4"/>
    <w:rsid w:val="00B128E0"/>
    <w:rsid w:val="00B130EB"/>
    <w:rsid w:val="00B154B4"/>
    <w:rsid w:val="00B161EA"/>
    <w:rsid w:val="00B2035F"/>
    <w:rsid w:val="00B23058"/>
    <w:rsid w:val="00B2434D"/>
    <w:rsid w:val="00B279BF"/>
    <w:rsid w:val="00B36F86"/>
    <w:rsid w:val="00B447E7"/>
    <w:rsid w:val="00B45EB3"/>
    <w:rsid w:val="00B51311"/>
    <w:rsid w:val="00B519FB"/>
    <w:rsid w:val="00B55E9B"/>
    <w:rsid w:val="00B56AC3"/>
    <w:rsid w:val="00B56D77"/>
    <w:rsid w:val="00B57B05"/>
    <w:rsid w:val="00B6394D"/>
    <w:rsid w:val="00B639DB"/>
    <w:rsid w:val="00B700A8"/>
    <w:rsid w:val="00B742DD"/>
    <w:rsid w:val="00B7580A"/>
    <w:rsid w:val="00B75B21"/>
    <w:rsid w:val="00B76ACC"/>
    <w:rsid w:val="00B7761B"/>
    <w:rsid w:val="00B83548"/>
    <w:rsid w:val="00B90454"/>
    <w:rsid w:val="00B93DDB"/>
    <w:rsid w:val="00B97D53"/>
    <w:rsid w:val="00BA028B"/>
    <w:rsid w:val="00BA2991"/>
    <w:rsid w:val="00BA516A"/>
    <w:rsid w:val="00BB21A1"/>
    <w:rsid w:val="00BB343F"/>
    <w:rsid w:val="00BB4A56"/>
    <w:rsid w:val="00BB6319"/>
    <w:rsid w:val="00BB6655"/>
    <w:rsid w:val="00BB6ED0"/>
    <w:rsid w:val="00BB7CE2"/>
    <w:rsid w:val="00BC0F72"/>
    <w:rsid w:val="00BC1DF7"/>
    <w:rsid w:val="00BC3DE6"/>
    <w:rsid w:val="00BC556C"/>
    <w:rsid w:val="00BC63D8"/>
    <w:rsid w:val="00BD40C8"/>
    <w:rsid w:val="00BD44CD"/>
    <w:rsid w:val="00BE0C37"/>
    <w:rsid w:val="00BE6B8D"/>
    <w:rsid w:val="00BF4D4E"/>
    <w:rsid w:val="00BF64FD"/>
    <w:rsid w:val="00C116D0"/>
    <w:rsid w:val="00C11E87"/>
    <w:rsid w:val="00C14AF9"/>
    <w:rsid w:val="00C15196"/>
    <w:rsid w:val="00C15BDE"/>
    <w:rsid w:val="00C1746D"/>
    <w:rsid w:val="00C224FA"/>
    <w:rsid w:val="00C23FEA"/>
    <w:rsid w:val="00C2458A"/>
    <w:rsid w:val="00C260BA"/>
    <w:rsid w:val="00C3137D"/>
    <w:rsid w:val="00C3601C"/>
    <w:rsid w:val="00C363AD"/>
    <w:rsid w:val="00C3764F"/>
    <w:rsid w:val="00C430E8"/>
    <w:rsid w:val="00C43F2A"/>
    <w:rsid w:val="00C474AD"/>
    <w:rsid w:val="00C56D1B"/>
    <w:rsid w:val="00C56EA5"/>
    <w:rsid w:val="00C57685"/>
    <w:rsid w:val="00C610A6"/>
    <w:rsid w:val="00C621F9"/>
    <w:rsid w:val="00C635EF"/>
    <w:rsid w:val="00C653AF"/>
    <w:rsid w:val="00C7159F"/>
    <w:rsid w:val="00C72113"/>
    <w:rsid w:val="00C76E39"/>
    <w:rsid w:val="00C82022"/>
    <w:rsid w:val="00C86E88"/>
    <w:rsid w:val="00C93567"/>
    <w:rsid w:val="00C94E62"/>
    <w:rsid w:val="00C97253"/>
    <w:rsid w:val="00CA0541"/>
    <w:rsid w:val="00CA2FF6"/>
    <w:rsid w:val="00CA3B4C"/>
    <w:rsid w:val="00CA4458"/>
    <w:rsid w:val="00CB1767"/>
    <w:rsid w:val="00CB48B0"/>
    <w:rsid w:val="00CB7B38"/>
    <w:rsid w:val="00CC34A4"/>
    <w:rsid w:val="00CC3A1A"/>
    <w:rsid w:val="00CC5619"/>
    <w:rsid w:val="00CC6409"/>
    <w:rsid w:val="00CC74B0"/>
    <w:rsid w:val="00CD1C49"/>
    <w:rsid w:val="00CD3D29"/>
    <w:rsid w:val="00CD728E"/>
    <w:rsid w:val="00CE0476"/>
    <w:rsid w:val="00CE15FD"/>
    <w:rsid w:val="00CE38F4"/>
    <w:rsid w:val="00CE5E44"/>
    <w:rsid w:val="00CF1A82"/>
    <w:rsid w:val="00CF458F"/>
    <w:rsid w:val="00CF7366"/>
    <w:rsid w:val="00D019AE"/>
    <w:rsid w:val="00D03926"/>
    <w:rsid w:val="00D03B85"/>
    <w:rsid w:val="00D0471F"/>
    <w:rsid w:val="00D06E74"/>
    <w:rsid w:val="00D07D28"/>
    <w:rsid w:val="00D13AD3"/>
    <w:rsid w:val="00D15E8E"/>
    <w:rsid w:val="00D20540"/>
    <w:rsid w:val="00D20F57"/>
    <w:rsid w:val="00D23C86"/>
    <w:rsid w:val="00D242D3"/>
    <w:rsid w:val="00D2566E"/>
    <w:rsid w:val="00D311A3"/>
    <w:rsid w:val="00D31B94"/>
    <w:rsid w:val="00D3220E"/>
    <w:rsid w:val="00D44B69"/>
    <w:rsid w:val="00D450EE"/>
    <w:rsid w:val="00D45CA4"/>
    <w:rsid w:val="00D47826"/>
    <w:rsid w:val="00D50649"/>
    <w:rsid w:val="00D50F5F"/>
    <w:rsid w:val="00D521FB"/>
    <w:rsid w:val="00D52837"/>
    <w:rsid w:val="00D5686E"/>
    <w:rsid w:val="00D57F51"/>
    <w:rsid w:val="00D61895"/>
    <w:rsid w:val="00D63EC0"/>
    <w:rsid w:val="00D64C16"/>
    <w:rsid w:val="00D676F4"/>
    <w:rsid w:val="00D67768"/>
    <w:rsid w:val="00D704EE"/>
    <w:rsid w:val="00D70DFB"/>
    <w:rsid w:val="00D72E30"/>
    <w:rsid w:val="00D7346A"/>
    <w:rsid w:val="00D74D74"/>
    <w:rsid w:val="00D75E94"/>
    <w:rsid w:val="00D76F52"/>
    <w:rsid w:val="00D804A5"/>
    <w:rsid w:val="00D807BC"/>
    <w:rsid w:val="00D840F1"/>
    <w:rsid w:val="00D8551B"/>
    <w:rsid w:val="00D9171A"/>
    <w:rsid w:val="00D91AB1"/>
    <w:rsid w:val="00D94804"/>
    <w:rsid w:val="00D94EC6"/>
    <w:rsid w:val="00D95EC2"/>
    <w:rsid w:val="00DA04B4"/>
    <w:rsid w:val="00DA11A2"/>
    <w:rsid w:val="00DA1A86"/>
    <w:rsid w:val="00DA5C07"/>
    <w:rsid w:val="00DB1D94"/>
    <w:rsid w:val="00DB2563"/>
    <w:rsid w:val="00DB4509"/>
    <w:rsid w:val="00DB4C17"/>
    <w:rsid w:val="00DB4D51"/>
    <w:rsid w:val="00DC0CB6"/>
    <w:rsid w:val="00DC0E17"/>
    <w:rsid w:val="00DC175D"/>
    <w:rsid w:val="00DC1F28"/>
    <w:rsid w:val="00DC69B1"/>
    <w:rsid w:val="00DC6EEE"/>
    <w:rsid w:val="00DD4BF9"/>
    <w:rsid w:val="00DD5944"/>
    <w:rsid w:val="00DD5CF8"/>
    <w:rsid w:val="00DE1F3A"/>
    <w:rsid w:val="00DE692F"/>
    <w:rsid w:val="00DF0667"/>
    <w:rsid w:val="00DF089B"/>
    <w:rsid w:val="00DF3411"/>
    <w:rsid w:val="00E013ED"/>
    <w:rsid w:val="00E036B5"/>
    <w:rsid w:val="00E0396D"/>
    <w:rsid w:val="00E0484C"/>
    <w:rsid w:val="00E04C61"/>
    <w:rsid w:val="00E04FE3"/>
    <w:rsid w:val="00E06AE2"/>
    <w:rsid w:val="00E06C6F"/>
    <w:rsid w:val="00E108CB"/>
    <w:rsid w:val="00E10ABD"/>
    <w:rsid w:val="00E1252E"/>
    <w:rsid w:val="00E12955"/>
    <w:rsid w:val="00E12F68"/>
    <w:rsid w:val="00E1528A"/>
    <w:rsid w:val="00E16487"/>
    <w:rsid w:val="00E17813"/>
    <w:rsid w:val="00E21CD2"/>
    <w:rsid w:val="00E22A83"/>
    <w:rsid w:val="00E2701E"/>
    <w:rsid w:val="00E2723B"/>
    <w:rsid w:val="00E272F9"/>
    <w:rsid w:val="00E373F2"/>
    <w:rsid w:val="00E37E99"/>
    <w:rsid w:val="00E40B8B"/>
    <w:rsid w:val="00E43E72"/>
    <w:rsid w:val="00E4410C"/>
    <w:rsid w:val="00E4490D"/>
    <w:rsid w:val="00E50DE4"/>
    <w:rsid w:val="00E541BC"/>
    <w:rsid w:val="00E6182F"/>
    <w:rsid w:val="00E61A23"/>
    <w:rsid w:val="00E65192"/>
    <w:rsid w:val="00E65ED4"/>
    <w:rsid w:val="00E67138"/>
    <w:rsid w:val="00E70919"/>
    <w:rsid w:val="00E7373C"/>
    <w:rsid w:val="00E74B0F"/>
    <w:rsid w:val="00E821E1"/>
    <w:rsid w:val="00E875B8"/>
    <w:rsid w:val="00E87E7F"/>
    <w:rsid w:val="00E901FC"/>
    <w:rsid w:val="00E913EF"/>
    <w:rsid w:val="00E91FF9"/>
    <w:rsid w:val="00E94FE8"/>
    <w:rsid w:val="00E95A05"/>
    <w:rsid w:val="00E979B5"/>
    <w:rsid w:val="00EA0B80"/>
    <w:rsid w:val="00EB0D0D"/>
    <w:rsid w:val="00EB2295"/>
    <w:rsid w:val="00EB53D3"/>
    <w:rsid w:val="00EB6025"/>
    <w:rsid w:val="00EB70E0"/>
    <w:rsid w:val="00EB718D"/>
    <w:rsid w:val="00EB7246"/>
    <w:rsid w:val="00EC0FDB"/>
    <w:rsid w:val="00EC201E"/>
    <w:rsid w:val="00EC509B"/>
    <w:rsid w:val="00ED0481"/>
    <w:rsid w:val="00ED1040"/>
    <w:rsid w:val="00ED3498"/>
    <w:rsid w:val="00ED6658"/>
    <w:rsid w:val="00EE3053"/>
    <w:rsid w:val="00EE4532"/>
    <w:rsid w:val="00EE53F7"/>
    <w:rsid w:val="00EE633B"/>
    <w:rsid w:val="00EF059B"/>
    <w:rsid w:val="00EF21A9"/>
    <w:rsid w:val="00EF2FB6"/>
    <w:rsid w:val="00EF4934"/>
    <w:rsid w:val="00EF6774"/>
    <w:rsid w:val="00EF75EA"/>
    <w:rsid w:val="00F0193E"/>
    <w:rsid w:val="00F02389"/>
    <w:rsid w:val="00F03542"/>
    <w:rsid w:val="00F0403C"/>
    <w:rsid w:val="00F04369"/>
    <w:rsid w:val="00F07D1E"/>
    <w:rsid w:val="00F07FF5"/>
    <w:rsid w:val="00F10E7E"/>
    <w:rsid w:val="00F11D8E"/>
    <w:rsid w:val="00F12D79"/>
    <w:rsid w:val="00F17573"/>
    <w:rsid w:val="00F179A0"/>
    <w:rsid w:val="00F20FE0"/>
    <w:rsid w:val="00F21A64"/>
    <w:rsid w:val="00F26129"/>
    <w:rsid w:val="00F30018"/>
    <w:rsid w:val="00F32F31"/>
    <w:rsid w:val="00F35A73"/>
    <w:rsid w:val="00F40B71"/>
    <w:rsid w:val="00F4267A"/>
    <w:rsid w:val="00F45B95"/>
    <w:rsid w:val="00F476B3"/>
    <w:rsid w:val="00F53B5F"/>
    <w:rsid w:val="00F567D1"/>
    <w:rsid w:val="00F574F6"/>
    <w:rsid w:val="00F6030D"/>
    <w:rsid w:val="00F61191"/>
    <w:rsid w:val="00F611CA"/>
    <w:rsid w:val="00F639C5"/>
    <w:rsid w:val="00F67FB5"/>
    <w:rsid w:val="00F705C1"/>
    <w:rsid w:val="00F73F67"/>
    <w:rsid w:val="00F74AAE"/>
    <w:rsid w:val="00F77DE4"/>
    <w:rsid w:val="00F825C6"/>
    <w:rsid w:val="00F86554"/>
    <w:rsid w:val="00F90E11"/>
    <w:rsid w:val="00F92040"/>
    <w:rsid w:val="00F9321A"/>
    <w:rsid w:val="00F944A6"/>
    <w:rsid w:val="00F96078"/>
    <w:rsid w:val="00FA1719"/>
    <w:rsid w:val="00FA4A0F"/>
    <w:rsid w:val="00FA5BD4"/>
    <w:rsid w:val="00FA6BF9"/>
    <w:rsid w:val="00FB14EA"/>
    <w:rsid w:val="00FB1877"/>
    <w:rsid w:val="00FB2F44"/>
    <w:rsid w:val="00FC0067"/>
    <w:rsid w:val="00FC0588"/>
    <w:rsid w:val="00FC1023"/>
    <w:rsid w:val="00FC1900"/>
    <w:rsid w:val="00FC36D3"/>
    <w:rsid w:val="00FC3E90"/>
    <w:rsid w:val="00FC3FF6"/>
    <w:rsid w:val="00FC4271"/>
    <w:rsid w:val="00FC7223"/>
    <w:rsid w:val="00FC72AE"/>
    <w:rsid w:val="00FD3419"/>
    <w:rsid w:val="00FD5AAE"/>
    <w:rsid w:val="00FD71F5"/>
    <w:rsid w:val="00FE143F"/>
    <w:rsid w:val="00FE19E3"/>
    <w:rsid w:val="00FE35B9"/>
    <w:rsid w:val="00FE59CF"/>
    <w:rsid w:val="00FE5FD0"/>
    <w:rsid w:val="00FE65F7"/>
    <w:rsid w:val="00FF1173"/>
    <w:rsid w:val="00FF202E"/>
    <w:rsid w:val="00FF30B4"/>
    <w:rsid w:val="00FF76D3"/>
    <w:rsid w:val="00FF7A7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5EB068"/>
  <w15:docId w15:val="{BD696136-FFE0-4127-9FD6-AEA269BEF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F7763"/>
    <w:pPr>
      <w:widowControl w:val="0"/>
      <w:ind w:firstLineChars="200" w:firstLine="200"/>
      <w:jc w:val="both"/>
    </w:pPr>
    <w:rPr>
      <w:rFonts w:ascii="Times New Roman" w:eastAsia="宋体" w:hAnsi="Times New Roman"/>
    </w:rPr>
  </w:style>
  <w:style w:type="paragraph" w:styleId="1">
    <w:name w:val="heading 1"/>
    <w:basedOn w:val="a"/>
    <w:next w:val="a"/>
    <w:link w:val="10"/>
    <w:uiPriority w:val="9"/>
    <w:qFormat/>
    <w:rsid w:val="00A3108F"/>
    <w:pPr>
      <w:numPr>
        <w:numId w:val="24"/>
      </w:numPr>
      <w:spacing w:before="120" w:after="120" w:line="240" w:lineRule="atLeast"/>
      <w:ind w:firstLineChars="0"/>
      <w:outlineLvl w:val="0"/>
    </w:pPr>
    <w:rPr>
      <w:b/>
      <w:bCs/>
      <w:kern w:val="44"/>
      <w:sz w:val="24"/>
      <w:szCs w:val="44"/>
    </w:rPr>
  </w:style>
  <w:style w:type="paragraph" w:styleId="2">
    <w:name w:val="heading 2"/>
    <w:basedOn w:val="a"/>
    <w:next w:val="a"/>
    <w:link w:val="20"/>
    <w:uiPriority w:val="9"/>
    <w:unhideWhenUsed/>
    <w:qFormat/>
    <w:rsid w:val="00A3108F"/>
    <w:pPr>
      <w:numPr>
        <w:ilvl w:val="1"/>
        <w:numId w:val="24"/>
      </w:numPr>
      <w:spacing w:before="60" w:after="60" w:line="240" w:lineRule="atLeast"/>
      <w:ind w:firstLineChars="0"/>
      <w:outlineLvl w:val="1"/>
    </w:pPr>
    <w:rPr>
      <w:rFonts w:cstheme="majorBidi"/>
      <w:b/>
      <w:bCs/>
      <w:szCs w:val="32"/>
    </w:rPr>
  </w:style>
  <w:style w:type="paragraph" w:styleId="3">
    <w:name w:val="heading 3"/>
    <w:basedOn w:val="a"/>
    <w:next w:val="a"/>
    <w:link w:val="30"/>
    <w:uiPriority w:val="9"/>
    <w:unhideWhenUsed/>
    <w:qFormat/>
    <w:rsid w:val="00873BC4"/>
    <w:pPr>
      <w:keepNext/>
      <w:keepLines/>
      <w:numPr>
        <w:ilvl w:val="2"/>
        <w:numId w:val="24"/>
      </w:numPr>
      <w:ind w:firstLineChars="0"/>
      <w:outlineLvl w:val="2"/>
    </w:pPr>
    <w:rPr>
      <w:b/>
      <w:bCs/>
      <w:szCs w:val="32"/>
    </w:rPr>
  </w:style>
  <w:style w:type="paragraph" w:styleId="4">
    <w:name w:val="heading 4"/>
    <w:basedOn w:val="a"/>
    <w:next w:val="a"/>
    <w:link w:val="40"/>
    <w:uiPriority w:val="9"/>
    <w:semiHidden/>
    <w:unhideWhenUsed/>
    <w:qFormat/>
    <w:rsid w:val="003C3DAD"/>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tyle6">
    <w:name w:val="style6"/>
    <w:basedOn w:val="a0"/>
    <w:rsid w:val="00652A1C"/>
  </w:style>
  <w:style w:type="character" w:styleId="a3">
    <w:name w:val="Strong"/>
    <w:basedOn w:val="a0"/>
    <w:uiPriority w:val="22"/>
    <w:qFormat/>
    <w:rsid w:val="00652A1C"/>
    <w:rPr>
      <w:b/>
      <w:bCs/>
    </w:rPr>
  </w:style>
  <w:style w:type="character" w:styleId="a4">
    <w:name w:val="Emphasis"/>
    <w:basedOn w:val="a0"/>
    <w:uiPriority w:val="20"/>
    <w:qFormat/>
    <w:rsid w:val="00652A1C"/>
    <w:rPr>
      <w:i/>
      <w:iCs/>
    </w:rPr>
  </w:style>
  <w:style w:type="paragraph" w:styleId="a5">
    <w:name w:val="footer"/>
    <w:basedOn w:val="a"/>
    <w:link w:val="a6"/>
    <w:uiPriority w:val="99"/>
    <w:unhideWhenUsed/>
    <w:rsid w:val="00652A1C"/>
    <w:pPr>
      <w:spacing w:before="100" w:beforeAutospacing="1" w:after="100" w:afterAutospacing="1"/>
      <w:jc w:val="left"/>
    </w:pPr>
    <w:rPr>
      <w:rFonts w:ascii="宋体" w:hAnsi="宋体" w:cs="宋体"/>
      <w:kern w:val="0"/>
      <w:sz w:val="24"/>
      <w:szCs w:val="24"/>
    </w:rPr>
  </w:style>
  <w:style w:type="character" w:customStyle="1" w:styleId="a6">
    <w:name w:val="页脚 字符"/>
    <w:basedOn w:val="a0"/>
    <w:link w:val="a5"/>
    <w:uiPriority w:val="99"/>
    <w:rsid w:val="00652A1C"/>
    <w:rPr>
      <w:rFonts w:ascii="宋体" w:eastAsia="宋体" w:hAnsi="宋体" w:cs="宋体"/>
      <w:kern w:val="0"/>
      <w:sz w:val="24"/>
      <w:szCs w:val="24"/>
    </w:rPr>
  </w:style>
  <w:style w:type="paragraph" w:styleId="a7">
    <w:name w:val="header"/>
    <w:basedOn w:val="a"/>
    <w:link w:val="a8"/>
    <w:uiPriority w:val="99"/>
    <w:unhideWhenUsed/>
    <w:rsid w:val="00450015"/>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rsid w:val="00450015"/>
    <w:rPr>
      <w:sz w:val="18"/>
      <w:szCs w:val="18"/>
    </w:rPr>
  </w:style>
  <w:style w:type="paragraph" w:styleId="a9">
    <w:name w:val="footnote text"/>
    <w:basedOn w:val="a"/>
    <w:link w:val="aa"/>
    <w:uiPriority w:val="99"/>
    <w:semiHidden/>
    <w:unhideWhenUsed/>
    <w:rsid w:val="00B56AC3"/>
    <w:pPr>
      <w:snapToGrid w:val="0"/>
      <w:jc w:val="left"/>
    </w:pPr>
    <w:rPr>
      <w:sz w:val="18"/>
      <w:szCs w:val="18"/>
    </w:rPr>
  </w:style>
  <w:style w:type="character" w:customStyle="1" w:styleId="aa">
    <w:name w:val="脚注文本 字符"/>
    <w:basedOn w:val="a0"/>
    <w:link w:val="a9"/>
    <w:uiPriority w:val="99"/>
    <w:semiHidden/>
    <w:rsid w:val="00B56AC3"/>
    <w:rPr>
      <w:sz w:val="18"/>
      <w:szCs w:val="18"/>
    </w:rPr>
  </w:style>
  <w:style w:type="character" w:styleId="ab">
    <w:name w:val="footnote reference"/>
    <w:basedOn w:val="a0"/>
    <w:uiPriority w:val="99"/>
    <w:semiHidden/>
    <w:unhideWhenUsed/>
    <w:rsid w:val="00B56AC3"/>
    <w:rPr>
      <w:vertAlign w:val="superscript"/>
    </w:rPr>
  </w:style>
  <w:style w:type="paragraph" w:styleId="ac">
    <w:name w:val="Balloon Text"/>
    <w:basedOn w:val="a"/>
    <w:link w:val="ad"/>
    <w:uiPriority w:val="99"/>
    <w:semiHidden/>
    <w:unhideWhenUsed/>
    <w:rsid w:val="00F476B3"/>
    <w:rPr>
      <w:sz w:val="18"/>
      <w:szCs w:val="18"/>
    </w:rPr>
  </w:style>
  <w:style w:type="character" w:customStyle="1" w:styleId="ad">
    <w:name w:val="批注框文本 字符"/>
    <w:basedOn w:val="a0"/>
    <w:link w:val="ac"/>
    <w:uiPriority w:val="99"/>
    <w:semiHidden/>
    <w:rsid w:val="00F476B3"/>
    <w:rPr>
      <w:sz w:val="18"/>
      <w:szCs w:val="18"/>
    </w:rPr>
  </w:style>
  <w:style w:type="paragraph" w:styleId="ae">
    <w:name w:val="List Paragraph"/>
    <w:basedOn w:val="a"/>
    <w:uiPriority w:val="34"/>
    <w:qFormat/>
    <w:rsid w:val="00CA0541"/>
    <w:pPr>
      <w:ind w:firstLine="420"/>
    </w:pPr>
  </w:style>
  <w:style w:type="character" w:styleId="af">
    <w:name w:val="Hyperlink"/>
    <w:basedOn w:val="a0"/>
    <w:uiPriority w:val="99"/>
    <w:unhideWhenUsed/>
    <w:rsid w:val="00B639DB"/>
    <w:rPr>
      <w:color w:val="0000FF"/>
      <w:u w:val="single"/>
    </w:rPr>
  </w:style>
  <w:style w:type="paragraph" w:styleId="af0">
    <w:name w:val="No Spacing"/>
    <w:uiPriority w:val="1"/>
    <w:qFormat/>
    <w:rsid w:val="00005175"/>
    <w:pPr>
      <w:widowControl w:val="0"/>
      <w:jc w:val="both"/>
    </w:pPr>
  </w:style>
  <w:style w:type="character" w:styleId="af1">
    <w:name w:val="FollowedHyperlink"/>
    <w:basedOn w:val="a0"/>
    <w:uiPriority w:val="99"/>
    <w:semiHidden/>
    <w:unhideWhenUsed/>
    <w:rsid w:val="002D29E6"/>
    <w:rPr>
      <w:color w:val="800080" w:themeColor="followedHyperlink"/>
      <w:u w:val="single"/>
    </w:rPr>
  </w:style>
  <w:style w:type="character" w:customStyle="1" w:styleId="10">
    <w:name w:val="标题 1 字符"/>
    <w:basedOn w:val="a0"/>
    <w:link w:val="1"/>
    <w:uiPriority w:val="9"/>
    <w:rsid w:val="00A3108F"/>
    <w:rPr>
      <w:rFonts w:ascii="Times New Roman" w:eastAsia="宋体" w:hAnsi="Times New Roman"/>
      <w:b/>
      <w:bCs/>
      <w:kern w:val="44"/>
      <w:sz w:val="24"/>
      <w:szCs w:val="44"/>
    </w:rPr>
  </w:style>
  <w:style w:type="character" w:customStyle="1" w:styleId="20">
    <w:name w:val="标题 2 字符"/>
    <w:basedOn w:val="a0"/>
    <w:link w:val="2"/>
    <w:uiPriority w:val="9"/>
    <w:rsid w:val="00A3108F"/>
    <w:rPr>
      <w:rFonts w:ascii="Times New Roman" w:eastAsia="宋体" w:hAnsi="Times New Roman" w:cstheme="majorBidi"/>
      <w:b/>
      <w:bCs/>
      <w:szCs w:val="32"/>
    </w:rPr>
  </w:style>
  <w:style w:type="paragraph" w:customStyle="1" w:styleId="11">
    <w:name w:val="列出段落1"/>
    <w:basedOn w:val="a"/>
    <w:rsid w:val="00A16498"/>
    <w:pPr>
      <w:ind w:firstLine="420"/>
    </w:pPr>
    <w:rPr>
      <w:rFonts w:cs="Arial"/>
      <w:kern w:val="0"/>
      <w:sz w:val="24"/>
      <w:szCs w:val="24"/>
    </w:rPr>
  </w:style>
  <w:style w:type="character" w:customStyle="1" w:styleId="12">
    <w:name w:val="未处理的提及1"/>
    <w:basedOn w:val="a0"/>
    <w:uiPriority w:val="99"/>
    <w:semiHidden/>
    <w:unhideWhenUsed/>
    <w:rsid w:val="00D5686E"/>
    <w:rPr>
      <w:color w:val="808080"/>
      <w:shd w:val="clear" w:color="auto" w:fill="E6E6E6"/>
    </w:rPr>
  </w:style>
  <w:style w:type="table" w:styleId="af2">
    <w:name w:val="Table Grid"/>
    <w:basedOn w:val="a1"/>
    <w:uiPriority w:val="39"/>
    <w:rsid w:val="008A0DEC"/>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320965"/>
  </w:style>
  <w:style w:type="character" w:styleId="af3">
    <w:name w:val="Placeholder Text"/>
    <w:basedOn w:val="a0"/>
    <w:uiPriority w:val="99"/>
    <w:semiHidden/>
    <w:rsid w:val="002D41C8"/>
    <w:rPr>
      <w:color w:val="808080"/>
    </w:rPr>
  </w:style>
  <w:style w:type="character" w:styleId="af4">
    <w:name w:val="annotation reference"/>
    <w:basedOn w:val="a0"/>
    <w:uiPriority w:val="99"/>
    <w:semiHidden/>
    <w:unhideWhenUsed/>
    <w:rsid w:val="007746AF"/>
    <w:rPr>
      <w:sz w:val="21"/>
      <w:szCs w:val="21"/>
    </w:rPr>
  </w:style>
  <w:style w:type="paragraph" w:styleId="af5">
    <w:name w:val="annotation text"/>
    <w:basedOn w:val="a"/>
    <w:link w:val="af6"/>
    <w:uiPriority w:val="99"/>
    <w:unhideWhenUsed/>
    <w:rsid w:val="007746AF"/>
    <w:pPr>
      <w:jc w:val="left"/>
    </w:pPr>
  </w:style>
  <w:style w:type="character" w:customStyle="1" w:styleId="af6">
    <w:name w:val="批注文字 字符"/>
    <w:basedOn w:val="a0"/>
    <w:link w:val="af5"/>
    <w:uiPriority w:val="99"/>
    <w:rsid w:val="007746AF"/>
  </w:style>
  <w:style w:type="paragraph" w:styleId="af7">
    <w:name w:val="annotation subject"/>
    <w:basedOn w:val="af5"/>
    <w:next w:val="af5"/>
    <w:link w:val="af8"/>
    <w:uiPriority w:val="99"/>
    <w:semiHidden/>
    <w:unhideWhenUsed/>
    <w:rsid w:val="007746AF"/>
    <w:rPr>
      <w:b/>
      <w:bCs/>
    </w:rPr>
  </w:style>
  <w:style w:type="character" w:customStyle="1" w:styleId="af8">
    <w:name w:val="批注主题 字符"/>
    <w:basedOn w:val="af6"/>
    <w:link w:val="af7"/>
    <w:uiPriority w:val="99"/>
    <w:semiHidden/>
    <w:rsid w:val="007746AF"/>
    <w:rPr>
      <w:b/>
      <w:bCs/>
    </w:rPr>
  </w:style>
  <w:style w:type="character" w:customStyle="1" w:styleId="40">
    <w:name w:val="标题 4 字符"/>
    <w:basedOn w:val="a0"/>
    <w:link w:val="4"/>
    <w:uiPriority w:val="9"/>
    <w:semiHidden/>
    <w:rsid w:val="003C3DAD"/>
    <w:rPr>
      <w:rFonts w:asciiTheme="majorHAnsi" w:eastAsiaTheme="majorEastAsia" w:hAnsiTheme="majorHAnsi" w:cstheme="majorBidi"/>
      <w:b/>
      <w:bCs/>
      <w:sz w:val="28"/>
      <w:szCs w:val="28"/>
    </w:rPr>
  </w:style>
  <w:style w:type="character" w:customStyle="1" w:styleId="21">
    <w:name w:val="未处理的提及2"/>
    <w:basedOn w:val="a0"/>
    <w:uiPriority w:val="99"/>
    <w:semiHidden/>
    <w:unhideWhenUsed/>
    <w:rsid w:val="00B97D53"/>
    <w:rPr>
      <w:color w:val="605E5C"/>
      <w:shd w:val="clear" w:color="auto" w:fill="E1DFDD"/>
    </w:rPr>
  </w:style>
  <w:style w:type="paragraph" w:customStyle="1" w:styleId="Default">
    <w:name w:val="Default"/>
    <w:rsid w:val="009C6D7F"/>
    <w:pPr>
      <w:widowControl w:val="0"/>
      <w:autoSpaceDE w:val="0"/>
      <w:autoSpaceDN w:val="0"/>
      <w:adjustRightInd w:val="0"/>
    </w:pPr>
    <w:rPr>
      <w:rFonts w:ascii="宋体" w:eastAsia="宋体" w:hAnsi="Times New Roman" w:cs="宋体"/>
      <w:color w:val="000000"/>
      <w:kern w:val="0"/>
      <w:sz w:val="24"/>
      <w:szCs w:val="24"/>
    </w:rPr>
  </w:style>
  <w:style w:type="paragraph" w:customStyle="1" w:styleId="af9">
    <w:name w:val="表"/>
    <w:basedOn w:val="afa"/>
    <w:qFormat/>
    <w:rsid w:val="009C6D7F"/>
    <w:pPr>
      <w:spacing w:before="240" w:after="120"/>
    </w:pPr>
    <w:rPr>
      <w:rFonts w:cs="Times New Roman"/>
      <w:sz w:val="22"/>
      <w:lang w:val="x-none" w:eastAsia="x-none"/>
    </w:rPr>
  </w:style>
  <w:style w:type="paragraph" w:styleId="afa">
    <w:name w:val="caption"/>
    <w:basedOn w:val="a"/>
    <w:next w:val="a"/>
    <w:link w:val="afb"/>
    <w:uiPriority w:val="35"/>
    <w:unhideWhenUsed/>
    <w:qFormat/>
    <w:rsid w:val="00A3108F"/>
    <w:pPr>
      <w:spacing w:line="240" w:lineRule="atLeast"/>
      <w:ind w:firstLineChars="0" w:firstLine="0"/>
      <w:jc w:val="center"/>
    </w:pPr>
    <w:rPr>
      <w:rFonts w:cstheme="majorBidi"/>
      <w:szCs w:val="20"/>
    </w:rPr>
  </w:style>
  <w:style w:type="paragraph" w:customStyle="1" w:styleId="afc">
    <w:name w:val="表格样式"/>
    <w:qFormat/>
    <w:rsid w:val="009C6D7F"/>
    <w:pPr>
      <w:jc w:val="both"/>
    </w:pPr>
    <w:rPr>
      <w:rFonts w:ascii="宋体" w:eastAsia="宋体" w:hAnsi="宋体" w:cs="Times New Roman"/>
      <w:sz w:val="18"/>
      <w:szCs w:val="21"/>
    </w:rPr>
  </w:style>
  <w:style w:type="paragraph" w:customStyle="1" w:styleId="afd">
    <w:name w:val="中文表序样式"/>
    <w:basedOn w:val="a"/>
    <w:link w:val="Char"/>
    <w:rsid w:val="009C6D7F"/>
    <w:pPr>
      <w:jc w:val="center"/>
    </w:pPr>
    <w:rPr>
      <w:rFonts w:cs="Times New Roman"/>
      <w:b/>
      <w:sz w:val="18"/>
      <w:szCs w:val="18"/>
    </w:rPr>
  </w:style>
  <w:style w:type="character" w:customStyle="1" w:styleId="Char">
    <w:name w:val="中文表序样式 Char"/>
    <w:basedOn w:val="a0"/>
    <w:link w:val="afd"/>
    <w:rsid w:val="009C6D7F"/>
    <w:rPr>
      <w:rFonts w:ascii="Times New Roman" w:eastAsia="宋体" w:hAnsi="Times New Roman" w:cs="Times New Roman"/>
      <w:b/>
      <w:sz w:val="18"/>
      <w:szCs w:val="18"/>
    </w:rPr>
  </w:style>
  <w:style w:type="character" w:styleId="afe">
    <w:name w:val="Unresolved Mention"/>
    <w:basedOn w:val="a0"/>
    <w:uiPriority w:val="99"/>
    <w:semiHidden/>
    <w:unhideWhenUsed/>
    <w:rsid w:val="00E65192"/>
    <w:rPr>
      <w:color w:val="605E5C"/>
      <w:shd w:val="clear" w:color="auto" w:fill="E1DFDD"/>
    </w:rPr>
  </w:style>
  <w:style w:type="paragraph" w:styleId="aff">
    <w:name w:val="Bibliography"/>
    <w:basedOn w:val="a"/>
    <w:next w:val="a"/>
    <w:uiPriority w:val="37"/>
    <w:unhideWhenUsed/>
    <w:rsid w:val="00C57685"/>
    <w:pPr>
      <w:tabs>
        <w:tab w:val="left" w:pos="504"/>
      </w:tabs>
      <w:spacing w:line="240" w:lineRule="exact"/>
      <w:ind w:left="230" w:hangingChars="230" w:hanging="230"/>
    </w:pPr>
    <w:rPr>
      <w:sz w:val="18"/>
    </w:rPr>
  </w:style>
  <w:style w:type="character" w:customStyle="1" w:styleId="30">
    <w:name w:val="标题 3 字符"/>
    <w:basedOn w:val="a0"/>
    <w:link w:val="3"/>
    <w:uiPriority w:val="9"/>
    <w:rsid w:val="00873BC4"/>
    <w:rPr>
      <w:rFonts w:ascii="Times New Roman" w:eastAsia="宋体" w:hAnsi="Times New Roman"/>
      <w:b/>
      <w:bCs/>
      <w:szCs w:val="32"/>
    </w:rPr>
  </w:style>
  <w:style w:type="character" w:customStyle="1" w:styleId="afb">
    <w:name w:val="题注 字符"/>
    <w:link w:val="afa"/>
    <w:uiPriority w:val="35"/>
    <w:qFormat/>
    <w:rsid w:val="00A3108F"/>
    <w:rPr>
      <w:rFonts w:ascii="Times New Roman" w:eastAsia="宋体" w:hAnsi="Times New Roman" w:cstheme="majorBidi"/>
      <w:szCs w:val="20"/>
    </w:rPr>
  </w:style>
  <w:style w:type="table" w:styleId="22">
    <w:name w:val="Plain Table 2"/>
    <w:basedOn w:val="a1"/>
    <w:uiPriority w:val="42"/>
    <w:rsid w:val="00D07D28"/>
    <w:rPr>
      <w:kern w:val="0"/>
      <w:sz w:val="22"/>
    </w:rPr>
    <w:tblPr>
      <w:tblStyleRowBandSize w:val="1"/>
      <w:tblStyleColBandSize w:val="1"/>
      <w:tblBorders>
        <w:top w:val="single" w:sz="4" w:space="0" w:color="auto"/>
        <w:bottom w:val="single" w:sz="12" w:space="0" w:color="auto"/>
      </w:tblBorders>
    </w:tblPr>
    <w:tblStylePr w:type="firstRow">
      <w:rPr>
        <w:b/>
        <w:bCs/>
      </w:rPr>
      <w:tblPr/>
      <w:tcPr>
        <w:tcBorders>
          <w:top w:val="single" w:sz="12" w:space="0" w:color="auto"/>
          <w:bottom w:val="single" w:sz="4" w:space="0" w:color="auto"/>
        </w:tcBorders>
      </w:tcPr>
    </w:tblStylePr>
    <w:tblStylePr w:type="lastRow">
      <w:rPr>
        <w:b/>
        <w:bCs/>
      </w:rPr>
      <w:tblPr/>
      <w:tcPr>
        <w:tcBorders>
          <w:top w:val="single" w:sz="4" w:space="0" w:color="auto"/>
          <w:bottom w:val="single" w:sz="12" w:space="0" w:color="auto"/>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fontstyle01">
    <w:name w:val="fontstyle01"/>
    <w:basedOn w:val="a0"/>
    <w:rsid w:val="003E17F3"/>
    <w:rPr>
      <w:rFonts w:ascii="宋体" w:eastAsia="宋体" w:hAnsi="宋体" w:hint="eastAsia"/>
      <w:b w:val="0"/>
      <w:bCs w:val="0"/>
      <w:i w:val="0"/>
      <w:iCs w:val="0"/>
      <w:color w:val="000000"/>
      <w:sz w:val="22"/>
      <w:szCs w:val="22"/>
    </w:rPr>
  </w:style>
  <w:style w:type="character" w:customStyle="1" w:styleId="fontstyle11">
    <w:name w:val="fontstyle11"/>
    <w:basedOn w:val="a0"/>
    <w:rsid w:val="003E17F3"/>
    <w:rPr>
      <w:rFonts w:ascii="TimesNewRoman" w:hAnsi="TimesNewRoman" w:hint="default"/>
      <w:b w:val="0"/>
      <w:bCs w:val="0"/>
      <w:i w:val="0"/>
      <w:iCs w:val="0"/>
      <w:color w:val="000000"/>
      <w:sz w:val="22"/>
      <w:szCs w:val="22"/>
    </w:rPr>
  </w:style>
  <w:style w:type="paragraph" w:customStyle="1" w:styleId="aff0">
    <w:name w:val="假设"/>
    <w:basedOn w:val="a"/>
    <w:link w:val="aff1"/>
    <w:qFormat/>
    <w:rsid w:val="000132E7"/>
    <w:pPr>
      <w:adjustRightInd w:val="0"/>
      <w:snapToGrid w:val="0"/>
      <w:spacing w:before="120" w:after="120" w:line="400" w:lineRule="exact"/>
      <w:ind w:left="482" w:firstLineChars="0" w:firstLine="0"/>
    </w:pPr>
    <w:rPr>
      <w:b/>
      <w:kern w:val="24"/>
      <w:sz w:val="24"/>
    </w:rPr>
  </w:style>
  <w:style w:type="character" w:customStyle="1" w:styleId="aff1">
    <w:name w:val="假设 字符"/>
    <w:basedOn w:val="a0"/>
    <w:link w:val="aff0"/>
    <w:rsid w:val="000132E7"/>
    <w:rPr>
      <w:rFonts w:ascii="Times New Roman" w:eastAsia="宋体" w:hAnsi="Times New Roman"/>
      <w:b/>
      <w:kern w:val="24"/>
      <w:sz w:val="24"/>
    </w:rPr>
  </w:style>
  <w:style w:type="paragraph" w:customStyle="1" w:styleId="figure">
    <w:name w:val="figure"/>
    <w:basedOn w:val="a"/>
    <w:link w:val="figure0"/>
    <w:qFormat/>
    <w:rsid w:val="0027782D"/>
    <w:pPr>
      <w:keepNext/>
      <w:widowControl/>
      <w:adjustRightInd w:val="0"/>
      <w:snapToGrid w:val="0"/>
      <w:spacing w:beforeLines="50" w:before="50" w:line="240" w:lineRule="atLeast"/>
      <w:ind w:firstLineChars="0" w:firstLine="0"/>
      <w:jc w:val="center"/>
    </w:pPr>
    <w:rPr>
      <w:noProof/>
      <w:kern w:val="24"/>
      <w:sz w:val="24"/>
    </w:rPr>
  </w:style>
  <w:style w:type="character" w:customStyle="1" w:styleId="figure0">
    <w:name w:val="figure 字符"/>
    <w:basedOn w:val="a0"/>
    <w:link w:val="figure"/>
    <w:rsid w:val="0027782D"/>
    <w:rPr>
      <w:rFonts w:ascii="Times New Roman" w:eastAsia="宋体" w:hAnsi="Times New Roman"/>
      <w:noProof/>
      <w:kern w:val="24"/>
      <w:sz w:val="24"/>
    </w:rPr>
  </w:style>
  <w:style w:type="paragraph" w:customStyle="1" w:styleId="-">
    <w:name w:val="题注-图"/>
    <w:qFormat/>
    <w:rsid w:val="0027782D"/>
    <w:pPr>
      <w:spacing w:before="120" w:after="240"/>
      <w:jc w:val="center"/>
    </w:pPr>
    <w:rPr>
      <w:rFonts w:ascii="Times New Roman" w:eastAsia="宋体" w:hAnsi="Times New Roman" w:cstheme="majorBidi"/>
      <w:kern w:val="0"/>
      <w:sz w:val="22"/>
      <w:szCs w:val="20"/>
    </w:rPr>
  </w:style>
  <w:style w:type="paragraph" w:customStyle="1" w:styleId="-0">
    <w:name w:val="题注-表格"/>
    <w:basedOn w:val="a"/>
    <w:link w:val="-1"/>
    <w:qFormat/>
    <w:rsid w:val="00BB6319"/>
    <w:pPr>
      <w:keepNext/>
      <w:widowControl/>
      <w:spacing w:before="240" w:after="120"/>
      <w:ind w:firstLineChars="0" w:firstLine="0"/>
      <w:jc w:val="center"/>
    </w:pPr>
    <w:rPr>
      <w:rFonts w:cstheme="majorBidi"/>
      <w:kern w:val="24"/>
      <w:sz w:val="22"/>
      <w:szCs w:val="20"/>
    </w:rPr>
  </w:style>
  <w:style w:type="paragraph" w:customStyle="1" w:styleId="table">
    <w:name w:val="table"/>
    <w:basedOn w:val="a"/>
    <w:link w:val="table0"/>
    <w:qFormat/>
    <w:rsid w:val="00BB6319"/>
    <w:pPr>
      <w:adjustRightInd w:val="0"/>
      <w:snapToGrid w:val="0"/>
      <w:spacing w:before="60" w:after="60"/>
      <w:ind w:firstLineChars="0" w:firstLine="0"/>
      <w:jc w:val="center"/>
    </w:pPr>
    <w:rPr>
      <w:kern w:val="24"/>
      <w:sz w:val="22"/>
    </w:rPr>
  </w:style>
  <w:style w:type="character" w:customStyle="1" w:styleId="table0">
    <w:name w:val="table 字符"/>
    <w:basedOn w:val="a0"/>
    <w:link w:val="table"/>
    <w:rsid w:val="00BB6319"/>
    <w:rPr>
      <w:rFonts w:ascii="Times New Roman" w:eastAsia="宋体" w:hAnsi="Times New Roman"/>
      <w:kern w:val="24"/>
      <w:sz w:val="22"/>
    </w:rPr>
  </w:style>
  <w:style w:type="character" w:customStyle="1" w:styleId="-1">
    <w:name w:val="题注-表格 字符"/>
    <w:basedOn w:val="a0"/>
    <w:link w:val="-0"/>
    <w:rsid w:val="00BB6319"/>
    <w:rPr>
      <w:rFonts w:ascii="Times New Roman" w:eastAsia="宋体" w:hAnsi="Times New Roman" w:cstheme="majorBidi"/>
      <w:kern w:val="24"/>
      <w:sz w:val="22"/>
      <w:szCs w:val="20"/>
    </w:rPr>
  </w:style>
  <w:style w:type="paragraph" w:customStyle="1" w:styleId="aff2">
    <w:name w:val="表格"/>
    <w:basedOn w:val="a"/>
    <w:link w:val="aff3"/>
    <w:qFormat/>
    <w:rsid w:val="003346B5"/>
    <w:pPr>
      <w:adjustRightInd w:val="0"/>
      <w:snapToGrid w:val="0"/>
      <w:spacing w:before="60" w:after="60"/>
      <w:ind w:firstLineChars="0" w:firstLine="0"/>
      <w:jc w:val="center"/>
    </w:pPr>
    <w:rPr>
      <w:kern w:val="24"/>
      <w:sz w:val="22"/>
    </w:rPr>
  </w:style>
  <w:style w:type="character" w:customStyle="1" w:styleId="aff3">
    <w:name w:val="表格 字符"/>
    <w:basedOn w:val="a0"/>
    <w:link w:val="aff2"/>
    <w:rsid w:val="003346B5"/>
    <w:rPr>
      <w:rFonts w:ascii="Times New Roman" w:eastAsia="宋体" w:hAnsi="Times New Roman"/>
      <w:kern w:val="24"/>
      <w:sz w:val="22"/>
    </w:rPr>
  </w:style>
  <w:style w:type="table" w:customStyle="1" w:styleId="aff4">
    <w:name w:val="三线"/>
    <w:basedOn w:val="a1"/>
    <w:uiPriority w:val="99"/>
    <w:qFormat/>
    <w:rsid w:val="003346B5"/>
    <w:pPr>
      <w:jc w:val="center"/>
    </w:pPr>
    <w:rPr>
      <w:sz w:val="18"/>
    </w:rPr>
    <w:tblPr>
      <w:jc w:val="center"/>
      <w:tblBorders>
        <w:top w:val="single" w:sz="12" w:space="0" w:color="auto"/>
        <w:bottom w:val="single" w:sz="12" w:space="0" w:color="auto"/>
      </w:tblBorders>
    </w:tblPr>
    <w:trPr>
      <w:jc w:val="center"/>
    </w:trPr>
    <w:tcPr>
      <w:vAlign w:val="center"/>
    </w:tcPr>
    <w:tblStylePr w:type="firstRow">
      <w:tblPr/>
      <w:tcPr>
        <w:tcBorders>
          <w:bottom w:val="single" w:sz="4"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37465">
      <w:bodyDiv w:val="1"/>
      <w:marLeft w:val="0"/>
      <w:marRight w:val="0"/>
      <w:marTop w:val="0"/>
      <w:marBottom w:val="0"/>
      <w:divBdr>
        <w:top w:val="none" w:sz="0" w:space="0" w:color="auto"/>
        <w:left w:val="none" w:sz="0" w:space="0" w:color="auto"/>
        <w:bottom w:val="none" w:sz="0" w:space="0" w:color="auto"/>
        <w:right w:val="none" w:sz="0" w:space="0" w:color="auto"/>
      </w:divBdr>
      <w:divsChild>
        <w:div w:id="1006326363">
          <w:marLeft w:val="0"/>
          <w:marRight w:val="0"/>
          <w:marTop w:val="0"/>
          <w:marBottom w:val="0"/>
          <w:divBdr>
            <w:top w:val="none" w:sz="0" w:space="0" w:color="auto"/>
            <w:left w:val="none" w:sz="0" w:space="0" w:color="auto"/>
            <w:bottom w:val="none" w:sz="0" w:space="0" w:color="auto"/>
            <w:right w:val="none" w:sz="0" w:space="0" w:color="auto"/>
          </w:divBdr>
        </w:div>
      </w:divsChild>
    </w:div>
    <w:div w:id="52437547">
      <w:bodyDiv w:val="1"/>
      <w:marLeft w:val="0"/>
      <w:marRight w:val="0"/>
      <w:marTop w:val="0"/>
      <w:marBottom w:val="0"/>
      <w:divBdr>
        <w:top w:val="none" w:sz="0" w:space="0" w:color="auto"/>
        <w:left w:val="none" w:sz="0" w:space="0" w:color="auto"/>
        <w:bottom w:val="none" w:sz="0" w:space="0" w:color="auto"/>
        <w:right w:val="none" w:sz="0" w:space="0" w:color="auto"/>
      </w:divBdr>
      <w:divsChild>
        <w:div w:id="1166751634">
          <w:marLeft w:val="0"/>
          <w:marRight w:val="0"/>
          <w:marTop w:val="0"/>
          <w:marBottom w:val="0"/>
          <w:divBdr>
            <w:top w:val="none" w:sz="0" w:space="0" w:color="auto"/>
            <w:left w:val="none" w:sz="0" w:space="0" w:color="auto"/>
            <w:bottom w:val="none" w:sz="0" w:space="0" w:color="auto"/>
            <w:right w:val="none" w:sz="0" w:space="0" w:color="auto"/>
          </w:divBdr>
        </w:div>
      </w:divsChild>
    </w:div>
    <w:div w:id="373889877">
      <w:bodyDiv w:val="1"/>
      <w:marLeft w:val="0"/>
      <w:marRight w:val="0"/>
      <w:marTop w:val="0"/>
      <w:marBottom w:val="0"/>
      <w:divBdr>
        <w:top w:val="none" w:sz="0" w:space="0" w:color="auto"/>
        <w:left w:val="none" w:sz="0" w:space="0" w:color="auto"/>
        <w:bottom w:val="none" w:sz="0" w:space="0" w:color="auto"/>
        <w:right w:val="none" w:sz="0" w:space="0" w:color="auto"/>
      </w:divBdr>
    </w:div>
    <w:div w:id="444926067">
      <w:bodyDiv w:val="1"/>
      <w:marLeft w:val="0"/>
      <w:marRight w:val="0"/>
      <w:marTop w:val="0"/>
      <w:marBottom w:val="0"/>
      <w:divBdr>
        <w:top w:val="none" w:sz="0" w:space="0" w:color="auto"/>
        <w:left w:val="none" w:sz="0" w:space="0" w:color="auto"/>
        <w:bottom w:val="none" w:sz="0" w:space="0" w:color="auto"/>
        <w:right w:val="none" w:sz="0" w:space="0" w:color="auto"/>
      </w:divBdr>
      <w:divsChild>
        <w:div w:id="1019043614">
          <w:marLeft w:val="0"/>
          <w:marRight w:val="0"/>
          <w:marTop w:val="0"/>
          <w:marBottom w:val="0"/>
          <w:divBdr>
            <w:top w:val="none" w:sz="0" w:space="0" w:color="auto"/>
            <w:left w:val="none" w:sz="0" w:space="0" w:color="auto"/>
            <w:bottom w:val="none" w:sz="0" w:space="0" w:color="auto"/>
            <w:right w:val="none" w:sz="0" w:space="0" w:color="auto"/>
          </w:divBdr>
        </w:div>
      </w:divsChild>
    </w:div>
    <w:div w:id="486630377">
      <w:bodyDiv w:val="1"/>
      <w:marLeft w:val="0"/>
      <w:marRight w:val="0"/>
      <w:marTop w:val="0"/>
      <w:marBottom w:val="0"/>
      <w:divBdr>
        <w:top w:val="none" w:sz="0" w:space="0" w:color="auto"/>
        <w:left w:val="none" w:sz="0" w:space="0" w:color="auto"/>
        <w:bottom w:val="none" w:sz="0" w:space="0" w:color="auto"/>
        <w:right w:val="none" w:sz="0" w:space="0" w:color="auto"/>
      </w:divBdr>
      <w:divsChild>
        <w:div w:id="343946124">
          <w:marLeft w:val="0"/>
          <w:marRight w:val="0"/>
          <w:marTop w:val="0"/>
          <w:marBottom w:val="0"/>
          <w:divBdr>
            <w:top w:val="none" w:sz="0" w:space="0" w:color="auto"/>
            <w:left w:val="none" w:sz="0" w:space="0" w:color="auto"/>
            <w:bottom w:val="none" w:sz="0" w:space="0" w:color="auto"/>
            <w:right w:val="none" w:sz="0" w:space="0" w:color="auto"/>
          </w:divBdr>
        </w:div>
      </w:divsChild>
    </w:div>
    <w:div w:id="528375731">
      <w:bodyDiv w:val="1"/>
      <w:marLeft w:val="0"/>
      <w:marRight w:val="0"/>
      <w:marTop w:val="0"/>
      <w:marBottom w:val="0"/>
      <w:divBdr>
        <w:top w:val="none" w:sz="0" w:space="0" w:color="auto"/>
        <w:left w:val="none" w:sz="0" w:space="0" w:color="auto"/>
        <w:bottom w:val="none" w:sz="0" w:space="0" w:color="auto"/>
        <w:right w:val="none" w:sz="0" w:space="0" w:color="auto"/>
      </w:divBdr>
      <w:divsChild>
        <w:div w:id="327292763">
          <w:marLeft w:val="0"/>
          <w:marRight w:val="0"/>
          <w:marTop w:val="0"/>
          <w:marBottom w:val="0"/>
          <w:divBdr>
            <w:top w:val="none" w:sz="0" w:space="0" w:color="auto"/>
            <w:left w:val="none" w:sz="0" w:space="0" w:color="auto"/>
            <w:bottom w:val="none" w:sz="0" w:space="0" w:color="auto"/>
            <w:right w:val="none" w:sz="0" w:space="0" w:color="auto"/>
          </w:divBdr>
        </w:div>
      </w:divsChild>
    </w:div>
    <w:div w:id="906038075">
      <w:bodyDiv w:val="1"/>
      <w:marLeft w:val="0"/>
      <w:marRight w:val="0"/>
      <w:marTop w:val="0"/>
      <w:marBottom w:val="0"/>
      <w:divBdr>
        <w:top w:val="none" w:sz="0" w:space="0" w:color="auto"/>
        <w:left w:val="none" w:sz="0" w:space="0" w:color="auto"/>
        <w:bottom w:val="none" w:sz="0" w:space="0" w:color="auto"/>
        <w:right w:val="none" w:sz="0" w:space="0" w:color="auto"/>
      </w:divBdr>
    </w:div>
    <w:div w:id="1008212168">
      <w:bodyDiv w:val="1"/>
      <w:marLeft w:val="0"/>
      <w:marRight w:val="0"/>
      <w:marTop w:val="0"/>
      <w:marBottom w:val="0"/>
      <w:divBdr>
        <w:top w:val="none" w:sz="0" w:space="0" w:color="auto"/>
        <w:left w:val="none" w:sz="0" w:space="0" w:color="auto"/>
        <w:bottom w:val="none" w:sz="0" w:space="0" w:color="auto"/>
        <w:right w:val="none" w:sz="0" w:space="0" w:color="auto"/>
      </w:divBdr>
      <w:divsChild>
        <w:div w:id="1261913611">
          <w:marLeft w:val="0"/>
          <w:marRight w:val="0"/>
          <w:marTop w:val="0"/>
          <w:marBottom w:val="0"/>
          <w:divBdr>
            <w:top w:val="none" w:sz="0" w:space="0" w:color="auto"/>
            <w:left w:val="none" w:sz="0" w:space="0" w:color="auto"/>
            <w:bottom w:val="none" w:sz="0" w:space="0" w:color="auto"/>
            <w:right w:val="none" w:sz="0" w:space="0" w:color="auto"/>
          </w:divBdr>
        </w:div>
      </w:divsChild>
    </w:div>
    <w:div w:id="1260454877">
      <w:bodyDiv w:val="1"/>
      <w:marLeft w:val="0"/>
      <w:marRight w:val="0"/>
      <w:marTop w:val="0"/>
      <w:marBottom w:val="0"/>
      <w:divBdr>
        <w:top w:val="none" w:sz="0" w:space="0" w:color="auto"/>
        <w:left w:val="none" w:sz="0" w:space="0" w:color="auto"/>
        <w:bottom w:val="none" w:sz="0" w:space="0" w:color="auto"/>
        <w:right w:val="none" w:sz="0" w:space="0" w:color="auto"/>
      </w:divBdr>
      <w:divsChild>
        <w:div w:id="97340216">
          <w:marLeft w:val="0"/>
          <w:marRight w:val="0"/>
          <w:marTop w:val="0"/>
          <w:marBottom w:val="0"/>
          <w:divBdr>
            <w:top w:val="none" w:sz="0" w:space="0" w:color="auto"/>
            <w:left w:val="none" w:sz="0" w:space="0" w:color="auto"/>
            <w:bottom w:val="none" w:sz="0" w:space="0" w:color="auto"/>
            <w:right w:val="none" w:sz="0" w:space="0" w:color="auto"/>
          </w:divBdr>
        </w:div>
      </w:divsChild>
    </w:div>
    <w:div w:id="1357535805">
      <w:bodyDiv w:val="1"/>
      <w:marLeft w:val="0"/>
      <w:marRight w:val="0"/>
      <w:marTop w:val="0"/>
      <w:marBottom w:val="0"/>
      <w:divBdr>
        <w:top w:val="none" w:sz="0" w:space="0" w:color="auto"/>
        <w:left w:val="none" w:sz="0" w:space="0" w:color="auto"/>
        <w:bottom w:val="none" w:sz="0" w:space="0" w:color="auto"/>
        <w:right w:val="none" w:sz="0" w:space="0" w:color="auto"/>
      </w:divBdr>
      <w:divsChild>
        <w:div w:id="1955019522">
          <w:marLeft w:val="0"/>
          <w:marRight w:val="0"/>
          <w:marTop w:val="0"/>
          <w:marBottom w:val="0"/>
          <w:divBdr>
            <w:top w:val="none" w:sz="0" w:space="0" w:color="auto"/>
            <w:left w:val="none" w:sz="0" w:space="0" w:color="auto"/>
            <w:bottom w:val="none" w:sz="0" w:space="0" w:color="auto"/>
            <w:right w:val="none" w:sz="0" w:space="0" w:color="auto"/>
          </w:divBdr>
        </w:div>
      </w:divsChild>
    </w:div>
    <w:div w:id="1429497949">
      <w:bodyDiv w:val="1"/>
      <w:marLeft w:val="0"/>
      <w:marRight w:val="0"/>
      <w:marTop w:val="0"/>
      <w:marBottom w:val="0"/>
      <w:divBdr>
        <w:top w:val="none" w:sz="0" w:space="0" w:color="auto"/>
        <w:left w:val="none" w:sz="0" w:space="0" w:color="auto"/>
        <w:bottom w:val="none" w:sz="0" w:space="0" w:color="auto"/>
        <w:right w:val="none" w:sz="0" w:space="0" w:color="auto"/>
      </w:divBdr>
    </w:div>
    <w:div w:id="1468939794">
      <w:bodyDiv w:val="1"/>
      <w:marLeft w:val="0"/>
      <w:marRight w:val="0"/>
      <w:marTop w:val="0"/>
      <w:marBottom w:val="0"/>
      <w:divBdr>
        <w:top w:val="none" w:sz="0" w:space="0" w:color="auto"/>
        <w:left w:val="none" w:sz="0" w:space="0" w:color="auto"/>
        <w:bottom w:val="none" w:sz="0" w:space="0" w:color="auto"/>
        <w:right w:val="none" w:sz="0" w:space="0" w:color="auto"/>
      </w:divBdr>
    </w:div>
    <w:div w:id="1476528929">
      <w:bodyDiv w:val="1"/>
      <w:marLeft w:val="0"/>
      <w:marRight w:val="0"/>
      <w:marTop w:val="0"/>
      <w:marBottom w:val="0"/>
      <w:divBdr>
        <w:top w:val="none" w:sz="0" w:space="0" w:color="auto"/>
        <w:left w:val="none" w:sz="0" w:space="0" w:color="auto"/>
        <w:bottom w:val="none" w:sz="0" w:space="0" w:color="auto"/>
        <w:right w:val="none" w:sz="0" w:space="0" w:color="auto"/>
      </w:divBdr>
    </w:div>
    <w:div w:id="1509370673">
      <w:bodyDiv w:val="1"/>
      <w:marLeft w:val="0"/>
      <w:marRight w:val="0"/>
      <w:marTop w:val="0"/>
      <w:marBottom w:val="0"/>
      <w:divBdr>
        <w:top w:val="none" w:sz="0" w:space="0" w:color="auto"/>
        <w:left w:val="none" w:sz="0" w:space="0" w:color="auto"/>
        <w:bottom w:val="none" w:sz="0" w:space="0" w:color="auto"/>
        <w:right w:val="none" w:sz="0" w:space="0" w:color="auto"/>
      </w:divBdr>
      <w:divsChild>
        <w:div w:id="1761216034">
          <w:marLeft w:val="0"/>
          <w:marRight w:val="0"/>
          <w:marTop w:val="0"/>
          <w:marBottom w:val="0"/>
          <w:divBdr>
            <w:top w:val="none" w:sz="0" w:space="0" w:color="auto"/>
            <w:left w:val="none" w:sz="0" w:space="0" w:color="auto"/>
            <w:bottom w:val="none" w:sz="0" w:space="0" w:color="auto"/>
            <w:right w:val="none" w:sz="0" w:space="0" w:color="auto"/>
          </w:divBdr>
        </w:div>
      </w:divsChild>
    </w:div>
    <w:div w:id="1523982218">
      <w:bodyDiv w:val="1"/>
      <w:marLeft w:val="0"/>
      <w:marRight w:val="0"/>
      <w:marTop w:val="0"/>
      <w:marBottom w:val="0"/>
      <w:divBdr>
        <w:top w:val="none" w:sz="0" w:space="0" w:color="auto"/>
        <w:left w:val="none" w:sz="0" w:space="0" w:color="auto"/>
        <w:bottom w:val="none" w:sz="0" w:space="0" w:color="auto"/>
        <w:right w:val="none" w:sz="0" w:space="0" w:color="auto"/>
      </w:divBdr>
      <w:divsChild>
        <w:div w:id="1729263637">
          <w:marLeft w:val="0"/>
          <w:marRight w:val="0"/>
          <w:marTop w:val="0"/>
          <w:marBottom w:val="0"/>
          <w:divBdr>
            <w:top w:val="none" w:sz="0" w:space="0" w:color="auto"/>
            <w:left w:val="none" w:sz="0" w:space="0" w:color="auto"/>
            <w:bottom w:val="none" w:sz="0" w:space="0" w:color="auto"/>
            <w:right w:val="none" w:sz="0" w:space="0" w:color="auto"/>
          </w:divBdr>
        </w:div>
      </w:divsChild>
    </w:div>
    <w:div w:id="1551070448">
      <w:bodyDiv w:val="1"/>
      <w:marLeft w:val="0"/>
      <w:marRight w:val="0"/>
      <w:marTop w:val="0"/>
      <w:marBottom w:val="0"/>
      <w:divBdr>
        <w:top w:val="none" w:sz="0" w:space="0" w:color="auto"/>
        <w:left w:val="none" w:sz="0" w:space="0" w:color="auto"/>
        <w:bottom w:val="none" w:sz="0" w:space="0" w:color="auto"/>
        <w:right w:val="none" w:sz="0" w:space="0" w:color="auto"/>
      </w:divBdr>
    </w:div>
    <w:div w:id="1725638628">
      <w:bodyDiv w:val="1"/>
      <w:marLeft w:val="0"/>
      <w:marRight w:val="0"/>
      <w:marTop w:val="0"/>
      <w:marBottom w:val="0"/>
      <w:divBdr>
        <w:top w:val="none" w:sz="0" w:space="0" w:color="auto"/>
        <w:left w:val="none" w:sz="0" w:space="0" w:color="auto"/>
        <w:bottom w:val="none" w:sz="0" w:space="0" w:color="auto"/>
        <w:right w:val="none" w:sz="0" w:space="0" w:color="auto"/>
      </w:divBdr>
    </w:div>
    <w:div w:id="1782721125">
      <w:bodyDiv w:val="1"/>
      <w:marLeft w:val="0"/>
      <w:marRight w:val="0"/>
      <w:marTop w:val="0"/>
      <w:marBottom w:val="0"/>
      <w:divBdr>
        <w:top w:val="none" w:sz="0" w:space="0" w:color="auto"/>
        <w:left w:val="none" w:sz="0" w:space="0" w:color="auto"/>
        <w:bottom w:val="none" w:sz="0" w:space="0" w:color="auto"/>
        <w:right w:val="none" w:sz="0" w:space="0" w:color="auto"/>
      </w:divBdr>
    </w:div>
    <w:div w:id="1805926781">
      <w:bodyDiv w:val="1"/>
      <w:marLeft w:val="0"/>
      <w:marRight w:val="0"/>
      <w:marTop w:val="0"/>
      <w:marBottom w:val="0"/>
      <w:divBdr>
        <w:top w:val="none" w:sz="0" w:space="0" w:color="auto"/>
        <w:left w:val="none" w:sz="0" w:space="0" w:color="auto"/>
        <w:bottom w:val="none" w:sz="0" w:space="0" w:color="auto"/>
        <w:right w:val="none" w:sz="0" w:space="0" w:color="auto"/>
      </w:divBdr>
    </w:div>
    <w:div w:id="1823348933">
      <w:bodyDiv w:val="1"/>
      <w:marLeft w:val="0"/>
      <w:marRight w:val="0"/>
      <w:marTop w:val="0"/>
      <w:marBottom w:val="0"/>
      <w:divBdr>
        <w:top w:val="none" w:sz="0" w:space="0" w:color="auto"/>
        <w:left w:val="none" w:sz="0" w:space="0" w:color="auto"/>
        <w:bottom w:val="none" w:sz="0" w:space="0" w:color="auto"/>
        <w:right w:val="none" w:sz="0" w:space="0" w:color="auto"/>
      </w:divBdr>
      <w:divsChild>
        <w:div w:id="789400340">
          <w:marLeft w:val="0"/>
          <w:marRight w:val="0"/>
          <w:marTop w:val="0"/>
          <w:marBottom w:val="0"/>
          <w:divBdr>
            <w:top w:val="none" w:sz="0" w:space="0" w:color="auto"/>
            <w:left w:val="none" w:sz="0" w:space="0" w:color="auto"/>
            <w:bottom w:val="none" w:sz="0" w:space="0" w:color="auto"/>
            <w:right w:val="none" w:sz="0" w:space="0" w:color="auto"/>
          </w:divBdr>
        </w:div>
      </w:divsChild>
    </w:div>
    <w:div w:id="1895004343">
      <w:bodyDiv w:val="1"/>
      <w:marLeft w:val="0"/>
      <w:marRight w:val="0"/>
      <w:marTop w:val="0"/>
      <w:marBottom w:val="0"/>
      <w:divBdr>
        <w:top w:val="none" w:sz="0" w:space="0" w:color="auto"/>
        <w:left w:val="none" w:sz="0" w:space="0" w:color="auto"/>
        <w:bottom w:val="none" w:sz="0" w:space="0" w:color="auto"/>
        <w:right w:val="none" w:sz="0" w:space="0" w:color="auto"/>
      </w:divBdr>
      <w:divsChild>
        <w:div w:id="129400640">
          <w:marLeft w:val="0"/>
          <w:marRight w:val="0"/>
          <w:marTop w:val="0"/>
          <w:marBottom w:val="0"/>
          <w:divBdr>
            <w:top w:val="none" w:sz="0" w:space="0" w:color="auto"/>
            <w:left w:val="none" w:sz="0" w:space="0" w:color="auto"/>
            <w:bottom w:val="none" w:sz="0" w:space="0" w:color="auto"/>
            <w:right w:val="none" w:sz="0" w:space="0" w:color="auto"/>
          </w:divBdr>
        </w:div>
      </w:divsChild>
    </w:div>
    <w:div w:id="21229141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webSettings" Target="webSettings.xml"/><Relationship Id="rId18" Type="http://schemas.openxmlformats.org/officeDocument/2006/relationships/footer" Target="footer1.xml"/><Relationship Id="rId26"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customXml" Target="../customXml/item7.xml"/><Relationship Id="rId12" Type="http://schemas.openxmlformats.org/officeDocument/2006/relationships/settings" Target="settings.xml"/><Relationship Id="rId17" Type="http://schemas.openxmlformats.org/officeDocument/2006/relationships/header" Target="header2.xml"/><Relationship Id="rId25"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tyles" Target="styles.xml"/><Relationship Id="rId24" Type="http://schemas.openxmlformats.org/officeDocument/2006/relationships/chart" Target="charts/chart2.xml"/><Relationship Id="rId5" Type="http://schemas.openxmlformats.org/officeDocument/2006/relationships/customXml" Target="../customXml/item5.xml"/><Relationship Id="rId15" Type="http://schemas.openxmlformats.org/officeDocument/2006/relationships/endnotes" Target="endnotes.xml"/><Relationship Id="rId23" Type="http://schemas.openxmlformats.org/officeDocument/2006/relationships/chart" Target="charts/chart1.xml"/><Relationship Id="rId28" Type="http://schemas.openxmlformats.org/officeDocument/2006/relationships/image" Target="media/image5.png"/><Relationship Id="rId10" Type="http://schemas.openxmlformats.org/officeDocument/2006/relationships/numbering" Target="numbering.xml"/><Relationship Id="rId19" Type="http://schemas.openxmlformats.org/officeDocument/2006/relationships/footer" Target="footer2.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footnotes" Target="footnotes.xml"/><Relationship Id="rId22" Type="http://schemas.openxmlformats.org/officeDocument/2006/relationships/image" Target="media/image1.jpeg"/><Relationship Id="rId27" Type="http://schemas.openxmlformats.org/officeDocument/2006/relationships/image" Target="media/image4.pn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oleObject" Target="file:///E:\2020-2025%20&#22269;&#20869;&#31185;&#30740;\20250520%20&#27605;&#19994;&#35770;&#25991;&#25972;&#29702;&#23567;&#35770;&#25991;\&#21442;&#32771;&#25991;&#20214;\&#32472;&#22270;\&#26032;&#24314;%20Microsoft%20Excel%20&#24037;&#20316;&#34920;.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435545198854915"/>
          <c:y val="0.18232549362702213"/>
          <c:w val="0.53560094964263116"/>
          <c:h val="0.73338822843223028"/>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560-47A5-A31D-C6CFCE1D837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560-47A5-A31D-C6CFCE1D837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560-47A5-A31D-C6CFCE1D837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560-47A5-A31D-C6CFCE1D837C}"/>
              </c:ext>
            </c:extLst>
          </c:dPt>
          <c:dLbls>
            <c:dLbl>
              <c:idx val="0"/>
              <c:layout>
                <c:manualLayout>
                  <c:x val="0.18230275148190747"/>
                  <c:y val="3.8596400940078567E-2"/>
                </c:manualLayout>
              </c:layout>
              <c:tx>
                <c:rich>
                  <a:bodyPr/>
                  <a:lstStyle/>
                  <a:p>
                    <a:fld id="{B09326B4-B0C7-4423-B550-88177F4F3069}" type="CELLRANGE">
                      <a:rPr lang="en-US" altLang="zh-CN" baseline="0"/>
                      <a:pPr/>
                      <a:t>[CELLRANGE]</a:t>
                    </a:fld>
                    <a:r>
                      <a:rPr lang="en-US" altLang="zh-CN" baseline="0"/>
                      <a:t>, </a:t>
                    </a:r>
                    <a:fld id="{A816A797-D1B5-4943-A651-5EE99F68F118}" type="PERCENTAGE">
                      <a:rPr lang="en-US" altLang="zh-CN" baseline="0"/>
                      <a:pPr/>
                      <a:t>[百分比]</a:t>
                    </a:fld>
                    <a:endParaRPr lang="en-US" altLang="zh-CN" baseline="0"/>
                  </a:p>
                </c:rich>
              </c:tx>
              <c:showLegendKey val="0"/>
              <c:showVal val="0"/>
              <c:showCatName val="0"/>
              <c:showSerName val="0"/>
              <c:showPercent val="1"/>
              <c:showBubbleSize val="0"/>
              <c:extLst>
                <c:ext xmlns:c15="http://schemas.microsoft.com/office/drawing/2012/chart" uri="{CE6537A1-D6FC-4f65-9D91-7224C49458BB}">
                  <c15:layout>
                    <c:manualLayout>
                      <c:w val="0.30337078651685395"/>
                      <c:h val="0.30664488017429192"/>
                    </c:manualLayout>
                  </c15:layout>
                  <c15:dlblFieldTable/>
                  <c15:showDataLabelsRange val="1"/>
                </c:ext>
                <c:ext xmlns:c16="http://schemas.microsoft.com/office/drawing/2014/chart" uri="{C3380CC4-5D6E-409C-BE32-E72D297353CC}">
                  <c16:uniqueId val="{00000001-A560-47A5-A31D-C6CFCE1D837C}"/>
                </c:ext>
              </c:extLst>
            </c:dLbl>
            <c:dLbl>
              <c:idx val="1"/>
              <c:layout>
                <c:manualLayout>
                  <c:x val="-7.1909758471202331E-2"/>
                  <c:y val="0.37037037037037035"/>
                </c:manualLayout>
              </c:layout>
              <c:tx>
                <c:rich>
                  <a:bodyPr/>
                  <a:lstStyle/>
                  <a:p>
                    <a:fld id="{70ED2AB1-2DDA-4401-BCB0-17EA3BF871A2}" type="CELLRANGE">
                      <a:rPr lang="en-US" altLang="zh-CN" baseline="0"/>
                      <a:pPr/>
                      <a:t>[CELLRANGE]</a:t>
                    </a:fld>
                    <a:r>
                      <a:rPr lang="en-US" altLang="zh-CN" baseline="0"/>
                      <a:t>, </a:t>
                    </a:r>
                    <a:fld id="{6F74D29F-E352-4376-9CB3-C1B8EEF4779A}" type="PERCENTAGE">
                      <a:rPr lang="en-US" altLang="zh-CN" baseline="0"/>
                      <a:pPr/>
                      <a:t>[百分比]</a:t>
                    </a:fld>
                    <a:endParaRPr lang="en-US" altLang="zh-CN" baseline="0"/>
                  </a:p>
                </c:rich>
              </c:tx>
              <c:dLblPos val="bestFit"/>
              <c:showLegendKey val="0"/>
              <c:showVal val="0"/>
              <c:showCatName val="0"/>
              <c:showSerName val="0"/>
              <c:showPercent val="1"/>
              <c:showBubbleSize val="0"/>
              <c:extLst>
                <c:ext xmlns:c15="http://schemas.microsoft.com/office/drawing/2012/chart" uri="{CE6537A1-D6FC-4f65-9D91-7224C49458BB}">
                  <c15:layout>
                    <c:manualLayout>
                      <c:w val="0.27289250641422624"/>
                      <c:h val="0.28485838779956429"/>
                    </c:manualLayout>
                  </c15:layout>
                  <c15:dlblFieldTable/>
                  <c15:showDataLabelsRange val="1"/>
                </c:ext>
                <c:ext xmlns:c16="http://schemas.microsoft.com/office/drawing/2014/chart" uri="{C3380CC4-5D6E-409C-BE32-E72D297353CC}">
                  <c16:uniqueId val="{00000003-A560-47A5-A31D-C6CFCE1D837C}"/>
                </c:ext>
              </c:extLst>
            </c:dLbl>
            <c:dLbl>
              <c:idx val="2"/>
              <c:layout>
                <c:manualLayout>
                  <c:x val="1.0857886795049471E-2"/>
                  <c:y val="-4.8047171186934967E-2"/>
                </c:manualLayout>
              </c:layout>
              <c:tx>
                <c:rich>
                  <a:bodyPr/>
                  <a:lstStyle/>
                  <a:p>
                    <a:fld id="{1F16F30E-893E-4B05-99C9-B7177E13D9DD}" type="CELLRANGE">
                      <a:rPr lang="en-US" altLang="zh-CN" baseline="0"/>
                      <a:pPr/>
                      <a:t>[CELLRANGE]</a:t>
                    </a:fld>
                    <a:r>
                      <a:rPr lang="en-US" altLang="zh-CN" baseline="0"/>
                      <a:t>, </a:t>
                    </a:r>
                    <a:fld id="{F4A6928F-D1C0-4C23-9E2E-243A00568063}" type="PERCENTAGE">
                      <a:rPr lang="en-US" altLang="zh-CN" baseline="0"/>
                      <a:pPr/>
                      <a:t>[百分比]</a:t>
                    </a:fld>
                    <a:endParaRPr lang="en-US" altLang="zh-CN" baseline="0"/>
                  </a:p>
                </c:rich>
              </c:tx>
              <c:showLegendKey val="0"/>
              <c:showVal val="0"/>
              <c:showCatName val="0"/>
              <c:showSerName val="0"/>
              <c:showPercent val="1"/>
              <c:showBubbleSize val="0"/>
              <c:extLst>
                <c:ext xmlns:c15="http://schemas.microsoft.com/office/drawing/2012/chart" uri="{CE6537A1-D6FC-4f65-9D91-7224C49458BB}">
                  <c15:layout>
                    <c:manualLayout>
                      <c:w val="0.22170821905688751"/>
                      <c:h val="0.35947712418300654"/>
                    </c:manualLayout>
                  </c15:layout>
                  <c15:dlblFieldTable/>
                  <c15:showDataLabelsRange val="1"/>
                </c:ext>
                <c:ext xmlns:c16="http://schemas.microsoft.com/office/drawing/2014/chart" uri="{C3380CC4-5D6E-409C-BE32-E72D297353CC}">
                  <c16:uniqueId val="{00000005-A560-47A5-A31D-C6CFCE1D837C}"/>
                </c:ext>
              </c:extLst>
            </c:dLbl>
            <c:dLbl>
              <c:idx val="3"/>
              <c:layout>
                <c:manualLayout>
                  <c:x val="-0.11299964294439328"/>
                  <c:y val="5.2253272262535802E-3"/>
                </c:manualLayout>
              </c:layout>
              <c:tx>
                <c:rich>
                  <a:bodyPr/>
                  <a:lstStyle/>
                  <a:p>
                    <a:fld id="{C7DADC1C-F69E-4C38-A461-FA7AB727E2AA}" type="CELLRANGE">
                      <a:rPr lang="en-US" altLang="zh-CN" baseline="0"/>
                      <a:pPr/>
                      <a:t>[CELLRANGE]</a:t>
                    </a:fld>
                    <a:r>
                      <a:rPr lang="en-US" altLang="zh-CN" baseline="0"/>
                      <a:t>, </a:t>
                    </a:r>
                    <a:fld id="{3CF6F4DE-732D-42FB-B73A-3C2B1F0C5A59}" type="PERCENTAGE">
                      <a:rPr lang="en-US" altLang="zh-CN" baseline="0"/>
                      <a:pPr/>
                      <a:t>[百分比]</a:t>
                    </a:fld>
                    <a:endParaRPr lang="en-US" altLang="zh-CN" baseline="0"/>
                  </a:p>
                </c:rich>
              </c:tx>
              <c:showLegendKey val="0"/>
              <c:showVal val="0"/>
              <c:showCatName val="0"/>
              <c:showSerName val="0"/>
              <c:showPercent val="1"/>
              <c:showBubbleSize val="0"/>
              <c:extLst>
                <c:ext xmlns:c15="http://schemas.microsoft.com/office/drawing/2012/chart" uri="{CE6537A1-D6FC-4f65-9D91-7224C49458BB}">
                  <c15:layout>
                    <c:manualLayout>
                      <c:w val="0.31026252983293551"/>
                      <c:h val="0.41775599128540303"/>
                    </c:manualLayout>
                  </c15:layout>
                  <c15:dlblFieldTable/>
                  <c15:showDataLabelsRange val="1"/>
                </c:ext>
                <c:ext xmlns:c16="http://schemas.microsoft.com/office/drawing/2014/chart" uri="{C3380CC4-5D6E-409C-BE32-E72D297353CC}">
                  <c16:uniqueId val="{00000007-A560-47A5-A31D-C6CFCE1D837C}"/>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宋体" panose="02010600030101010101" pitchFamily="2" charset="-122"/>
                    <a:cs typeface="+mn-cs"/>
                  </a:defRPr>
                </a:pPr>
                <a:endParaRPr lang="zh-CN"/>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howDataLabelsRange val="1"/>
              </c:ext>
            </c:extLst>
          </c:dLbls>
          <c:cat>
            <c:strRef>
              <c:f>Sheet1!$A$1:$A$4</c:f>
              <c:strCache>
                <c:ptCount val="4"/>
                <c:pt idx="0">
                  <c:v>博士</c:v>
                </c:pt>
                <c:pt idx="1">
                  <c:v>硕士</c:v>
                </c:pt>
                <c:pt idx="2">
                  <c:v>本科</c:v>
                </c:pt>
                <c:pt idx="3">
                  <c:v>专科及以下</c:v>
                </c:pt>
              </c:strCache>
            </c:strRef>
          </c:cat>
          <c:val>
            <c:numRef>
              <c:f>Sheet1!$B$1:$B$4</c:f>
              <c:numCache>
                <c:formatCode>0.00%</c:formatCode>
                <c:ptCount val="4"/>
                <c:pt idx="0">
                  <c:v>1.37E-2</c:v>
                </c:pt>
                <c:pt idx="1">
                  <c:v>0.38569999999999999</c:v>
                </c:pt>
                <c:pt idx="2">
                  <c:v>0.52559999999999996</c:v>
                </c:pt>
                <c:pt idx="3">
                  <c:v>7.51E-2</c:v>
                </c:pt>
              </c:numCache>
            </c:numRef>
          </c:val>
          <c:extLst>
            <c:ext xmlns:c15="http://schemas.microsoft.com/office/drawing/2012/chart" uri="{02D57815-91ED-43cb-92C2-25804820EDAC}">
              <c15:datalabelsRange>
                <c15:f>Sheet1!$A$1:$A$4</c15:f>
                <c15:dlblRangeCache>
                  <c:ptCount val="4"/>
                  <c:pt idx="0">
                    <c:v>博士</c:v>
                  </c:pt>
                  <c:pt idx="1">
                    <c:v>硕士</c:v>
                  </c:pt>
                  <c:pt idx="2">
                    <c:v>本科</c:v>
                  </c:pt>
                  <c:pt idx="3">
                    <c:v>专科及以下</c:v>
                  </c:pt>
                </c15:dlblRangeCache>
              </c15:datalabelsRange>
            </c:ext>
            <c:ext xmlns:c16="http://schemas.microsoft.com/office/drawing/2014/chart" uri="{C3380CC4-5D6E-409C-BE32-E72D297353CC}">
              <c16:uniqueId val="{00000008-A560-47A5-A31D-C6CFCE1D837C}"/>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800" baseline="0">
          <a:solidFill>
            <a:sysClr val="windowText" lastClr="000000"/>
          </a:solidFill>
          <a:latin typeface="Times New Roman" panose="02020603050405020304" pitchFamily="18" charset="0"/>
          <a:ea typeface="宋体" panose="02010600030101010101" pitchFamily="2" charset="-122"/>
        </a:defRPr>
      </a:pPr>
      <a:endParaRPr lang="zh-CN"/>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627385179943195"/>
          <c:y val="7.6484748172287439E-2"/>
          <c:w val="0.66352559935701416"/>
          <c:h val="0.55425584885186341"/>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Times New Roman" panose="02020603050405020304" pitchFamily="18" charset="0"/>
                    <a:ea typeface="宋体" panose="02010600030101010101" pitchFamily="2" charset="-122"/>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Sheet1!$A$7:$A$10</c:f>
              <c:strCache>
                <c:ptCount val="4"/>
                <c:pt idx="0">
                  <c:v>≤10年</c:v>
                </c:pt>
                <c:pt idx="1">
                  <c:v>11-20年</c:v>
                </c:pt>
                <c:pt idx="2">
                  <c:v>21-30年</c:v>
                </c:pt>
                <c:pt idx="3">
                  <c:v>＞30年</c:v>
                </c:pt>
              </c:strCache>
            </c:strRef>
          </c:cat>
          <c:val>
            <c:numRef>
              <c:f>Sheet1!$B$7:$B$10</c:f>
              <c:numCache>
                <c:formatCode>General</c:formatCode>
                <c:ptCount val="4"/>
                <c:pt idx="0">
                  <c:v>176</c:v>
                </c:pt>
                <c:pt idx="1">
                  <c:v>81</c:v>
                </c:pt>
                <c:pt idx="2">
                  <c:v>29</c:v>
                </c:pt>
                <c:pt idx="3">
                  <c:v>7</c:v>
                </c:pt>
              </c:numCache>
            </c:numRef>
          </c:val>
          <c:extLst>
            <c:ext xmlns:c16="http://schemas.microsoft.com/office/drawing/2014/chart" uri="{C3380CC4-5D6E-409C-BE32-E72D297353CC}">
              <c16:uniqueId val="{00000000-4F5A-4CD7-8DB4-14482BE7CB9C}"/>
            </c:ext>
          </c:extLst>
        </c:ser>
        <c:dLbls>
          <c:dLblPos val="outEnd"/>
          <c:showLegendKey val="0"/>
          <c:showVal val="1"/>
          <c:showCatName val="0"/>
          <c:showSerName val="0"/>
          <c:showPercent val="0"/>
          <c:showBubbleSize val="0"/>
        </c:dLbls>
        <c:gapWidth val="100"/>
        <c:overlap val="-27"/>
        <c:axId val="1070327375"/>
        <c:axId val="1070321135"/>
      </c:barChart>
      <c:catAx>
        <c:axId val="1070327375"/>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宋体" panose="02010600030101010101" pitchFamily="2" charset="-122"/>
                    <a:cs typeface="+mn-cs"/>
                  </a:defRPr>
                </a:pPr>
                <a:r>
                  <a:rPr lang="zh-CN"/>
                  <a:t>从业年数</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宋体" panose="02010600030101010101" pitchFamily="2" charset="-122"/>
                  <a:cs typeface="+mn-cs"/>
                </a:defRPr>
              </a:pPr>
              <a:endParaRPr lang="zh-CN"/>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宋体" panose="02010600030101010101" pitchFamily="2" charset="-122"/>
                <a:cs typeface="+mn-cs"/>
              </a:defRPr>
            </a:pPr>
            <a:endParaRPr lang="zh-CN"/>
          </a:p>
        </c:txPr>
        <c:crossAx val="1070321135"/>
        <c:crosses val="autoZero"/>
        <c:auto val="1"/>
        <c:lblAlgn val="ctr"/>
        <c:lblOffset val="100"/>
        <c:noMultiLvlLbl val="0"/>
      </c:catAx>
      <c:valAx>
        <c:axId val="1070321135"/>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宋体" panose="02010600030101010101" pitchFamily="2" charset="-122"/>
                    <a:cs typeface="+mn-cs"/>
                  </a:defRPr>
                </a:pPr>
                <a:r>
                  <a:rPr lang="zh-CN"/>
                  <a:t>人数</a:t>
                </a:r>
                <a:r>
                  <a:rPr lang="en-US"/>
                  <a:t>/</a:t>
                </a:r>
                <a:r>
                  <a:rPr lang="zh-CN"/>
                  <a:t>个</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宋体" panose="02010600030101010101" pitchFamily="2" charset="-122"/>
                  <a:cs typeface="+mn-cs"/>
                </a:defRPr>
              </a:pPr>
              <a:endParaRPr lang="zh-CN"/>
            </a:p>
          </c:txPr>
        </c:title>
        <c:numFmt formatCode="General"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宋体" panose="02010600030101010101" pitchFamily="2" charset="-122"/>
                <a:cs typeface="+mn-cs"/>
              </a:defRPr>
            </a:pPr>
            <a:endParaRPr lang="zh-CN"/>
          </a:p>
        </c:txPr>
        <c:crossAx val="1070327375"/>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aseline="0">
          <a:latin typeface="Times New Roman" panose="02020603050405020304" pitchFamily="18" charset="0"/>
          <a:ea typeface="宋体" panose="02010600030101010101" pitchFamily="2" charset="-122"/>
        </a:defRPr>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9:10:49.639"/>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2.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8:37:02.02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3.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9:10:45.167"/>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4.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8:37:02.163"/>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8:37:02.268"/>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7.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9:10:49.95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0,'0'0</inkml:trace>
</inkml:ink>
</file>

<file path=customXml/item8.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8:37:02.171"/>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9.xml><?xml version="1.0" encoding="utf-8"?>
<inkml:ink xmlns:inkml="http://www.w3.org/2003/InkML">
  <inkml:definitions>
    <inkml:context xml:id="ctx0">
      <inkml:inkSource xml:id="inkSrc0">
        <inkml:traceFormat>
          <inkml:channel name="X" type="integer" max="3286" units="cm"/>
          <inkml:channel name="Y" type="integer" max="1080" units="cm"/>
        </inkml:traceFormat>
        <inkml:channelProperties>
          <inkml:channelProperty channel="X" name="resolution" value="48.53767" units="1/cm"/>
          <inkml:channelProperty channel="Y" name="resolution" value="28.34646" units="1/cm"/>
        </inkml:channelProperties>
      </inkml:inkSource>
      <inkml:timestamp xml:id="ts0" timeString="2015-04-07T08:37:02.446"/>
    </inkml:context>
    <inkml:brush xml:id="br0">
      <inkml:brushProperty name="width" value="0.04667" units="cm"/>
      <inkml:brushProperty name="height" value="0.04667" units="cm"/>
      <inkml:brushProperty name="color" value="#ED1C24"/>
      <inkml:brushProperty name="fitToCurve" value="1"/>
    </inkml:brush>
  </inkml:definitions>
  <inkml:trace contextRef="#ctx0" brushRef="#br0">0 0</inkml:trace>
</inkml:ink>
</file>

<file path=customXml/itemProps1.xml><?xml version="1.0" encoding="utf-8"?>
<ds:datastoreItem xmlns:ds="http://schemas.openxmlformats.org/officeDocument/2006/customXml" ds:itemID="{4EAB2A64-D528-4499-9246-6390C4E52F7A}">
  <ds:schemaRefs>
    <ds:schemaRef ds:uri="http://www.w3.org/2003/InkML"/>
  </ds:schemaRefs>
</ds:datastoreItem>
</file>

<file path=customXml/itemProps2.xml><?xml version="1.0" encoding="utf-8"?>
<ds:datastoreItem xmlns:ds="http://schemas.openxmlformats.org/officeDocument/2006/customXml" ds:itemID="{92508B80-DB3B-412D-8990-6D42959CC3CB}">
  <ds:schemaRefs>
    <ds:schemaRef ds:uri="http://www.w3.org/2003/InkML"/>
  </ds:schemaRefs>
</ds:datastoreItem>
</file>

<file path=customXml/itemProps3.xml><?xml version="1.0" encoding="utf-8"?>
<ds:datastoreItem xmlns:ds="http://schemas.openxmlformats.org/officeDocument/2006/customXml" ds:itemID="{C3CB785B-7851-45EB-A695-18D06BBAF8F4}">
  <ds:schemaRefs>
    <ds:schemaRef ds:uri="http://www.w3.org/2003/InkML"/>
  </ds:schemaRefs>
</ds:datastoreItem>
</file>

<file path=customXml/itemProps4.xml><?xml version="1.0" encoding="utf-8"?>
<ds:datastoreItem xmlns:ds="http://schemas.openxmlformats.org/officeDocument/2006/customXml" ds:itemID="{2CF8A7BC-A6C9-488E-AE21-F47F958DEE91}">
  <ds:schemaRefs>
    <ds:schemaRef ds:uri="http://www.w3.org/2003/InkML"/>
  </ds:schemaRefs>
</ds:datastoreItem>
</file>

<file path=customXml/itemProps5.xml><?xml version="1.0" encoding="utf-8"?>
<ds:datastoreItem xmlns:ds="http://schemas.openxmlformats.org/officeDocument/2006/customXml" ds:itemID="{C1D68B6B-94D4-4FC7-B5E7-6C42BD975D05}">
  <ds:schemaRefs>
    <ds:schemaRef ds:uri="http://schemas.openxmlformats.org/officeDocument/2006/bibliography"/>
  </ds:schemaRefs>
</ds:datastoreItem>
</file>

<file path=customXml/itemProps6.xml><?xml version="1.0" encoding="utf-8"?>
<ds:datastoreItem xmlns:ds="http://schemas.openxmlformats.org/officeDocument/2006/customXml" ds:itemID="{290044E2-0BA4-467E-9E53-FFCB639A368E}">
  <ds:schemaRefs>
    <ds:schemaRef ds:uri="http://www.w3.org/2003/InkML"/>
  </ds:schemaRefs>
</ds:datastoreItem>
</file>

<file path=customXml/itemProps7.xml><?xml version="1.0" encoding="utf-8"?>
<ds:datastoreItem xmlns:ds="http://schemas.openxmlformats.org/officeDocument/2006/customXml" ds:itemID="{C4632F00-5510-4446-BFC6-AFD51E328A87}">
  <ds:schemaRefs>
    <ds:schemaRef ds:uri="http://www.w3.org/2003/InkML"/>
  </ds:schemaRefs>
</ds:datastoreItem>
</file>

<file path=customXml/itemProps8.xml><?xml version="1.0" encoding="utf-8"?>
<ds:datastoreItem xmlns:ds="http://schemas.openxmlformats.org/officeDocument/2006/customXml" ds:itemID="{DF7E2C67-A2F6-4770-A022-CC6D6CEBEFC9}">
  <ds:schemaRefs>
    <ds:schemaRef ds:uri="http://www.w3.org/2003/InkML"/>
  </ds:schemaRefs>
</ds:datastoreItem>
</file>

<file path=customXml/itemProps9.xml><?xml version="1.0" encoding="utf-8"?>
<ds:datastoreItem xmlns:ds="http://schemas.openxmlformats.org/officeDocument/2006/customXml" ds:itemID="{A24CD530-54B2-4D4C-A1F1-FF10573DFF46}">
  <ds:schemaRefs>
    <ds:schemaRef ds:uri="http://www.w3.org/2003/InkML"/>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21</Pages>
  <Words>63346</Words>
  <Characters>361074</Characters>
  <Application>Microsoft Office Word</Application>
  <DocSecurity>0</DocSecurity>
  <Lines>3008</Lines>
  <Paragraphs>847</Paragraphs>
  <ScaleCrop>false</ScaleCrop>
  <Company>siom</Company>
  <LinksUpToDate>false</LinksUpToDate>
  <CharactersWithSpaces>423573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刘森</dc:creator>
  <cp:keywords/>
  <dc:description/>
  <cp:lastModifiedBy>yh X</cp:lastModifiedBy>
  <cp:revision>11</cp:revision>
  <dcterms:created xsi:type="dcterms:W3CDTF">2025-06-08T02:22:00Z</dcterms:created>
  <dcterms:modified xsi:type="dcterms:W3CDTF">2026-05-20T06:08:00Z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zotero-version="7.1-beta.36+1eacc8bbd"&gt;&lt;session id="yEPxBke1"/&gt;&lt;style id="http://www.zotero.org/styles/china-national-standard-gb-t-7714-2015-numeric" hasBibliography="1" bibliographyStyleHasBeenSet="1"/&gt;&lt;prefs&gt;&lt;pref name="fieldType</vt:lpwstr>
  </property>
  <property fmtid="{D5CDD505-2E9C-101B-9397-08002B2CF9AE}" pid="3" name="ZOTERO_PREF_2">
    <vt:lpwstr>" value="Field"/&gt;&lt;pref name="automaticJournalAbbreviations" value="true"/&gt;&lt;pref name="delayCitationUpdates" value="true"/&gt;&lt;pref name="dontAskDelayCitationUpdates" value="true"/&gt;&lt;/prefs&gt;&lt;/data&gt;</vt:lpwstr>
  </property>
</Properties>
</file>