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9673" w:type="dxa"/>
        <w:tblInd w:w="108" w:type="dxa"/>
        <w:tblLook w:val="0000" w:firstRow="0" w:lastRow="0" w:firstColumn="0" w:lastColumn="0" w:noHBand="0" w:noVBand="0"/>
      </w:tblPr>
      <w:tblGrid>
        <w:gridCol w:w="1548"/>
        <w:gridCol w:w="5142"/>
        <w:gridCol w:w="2983"/>
      </w:tblGrid>
      <w:tr w:rsidR="001222A3" w:rsidRPr="00F60A41" w14:paraId="4D758FF1" w14:textId="77777777" w:rsidTr="002D1967">
        <w:trPr>
          <w:trHeight w:val="154"/>
        </w:trPr>
        <w:tc>
          <w:tcPr>
            <w:tcW w:w="1548" w:type="dxa"/>
            <w:tcBorders>
              <w:bottom w:val="single" w:sz="4" w:space="0" w:color="auto"/>
            </w:tcBorders>
          </w:tcPr>
          <w:p w14:paraId="4C39683B" w14:textId="77777777" w:rsidR="001222A3" w:rsidRPr="00F60A41" w:rsidRDefault="001222A3" w:rsidP="001222A3">
            <w:pPr>
              <w:tabs>
                <w:tab w:val="left" w:pos="0"/>
                <w:tab w:val="left" w:pos="735"/>
                <w:tab w:val="left" w:pos="3990"/>
              </w:tabs>
              <w:ind w:leftChars="-1" w:left="-1" w:firstLineChars="0" w:hanging="1"/>
              <w:jc w:val="center"/>
              <w:rPr>
                <w:rFonts w:cs="Times New Roman"/>
                <w:sz w:val="18"/>
                <w:szCs w:val="18"/>
              </w:rPr>
            </w:pPr>
            <w:r w:rsidRPr="00F60A41">
              <w:rPr>
                <w:rFonts w:cs="Times New Roman"/>
                <w:sz w:val="18"/>
                <w:szCs w:val="18"/>
              </w:rPr>
              <w:t>ISSN 1000-0054</w:t>
            </w:r>
          </w:p>
        </w:tc>
        <w:tc>
          <w:tcPr>
            <w:tcW w:w="5142" w:type="dxa"/>
          </w:tcPr>
          <w:p w14:paraId="51607467" w14:textId="2A3D44C1" w:rsidR="001222A3" w:rsidRPr="00F60A41" w:rsidRDefault="001222A3" w:rsidP="001222A3">
            <w:pPr>
              <w:tabs>
                <w:tab w:val="left" w:pos="0"/>
                <w:tab w:val="left" w:pos="735"/>
                <w:tab w:val="left" w:pos="3990"/>
              </w:tabs>
              <w:ind w:leftChars="-1" w:left="-1" w:firstLineChars="0" w:hanging="1"/>
              <w:rPr>
                <w:rFonts w:cs="Times New Roman"/>
                <w:sz w:val="15"/>
                <w:szCs w:val="15"/>
              </w:rPr>
            </w:pPr>
            <w:r w:rsidRPr="00F60A41">
              <w:rPr>
                <w:rFonts w:cs="Times New Roman"/>
                <w:sz w:val="15"/>
                <w:szCs w:val="15"/>
              </w:rPr>
              <w:t>清华大学学报（自然科学版）</w:t>
            </w:r>
            <w:r w:rsidRPr="00F60A41">
              <w:rPr>
                <w:rFonts w:cs="Times New Roman"/>
                <w:sz w:val="15"/>
                <w:szCs w:val="15"/>
              </w:rPr>
              <w:t xml:space="preserve">  202</w:t>
            </w:r>
            <w:r w:rsidR="006D4642">
              <w:rPr>
                <w:rFonts w:cs="Times New Roman" w:hint="eastAsia"/>
                <w:sz w:val="15"/>
                <w:szCs w:val="15"/>
              </w:rPr>
              <w:t>5</w:t>
            </w:r>
            <w:r w:rsidRPr="00F60A41">
              <w:rPr>
                <w:rFonts w:cs="Times New Roman"/>
                <w:sz w:val="15"/>
                <w:szCs w:val="15"/>
              </w:rPr>
              <w:t>年第</w:t>
            </w:r>
            <w:r w:rsidRPr="00F60A41">
              <w:rPr>
                <w:rFonts w:cs="Times New Roman"/>
                <w:sz w:val="15"/>
                <w:szCs w:val="15"/>
              </w:rPr>
              <w:t xml:space="preserve">  </w:t>
            </w:r>
            <w:r w:rsidRPr="00F60A41">
              <w:rPr>
                <w:rFonts w:cs="Times New Roman"/>
                <w:sz w:val="15"/>
                <w:szCs w:val="15"/>
              </w:rPr>
              <w:t>卷第</w:t>
            </w:r>
            <w:r w:rsidRPr="00F60A41">
              <w:rPr>
                <w:rFonts w:cs="Times New Roman"/>
                <w:sz w:val="15"/>
                <w:szCs w:val="15"/>
              </w:rPr>
              <w:t xml:space="preserve">  </w:t>
            </w:r>
            <w:r w:rsidRPr="00F60A41">
              <w:rPr>
                <w:rFonts w:cs="Times New Roman"/>
                <w:sz w:val="15"/>
                <w:szCs w:val="15"/>
              </w:rPr>
              <w:t>期</w:t>
            </w:r>
          </w:p>
        </w:tc>
        <w:tc>
          <w:tcPr>
            <w:tcW w:w="2983" w:type="dxa"/>
          </w:tcPr>
          <w:p w14:paraId="7C5E6C81" w14:textId="77777777" w:rsidR="001222A3" w:rsidRPr="00F60A41" w:rsidRDefault="001222A3" w:rsidP="001222A3">
            <w:pPr>
              <w:tabs>
                <w:tab w:val="left" w:pos="0"/>
                <w:tab w:val="left" w:pos="735"/>
                <w:tab w:val="left" w:pos="3990"/>
              </w:tabs>
              <w:ind w:leftChars="-1" w:left="-1" w:firstLineChars="0" w:hanging="1"/>
              <w:jc w:val="center"/>
              <w:rPr>
                <w:rFonts w:eastAsia="黑体" w:cs="Times New Roman"/>
                <w:sz w:val="18"/>
                <w:szCs w:val="18"/>
              </w:rPr>
            </w:pPr>
          </w:p>
        </w:tc>
      </w:tr>
      <w:tr w:rsidR="001222A3" w:rsidRPr="00F60A41" w14:paraId="09E0F60C" w14:textId="77777777" w:rsidTr="002D1967">
        <w:trPr>
          <w:trHeight w:val="70"/>
        </w:trPr>
        <w:tc>
          <w:tcPr>
            <w:tcW w:w="1548" w:type="dxa"/>
            <w:tcBorders>
              <w:top w:val="single" w:sz="4" w:space="0" w:color="auto"/>
            </w:tcBorders>
          </w:tcPr>
          <w:p w14:paraId="321FECCA" w14:textId="77777777" w:rsidR="001222A3" w:rsidRPr="00F60A41" w:rsidRDefault="001222A3" w:rsidP="001222A3">
            <w:pPr>
              <w:tabs>
                <w:tab w:val="left" w:pos="0"/>
                <w:tab w:val="left" w:pos="735"/>
                <w:tab w:val="left" w:pos="3990"/>
              </w:tabs>
              <w:ind w:leftChars="-1" w:left="-1" w:firstLineChars="0" w:hanging="1"/>
              <w:jc w:val="center"/>
              <w:rPr>
                <w:rFonts w:eastAsia="黑体" w:cs="Times New Roman"/>
                <w:sz w:val="18"/>
                <w:szCs w:val="18"/>
              </w:rPr>
            </w:pPr>
            <w:r w:rsidRPr="00F60A41">
              <w:rPr>
                <w:rFonts w:eastAsia="黑体" w:cs="Times New Roman"/>
                <w:sz w:val="18"/>
                <w:szCs w:val="18"/>
              </w:rPr>
              <w:t>CN 11-2223/N</w:t>
            </w:r>
          </w:p>
        </w:tc>
        <w:tc>
          <w:tcPr>
            <w:tcW w:w="5142" w:type="dxa"/>
          </w:tcPr>
          <w:p w14:paraId="0DCBCBDD" w14:textId="4D0461A8" w:rsidR="001222A3" w:rsidRPr="00F60A41" w:rsidRDefault="001222A3" w:rsidP="001222A3">
            <w:pPr>
              <w:tabs>
                <w:tab w:val="left" w:pos="0"/>
                <w:tab w:val="left" w:pos="735"/>
                <w:tab w:val="left" w:pos="3990"/>
              </w:tabs>
              <w:ind w:leftChars="-1" w:left="-1" w:firstLineChars="0" w:hanging="1"/>
              <w:rPr>
                <w:rFonts w:eastAsia="黑体" w:cs="Times New Roman"/>
                <w:sz w:val="18"/>
                <w:szCs w:val="18"/>
              </w:rPr>
            </w:pPr>
            <w:r w:rsidRPr="00F60A41">
              <w:rPr>
                <w:rFonts w:eastAsia="黑体" w:cs="Times New Roman"/>
                <w:sz w:val="18"/>
                <w:szCs w:val="18"/>
              </w:rPr>
              <w:t xml:space="preserve">J </w:t>
            </w:r>
            <w:proofErr w:type="spellStart"/>
            <w:r w:rsidRPr="00F60A41">
              <w:rPr>
                <w:rFonts w:eastAsia="黑体" w:cs="Times New Roman"/>
                <w:sz w:val="18"/>
                <w:szCs w:val="18"/>
              </w:rPr>
              <w:t>Tsinghuauniv</w:t>
            </w:r>
            <w:proofErr w:type="spellEnd"/>
            <w:r w:rsidRPr="00F60A41">
              <w:rPr>
                <w:rFonts w:eastAsia="黑体" w:cs="Times New Roman"/>
                <w:sz w:val="18"/>
                <w:szCs w:val="18"/>
              </w:rPr>
              <w:t xml:space="preserve"> (Sci &amp; Tech), 202</w:t>
            </w:r>
            <w:r w:rsidR="006D4642">
              <w:rPr>
                <w:rFonts w:eastAsia="黑体" w:cs="Times New Roman" w:hint="eastAsia"/>
                <w:sz w:val="18"/>
                <w:szCs w:val="18"/>
              </w:rPr>
              <w:t>5</w:t>
            </w:r>
            <w:r w:rsidRPr="00F60A41">
              <w:rPr>
                <w:rFonts w:eastAsia="黑体" w:cs="Times New Roman"/>
                <w:sz w:val="18"/>
                <w:szCs w:val="18"/>
              </w:rPr>
              <w:t xml:space="preserve">, </w:t>
            </w:r>
            <w:r w:rsidRPr="00952867">
              <w:rPr>
                <w:rFonts w:eastAsia="黑体" w:cs="Times New Roman"/>
                <w:sz w:val="18"/>
                <w:szCs w:val="18"/>
              </w:rPr>
              <w:t>Vol.  ,</w:t>
            </w:r>
            <w:r>
              <w:rPr>
                <w:rFonts w:eastAsia="黑体" w:cs="Times New Roman"/>
                <w:sz w:val="18"/>
                <w:szCs w:val="18"/>
              </w:rPr>
              <w:t xml:space="preserve"> </w:t>
            </w:r>
            <w:r w:rsidRPr="00952867">
              <w:rPr>
                <w:rFonts w:eastAsia="黑体" w:cs="Times New Roman"/>
                <w:sz w:val="18"/>
                <w:szCs w:val="18"/>
              </w:rPr>
              <w:t>No.</w:t>
            </w:r>
          </w:p>
        </w:tc>
        <w:tc>
          <w:tcPr>
            <w:tcW w:w="2983" w:type="dxa"/>
          </w:tcPr>
          <w:p w14:paraId="5E58A5E4" w14:textId="77777777" w:rsidR="001222A3" w:rsidRPr="00F60A41" w:rsidRDefault="001222A3" w:rsidP="001222A3">
            <w:pPr>
              <w:tabs>
                <w:tab w:val="left" w:pos="0"/>
                <w:tab w:val="left" w:pos="735"/>
                <w:tab w:val="left" w:pos="3990"/>
              </w:tabs>
              <w:ind w:leftChars="-1" w:left="-1" w:firstLineChars="0" w:hanging="1"/>
              <w:jc w:val="right"/>
              <w:rPr>
                <w:rFonts w:eastAsia="黑体" w:cs="Times New Roman"/>
                <w:sz w:val="18"/>
                <w:szCs w:val="18"/>
              </w:rPr>
            </w:pPr>
          </w:p>
        </w:tc>
      </w:tr>
    </w:tbl>
    <w:p w14:paraId="78D576B4" w14:textId="77777777" w:rsidR="001222A3" w:rsidRPr="001222A3" w:rsidRDefault="001222A3" w:rsidP="00402B71">
      <w:pPr>
        <w:spacing w:line="240" w:lineRule="atLeast"/>
        <w:ind w:firstLineChars="0" w:firstLine="0"/>
        <w:jc w:val="center"/>
        <w:rPr>
          <w:rFonts w:eastAsiaTheme="majorEastAsia" w:cs="Times New Roman"/>
          <w:b/>
          <w:bCs/>
          <w:kern w:val="0"/>
          <w:sz w:val="44"/>
          <w:szCs w:val="44"/>
        </w:rPr>
      </w:pPr>
    </w:p>
    <w:p w14:paraId="31743B1B" w14:textId="65C11007" w:rsidR="00D75E94" w:rsidRPr="007E1944" w:rsidRDefault="006D4642" w:rsidP="00E1528A">
      <w:pPr>
        <w:spacing w:line="240" w:lineRule="atLeast"/>
        <w:ind w:firstLineChars="0" w:firstLine="0"/>
        <w:jc w:val="center"/>
        <w:rPr>
          <w:rFonts w:eastAsiaTheme="majorEastAsia" w:cs="Times New Roman"/>
          <w:b/>
          <w:bCs/>
          <w:kern w:val="0"/>
          <w:sz w:val="44"/>
          <w:szCs w:val="44"/>
        </w:rPr>
      </w:pPr>
      <w:r>
        <w:rPr>
          <w:rFonts w:eastAsiaTheme="majorEastAsia" w:cs="Times New Roman" w:hint="eastAsia"/>
          <w:b/>
          <w:bCs/>
          <w:kern w:val="0"/>
          <w:sz w:val="44"/>
          <w:szCs w:val="44"/>
        </w:rPr>
        <w:t>清洁能源基地一体化管理</w:t>
      </w:r>
      <w:r w:rsidR="0020709B">
        <w:rPr>
          <w:rFonts w:eastAsiaTheme="majorEastAsia" w:cs="Times New Roman" w:hint="eastAsia"/>
          <w:b/>
          <w:bCs/>
          <w:kern w:val="0"/>
          <w:sz w:val="44"/>
          <w:szCs w:val="44"/>
        </w:rPr>
        <w:t>研究</w:t>
      </w:r>
    </w:p>
    <w:p w14:paraId="2EB5017F" w14:textId="77777777" w:rsidR="00EB70E0" w:rsidRDefault="00EB70E0" w:rsidP="00F574F6">
      <w:pPr>
        <w:spacing w:line="240" w:lineRule="atLeast"/>
        <w:ind w:firstLineChars="0" w:firstLine="0"/>
        <w:jc w:val="center"/>
        <w:rPr>
          <w:rFonts w:cs="Times New Roman"/>
          <w:szCs w:val="21"/>
        </w:rPr>
      </w:pPr>
    </w:p>
    <w:p w14:paraId="5259E208" w14:textId="77777777" w:rsidR="00314763" w:rsidRPr="00F0403C" w:rsidRDefault="00314763" w:rsidP="008B7F9D">
      <w:pPr>
        <w:spacing w:line="240" w:lineRule="atLeast"/>
        <w:ind w:firstLine="420"/>
        <w:jc w:val="center"/>
        <w:rPr>
          <w:rFonts w:cs="Times New Roman"/>
          <w:color w:val="FF0000"/>
          <w:kern w:val="0"/>
          <w:szCs w:val="21"/>
        </w:rPr>
      </w:pPr>
    </w:p>
    <w:p w14:paraId="7B75D4DE" w14:textId="013F8E7A" w:rsidR="00345266" w:rsidRDefault="00CA0541" w:rsidP="00402B71">
      <w:pPr>
        <w:spacing w:line="240" w:lineRule="atLeast"/>
        <w:ind w:firstLineChars="0" w:firstLine="0"/>
        <w:rPr>
          <w:rFonts w:cs="Times New Roman"/>
        </w:rPr>
      </w:pPr>
      <w:r w:rsidRPr="007E1944">
        <w:rPr>
          <w:rFonts w:eastAsia="黑体" w:cs="Times New Roman"/>
          <w:kern w:val="0"/>
          <w:szCs w:val="21"/>
        </w:rPr>
        <w:t>摘</w:t>
      </w:r>
      <w:r w:rsidR="00D5686E" w:rsidRPr="007E1944">
        <w:rPr>
          <w:rFonts w:eastAsia="黑体" w:cs="Times New Roman"/>
          <w:kern w:val="0"/>
          <w:szCs w:val="21"/>
        </w:rPr>
        <w:t xml:space="preserve"> </w:t>
      </w:r>
      <w:r w:rsidRPr="007E1944">
        <w:rPr>
          <w:rFonts w:eastAsia="黑体" w:cs="Times New Roman"/>
          <w:kern w:val="0"/>
          <w:szCs w:val="21"/>
        </w:rPr>
        <w:t>要</w:t>
      </w:r>
      <w:r w:rsidR="00501499" w:rsidRPr="007E1944">
        <w:rPr>
          <w:rFonts w:cs="Times New Roman"/>
          <w:kern w:val="0"/>
          <w:szCs w:val="21"/>
        </w:rPr>
        <w:t>：</w:t>
      </w:r>
      <w:r w:rsidR="006D4642" w:rsidRPr="006D4642">
        <w:rPr>
          <w:rFonts w:hint="eastAsia"/>
        </w:rPr>
        <w:t>清洁能源基地涉及项目群联合开发，建设周期长，利益相关方众多，管理难度大。现有研究多关注单一清洁能源项目管理的关键因素，缺乏对其管理机理的系统研究，也尚未结合清洁能源基地开发特征开展针对性的实证研究。</w:t>
      </w:r>
      <w:r w:rsidR="00345266">
        <w:rPr>
          <w:rFonts w:cs="Times New Roman" w:hint="eastAsia"/>
          <w:kern w:val="0"/>
          <w:szCs w:val="21"/>
        </w:rPr>
        <w:t>对此，本研究</w:t>
      </w:r>
      <w:r w:rsidR="00345266">
        <w:rPr>
          <w:rFonts w:cs="Times New Roman" w:hint="eastAsia"/>
        </w:rPr>
        <w:t>通过调研与文本分析</w:t>
      </w:r>
      <w:r w:rsidR="00E1528A">
        <w:rPr>
          <w:rFonts w:cs="Times New Roman" w:hint="eastAsia"/>
          <w:kern w:val="0"/>
          <w:szCs w:val="21"/>
        </w:rPr>
        <w:t>识别</w:t>
      </w:r>
      <w:r w:rsidR="00345266">
        <w:rPr>
          <w:rFonts w:cs="Times New Roman" w:hint="eastAsia"/>
          <w:kern w:val="0"/>
          <w:szCs w:val="21"/>
        </w:rPr>
        <w:t>了</w:t>
      </w:r>
      <w:r w:rsidR="006D4642" w:rsidRPr="006D4642">
        <w:rPr>
          <w:rFonts w:hint="eastAsia"/>
        </w:rPr>
        <w:t>清洁能源基地</w:t>
      </w:r>
      <w:r w:rsidR="00345266">
        <w:rPr>
          <w:rFonts w:hint="eastAsia"/>
        </w:rPr>
        <w:t>管理需求，</w:t>
      </w:r>
      <w:r w:rsidR="006D4642">
        <w:rPr>
          <w:rFonts w:cs="Times New Roman" w:hint="eastAsia"/>
          <w:kern w:val="0"/>
          <w:szCs w:val="20"/>
        </w:rPr>
        <w:t>构建并验证</w:t>
      </w:r>
      <w:r w:rsidR="006D4642">
        <w:rPr>
          <w:rFonts w:ascii="Times" w:hAnsi="Times" w:cs="Times New Roman" w:hint="eastAsia"/>
        </w:rPr>
        <w:t>了</w:t>
      </w:r>
      <w:r w:rsidR="006D4642">
        <w:rPr>
          <w:rFonts w:hint="eastAsia"/>
        </w:rPr>
        <w:t>清洁能源基地一体化管理理论模型，</w:t>
      </w:r>
      <w:r w:rsidR="00345266">
        <w:rPr>
          <w:rFonts w:hint="eastAsia"/>
        </w:rPr>
        <w:t>揭示了</w:t>
      </w:r>
      <w:r w:rsidR="006D4642">
        <w:t>清洁能源基地的外部条件</w:t>
      </w:r>
      <w:r w:rsidR="006D4642">
        <w:rPr>
          <w:rFonts w:hint="eastAsia"/>
        </w:rPr>
        <w:t>、业主项目群管理能力与管理制度能够通过优化资源配置、促进伙伴关系构建，提升项目群实施与运营水平，最终作用于项目群绩效，</w:t>
      </w:r>
      <w:r w:rsidR="00100320">
        <w:rPr>
          <w:rFonts w:cs="Times New Roman" w:hint="eastAsia"/>
        </w:rPr>
        <w:t>并</w:t>
      </w:r>
      <w:r w:rsidR="003E686F">
        <w:rPr>
          <w:rFonts w:cs="Times New Roman" w:hint="eastAsia"/>
        </w:rPr>
        <w:t>提出了相应管理建议</w:t>
      </w:r>
      <w:r w:rsidR="00345266">
        <w:rPr>
          <w:rFonts w:cs="Times New Roman" w:hint="eastAsia"/>
        </w:rPr>
        <w:t>。研究成果可为</w:t>
      </w:r>
      <w:r w:rsidR="006D4642">
        <w:t>清洁能源基地</w:t>
      </w:r>
      <w:r w:rsidR="00345266">
        <w:rPr>
          <w:rFonts w:hint="eastAsia"/>
        </w:rPr>
        <w:t>管理</w:t>
      </w:r>
      <w:r w:rsidR="00345266">
        <w:rPr>
          <w:rFonts w:cs="Times New Roman" w:hint="eastAsia"/>
        </w:rPr>
        <w:t>提供理论与实践指导。</w:t>
      </w:r>
    </w:p>
    <w:p w14:paraId="5B8A5061" w14:textId="41DA9673" w:rsidR="00101090" w:rsidRPr="004F5163" w:rsidRDefault="00101090" w:rsidP="00402B71">
      <w:pPr>
        <w:spacing w:line="240" w:lineRule="atLeast"/>
        <w:ind w:firstLineChars="0" w:firstLine="0"/>
        <w:rPr>
          <w:rFonts w:cs="Times New Roman"/>
          <w:bCs/>
          <w:color w:val="FF0000"/>
          <w:kern w:val="0"/>
          <w:szCs w:val="21"/>
        </w:rPr>
      </w:pPr>
      <w:r w:rsidRPr="007E1944">
        <w:rPr>
          <w:rFonts w:eastAsia="黑体" w:cs="Times New Roman"/>
          <w:kern w:val="0"/>
          <w:szCs w:val="21"/>
        </w:rPr>
        <w:t>关键词：</w:t>
      </w:r>
      <w:r w:rsidR="006D4642">
        <w:rPr>
          <w:rFonts w:cs="Times New Roman" w:hint="eastAsia"/>
          <w:spacing w:val="10"/>
          <w:kern w:val="0"/>
          <w:szCs w:val="20"/>
        </w:rPr>
        <w:t>项目群管理</w:t>
      </w:r>
      <w:r w:rsidR="006D4642" w:rsidRPr="00155D80">
        <w:rPr>
          <w:rFonts w:cs="Times New Roman"/>
          <w:spacing w:val="10"/>
          <w:kern w:val="0"/>
          <w:szCs w:val="20"/>
        </w:rPr>
        <w:t>；</w:t>
      </w:r>
      <w:r w:rsidR="006D4642">
        <w:rPr>
          <w:rFonts w:cs="Times New Roman" w:hint="eastAsia"/>
          <w:spacing w:val="10"/>
          <w:kern w:val="0"/>
          <w:szCs w:val="20"/>
        </w:rPr>
        <w:t>清洁能源基地</w:t>
      </w:r>
      <w:r w:rsidR="006D4642" w:rsidRPr="00155D80">
        <w:rPr>
          <w:rFonts w:cs="Times New Roman"/>
          <w:spacing w:val="10"/>
          <w:kern w:val="0"/>
          <w:szCs w:val="20"/>
        </w:rPr>
        <w:t>；</w:t>
      </w:r>
      <w:r w:rsidR="006D4642">
        <w:rPr>
          <w:rFonts w:cs="Times New Roman" w:hint="eastAsia"/>
          <w:spacing w:val="10"/>
          <w:kern w:val="0"/>
          <w:szCs w:val="20"/>
        </w:rPr>
        <w:t>利益相关方；伙伴关系；资源配置</w:t>
      </w:r>
    </w:p>
    <w:p w14:paraId="47C32B2C" w14:textId="6D7B74F2" w:rsidR="00314763" w:rsidRDefault="00101090" w:rsidP="00402B71">
      <w:pPr>
        <w:spacing w:line="240" w:lineRule="atLeast"/>
        <w:ind w:firstLineChars="0" w:firstLine="0"/>
        <w:rPr>
          <w:rFonts w:cs="Times New Roman"/>
          <w:color w:val="FF0000"/>
          <w:kern w:val="0"/>
          <w:szCs w:val="21"/>
        </w:rPr>
      </w:pPr>
      <w:r w:rsidRPr="007E1944">
        <w:rPr>
          <w:rFonts w:eastAsia="黑体" w:cs="Times New Roman"/>
          <w:kern w:val="0"/>
          <w:szCs w:val="21"/>
        </w:rPr>
        <w:t>中图分类号：</w:t>
      </w:r>
      <w:r w:rsidR="00DA5C07" w:rsidRPr="00DA5C07">
        <w:rPr>
          <w:rFonts w:cs="Times New Roman"/>
          <w:kern w:val="0"/>
          <w:szCs w:val="21"/>
        </w:rPr>
        <w:t xml:space="preserve">F407.9    </w:t>
      </w:r>
      <w:r w:rsidRPr="007E1944">
        <w:rPr>
          <w:rFonts w:cs="Times New Roman"/>
          <w:kern w:val="0"/>
          <w:szCs w:val="21"/>
        </w:rPr>
        <w:t xml:space="preserve">   </w:t>
      </w:r>
      <w:r w:rsidRPr="007E1944">
        <w:rPr>
          <w:rFonts w:eastAsia="黑体" w:cs="Times New Roman"/>
          <w:kern w:val="0"/>
          <w:szCs w:val="21"/>
        </w:rPr>
        <w:t>文献标志码：</w:t>
      </w:r>
      <w:r w:rsidRPr="007E1944">
        <w:rPr>
          <w:rFonts w:cs="Times New Roman"/>
          <w:kern w:val="0"/>
          <w:szCs w:val="21"/>
        </w:rPr>
        <w:t>A</w:t>
      </w:r>
    </w:p>
    <w:p w14:paraId="1E30E2C5" w14:textId="77777777" w:rsidR="008B7F9D" w:rsidRPr="007E1944" w:rsidRDefault="008B7F9D" w:rsidP="005F4CDD">
      <w:pPr>
        <w:spacing w:line="240" w:lineRule="atLeast"/>
        <w:ind w:firstLine="420"/>
        <w:rPr>
          <w:rFonts w:cs="Times New Roman"/>
          <w:color w:val="FF0000"/>
          <w:kern w:val="0"/>
          <w:szCs w:val="21"/>
        </w:rPr>
      </w:pPr>
    </w:p>
    <w:p w14:paraId="3280F036" w14:textId="77777777" w:rsidR="00A62905" w:rsidRDefault="00A62905" w:rsidP="005F4CDD">
      <w:pPr>
        <w:spacing w:line="240" w:lineRule="atLeast"/>
        <w:ind w:firstLine="420"/>
        <w:rPr>
          <w:rFonts w:eastAsiaTheme="majorEastAsia" w:cs="Times New Roman"/>
          <w:color w:val="FF0000"/>
          <w:kern w:val="0"/>
          <w:szCs w:val="21"/>
        </w:rPr>
        <w:sectPr w:rsidR="00A62905" w:rsidSect="00A62905">
          <w:headerReference w:type="even" r:id="rId16"/>
          <w:headerReference w:type="default" r:id="rId17"/>
          <w:footerReference w:type="even" r:id="rId18"/>
          <w:footerReference w:type="default" r:id="rId19"/>
          <w:headerReference w:type="first" r:id="rId20"/>
          <w:footerReference w:type="first" r:id="rId21"/>
          <w:type w:val="continuous"/>
          <w:pgSz w:w="11906" w:h="16838"/>
          <w:pgMar w:top="1440" w:right="1106" w:bottom="1440" w:left="1106" w:header="851" w:footer="992" w:gutter="0"/>
          <w:cols w:space="425"/>
          <w:titlePg/>
          <w:docGrid w:type="linesAndChars" w:linePitch="312"/>
        </w:sectPr>
      </w:pPr>
    </w:p>
    <w:p w14:paraId="50091E94" w14:textId="218ED7AB" w:rsidR="003245AA" w:rsidRPr="00EB7246" w:rsidRDefault="00EB7246" w:rsidP="00EB7246">
      <w:pPr>
        <w:ind w:firstLine="420"/>
      </w:pPr>
      <w:r w:rsidRPr="00675262">
        <w:rPr>
          <w:rFonts w:hint="eastAsia"/>
        </w:rPr>
        <w:t>我国</w:t>
      </w:r>
      <w:r w:rsidRPr="00675262">
        <w:t>自然资源</w:t>
      </w:r>
      <w:r>
        <w:rPr>
          <w:rFonts w:hint="eastAsia"/>
        </w:rPr>
        <w:t>丰富</w:t>
      </w:r>
      <w:r w:rsidRPr="00675262">
        <w:t>，</w:t>
      </w:r>
      <w:r w:rsidRPr="00BF577D">
        <w:rPr>
          <w:rFonts w:hint="eastAsia"/>
        </w:rPr>
        <w:t>近年来在光伏发电、风力发电等领域取得了关键技术突破，</w:t>
      </w:r>
      <w:r>
        <w:rPr>
          <w:rFonts w:hint="eastAsia"/>
        </w:rPr>
        <w:t>有效</w:t>
      </w:r>
      <w:r w:rsidRPr="00BF577D">
        <w:rPr>
          <w:rFonts w:hint="eastAsia"/>
        </w:rPr>
        <w:t>推动</w:t>
      </w:r>
      <w:r>
        <w:rPr>
          <w:rFonts w:hint="eastAsia"/>
        </w:rPr>
        <w:t>了清洁</w:t>
      </w:r>
      <w:r w:rsidRPr="00BF577D">
        <w:rPr>
          <w:rFonts w:hint="eastAsia"/>
        </w:rPr>
        <w:t>能源产业持续发展。</w:t>
      </w:r>
      <w:r>
        <w:rPr>
          <w:rFonts w:hint="eastAsia"/>
        </w:rPr>
        <w:t>据</w:t>
      </w:r>
      <w:r w:rsidRPr="00675262">
        <w:t>国际能源署（</w:t>
      </w:r>
      <w:r w:rsidRPr="00675262">
        <w:t>International</w:t>
      </w:r>
      <w:r w:rsidRPr="00675262">
        <w:rPr>
          <w:rFonts w:hint="eastAsia"/>
        </w:rPr>
        <w:t xml:space="preserve"> </w:t>
      </w:r>
      <w:r w:rsidRPr="00675262">
        <w:t>Energy</w:t>
      </w:r>
      <w:r w:rsidRPr="00675262">
        <w:rPr>
          <w:rFonts w:hint="eastAsia"/>
        </w:rPr>
        <w:t xml:space="preserve"> </w:t>
      </w:r>
      <w:r w:rsidRPr="00675262">
        <w:t>Agency</w:t>
      </w:r>
      <w:r w:rsidRPr="00675262">
        <w:t>，</w:t>
      </w:r>
      <w:r w:rsidRPr="00675262">
        <w:t>IEA</w:t>
      </w:r>
      <w:r w:rsidRPr="00675262">
        <w:t>）估计</w:t>
      </w:r>
      <w:r w:rsidRPr="00675262">
        <w:rPr>
          <w:rFonts w:hint="eastAsia"/>
        </w:rPr>
        <w:t>，</w:t>
      </w:r>
      <w:r w:rsidRPr="00675262">
        <w:t>在</w:t>
      </w:r>
      <w:r w:rsidRPr="00675262">
        <w:t>2019</w:t>
      </w:r>
      <w:r>
        <w:rPr>
          <w:rFonts w:hint="eastAsia"/>
        </w:rPr>
        <w:t>到</w:t>
      </w:r>
      <w:r w:rsidRPr="00675262">
        <w:t>2024</w:t>
      </w:r>
      <w:r w:rsidRPr="00675262">
        <w:t>年间</w:t>
      </w:r>
      <w:r>
        <w:rPr>
          <w:rFonts w:hint="eastAsia"/>
        </w:rPr>
        <w:t>，我国在</w:t>
      </w:r>
      <w:r w:rsidRPr="00675262">
        <w:t>全球可再生能源容量</w:t>
      </w:r>
      <w:r>
        <w:rPr>
          <w:rFonts w:hint="eastAsia"/>
        </w:rPr>
        <w:t>增长中占比达到</w:t>
      </w:r>
      <w:r w:rsidRPr="00675262">
        <w:t>40%</w:t>
      </w:r>
      <w:r w:rsidRPr="00675262">
        <w:fldChar w:fldCharType="begin"/>
      </w:r>
      <w:r>
        <w:instrText xml:space="preserve"> ADDIN ZOTERO_ITEM CSL_CITATION {"citationID":"LtmKrZ2K","properties":{"formattedCitation":"\\super [1]\\nosupersub{}","plainCitation":"[1]","noteIndex":0},"citationItems":[{"id":2198,"uris":["http://zotero.org/users/13172592/items/BIWZCD8C"],"itemData":{"id":2198,"type":"report","event-place":"Paris","language":"en","publisher":"International Energy Agency","publisher-place":"Paris","title":"Renewables 2022","author":[{"family":"IEA","given":""}],"issued":{"date-parts":[["2022"]]}}}],"schema":"https://github.com/citation-style-language/schema/raw/master/csl-citation.json"} </w:instrText>
      </w:r>
      <w:r w:rsidRPr="00675262">
        <w:fldChar w:fldCharType="separate"/>
      </w:r>
      <w:r w:rsidRPr="00EB7246">
        <w:rPr>
          <w:rFonts w:cs="Times New Roman"/>
          <w:kern w:val="0"/>
          <w:vertAlign w:val="superscript"/>
        </w:rPr>
        <w:t>[1]</w:t>
      </w:r>
      <w:r w:rsidRPr="00675262">
        <w:fldChar w:fldCharType="end"/>
      </w:r>
      <w:r w:rsidRPr="00675262">
        <w:t>。</w:t>
      </w:r>
      <w:r>
        <w:rPr>
          <w:rFonts w:hint="eastAsia"/>
        </w:rPr>
        <w:t>当前</w:t>
      </w:r>
      <w:r w:rsidRPr="00675262">
        <w:rPr>
          <w:rFonts w:hint="eastAsia"/>
        </w:rPr>
        <w:t>，水力发</w:t>
      </w:r>
      <w:r>
        <w:rPr>
          <w:rFonts w:hint="eastAsia"/>
        </w:rPr>
        <w:t>电仍是我国清洁能源发电的主要来源，太阳能、风力发电近五年增长明显。</w:t>
      </w:r>
      <w:r>
        <w:rPr>
          <w:rFonts w:hint="eastAsia"/>
          <w:color w:val="000000" w:themeColor="text1"/>
        </w:rPr>
        <w:t>然而，</w:t>
      </w:r>
      <w:r w:rsidRPr="009E1FB2">
        <w:rPr>
          <w:rFonts w:hint="eastAsia"/>
          <w:color w:val="000000" w:themeColor="text1"/>
        </w:rPr>
        <w:t>我国能源资源与负荷中心呈逆向分布，</w:t>
      </w:r>
      <w:r>
        <w:rPr>
          <w:rFonts w:hint="eastAsia"/>
          <w:color w:val="000000" w:themeColor="text1"/>
        </w:rPr>
        <w:t>面临较为严重的弃能问题</w:t>
      </w:r>
      <w:r>
        <w:rPr>
          <w:color w:val="000000" w:themeColor="text1"/>
        </w:rPr>
        <w:fldChar w:fldCharType="begin"/>
      </w:r>
      <w:r>
        <w:rPr>
          <w:color w:val="000000" w:themeColor="text1"/>
        </w:rPr>
        <w:instrText xml:space="preserve"> ADDIN ZOTERO_ITEM CSL_CITATION {"citationID":"KxzqL2s6","properties":{"formattedCitation":"\\super [2]\\nosupersub{}","plainCitation":"[2]","noteIndex":0},"citationItems":[{"id":2213,"uris":["http://zotero.org/users/13172592/items/RV357NB6"],"itemData":{</w:instrText>
      </w:r>
      <w:r>
        <w:rPr>
          <w:rFonts w:hint="eastAsia"/>
          <w:color w:val="000000" w:themeColor="text1"/>
        </w:rPr>
        <w:instrText>"id":2213,"type":"thesis","abstract":"</w:instrText>
      </w:r>
      <w:r>
        <w:rPr>
          <w:rFonts w:hint="eastAsia"/>
          <w:color w:val="000000" w:themeColor="text1"/>
        </w:rPr>
        <w:instrText>随着能源危机和环境污染问题的日益加重</w:instrText>
      </w:r>
      <w:r>
        <w:rPr>
          <w:rFonts w:hint="eastAsia"/>
          <w:color w:val="000000" w:themeColor="text1"/>
        </w:rPr>
        <w:instrText>,</w:instrText>
      </w:r>
      <w:r>
        <w:rPr>
          <w:rFonts w:hint="eastAsia"/>
          <w:color w:val="000000" w:themeColor="text1"/>
        </w:rPr>
        <w:instrText>传统能源结构及利用方式难以为继</w:instrText>
      </w:r>
      <w:r>
        <w:rPr>
          <w:rFonts w:hint="eastAsia"/>
          <w:color w:val="000000" w:themeColor="text1"/>
        </w:rPr>
        <w:instrText>,</w:instrText>
      </w:r>
      <w:r>
        <w:rPr>
          <w:rFonts w:hint="eastAsia"/>
          <w:color w:val="000000" w:themeColor="text1"/>
        </w:rPr>
        <w:instrText>能源结构转型和发展可再生清洁能源占比势在必行。党的十九大报告提出“树立社会主义生态文明观</w:instrText>
      </w:r>
      <w:r>
        <w:rPr>
          <w:rFonts w:hint="eastAsia"/>
          <w:color w:val="000000" w:themeColor="text1"/>
        </w:rPr>
        <w:instrText>,</w:instrText>
      </w:r>
      <w:r>
        <w:rPr>
          <w:rFonts w:hint="eastAsia"/>
          <w:color w:val="000000" w:themeColor="text1"/>
        </w:rPr>
        <w:instrText>坚持绿色发展理念</w:instrText>
      </w:r>
      <w:r>
        <w:rPr>
          <w:rFonts w:hint="eastAsia"/>
          <w:color w:val="000000" w:themeColor="text1"/>
        </w:rPr>
        <w:instrText>,</w:instrText>
      </w:r>
      <w:r>
        <w:rPr>
          <w:rFonts w:hint="eastAsia"/>
          <w:color w:val="000000" w:themeColor="text1"/>
        </w:rPr>
        <w:instrText>推动能源生产与消费革命</w:instrText>
      </w:r>
      <w:r>
        <w:rPr>
          <w:rFonts w:hint="eastAsia"/>
          <w:color w:val="000000" w:themeColor="text1"/>
        </w:rPr>
        <w:instrText>,</w:instrText>
      </w:r>
      <w:r>
        <w:rPr>
          <w:rFonts w:hint="eastAsia"/>
          <w:color w:val="000000" w:themeColor="text1"/>
        </w:rPr>
        <w:instrText>构建清洁低碳、安全高效能源体系”战略布局</w:instrText>
      </w:r>
      <w:r>
        <w:rPr>
          <w:rFonts w:hint="eastAsia"/>
          <w:color w:val="000000" w:themeColor="text1"/>
        </w:rPr>
        <w:instrText>,</w:instrText>
      </w:r>
      <w:r>
        <w:rPr>
          <w:rFonts w:hint="eastAsia"/>
          <w:color w:val="000000" w:themeColor="text1"/>
        </w:rPr>
        <w:instrText>为我国能源行业发展指明了方向。</w:instrText>
      </w:r>
      <w:r>
        <w:rPr>
          <w:rFonts w:hint="eastAsia"/>
          <w:color w:val="000000" w:themeColor="text1"/>
        </w:rPr>
        <w:instrText>2016</w:instrText>
      </w:r>
      <w:r>
        <w:rPr>
          <w:rFonts w:hint="eastAsia"/>
          <w:color w:val="000000" w:themeColor="text1"/>
        </w:rPr>
        <w:instrText>年国家发改委、能源局、工信部印发《关于推进“互联网</w:instrText>
      </w:r>
      <w:r>
        <w:rPr>
          <w:rFonts w:hint="eastAsia"/>
          <w:color w:val="000000" w:themeColor="text1"/>
        </w:rPr>
        <w:instrText>+</w:instrText>
      </w:r>
      <w:r>
        <w:rPr>
          <w:rFonts w:hint="eastAsia"/>
          <w:color w:val="000000" w:themeColor="text1"/>
        </w:rPr>
        <w:instrText>”智慧能源发展的指导意见》</w:instrText>
      </w:r>
      <w:r>
        <w:rPr>
          <w:rFonts w:hint="eastAsia"/>
          <w:color w:val="000000" w:themeColor="text1"/>
        </w:rPr>
        <w:instrText>,</w:instrText>
      </w:r>
      <w:r>
        <w:rPr>
          <w:rFonts w:hint="eastAsia"/>
          <w:color w:val="000000" w:themeColor="text1"/>
        </w:rPr>
        <w:instrText>指出要加强多能协同分布式能源网络建设</w:instrText>
      </w:r>
      <w:r>
        <w:rPr>
          <w:rFonts w:hint="eastAsia"/>
          <w:color w:val="000000" w:themeColor="text1"/>
        </w:rPr>
        <w:instrText>,</w:instrText>
      </w:r>
      <w:r>
        <w:rPr>
          <w:rFonts w:hint="eastAsia"/>
          <w:color w:val="000000" w:themeColor="text1"/>
        </w:rPr>
        <w:instrText>电、气、热、冷等不同类型能源间的稱合互动和综合利用。传统能源系统中</w:instrText>
      </w:r>
      <w:r>
        <w:rPr>
          <w:rFonts w:hint="eastAsia"/>
          <w:color w:val="000000" w:themeColor="text1"/>
        </w:rPr>
        <w:instrText>,</w:instrText>
      </w:r>
      <w:r>
        <w:rPr>
          <w:rFonts w:hint="eastAsia"/>
          <w:color w:val="000000" w:themeColor="text1"/>
        </w:rPr>
        <w:instrText>由于不同类型的能源系统相对独立</w:instrText>
      </w:r>
      <w:r>
        <w:rPr>
          <w:rFonts w:hint="eastAsia"/>
          <w:color w:val="000000" w:themeColor="text1"/>
        </w:rPr>
        <w:instrText>,</w:instrText>
      </w:r>
      <w:r>
        <w:rPr>
          <w:rFonts w:hint="eastAsia"/>
          <w:color w:val="000000" w:themeColor="text1"/>
        </w:rPr>
        <w:instrText>整体能源利用效率较低。如何打破各能源系统之间的壁垒</w:instrText>
      </w:r>
      <w:r>
        <w:rPr>
          <w:rFonts w:hint="eastAsia"/>
          <w:color w:val="000000" w:themeColor="text1"/>
        </w:rPr>
        <w:instrText>,</w:instrText>
      </w:r>
      <w:r>
        <w:rPr>
          <w:rFonts w:hint="eastAsia"/>
          <w:color w:val="000000" w:themeColor="text1"/>
        </w:rPr>
        <w:instrText>构建集成互补的综合能源体系</w:instrText>
      </w:r>
      <w:r>
        <w:rPr>
          <w:rFonts w:hint="eastAsia"/>
          <w:color w:val="000000" w:themeColor="text1"/>
        </w:rPr>
        <w:instrText>,</w:instrText>
      </w:r>
      <w:r>
        <w:rPr>
          <w:rFonts w:hint="eastAsia"/>
          <w:color w:val="000000" w:themeColor="text1"/>
        </w:rPr>
        <w:instrText>协调优化多种资源出力</w:instrText>
      </w:r>
      <w:r>
        <w:rPr>
          <w:rFonts w:hint="eastAsia"/>
          <w:color w:val="000000" w:themeColor="text1"/>
        </w:rPr>
        <w:instrText>,</w:instrText>
      </w:r>
      <w:r>
        <w:rPr>
          <w:rFonts w:hint="eastAsia"/>
          <w:color w:val="000000" w:themeColor="text1"/>
        </w:rPr>
        <w:instrText>成为能源领域的主要发展趋势。同时</w:instrText>
      </w:r>
      <w:r>
        <w:rPr>
          <w:rFonts w:hint="eastAsia"/>
          <w:color w:val="000000" w:themeColor="text1"/>
        </w:rPr>
        <w:instrText>,</w:instrText>
      </w:r>
      <w:r>
        <w:rPr>
          <w:rFonts w:hint="eastAsia"/>
          <w:color w:val="000000" w:themeColor="text1"/>
        </w:rPr>
        <w:instrText>我国资源环境约束不断加强</w:instrText>
      </w:r>
      <w:r>
        <w:rPr>
          <w:rFonts w:hint="eastAsia"/>
          <w:color w:val="000000" w:themeColor="text1"/>
        </w:rPr>
        <w:instrText>,</w:instrText>
      </w:r>
      <w:r>
        <w:rPr>
          <w:rFonts w:hint="eastAsia"/>
          <w:color w:val="000000" w:themeColor="text1"/>
        </w:rPr>
        <w:instrText>集中式能源开发已难以满足传输损耗、利用效率、环境污染等方面要求</w:instrText>
      </w:r>
      <w:r>
        <w:rPr>
          <w:rFonts w:hint="eastAsia"/>
          <w:color w:val="000000" w:themeColor="text1"/>
        </w:rPr>
        <w:instrText>,</w:instrText>
      </w:r>
      <w:r>
        <w:rPr>
          <w:rFonts w:hint="eastAsia"/>
          <w:color w:val="000000" w:themeColor="text1"/>
        </w:rPr>
        <w:instrText>具备近用户、高能效等优势的分布式能源将成为能源结构转型的新主体。《能源发展“十三五”规划》提出到</w:instrText>
      </w:r>
      <w:r>
        <w:rPr>
          <w:rFonts w:hint="eastAsia"/>
          <w:color w:val="000000" w:themeColor="text1"/>
        </w:rPr>
        <w:instrText>2020</w:instrText>
      </w:r>
      <w:r>
        <w:rPr>
          <w:rFonts w:hint="eastAsia"/>
          <w:color w:val="000000" w:themeColor="text1"/>
        </w:rPr>
        <w:instrText>年分布式天然气发电、光伏装机要达到</w:instrText>
      </w:r>
      <w:r>
        <w:rPr>
          <w:rFonts w:hint="eastAsia"/>
          <w:color w:val="000000" w:themeColor="text1"/>
        </w:rPr>
        <w:instrText>1500</w:instrText>
      </w:r>
      <w:r>
        <w:rPr>
          <w:rFonts w:hint="eastAsia"/>
          <w:color w:val="000000" w:themeColor="text1"/>
        </w:rPr>
        <w:instrText>万千瓦和</w:instrText>
      </w:r>
      <w:r>
        <w:rPr>
          <w:rFonts w:hint="eastAsia"/>
          <w:color w:val="000000" w:themeColor="text1"/>
        </w:rPr>
        <w:instrText>6000</w:instrText>
      </w:r>
      <w:r>
        <w:rPr>
          <w:rFonts w:hint="eastAsia"/>
          <w:color w:val="000000" w:themeColor="text1"/>
        </w:rPr>
        <w:instrText>万千瓦</w:instrText>
      </w:r>
      <w:r>
        <w:rPr>
          <w:rFonts w:hint="eastAsia"/>
          <w:color w:val="000000" w:themeColor="text1"/>
        </w:rPr>
        <w:instrText>,</w:instrText>
      </w:r>
      <w:r>
        <w:rPr>
          <w:rFonts w:hint="eastAsia"/>
          <w:color w:val="000000" w:themeColor="text1"/>
        </w:rPr>
        <w:instrText>并积极发展分散式风电。未来</w:instrText>
      </w:r>
      <w:r>
        <w:rPr>
          <w:rFonts w:hint="eastAsia"/>
          <w:color w:val="000000" w:themeColor="text1"/>
        </w:rPr>
        <w:instrText>,</w:instrText>
      </w:r>
      <w:r>
        <w:rPr>
          <w:rFonts w:hint="eastAsia"/>
          <w:color w:val="000000" w:themeColor="text1"/>
        </w:rPr>
        <w:instrText>我国能源开发模式将呈现集中式与分布式并举局面。因此</w:instrText>
      </w:r>
      <w:r>
        <w:rPr>
          <w:rFonts w:hint="eastAsia"/>
          <w:color w:val="000000" w:themeColor="text1"/>
        </w:rPr>
        <w:instrText>,</w:instrText>
      </w:r>
      <w:r>
        <w:rPr>
          <w:rFonts w:hint="eastAsia"/>
          <w:color w:val="000000" w:themeColor="text1"/>
        </w:rPr>
        <w:instrText>本文围绕着能源集中式开发与分布式开发两种模式</w:instrText>
      </w:r>
      <w:r>
        <w:rPr>
          <w:rFonts w:hint="eastAsia"/>
          <w:color w:val="000000" w:themeColor="text1"/>
        </w:rPr>
        <w:instrText>,</w:instrText>
      </w:r>
      <w:r>
        <w:rPr>
          <w:rFonts w:hint="eastAsia"/>
          <w:color w:val="000000" w:themeColor="text1"/>
        </w:rPr>
        <w:instrText>构造考虑多能互补清洁能源协同调度优化模型</w:instrText>
      </w:r>
      <w:r>
        <w:rPr>
          <w:rFonts w:hint="eastAsia"/>
          <w:color w:val="000000" w:themeColor="text1"/>
        </w:rPr>
        <w:instrText>,</w:instrText>
      </w:r>
      <w:r>
        <w:rPr>
          <w:rFonts w:hint="eastAsia"/>
          <w:color w:val="000000" w:themeColor="text1"/>
        </w:rPr>
        <w:instrText>并提出了多类型主体效益动态均衡机制</w:instrText>
      </w:r>
      <w:r>
        <w:rPr>
          <w:rFonts w:hint="eastAsia"/>
          <w:color w:val="000000" w:themeColor="text1"/>
        </w:rPr>
        <w:instrText>,</w:instrText>
      </w:r>
      <w:r>
        <w:rPr>
          <w:rFonts w:hint="eastAsia"/>
          <w:color w:val="000000" w:themeColor="text1"/>
        </w:rPr>
        <w:instrText>主要研究内容如下</w:instrText>
      </w:r>
      <w:r>
        <w:rPr>
          <w:rFonts w:hint="eastAsia"/>
          <w:color w:val="000000" w:themeColor="text1"/>
        </w:rPr>
        <w:instrText>:(1)</w:instrText>
      </w:r>
      <w:r>
        <w:rPr>
          <w:rFonts w:hint="eastAsia"/>
          <w:color w:val="000000" w:themeColor="text1"/>
        </w:rPr>
        <w:instrText>梳理了多能互补和清洁能源协同利用的成果与理论</w:instrText>
      </w:r>
      <w:r>
        <w:rPr>
          <w:rFonts w:hint="eastAsia"/>
          <w:color w:val="000000" w:themeColor="text1"/>
        </w:rPr>
        <w:instrText>,</w:instrText>
      </w:r>
      <w:r>
        <w:rPr>
          <w:rFonts w:hint="eastAsia"/>
          <w:color w:val="000000" w:themeColor="text1"/>
        </w:rPr>
        <w:instrText>论证了论文研究的可行性和必要性</w:instrText>
      </w:r>
      <w:r>
        <w:rPr>
          <w:rFonts w:hint="eastAsia"/>
          <w:color w:val="000000" w:themeColor="text1"/>
        </w:rPr>
        <w:instrText>,</w:instrText>
      </w:r>
      <w:r>
        <w:rPr>
          <w:rFonts w:hint="eastAsia"/>
          <w:color w:val="000000" w:themeColor="text1"/>
        </w:rPr>
        <w:instrText>突出了论文研究的背景及意义。首先</w:instrText>
      </w:r>
      <w:r>
        <w:rPr>
          <w:rFonts w:hint="eastAsia"/>
          <w:color w:val="000000" w:themeColor="text1"/>
        </w:rPr>
        <w:instrText>,</w:instrText>
      </w:r>
      <w:r>
        <w:rPr>
          <w:rFonts w:hint="eastAsia"/>
          <w:color w:val="000000" w:themeColor="text1"/>
        </w:rPr>
        <w:instrText>从多能互补系统实践现状、作用机理</w:instrText>
      </w:r>
      <w:r>
        <w:rPr>
          <w:rFonts w:hint="eastAsia"/>
          <w:color w:val="000000" w:themeColor="text1"/>
        </w:rPr>
        <w:instrText>,</w:instrText>
      </w:r>
      <w:r>
        <w:rPr>
          <w:rFonts w:hint="eastAsia"/>
          <w:color w:val="000000" w:themeColor="text1"/>
        </w:rPr>
        <w:instrText>协调调度</w:instrText>
      </w:r>
      <w:r>
        <w:rPr>
          <w:rFonts w:hint="eastAsia"/>
          <w:color w:val="000000" w:themeColor="text1"/>
        </w:rPr>
        <w:instrText>,</w:instrText>
      </w:r>
      <w:r>
        <w:rPr>
          <w:rFonts w:hint="eastAsia"/>
          <w:color w:val="000000" w:themeColor="text1"/>
        </w:rPr>
        <w:instrText>利益均衡四方面总结了论文研究内容相关的国内外研究现状</w:instrText>
      </w:r>
      <w:r>
        <w:rPr>
          <w:rFonts w:hint="eastAsia"/>
          <w:color w:val="000000" w:themeColor="text1"/>
        </w:rPr>
        <w:instrText>,</w:instrText>
      </w:r>
      <w:r>
        <w:rPr>
          <w:rFonts w:hint="eastAsia"/>
          <w:color w:val="000000" w:themeColor="text1"/>
        </w:rPr>
        <w:instrText>介绍了多能互补的基本含义和相关政策。然后</w:instrText>
      </w:r>
      <w:r>
        <w:rPr>
          <w:rFonts w:hint="eastAsia"/>
          <w:color w:val="000000" w:themeColor="text1"/>
        </w:rPr>
        <w:instrText>,</w:instrText>
      </w:r>
      <w:r>
        <w:rPr>
          <w:rFonts w:hint="eastAsia"/>
          <w:color w:val="000000" w:themeColor="text1"/>
        </w:rPr>
        <w:instrText>明晰了多能互补的运行模式</w:instrText>
      </w:r>
      <w:r>
        <w:rPr>
          <w:rFonts w:hint="eastAsia"/>
          <w:color w:val="000000" w:themeColor="text1"/>
        </w:rPr>
        <w:instrText>,</w:instrText>
      </w:r>
      <w:r>
        <w:rPr>
          <w:rFonts w:hint="eastAsia"/>
          <w:color w:val="000000" w:themeColor="text1"/>
        </w:rPr>
        <w:instrText>包括集中式和分布式两类</w:instrText>
      </w:r>
      <w:r>
        <w:rPr>
          <w:rFonts w:hint="eastAsia"/>
          <w:color w:val="000000" w:themeColor="text1"/>
        </w:rPr>
        <w:instrText>,</w:instrText>
      </w:r>
      <w:r>
        <w:rPr>
          <w:rFonts w:hint="eastAsia"/>
          <w:color w:val="000000" w:themeColor="text1"/>
        </w:rPr>
        <w:instrText>其中</w:instrText>
      </w:r>
      <w:r>
        <w:rPr>
          <w:rFonts w:hint="eastAsia"/>
          <w:color w:val="000000" w:themeColor="text1"/>
        </w:rPr>
        <w:instrText>,</w:instrText>
      </w:r>
      <w:r>
        <w:rPr>
          <w:rFonts w:hint="eastAsia"/>
          <w:color w:val="000000" w:themeColor="text1"/>
        </w:rPr>
        <w:instrText>集中式包括风光水火储大型能源基地协同运行和电热冷气综合能源系统</w:instrText>
      </w:r>
      <w:r>
        <w:rPr>
          <w:rFonts w:hint="eastAsia"/>
          <w:color w:val="000000" w:themeColor="text1"/>
        </w:rPr>
        <w:instrText>,</w:instrText>
      </w:r>
      <w:r>
        <w:rPr>
          <w:rFonts w:hint="eastAsia"/>
          <w:color w:val="000000" w:themeColor="text1"/>
        </w:rPr>
        <w:instrText>而分布式包括虚拟电厂调度优化模型和微能源站运营优化模型。最后</w:instrText>
      </w:r>
      <w:r>
        <w:rPr>
          <w:rFonts w:hint="eastAsia"/>
          <w:color w:val="000000" w:themeColor="text1"/>
        </w:rPr>
        <w:instrText>,</w:instrText>
      </w:r>
      <w:r>
        <w:rPr>
          <w:rFonts w:hint="eastAsia"/>
          <w:color w:val="000000" w:themeColor="text1"/>
        </w:rPr>
        <w:instrText>文章对比分析了国内外多能互补实践现状</w:instrText>
      </w:r>
      <w:r>
        <w:rPr>
          <w:rFonts w:hint="eastAsia"/>
          <w:color w:val="000000" w:themeColor="text1"/>
        </w:rPr>
        <w:instrText>,</w:instrText>
      </w:r>
      <w:r>
        <w:rPr>
          <w:rFonts w:hint="eastAsia"/>
          <w:color w:val="000000" w:themeColor="text1"/>
        </w:rPr>
        <w:instrText>并给出了相应的经验启示。</w:instrText>
      </w:r>
      <w:r>
        <w:rPr>
          <w:rFonts w:hint="eastAsia"/>
          <w:color w:val="000000" w:themeColor="text1"/>
        </w:rPr>
        <w:instrText>(2)</w:instrText>
      </w:r>
      <w:r>
        <w:rPr>
          <w:rFonts w:hint="eastAsia"/>
          <w:color w:val="000000" w:themeColor="text1"/>
        </w:rPr>
        <w:instrText>提出了考虑多能互补的风光水火储能源基地协同调度优化模型。首先</w:instrText>
      </w:r>
      <w:r>
        <w:rPr>
          <w:rFonts w:hint="eastAsia"/>
          <w:color w:val="000000" w:themeColor="text1"/>
        </w:rPr>
        <w:instrText>,</w:instrText>
      </w:r>
      <w:r>
        <w:rPr>
          <w:rFonts w:hint="eastAsia"/>
          <w:color w:val="000000" w:themeColor="text1"/>
        </w:rPr>
        <w:instrText>围绕风</w:instrText>
      </w:r>
      <w:r>
        <w:rPr>
          <w:rFonts w:hint="eastAsia"/>
          <w:color w:val="000000" w:themeColor="text1"/>
        </w:rPr>
        <w:instrText>-</w:instrText>
      </w:r>
      <w:r>
        <w:rPr>
          <w:rFonts w:hint="eastAsia"/>
          <w:color w:val="000000" w:themeColor="text1"/>
        </w:rPr>
        <w:instrText>光</w:instrText>
      </w:r>
      <w:r>
        <w:rPr>
          <w:rFonts w:hint="eastAsia"/>
          <w:color w:val="000000" w:themeColor="text1"/>
        </w:rPr>
        <w:instrText>-</w:instrText>
      </w:r>
      <w:r>
        <w:rPr>
          <w:rFonts w:hint="eastAsia"/>
          <w:color w:val="000000" w:themeColor="text1"/>
        </w:rPr>
        <w:instrText>抽水蓄能协同运行问题</w:instrText>
      </w:r>
      <w:r>
        <w:rPr>
          <w:rFonts w:hint="eastAsia"/>
          <w:color w:val="000000" w:themeColor="text1"/>
        </w:rPr>
        <w:instrText>,</w:instrText>
      </w:r>
      <w:r>
        <w:rPr>
          <w:rFonts w:hint="eastAsia"/>
          <w:color w:val="000000" w:themeColor="text1"/>
        </w:rPr>
        <w:instrText>建立了系统输出功率模型及常规调度优化模型</w:instrText>
      </w:r>
      <w:r>
        <w:rPr>
          <w:rFonts w:hint="eastAsia"/>
          <w:color w:val="000000" w:themeColor="text1"/>
        </w:rPr>
        <w:instrText>;</w:instrText>
      </w:r>
      <w:r>
        <w:rPr>
          <w:rFonts w:hint="eastAsia"/>
          <w:color w:val="000000" w:themeColor="text1"/>
        </w:rPr>
        <w:instrText>为了解决风光不确定性给系统稳定运行带来的冲击</w:instrText>
      </w:r>
      <w:r>
        <w:rPr>
          <w:rFonts w:hint="eastAsia"/>
          <w:color w:val="000000" w:themeColor="text1"/>
        </w:rPr>
        <w:instrText>,</w:instrText>
      </w:r>
      <w:r>
        <w:rPr>
          <w:rFonts w:hint="eastAsia"/>
          <w:color w:val="000000" w:themeColor="text1"/>
        </w:rPr>
        <w:instrText>借助鲁棒随机优化理论构造了随机调度优化模型</w:instrText>
      </w:r>
      <w:r>
        <w:rPr>
          <w:rFonts w:hint="eastAsia"/>
          <w:color w:val="000000" w:themeColor="text1"/>
        </w:rPr>
        <w:instrText>;</w:instrText>
      </w:r>
      <w:r>
        <w:rPr>
          <w:rFonts w:hint="eastAsia"/>
          <w:color w:val="000000" w:themeColor="text1"/>
        </w:rPr>
        <w:instrText>进而</w:instrText>
      </w:r>
      <w:r>
        <w:rPr>
          <w:rFonts w:hint="eastAsia"/>
          <w:color w:val="000000" w:themeColor="text1"/>
        </w:rPr>
        <w:instrText>,</w:instrText>
      </w:r>
      <w:r>
        <w:rPr>
          <w:rFonts w:hint="eastAsia"/>
          <w:color w:val="000000" w:themeColor="text1"/>
        </w:rPr>
        <w:instrText>针对风</w:instrText>
      </w:r>
      <w:r>
        <w:rPr>
          <w:rFonts w:hint="eastAsia"/>
          <w:color w:val="000000" w:themeColor="text1"/>
        </w:rPr>
        <w:instrText>-</w:instrText>
      </w:r>
      <w:r>
        <w:rPr>
          <w:rFonts w:hint="eastAsia"/>
          <w:color w:val="000000" w:themeColor="text1"/>
        </w:rPr>
        <w:instrText>光</w:instrText>
      </w:r>
      <w:r>
        <w:rPr>
          <w:rFonts w:hint="eastAsia"/>
          <w:color w:val="000000" w:themeColor="text1"/>
        </w:rPr>
        <w:instrText>-</w:instrText>
      </w:r>
      <w:r>
        <w:rPr>
          <w:rFonts w:hint="eastAsia"/>
          <w:color w:val="000000" w:themeColor="text1"/>
        </w:rPr>
        <w:instrText>水</w:instrText>
      </w:r>
      <w:r>
        <w:rPr>
          <w:rFonts w:hint="eastAsia"/>
          <w:color w:val="000000" w:themeColor="text1"/>
        </w:rPr>
        <w:instrText>-</w:instrText>
      </w:r>
      <w:r>
        <w:rPr>
          <w:rFonts w:hint="eastAsia"/>
          <w:color w:val="000000" w:themeColor="text1"/>
        </w:rPr>
        <w:instrText>火</w:instrText>
      </w:r>
      <w:r>
        <w:rPr>
          <w:rFonts w:hint="eastAsia"/>
          <w:color w:val="000000" w:themeColor="text1"/>
        </w:rPr>
        <w:instrText>-</w:instrText>
      </w:r>
      <w:r>
        <w:rPr>
          <w:rFonts w:hint="eastAsia"/>
          <w:color w:val="000000" w:themeColor="text1"/>
        </w:rPr>
        <w:instrText>储耦合系统运行优化问题</w:instrText>
      </w:r>
      <w:r>
        <w:rPr>
          <w:rFonts w:hint="eastAsia"/>
          <w:color w:val="000000" w:themeColor="text1"/>
        </w:rPr>
        <w:instrText>,</w:instrText>
      </w:r>
      <w:r>
        <w:rPr>
          <w:rFonts w:hint="eastAsia"/>
          <w:color w:val="000000" w:themeColor="text1"/>
        </w:rPr>
        <w:instrText>介绍了耦合系统的基本构成</w:instrText>
      </w:r>
      <w:r>
        <w:rPr>
          <w:rFonts w:hint="eastAsia"/>
          <w:color w:val="000000" w:themeColor="text1"/>
        </w:rPr>
        <w:instrText>,</w:instrText>
      </w:r>
      <w:r>
        <w:rPr>
          <w:rFonts w:hint="eastAsia"/>
          <w:color w:val="000000" w:themeColor="text1"/>
        </w:rPr>
        <w:instrText>以最大化运营收益、最小化弃能成本和最小化出力波动为目标函数</w:instrText>
      </w:r>
      <w:r>
        <w:rPr>
          <w:rFonts w:hint="eastAsia"/>
          <w:color w:val="000000" w:themeColor="text1"/>
        </w:rPr>
        <w:instrText>,</w:instrText>
      </w:r>
      <w:r>
        <w:rPr>
          <w:rFonts w:hint="eastAsia"/>
          <w:color w:val="000000" w:themeColor="text1"/>
        </w:rPr>
        <w:instrText>构造了多目标调度模型及求解算法。</w:instrText>
      </w:r>
      <w:r>
        <w:rPr>
          <w:rFonts w:hint="eastAsia"/>
          <w:color w:val="000000" w:themeColor="text1"/>
        </w:rPr>
        <w:instrText>(3)</w:instrText>
      </w:r>
      <w:r>
        <w:rPr>
          <w:rFonts w:hint="eastAsia"/>
          <w:color w:val="000000" w:themeColor="text1"/>
        </w:rPr>
        <w:instrText>构造了考虑多能互补的综合能源系统冷热电气协同调度优化模型。首先</w:instrText>
      </w:r>
      <w:r>
        <w:rPr>
          <w:rFonts w:hint="eastAsia"/>
          <w:color w:val="000000" w:themeColor="text1"/>
        </w:rPr>
        <w:instrText>,</w:instrText>
      </w:r>
      <w:r>
        <w:rPr>
          <w:rFonts w:hint="eastAsia"/>
          <w:color w:val="000000" w:themeColor="text1"/>
        </w:rPr>
        <w:instrText>逐层设计了电热互联系统、电气互联系统、冷热电气互联系统的基本构成思路</w:instrText>
      </w:r>
      <w:r>
        <w:rPr>
          <w:rFonts w:hint="eastAsia"/>
          <w:color w:val="000000" w:themeColor="text1"/>
        </w:rPr>
        <w:instrText>,</w:instrText>
      </w:r>
      <w:r>
        <w:rPr>
          <w:rFonts w:hint="eastAsia"/>
          <w:color w:val="000000" w:themeColor="text1"/>
        </w:rPr>
        <w:instrText>并明确了能源设备的功能特性。然后</w:instrText>
      </w:r>
      <w:r>
        <w:rPr>
          <w:rFonts w:hint="eastAsia"/>
          <w:color w:val="000000" w:themeColor="text1"/>
        </w:rPr>
        <w:instrText>,</w:instrText>
      </w:r>
      <w:r>
        <w:rPr>
          <w:rFonts w:hint="eastAsia"/>
          <w:color w:val="000000" w:themeColor="text1"/>
        </w:rPr>
        <w:instrText>针对风光不确定性给系统运行带来的影响</w:instrText>
      </w:r>
      <w:r>
        <w:rPr>
          <w:rFonts w:hint="eastAsia"/>
          <w:color w:val="000000" w:themeColor="text1"/>
        </w:rPr>
        <w:instrText>,</w:instrText>
      </w:r>
      <w:r>
        <w:rPr>
          <w:rFonts w:hint="eastAsia"/>
          <w:color w:val="000000" w:themeColor="text1"/>
        </w:rPr>
        <w:instrText>利用</w:instrText>
      </w:r>
      <w:r>
        <w:rPr>
          <w:rFonts w:hint="eastAsia"/>
          <w:color w:val="000000" w:themeColor="text1"/>
        </w:rPr>
        <w:instrText>CVaR</w:instrText>
      </w:r>
      <w:r>
        <w:rPr>
          <w:rFonts w:hint="eastAsia"/>
          <w:color w:val="000000" w:themeColor="text1"/>
        </w:rPr>
        <w:instrText>方法和鲁棒随机优化方法</w:instrText>
      </w:r>
      <w:r>
        <w:rPr>
          <w:rFonts w:hint="eastAsia"/>
          <w:color w:val="000000" w:themeColor="text1"/>
        </w:rPr>
        <w:instrText>,</w:instrText>
      </w:r>
      <w:r>
        <w:rPr>
          <w:rFonts w:hint="eastAsia"/>
          <w:color w:val="000000" w:themeColor="text1"/>
        </w:rPr>
        <w:instrText>逐步构造电热耦合调度模型、电气互联多目标调度模型以及冷热电气互联协调调度优化模型。最后</w:instrText>
      </w:r>
      <w:r>
        <w:rPr>
          <w:rFonts w:hint="eastAsia"/>
          <w:color w:val="000000" w:themeColor="text1"/>
        </w:rPr>
        <w:instrText>,</w:instrText>
      </w:r>
      <w:r>
        <w:rPr>
          <w:rFonts w:hint="eastAsia"/>
          <w:color w:val="000000" w:themeColor="text1"/>
        </w:rPr>
        <w:instrText>通过对上述相关模型进行算例分析</w:instrText>
      </w:r>
      <w:r>
        <w:rPr>
          <w:rFonts w:hint="eastAsia"/>
          <w:color w:val="000000" w:themeColor="text1"/>
        </w:rPr>
        <w:instrText>,</w:instrText>
      </w:r>
      <w:r>
        <w:rPr>
          <w:rFonts w:hint="eastAsia"/>
          <w:color w:val="000000" w:themeColor="text1"/>
        </w:rPr>
        <w:instrText>验证了所提模型的有效性和适用性。</w:instrText>
      </w:r>
      <w:r>
        <w:rPr>
          <w:rFonts w:hint="eastAsia"/>
          <w:color w:val="000000" w:themeColor="text1"/>
        </w:rPr>
        <w:instrText>(4)</w:instrText>
      </w:r>
      <w:r>
        <w:rPr>
          <w:rFonts w:hint="eastAsia"/>
          <w:color w:val="000000" w:themeColor="text1"/>
        </w:rPr>
        <w:instrText>创建了考虑多能互补的分布式能源聚合微能源站调度优化模型。针对能源分布式开发方式</w:instrText>
      </w:r>
      <w:r>
        <w:rPr>
          <w:rFonts w:hint="eastAsia"/>
          <w:color w:val="000000" w:themeColor="text1"/>
        </w:rPr>
        <w:instrText>,</w:instrText>
      </w:r>
      <w:r>
        <w:rPr>
          <w:rFonts w:hint="eastAsia"/>
          <w:color w:val="000000" w:themeColor="text1"/>
        </w:rPr>
        <w:instrText>讨论多类型分布式能源聚合利用问题。一方面</w:instrText>
      </w:r>
      <w:r>
        <w:rPr>
          <w:rFonts w:hint="eastAsia"/>
          <w:color w:val="000000" w:themeColor="text1"/>
        </w:rPr>
        <w:instrText>,</w:instrText>
      </w:r>
      <w:r>
        <w:rPr>
          <w:rFonts w:hint="eastAsia"/>
          <w:color w:val="000000" w:themeColor="text1"/>
        </w:rPr>
        <w:instrText>讨论风、光、燃气轮机等分布式电源聚合虚拟电厂</w:instrText>
      </w:r>
      <w:r>
        <w:rPr>
          <w:rFonts w:hint="eastAsia"/>
          <w:color w:val="000000" w:themeColor="text1"/>
        </w:rPr>
        <w:instrText>,</w:instrText>
      </w:r>
      <w:r>
        <w:rPr>
          <w:rFonts w:hint="eastAsia"/>
          <w:color w:val="000000" w:themeColor="text1"/>
        </w:rPr>
        <w:instrText>构造了虚拟电厂风险规避调度优化模型及低碳调度优化模型。另一方面</w:instrText>
      </w:r>
      <w:r>
        <w:rPr>
          <w:rFonts w:hint="eastAsia"/>
          <w:color w:val="000000" w:themeColor="text1"/>
        </w:rPr>
        <w:instrText>,</w:instrText>
      </w:r>
      <w:r>
        <w:rPr>
          <w:rFonts w:hint="eastAsia"/>
          <w:color w:val="000000" w:themeColor="text1"/>
        </w:rPr>
        <w:instrText>介绍了电热耦合微能源站、电热气耦合微能源站的系统结构</w:instrText>
      </w:r>
      <w:r>
        <w:rPr>
          <w:rFonts w:hint="eastAsia"/>
          <w:color w:val="000000" w:themeColor="text1"/>
        </w:rPr>
        <w:instrText>;</w:instrText>
      </w:r>
      <w:r>
        <w:rPr>
          <w:rFonts w:hint="eastAsia"/>
          <w:color w:val="000000" w:themeColor="text1"/>
        </w:rPr>
        <w:instrText>然后</w:instrText>
      </w:r>
      <w:r>
        <w:rPr>
          <w:rFonts w:hint="eastAsia"/>
          <w:color w:val="000000" w:themeColor="text1"/>
        </w:rPr>
        <w:instrText>,</w:instrText>
      </w:r>
      <w:r>
        <w:rPr>
          <w:rFonts w:hint="eastAsia"/>
          <w:color w:val="000000" w:themeColor="text1"/>
        </w:rPr>
        <w:instrText>建立了不同类型分布式能源的输出功率模型</w:instrText>
      </w:r>
      <w:r>
        <w:rPr>
          <w:rFonts w:hint="eastAsia"/>
          <w:color w:val="000000" w:themeColor="text1"/>
        </w:rPr>
        <w:instrText>,</w:instrText>
      </w:r>
      <w:r>
        <w:rPr>
          <w:rFonts w:hint="eastAsia"/>
          <w:color w:val="000000" w:themeColor="text1"/>
        </w:rPr>
        <w:instrText>进而构造电热微能源站风险规避优化模型和电热气微能源站多目标调度模型</w:instrText>
      </w:r>
      <w:r>
        <w:rPr>
          <w:rFonts w:hint="eastAsia"/>
          <w:color w:val="000000" w:themeColor="text1"/>
        </w:rPr>
        <w:instrText>,</w:instrText>
      </w:r>
      <w:r>
        <w:rPr>
          <w:rFonts w:hint="eastAsia"/>
          <w:color w:val="000000" w:themeColor="text1"/>
        </w:rPr>
        <w:instrText>并线性化处理模型中的非线性目标函数及约束条件。</w:instrText>
      </w:r>
      <w:r>
        <w:rPr>
          <w:rFonts w:hint="eastAsia"/>
          <w:color w:val="000000" w:themeColor="text1"/>
        </w:rPr>
        <w:instrText>(5)</w:instrText>
      </w:r>
      <w:r>
        <w:rPr>
          <w:rFonts w:hint="eastAsia"/>
          <w:color w:val="000000" w:themeColor="text1"/>
        </w:rPr>
        <w:instrText>设计了考虑多能互补的清洁能源系统效益评价及效益均衡模型。首先</w:instrText>
      </w:r>
      <w:r>
        <w:rPr>
          <w:rFonts w:hint="eastAsia"/>
          <w:color w:val="000000" w:themeColor="text1"/>
        </w:rPr>
        <w:instrText>,</w:instrText>
      </w:r>
      <w:r>
        <w:rPr>
          <w:rFonts w:hint="eastAsia"/>
          <w:color w:val="000000" w:themeColor="text1"/>
        </w:rPr>
        <w:instrText>从经济效益、技术效益、环境效益和社会效益四个维度建立了考虑多能互补的清洁能源系统效益评价指标体系</w:instrText>
      </w:r>
      <w:r>
        <w:rPr>
          <w:rFonts w:hint="eastAsia"/>
          <w:color w:val="000000" w:themeColor="text1"/>
        </w:rPr>
        <w:instrText>,</w:instrText>
      </w:r>
      <w:r>
        <w:rPr>
          <w:rFonts w:hint="eastAsia"/>
          <w:color w:val="000000" w:themeColor="text1"/>
        </w:rPr>
        <w:instrText>并利用改进云模糊的综合评价方法</w:instrText>
      </w:r>
      <w:r>
        <w:rPr>
          <w:rFonts w:hint="eastAsia"/>
          <w:color w:val="000000" w:themeColor="text1"/>
        </w:rPr>
        <w:instrText>,</w:instrText>
      </w:r>
      <w:r>
        <w:rPr>
          <w:rFonts w:hint="eastAsia"/>
          <w:color w:val="000000" w:themeColor="text1"/>
        </w:rPr>
        <w:instrText>形成考虑多能互补的清洁能源系统效益综合评价模型</w:instrText>
      </w:r>
      <w:r>
        <w:rPr>
          <w:rFonts w:hint="eastAsia"/>
          <w:color w:val="000000" w:themeColor="text1"/>
        </w:rPr>
        <w:instrText>,</w:instrText>
      </w:r>
      <w:r>
        <w:rPr>
          <w:rFonts w:hint="eastAsia"/>
          <w:color w:val="000000" w:themeColor="text1"/>
        </w:rPr>
        <w:instrText>从而为清洁能源系统项目评价选择问题提供理论基础和决策支撑。在清洁能源系统效益评价体系的基础上</w:instrText>
      </w:r>
      <w:r>
        <w:rPr>
          <w:rFonts w:hint="eastAsia"/>
          <w:color w:val="000000" w:themeColor="text1"/>
        </w:rPr>
        <w:instrText>,</w:instrText>
      </w:r>
      <w:r>
        <w:rPr>
          <w:rFonts w:hint="eastAsia"/>
          <w:color w:val="000000" w:themeColor="text1"/>
        </w:rPr>
        <w:instrText>分别从能源系统内部和跨区域两个角度分别分析了多类型能源耦合系统中参与方的角色关系</w:instrText>
      </w:r>
      <w:r>
        <w:rPr>
          <w:rFonts w:hint="eastAsia"/>
          <w:color w:val="000000" w:themeColor="text1"/>
        </w:rPr>
        <w:instrText>,</w:instrText>
      </w:r>
      <w:r>
        <w:rPr>
          <w:rFonts w:hint="eastAsia"/>
          <w:color w:val="000000" w:themeColor="text1"/>
        </w:rPr>
        <w:instrText>沿能量传递链明晰了不同类型参与方的效益关系</w:instrText>
      </w:r>
      <w:r>
        <w:rPr>
          <w:rFonts w:hint="eastAsia"/>
          <w:color w:val="000000" w:themeColor="text1"/>
        </w:rPr>
        <w:instrText>,</w:instrText>
      </w:r>
      <w:r>
        <w:rPr>
          <w:rFonts w:hint="eastAsia"/>
          <w:color w:val="000000" w:themeColor="text1"/>
        </w:rPr>
        <w:instrText>对清洁能源系统效益最优进行了分析</w:instrText>
      </w:r>
      <w:r>
        <w:rPr>
          <w:rFonts w:hint="eastAsia"/>
          <w:color w:val="000000" w:themeColor="text1"/>
        </w:rPr>
        <w:instrText>,</w:instrText>
      </w:r>
      <w:r>
        <w:rPr>
          <w:rFonts w:hint="eastAsia"/>
          <w:color w:val="000000" w:themeColor="text1"/>
        </w:rPr>
        <w:instrText>构建了效益优化分析模型</w:instrText>
      </w:r>
      <w:r>
        <w:rPr>
          <w:rFonts w:hint="eastAsia"/>
          <w:color w:val="000000" w:themeColor="text1"/>
        </w:rPr>
        <w:instrText>;</w:instrText>
      </w:r>
      <w:r>
        <w:rPr>
          <w:rFonts w:hint="eastAsia"/>
          <w:color w:val="000000" w:themeColor="text1"/>
        </w:rPr>
        <w:instrText>最后</w:instrText>
      </w:r>
      <w:r>
        <w:rPr>
          <w:rFonts w:hint="eastAsia"/>
          <w:color w:val="000000" w:themeColor="text1"/>
        </w:rPr>
        <w:instrText>,</w:instrText>
      </w:r>
      <w:r>
        <w:rPr>
          <w:rFonts w:hint="eastAsia"/>
          <w:color w:val="000000" w:themeColor="text1"/>
        </w:rPr>
        <w:instrText>基于典型效益分配方法</w:instrText>
      </w:r>
      <w:r>
        <w:rPr>
          <w:rFonts w:hint="eastAsia"/>
          <w:color w:val="000000" w:themeColor="text1"/>
        </w:rPr>
        <w:instrText>,</w:instrText>
      </w:r>
      <w:r>
        <w:rPr>
          <w:rFonts w:hint="eastAsia"/>
          <w:color w:val="000000" w:themeColor="text1"/>
        </w:rPr>
        <w:instrText>构建了清洁能源系统多主体效益均衡模型</w:instrText>
      </w:r>
      <w:r>
        <w:rPr>
          <w:rFonts w:hint="eastAsia"/>
          <w:color w:val="000000" w:themeColor="text1"/>
        </w:rPr>
        <w:instrText>,</w:instrText>
      </w:r>
      <w:r>
        <w:rPr>
          <w:rFonts w:hint="eastAsia"/>
          <w:color w:val="000000" w:themeColor="text1"/>
        </w:rPr>
        <w:instrText>利用核心法和夏普利值法</w:instrText>
      </w:r>
      <w:r>
        <w:rPr>
          <w:rFonts w:hint="eastAsia"/>
          <w:color w:val="000000" w:themeColor="text1"/>
        </w:rPr>
        <w:instrText>,</w:instrText>
      </w:r>
      <w:r>
        <w:rPr>
          <w:rFonts w:hint="eastAsia"/>
          <w:color w:val="000000" w:themeColor="text1"/>
        </w:rPr>
        <w:instrText>通过算例分析验证了所提模型的有效性和适用性。</w:instrText>
      </w:r>
      <w:r>
        <w:rPr>
          <w:rFonts w:hint="eastAsia"/>
          <w:color w:val="000000" w:themeColor="text1"/>
        </w:rPr>
        <w:instrText>","archive_location":"CNKI","event-place":"</w:instrText>
      </w:r>
      <w:r>
        <w:rPr>
          <w:rFonts w:hint="eastAsia"/>
          <w:color w:val="000000" w:themeColor="text1"/>
        </w:rPr>
        <w:instrText>北京</w:instrText>
      </w:r>
      <w:r>
        <w:rPr>
          <w:rFonts w:hint="eastAsia"/>
          <w:color w:val="000000" w:themeColor="text1"/>
        </w:rPr>
        <w:instrText>","publisher":"</w:instrText>
      </w:r>
      <w:r>
        <w:rPr>
          <w:rFonts w:hint="eastAsia"/>
          <w:color w:val="000000" w:themeColor="text1"/>
        </w:rPr>
        <w:instrText>华北电力大学</w:instrText>
      </w:r>
      <w:r>
        <w:rPr>
          <w:rFonts w:hint="eastAsia"/>
          <w:color w:val="000000" w:themeColor="text1"/>
        </w:rPr>
        <w:instrText>","publisher-place":"</w:instrText>
      </w:r>
      <w:r>
        <w:rPr>
          <w:rFonts w:hint="eastAsia"/>
          <w:color w:val="000000" w:themeColor="text1"/>
        </w:rPr>
        <w:instrText>北京</w:instrText>
      </w:r>
      <w:r>
        <w:rPr>
          <w:rFonts w:hint="eastAsia"/>
          <w:color w:val="000000" w:themeColor="text1"/>
        </w:rPr>
        <w:instrText>","title":"</w:instrText>
      </w:r>
      <w:r>
        <w:rPr>
          <w:rFonts w:hint="eastAsia"/>
          <w:color w:val="000000" w:themeColor="text1"/>
        </w:rPr>
        <w:instrText>考虑多能互补的清洁能源协同优化调度及效益均衡研究</w:instrText>
      </w:r>
      <w:r>
        <w:rPr>
          <w:rFonts w:hint="eastAsia"/>
          <w:color w:val="000000" w:themeColor="text1"/>
        </w:rPr>
        <w:instrText>","URL":"https://link.cnki.net/doi/10.27140/d.cnki.ghbbu.2019.000090","author":[{"family":"</w:instrText>
      </w:r>
      <w:r>
        <w:rPr>
          <w:rFonts w:hint="eastAsia"/>
          <w:color w:val="000000" w:themeColor="text1"/>
        </w:rPr>
        <w:instrText>辛禾</w:instrText>
      </w:r>
      <w:r>
        <w:rPr>
          <w:rFonts w:hint="eastAsia"/>
          <w:color w:val="000000" w:themeColor="text1"/>
        </w:rPr>
        <w:instrText>","given":""}],"iss</w:instrText>
      </w:r>
      <w:r>
        <w:rPr>
          <w:color w:val="000000" w:themeColor="text1"/>
        </w:rPr>
        <w:instrText xml:space="preserve">ued":{"date-parts":[["2019"]]}}}],"schema":"https://github.com/citation-style-language/schema/raw/master/csl-citation.json"} </w:instrText>
      </w:r>
      <w:r>
        <w:rPr>
          <w:color w:val="000000" w:themeColor="text1"/>
        </w:rPr>
        <w:fldChar w:fldCharType="separate"/>
      </w:r>
      <w:r w:rsidRPr="00EB7246">
        <w:rPr>
          <w:rFonts w:cs="Times New Roman"/>
          <w:kern w:val="0"/>
          <w:vertAlign w:val="superscript"/>
        </w:rPr>
        <w:t>[2]</w:t>
      </w:r>
      <w:r>
        <w:rPr>
          <w:color w:val="000000" w:themeColor="text1"/>
        </w:rPr>
        <w:fldChar w:fldCharType="end"/>
      </w:r>
      <w:r>
        <w:rPr>
          <w:rFonts w:hint="eastAsia"/>
          <w:color w:val="000000" w:themeColor="text1"/>
        </w:rPr>
        <w:t>。对此，</w:t>
      </w:r>
      <w:r>
        <w:rPr>
          <w:rFonts w:hint="eastAsia"/>
        </w:rPr>
        <w:t>我国在</w:t>
      </w:r>
      <w:r w:rsidRPr="007A0618">
        <w:rPr>
          <w:rFonts w:hint="eastAsia"/>
        </w:rPr>
        <w:t>“十四五”规划</w:t>
      </w:r>
      <w:r>
        <w:rPr>
          <w:rFonts w:hint="eastAsia"/>
        </w:rPr>
        <w:t>中提出</w:t>
      </w:r>
      <w:r w:rsidRPr="007A0618">
        <w:rPr>
          <w:rFonts w:hint="eastAsia"/>
        </w:rPr>
        <w:t>将建设九</w:t>
      </w:r>
      <w:r>
        <w:rPr>
          <w:rFonts w:hint="eastAsia"/>
        </w:rPr>
        <w:t>个</w:t>
      </w:r>
      <w:r w:rsidRPr="007A0618">
        <w:rPr>
          <w:rFonts w:hint="eastAsia"/>
        </w:rPr>
        <w:t>大型清洁能源基地</w:t>
      </w:r>
      <w:r w:rsidRPr="00362C9F">
        <w:rPr>
          <w:rFonts w:hint="eastAsia"/>
        </w:rPr>
        <w:t>，</w:t>
      </w:r>
      <w:r w:rsidRPr="009E1FB2">
        <w:rPr>
          <w:rFonts w:hint="eastAsia"/>
        </w:rPr>
        <w:t>推动水</w:t>
      </w:r>
      <w:r w:rsidRPr="009E1FB2">
        <w:rPr>
          <w:rFonts w:hint="eastAsia"/>
        </w:rPr>
        <w:t>-</w:t>
      </w:r>
      <w:r w:rsidRPr="009E1FB2">
        <w:rPr>
          <w:rFonts w:hint="eastAsia"/>
        </w:rPr>
        <w:t>风</w:t>
      </w:r>
      <w:r w:rsidRPr="009E1FB2">
        <w:rPr>
          <w:rFonts w:hint="eastAsia"/>
        </w:rPr>
        <w:t>-</w:t>
      </w:r>
      <w:r w:rsidRPr="009E1FB2">
        <w:rPr>
          <w:rFonts w:hint="eastAsia"/>
        </w:rPr>
        <w:t>光</w:t>
      </w:r>
      <w:r w:rsidRPr="009E1FB2">
        <w:rPr>
          <w:rFonts w:hint="eastAsia"/>
        </w:rPr>
        <w:t>-</w:t>
      </w:r>
      <w:r w:rsidRPr="009E1FB2">
        <w:rPr>
          <w:rFonts w:hint="eastAsia"/>
        </w:rPr>
        <w:t>储多能互补</w:t>
      </w:r>
      <w:r>
        <w:rPr>
          <w:rFonts w:hint="eastAsia"/>
        </w:rPr>
        <w:t>系统建设</w:t>
      </w:r>
      <w:r w:rsidRPr="009E1FB2">
        <w:rPr>
          <w:rFonts w:hint="eastAsia"/>
        </w:rPr>
        <w:t>，</w:t>
      </w:r>
      <w:r>
        <w:rPr>
          <w:rFonts w:hint="eastAsia"/>
        </w:rPr>
        <w:t>提高电力输送能力，</w:t>
      </w:r>
      <w:r>
        <w:rPr>
          <w:rFonts w:hint="eastAsia"/>
          <w:color w:val="000000" w:themeColor="text1"/>
        </w:rPr>
        <w:t>以推动清洁</w:t>
      </w:r>
      <w:r w:rsidRPr="009E1FB2">
        <w:rPr>
          <w:rFonts w:hint="eastAsia"/>
          <w:color w:val="000000" w:themeColor="text1"/>
        </w:rPr>
        <w:t>能源</w:t>
      </w:r>
      <w:r>
        <w:rPr>
          <w:rFonts w:hint="eastAsia"/>
          <w:color w:val="000000" w:themeColor="text1"/>
        </w:rPr>
        <w:t>的</w:t>
      </w:r>
      <w:r w:rsidRPr="009E1FB2">
        <w:rPr>
          <w:rFonts w:hint="eastAsia"/>
          <w:color w:val="000000" w:themeColor="text1"/>
        </w:rPr>
        <w:t>开发</w:t>
      </w:r>
      <w:r>
        <w:rPr>
          <w:rFonts w:hint="eastAsia"/>
          <w:color w:val="000000" w:themeColor="text1"/>
        </w:rPr>
        <w:t>与</w:t>
      </w:r>
      <w:r w:rsidRPr="009E1FB2">
        <w:rPr>
          <w:rFonts w:hint="eastAsia"/>
          <w:color w:val="000000" w:themeColor="text1"/>
        </w:rPr>
        <w:t>消纳</w:t>
      </w:r>
      <w:r>
        <w:rPr>
          <w:rFonts w:hint="eastAsia"/>
        </w:rPr>
        <w:t>。</w:t>
      </w:r>
    </w:p>
    <w:tbl>
      <w:tblPr>
        <w:tblStyle w:val="af2"/>
        <w:tblpPr w:vertAnchor="page" w:horzAnchor="margin" w:tblpY="13123"/>
        <w:tblOverlap w:val="never"/>
        <w:tblW w:w="9684" w:type="dxa"/>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9684"/>
      </w:tblGrid>
      <w:tr w:rsidR="00F944A6" w:rsidRPr="0084715F" w14:paraId="5672727E" w14:textId="77777777" w:rsidTr="00F944A6">
        <w:tc>
          <w:tcPr>
            <w:tcW w:w="9684" w:type="dxa"/>
          </w:tcPr>
          <w:p w14:paraId="041A9FAC" w14:textId="77777777" w:rsidR="00F944A6" w:rsidRPr="0084715F" w:rsidRDefault="00F944A6" w:rsidP="00F944A6">
            <w:pPr>
              <w:tabs>
                <w:tab w:val="left" w:pos="735"/>
              </w:tabs>
              <w:spacing w:line="360" w:lineRule="exact"/>
              <w:ind w:firstLineChars="0" w:firstLine="0"/>
              <w:rPr>
                <w:rFonts w:eastAsia="黑体"/>
                <w:sz w:val="18"/>
                <w:szCs w:val="18"/>
              </w:rPr>
            </w:pPr>
            <w:r w:rsidRPr="0084715F">
              <w:rPr>
                <w:rFonts w:eastAsia="黑体" w:hint="eastAsia"/>
                <w:sz w:val="18"/>
                <w:szCs w:val="18"/>
              </w:rPr>
              <w:t>————————</w:t>
            </w:r>
          </w:p>
          <w:p w14:paraId="5AFA7BF6" w14:textId="2AE8823A" w:rsidR="00F944A6" w:rsidRPr="0084715F" w:rsidRDefault="00F944A6" w:rsidP="00EB70E0">
            <w:pPr>
              <w:tabs>
                <w:tab w:val="left" w:pos="735"/>
              </w:tabs>
              <w:spacing w:line="360" w:lineRule="auto"/>
              <w:ind w:firstLineChars="0" w:firstLine="0"/>
              <w:rPr>
                <w:rFonts w:cs="Times New Roman"/>
                <w:sz w:val="18"/>
                <w:szCs w:val="18"/>
                <w:highlight w:val="yellow"/>
              </w:rPr>
            </w:pPr>
          </w:p>
        </w:tc>
      </w:tr>
    </w:tbl>
    <w:p w14:paraId="79858E89" w14:textId="3CE4CC4C" w:rsidR="00EB7246" w:rsidRDefault="00EB7246" w:rsidP="006D6E88">
      <w:pPr>
        <w:ind w:firstLine="420"/>
      </w:pPr>
      <w:r>
        <w:rPr>
          <w:rFonts w:hint="eastAsia"/>
        </w:rPr>
        <w:t>清洁能源基地开发周期长，利益相关方众多，面临着技术与管理层面的多重挑战。技术层面，清洁能源基地通常位于偏远地区，</w:t>
      </w:r>
      <w:r w:rsidRPr="00537DA4">
        <w:rPr>
          <w:rFonts w:hint="eastAsia"/>
        </w:rPr>
        <w:t>地质条件复杂，设计、施工难度大</w:t>
      </w:r>
      <w:r>
        <w:rPr>
          <w:rFonts w:hint="eastAsia"/>
        </w:rPr>
        <w:t>；清洁能源基地的</w:t>
      </w:r>
      <w:r w:rsidRPr="00537DA4">
        <w:rPr>
          <w:rFonts w:hint="eastAsia"/>
        </w:rPr>
        <w:t>多能互补水平</w:t>
      </w:r>
      <w:r>
        <w:rPr>
          <w:rFonts w:hint="eastAsia"/>
        </w:rPr>
        <w:t>也</w:t>
      </w:r>
      <w:r w:rsidRPr="00537DA4">
        <w:rPr>
          <w:rFonts w:hint="eastAsia"/>
        </w:rPr>
        <w:t>有待提升</w:t>
      </w:r>
      <w:r>
        <w:rPr>
          <w:rFonts w:hint="eastAsia"/>
        </w:rPr>
        <w:t>。管理层面，清洁能源基地</w:t>
      </w:r>
      <w:r w:rsidRPr="007E31A5">
        <w:rPr>
          <w:rFonts w:hint="eastAsia"/>
        </w:rPr>
        <w:t>需统筹管理多个电站的联合开发</w:t>
      </w:r>
      <w:r>
        <w:rPr>
          <w:rFonts w:hint="eastAsia"/>
        </w:rPr>
        <w:t>，协调众多利益相关方，面临管理边界模糊、各开发环节间信息流通不畅的问题。</w:t>
      </w:r>
      <w:r w:rsidRPr="007E31A5">
        <w:rPr>
          <w:rFonts w:hint="eastAsia"/>
        </w:rPr>
        <w:t>业主作为</w:t>
      </w:r>
      <w:r>
        <w:rPr>
          <w:rFonts w:hint="eastAsia"/>
        </w:rPr>
        <w:t>清洁能源基地的</w:t>
      </w:r>
      <w:r w:rsidRPr="007E31A5">
        <w:rPr>
          <w:rFonts w:hint="eastAsia"/>
        </w:rPr>
        <w:t>核心相关方，其清洁能源项目群</w:t>
      </w:r>
      <w:r>
        <w:rPr>
          <w:rFonts w:hint="eastAsia"/>
        </w:rPr>
        <w:t>开发与管理</w:t>
      </w:r>
      <w:r w:rsidRPr="007E31A5">
        <w:rPr>
          <w:rFonts w:hint="eastAsia"/>
        </w:rPr>
        <w:t>能力</w:t>
      </w:r>
      <w:r>
        <w:rPr>
          <w:rFonts w:hint="eastAsia"/>
        </w:rPr>
        <w:t>也</w:t>
      </w:r>
      <w:r w:rsidRPr="007E31A5">
        <w:rPr>
          <w:rFonts w:hint="eastAsia"/>
        </w:rPr>
        <w:t>有待提升</w:t>
      </w:r>
      <w:r>
        <w:rPr>
          <w:rFonts w:hint="eastAsia"/>
        </w:rPr>
        <w:t>。因此，亟需针对清洁能源基地特点，分析其管理现状、问题与成因，辨识清洁能源基地管理关键要素，厘清其作用机理，以</w:t>
      </w:r>
      <w:r w:rsidRPr="007E31A5">
        <w:rPr>
          <w:rFonts w:hint="eastAsia"/>
        </w:rPr>
        <w:t>指导我国清洁能源基地</w:t>
      </w:r>
      <w:r>
        <w:rPr>
          <w:rFonts w:hint="eastAsia"/>
        </w:rPr>
        <w:t>开发与管理</w:t>
      </w:r>
      <w:r w:rsidRPr="007E31A5">
        <w:rPr>
          <w:rFonts w:hint="eastAsia"/>
        </w:rPr>
        <w:t>，</w:t>
      </w:r>
      <w:r>
        <w:rPr>
          <w:rFonts w:hint="eastAsia"/>
        </w:rPr>
        <w:t>提高清洁能源基地绩效。</w:t>
      </w:r>
    </w:p>
    <w:p w14:paraId="13BA22B2" w14:textId="4BD90249" w:rsidR="00EB7246" w:rsidRPr="007E31A5" w:rsidRDefault="00EB7246" w:rsidP="00EB7246">
      <w:pPr>
        <w:ind w:firstLine="420"/>
      </w:pPr>
      <w:r w:rsidRPr="00163091">
        <w:rPr>
          <w:rFonts w:hint="eastAsia"/>
        </w:rPr>
        <w:t>已有文献</w:t>
      </w:r>
      <w:r w:rsidR="004B0C55">
        <w:rPr>
          <w:rFonts w:hint="eastAsia"/>
        </w:rPr>
        <w:t>多</w:t>
      </w:r>
      <w:r w:rsidRPr="00163091">
        <w:rPr>
          <w:rFonts w:hint="eastAsia"/>
        </w:rPr>
        <w:t>关注单一清洁能源项目</w:t>
      </w:r>
      <w:r>
        <w:rPr>
          <w:rFonts w:hint="eastAsia"/>
        </w:rPr>
        <w:t>的</w:t>
      </w:r>
      <w:r w:rsidRPr="00163091">
        <w:rPr>
          <w:rFonts w:hint="eastAsia"/>
        </w:rPr>
        <w:t>管理</w:t>
      </w:r>
      <w:r>
        <w:rPr>
          <w:rFonts w:hint="eastAsia"/>
        </w:rPr>
        <w:t>要素</w:t>
      </w:r>
      <w:r w:rsidRPr="00163091">
        <w:rPr>
          <w:rFonts w:hint="eastAsia"/>
        </w:rPr>
        <w:t>，</w:t>
      </w:r>
      <w:r w:rsidRPr="00163091">
        <w:rPr>
          <w:rFonts w:hint="eastAsia"/>
        </w:rPr>
        <w:t>尚未从项目群管理视角辨识清洁能源基地的管理关键</w:t>
      </w:r>
      <w:r>
        <w:rPr>
          <w:rFonts w:hint="eastAsia"/>
        </w:rPr>
        <w:t>因素</w:t>
      </w:r>
      <w:r w:rsidRPr="00163091">
        <w:fldChar w:fldCharType="begin"/>
      </w:r>
      <w:r>
        <w:instrText xml:space="preserve"> ADDIN ZOTERO_ITEM CSL_CITATION {"citationID":"a24119dtrs8","properties":{"formattedCitation":"\\super [3\\uc0\\u8211{}5]\\nosupersub{}","plainCitation":"[3–5]","noteIndex":0},"citationItems":[{"id":3663,"uris":["http://zotero.org/users/13172592/items/KBFEHVJI"],"itemData":{"id":3663,"type":"article-journal","abstract":"Renewable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K."}],"issued":{"date-parts":[["2014",10,1]]}}},{"id":3701,"uris":["http://zotero.org/users/13172592/items/DIB9DINA"],"itemData":{"id":3701,"type":"article-journal","abstract":"The future of electriﬁcation of Africa lies within off-grid generation via renewable energy (RE). Although many RE projects have started across the Sub-Sahara, especially public projects are seldom successful. This study engages directly (ethnographically) with the local communities beneﬁtting or expected to beneﬁt from the projects, the implementing organizations and government.","call-number":"1","container-title":"Renewable Energy","DOI":"10.1016/j.renene.2016.10.037","ISSN":"09601481","journalAbbreviation":"Renewable Energy","language":"en","page":"234-240","source":"9","title":"The empirical reality &amp; sustainable management failures of renewable energy projects in Sub-Saharan Africa (part 1 of 2)","volume":"102","author":[{"family":"Ikejemba","given":"Eugene C.X."},{"family":"Mpuan","given":"Peter B."},{"family":"Schuur","given":"Peter C."},{"family":"Van Hillegersberg","given":"Jos"}],"issued":{"date-parts":[["2017",3]]}}},{"id":3015,"uris":["http://zotero.org/users/13172592/items/HR7IAUXP"],"itemData":{"id":3015,"type":"article-journal","abstract":"Successful renewable energy projects are crucial to bring the cleaner and sustainable environment of this universe. Owed to this, world's countries and policymakers are trying hard to double the current share of renewable energy consumptions (18.3%) by 2030, which has been resulting in the construction of multiple renewable energy projects. This study identiﬁes multiple critical success factors (CSFs) and their inﬂuences mechanisms, required for renewable-energy projects. Using a sample of 272 ﬁrms working on renewable energy projects in Pakistan, a quantitative and causal study was undertaken to identify the efﬁciency (short-run success) and effectiveness (long-run success) mechanisms of critical success factors in renewable energy projects. Structural equation modeling (SEM) was applied to test and verify hypothesis. The results show that though the efﬁciency and effectiveness of critical success factors in renewable energy projects are equally important, the effectiveness (long-run success) in renewable energy projects is mainly depends upon the efﬁciency (short-run success) of the critical success factors (CSFs) involved in such kind of projects. The study expected to contribute towards and widen up the existing knowledge base for the renewable energy projects by adding on the ﬁndings regarding the inﬂuences mechanisms of critical success factors.","call-number":"1","container-title":"Energy","DOI":"10.1016/j.energy.2018.06.015","ISSN":"03605442","journalAbbreviation":"Energy","language":"en","page":"944-956","source":"9","title":"Efficiency and effectiveness of factors affecting renewable energy projects: An empirical perspective","volume":"158","author":[{"family":"Maqbool","given":"Rashid"}],"issued":{"date-parts":[["2018",9]]}}}],"schema":"https://github.com/citation-style-language/schema/raw/master/csl-citation.json"} </w:instrText>
      </w:r>
      <w:r w:rsidRPr="00163091">
        <w:fldChar w:fldCharType="separate"/>
      </w:r>
      <w:r w:rsidRPr="00EB7246">
        <w:rPr>
          <w:rFonts w:cs="Times New Roman"/>
          <w:kern w:val="0"/>
          <w:vertAlign w:val="superscript"/>
        </w:rPr>
        <w:t>[3–5]</w:t>
      </w:r>
      <w:r w:rsidRPr="00163091">
        <w:fldChar w:fldCharType="end"/>
      </w:r>
      <w:r w:rsidRPr="00163091">
        <w:rPr>
          <w:rFonts w:hint="eastAsia"/>
        </w:rPr>
        <w:t>。业主作为清洁能源基地开发与管理的重要相关方，已有研究对其能力关注较少，也尚未构</w:t>
      </w:r>
      <w:r w:rsidRPr="007E31A5">
        <w:rPr>
          <w:rFonts w:hint="eastAsia"/>
        </w:rPr>
        <w:t>建完善的能力</w:t>
      </w:r>
      <w:r>
        <w:rPr>
          <w:rFonts w:hint="eastAsia"/>
        </w:rPr>
        <w:t>评价指标</w:t>
      </w:r>
      <w:r w:rsidRPr="007E31A5">
        <w:rPr>
          <w:rFonts w:hint="eastAsia"/>
        </w:rPr>
        <w:t>体系</w:t>
      </w:r>
      <w:r>
        <w:fldChar w:fldCharType="begin"/>
      </w:r>
      <w:r>
        <w:instrText xml:space="preserve"> ADDIN ZOTERO_ITEM CSL_CITATION {"citationID":"amckb2c3cp","properties":{"formattedCitation":"\\super [6\\uc0\\u8211{}8]\\nosupersub{}","plainCitation":"[6–8]","noteIndex":0},"citationItems":[{"id":3564,"uris":["http://zotero.org/users/13172592/items/5TDVMB9T"],"itemData":{"id":3564,"type":"article-journal","abstract":"While risk and uncertainty management have received much attention within construction management research, management of information interpretation remains unexplored. Situations that are generally overlooked are those where increased amounts and flow of information are not the solution to the human problem of managing multiple meanings of information and conflicting interpretations, i.e. ‘equivocality’. The aim is to identify and differentiate between construction clients’ uncertainty and equivocality about industrialized construction in Sweden, and, in the light of those findings, to evaluate clients’ current information processing practice on investment decisions in new-build in order to assess and discuss clients’ ability to manage uncertainty and equivocality. Based on information processing theory, analysis of aggregated data from three previous studies shows that there is a need to manage both uncertainty and equivocality. At the same time, clients’ ability to do this is found to be limited. Consequently, when industrialized construction moves clients beyond their current frame of reference, clients’ information processing practice does not support decision making. It is also proposed that differentiating between uncertainty and equivocality will enable a more profound understanding of the sequential order for information processing, i.e. that one must define questions (reduce equivocality) before one can find answers to the questions (reduce uncertainty).","container-title":"Construction Management and Economics","DOI":"10.1080/01446193.2011.595423","ISSN":"0144-6193","issue":"7","language":"en","note":"publisher: Routledge\n_eprint: https://doi.org/10.1080/01446193.2011.595423\nTLDR: It is proposed that differentiating between uncertainty and equivocality will enable a more profound understanding of the sequential order for information processing, i.e. that one must define questions before one can find answers to the questions.","page":"753-764","source":"3","title":"Construction clients’ ability to manage uncertainty and equivocality","volume":"29","author":[{"family":"Levander","given":"Erika"},{"family":"Engström","given":"Susanne"},{"family":"Sardén","given":"Ylva"},{"family":"Stehn","given":"Lars"}],"issued":{"date-parts":[["2011",7,1]]}}},{"id":3569,"uris":["http://zotero.org/users/13172592/items/F7J8MSXL"],"itemData":{"id":3569,"type":"article-journal","abstract":"Public clients in the construction sector face a number of challenges in designing, procuring and managing major construction projects. The client’s role in bringing about project delivery has more recently been emphasized, particularly with respect to developing capabilities that facilitate the coordinating of projects through its different phases. In line with these developments, this paper sets out to examine the management of capabilities in a client organization through the lens of the dynamic capabilities framework. In particular, what is investigated is how the client organization senses, seizes and transforms opportunities. In pursuit of this objective, an exploratory case study approach is adopted which examines one of Sweden’s largest public client organizations. The study explores the concept of dynamic capabilities and its applicability to the public construction context. Although the usefulness of dynamic capabilities as an interpretive framework is recognized, it is suggested that the concept of dynamic capabilities is inadequate for addressing the specific context in which public client organizations operate. Particularly with respect to the project-based characteristic of these organizations and the difficulty in framing what constitutes “competitive advantage” for public organizations.","container-title":"Construction Management and Economics","DOI":"10.1080/01446193.2017.1309441","ISSN":"0144-6193, 1466-433X","issue":"7","journalAbbreviation":"Construction Management and Economics","language":"en","page":"420-431","source":"3","title":"Applying the dynamic capabilities framework in the case of a large public construction client","volume":"35","author":[{"family":"Adam","given":"Abderisak"},{"family":"Lindahl","given":"Göran"}],"issued":{"date-parts":[["2017",7,3]]}}},{"id":2999,"uris":["http://zotero.org/users/13172592/items/LR3M44KX","http://zotero.org/users/13172592/items/982Z98A6"],"itemData":{"id":2999,"type":"article-journal","abstract":"Cleaner Production is an important means for systematically reducing waste. For its successful implementation, it is essential to ensure the effective…","call-number":"1","container-title":"Journal of Cleaner Production","DOI":"10.1016/j.jclepro.2016.09.166","ISSN":"0959-6526","language":"en-US","note":"publisher: Elsevier","page":"881-890","source":"9.7","title":"Cleaner production, project management and strategic drivers: An empirical study","title-short":"Cleaner production, project management and strategic drivers","volume":"141","issued":{"date-parts":[["2017",1,10]]}}}],"schema":"https://github.com/citation-style-language/schema/raw/master/csl-citation.json"} </w:instrText>
      </w:r>
      <w:r>
        <w:fldChar w:fldCharType="separate"/>
      </w:r>
      <w:r w:rsidRPr="00EB7246">
        <w:rPr>
          <w:rFonts w:cs="Times New Roman"/>
          <w:kern w:val="0"/>
          <w:vertAlign w:val="superscript"/>
        </w:rPr>
        <w:t>[6–8]</w:t>
      </w:r>
      <w:r>
        <w:fldChar w:fldCharType="end"/>
      </w:r>
      <w:r>
        <w:rPr>
          <w:rFonts w:hint="eastAsia"/>
        </w:rPr>
        <w:t>。此外，现有文献对</w:t>
      </w:r>
      <w:r w:rsidRPr="00AC1964">
        <w:rPr>
          <w:rFonts w:hint="eastAsia"/>
        </w:rPr>
        <w:t>管理机理</w:t>
      </w:r>
      <w:r>
        <w:rPr>
          <w:rFonts w:hint="eastAsia"/>
        </w:rPr>
        <w:t>的</w:t>
      </w:r>
      <w:r w:rsidRPr="00AC1964">
        <w:rPr>
          <w:rFonts w:hint="eastAsia"/>
        </w:rPr>
        <w:t>研究</w:t>
      </w:r>
      <w:r>
        <w:rPr>
          <w:rFonts w:hint="eastAsia"/>
        </w:rPr>
        <w:t>仍处于起步阶段，</w:t>
      </w:r>
      <w:r w:rsidRPr="007E31A5">
        <w:rPr>
          <w:rFonts w:hint="eastAsia"/>
        </w:rPr>
        <w:t>往往仅对单一因素的影响进行分析，缺乏对各项关键因素间相互作用机理的综合考虑，亟需构建全面系统的理论模型</w:t>
      </w:r>
      <w:r w:rsidRPr="007E31A5">
        <w:fldChar w:fldCharType="begin"/>
      </w:r>
      <w:r>
        <w:instrText xml:space="preserve"> ADDIN ZOTERO_ITEM CSL_CITATION {"citationID":"kGcA8LQQ","properties":{"formattedCitation":"\\super [9\\uc0\\u8211{}11]\\nosupersub{}","plainCitation":"[9–11]","noteIndex":0},"citationItems":[{"id":1846,"uris":["http://zotero.org/users/13172592/items/R52WLXJC"],"itemData":{"id":1846,"type":"article-journal","abstract":"Program management is the structured and strategic process of managing multiple projects at a high level to maximize benefits. The essentials of programs include high costs and long implementation periods, and thus, the negative impacts caused by the failure of program management are more significant and greater than that of a project. Therefore, to achieve high program performance, it is essential for program management to be well defined during the early stages. However, the existing research is mainly focused on the performance prediction methodologies for projects, while the research pertaining to programs has concentrated on identifying the qualitative critical success factors (CSFs). Thus, this study developed a methodology for predicting the program performance. Forty-five CSFs were identified herein from literature review and expert interviews, then grouped through factor analysis. In addition, the Program Deﬁnition Rating Index (PgDRI) was developed by calculating the weights of the proposed CSFs through structured equation modeling in order to evaluate the quantitative program performance. For validation, the PgDRI was applied to three in-progress cases, and the PgDRI scores were compared with the actual performance of each case. The PgDRI developed in this study can contribute to the body of knowledge pertaining to program management by quantifying the performance management of a program. In addition, the PgDRI can be utilized in the performance management of a program in terms of the cost and schedule by allowing practitioners to apply the PgDRI repeatedly to the major decision-making processes during the early stages of a program.","call-number":"3","container-title":"Sustainability","DOI":"10.3390/su10082747","ISSN":"2071-1050","issue":"8","journalAbbreviation":"Sustainability","language":"en","license":"https://creativecommons.org/licenses/by/4.0/","page":"2747","source":"3.9","title":"Development of a program definition rating index for the performance prediction of construction programs","volume":"10","author":[{"family":"Cha","given":"Yongwoon"},{"family":"Kim","given":"Jonghyeob"},{"family":"Hyun","given":"Changtaek"},{"family":"Han","given":"Sangwon"}],"issued":{"date-parts":[["2018",8,3]]}},"label":"page"},{"id":1912,"uris":["http://zotero.org/users/13172592/items/K5Y9LV5W"],"itemData":{"id":1912,"type":"article-journal","abstract":"Programme organisations operate in complex environments under the inﬂuence of multiple institutional logics. Previous studies have focused on how these kinds of organisations respond to external demands by implementing appropriate governance structures. This, however, produces an understanding of programme organisations as being unitary and working to integrate programme activities and practices under one dominant internal institutional logic. In this paper, we study the consequences of internal logic multiplicity for the governance of programme organisations. Drawing on data from a major Danish construction programme we show how, in order to achieve its mission, the programme organisation incorporates three distinct logics into its daily activities and practices. The ﬁndings illustrate how a compartmentalised structural approach is applied to diﬀerentiate and independently deal with the three logics in structurally distinct organisational spaces. To avoid fragmentation and ensure coordination, governance mechanisms are put in place that coordinate activities and practices across the organisational spaces whilst maintaining their compartmentalisation. The paper thus contributes to the literature on programme management with insights on how the institutional context inﬂuences programme structures and operations, and how governance mechanisms are implemented to manage activities and practices across organisational spaces guided by diﬀerent logics.","call-number":"1","container-title":"International Journal of Project Management","DOI":"10.1016/j.ijproman.2021.01.004","ISSN":"02637863","issue":"3","journalAbbreviation":"International Journal of Project Management","language":"en","page":"223-235","source":"8","title":"Organising for infrastructure development programmes: Governing internal logic multiplicity across organisational spaces","title-short":"Organising for infrastructure development programmes","volume":"39","author":[{"family":"Frederiksen","given":"Nicolaj"},{"family":"Gottlieb","given":"Stefan Christoffer"},{"family":"Leiringer","given":"Roine"}],"issued":{"date-parts":[["2021",4]]}},"label":"page"},{"id":1879,"uris":["http://zotero.org/users/13172592/items/5S4EIAMP","http://zotero.org/users/13172592/items/6FMHPKI8"],"itemData":{"id":1879,"type":"article-journal","abstract":"Program management is increasingly regarded as a key approach to improving the performance of a construction megaproject through the coordinated management of its constituent projects. However, previous studies have seldom provided a pragmatic program management framework that can fully address the requirements of clients in managing construction megaprojects. Therefore, based on a case study of the Shanghai Expo construction, this study aims to identify the principal program organization factors (POFs) that are determinants of the program organization established by a client to manage a megaproject. Mixed research methods, such as case study, literature review, interviews, Delphi survey, and archival methods, are employed in this study. Consequently, 12 principal POFs, grouped under three main categories (environmental capability, core capacity, and motivational capability of the client’s program organization to manage its construction megaproject), are identified: (1) contextual understanding, (2) program strategy, (3) program leadership, (4) scope management, (5) program governance, (6) matrix organizational structure, (7) program management office, (8) use of project breakdown structure and work breakdown structure tools, (9) partnering with key stakeholders, (10) technology management, (11) communication management, and (12) team building. These research findings will help scholars and professionals, particularly those in China, to appreciate the key issues in managing megaprojects through program organization. DOI: 10.1061/(ASCE)ME.1943-5479.0000310. © 2014 American Society of Civil Engineers.","call-number":"1","container-title":"Journal of Management in Engineering","DOI":"10.1061/(ASCE)ME.1943-5479.0000310","ISSN":"0742-597X, 1943-5479","issue":"5","journalAbbreviation":"J. Manage. Eng.","language":"en","page":"05014019","source":"7.4","title":"Understanding the determinants of program organization for construction megaproject success: Case study of the Shanghai Expo construction","title-short":"Understanding the Determinants of Program Organization for Construction Megaproject Success","volume":"31","author":[{"family":"Hu","given":"Yi"},{"family":"Chan","given":"Albert P. C."},{"family":"Le","given":"Yun"}],"issued":{"date-parts":[["2015",9]]}},"label":"page"}],"schema":"https://github.com/citation-style-language/schema/raw/master/csl-citation.json"} </w:instrText>
      </w:r>
      <w:r w:rsidRPr="007E31A5">
        <w:fldChar w:fldCharType="separate"/>
      </w:r>
      <w:r w:rsidRPr="00EB7246">
        <w:rPr>
          <w:rFonts w:cs="Times New Roman"/>
          <w:kern w:val="0"/>
          <w:vertAlign w:val="superscript"/>
        </w:rPr>
        <w:t>[9–11]</w:t>
      </w:r>
      <w:r w:rsidRPr="007E31A5">
        <w:fldChar w:fldCharType="end"/>
      </w:r>
      <w:r w:rsidRPr="007E31A5">
        <w:rPr>
          <w:rFonts w:hint="eastAsia"/>
        </w:rPr>
        <w:t>。</w:t>
      </w:r>
    </w:p>
    <w:p w14:paraId="246046E3" w14:textId="50DACE26" w:rsidR="00EB7246" w:rsidRPr="00EB7246" w:rsidRDefault="00EB7246" w:rsidP="00EB7246">
      <w:pPr>
        <w:ind w:firstLine="420"/>
        <w:rPr>
          <w:rFonts w:cs="Times New Roman"/>
        </w:rPr>
      </w:pPr>
      <w:r>
        <w:rPr>
          <w:rFonts w:cs="Times New Roman" w:hint="eastAsia"/>
        </w:rPr>
        <w:t>因此，</w:t>
      </w:r>
      <w:r>
        <w:rPr>
          <w:rFonts w:hint="eastAsia"/>
        </w:rPr>
        <w:t>本研究基于项目群管理视角，辨识</w:t>
      </w:r>
      <w:r w:rsidRPr="007E31A5">
        <w:rPr>
          <w:rFonts w:hint="eastAsia"/>
        </w:rPr>
        <w:t>清洁能源基地一体化管理关键因素，构建并验证清洁能源基地一体化管理理论模型</w:t>
      </w:r>
      <w:r>
        <w:rPr>
          <w:rFonts w:hint="eastAsia"/>
        </w:rPr>
        <w:t>，以揭示各关键因素的影响关系与作用机理</w:t>
      </w:r>
      <w:r w:rsidRPr="007E31A5">
        <w:rPr>
          <w:rFonts w:hint="eastAsia"/>
        </w:rPr>
        <w:t>。研究成果旨在</w:t>
      </w:r>
      <w:r w:rsidRPr="000336D9">
        <w:rPr>
          <w:rFonts w:hint="eastAsia"/>
        </w:rPr>
        <w:t>指导我国清洁能源基地建设</w:t>
      </w:r>
      <w:r w:rsidR="00143B30">
        <w:rPr>
          <w:rFonts w:hint="eastAsia"/>
        </w:rPr>
        <w:t>与</w:t>
      </w:r>
      <w:r w:rsidRPr="000336D9">
        <w:rPr>
          <w:rFonts w:hint="eastAsia"/>
        </w:rPr>
        <w:t>运行，</w:t>
      </w:r>
      <w:r>
        <w:rPr>
          <w:rFonts w:hint="eastAsia"/>
        </w:rPr>
        <w:t>推进</w:t>
      </w:r>
      <w:r w:rsidRPr="007E31A5">
        <w:rPr>
          <w:rFonts w:hint="eastAsia"/>
        </w:rPr>
        <w:t>多能互补系统建设，</w:t>
      </w:r>
      <w:r>
        <w:rPr>
          <w:rFonts w:hint="eastAsia"/>
        </w:rPr>
        <w:t>提升</w:t>
      </w:r>
      <w:r w:rsidRPr="007E31A5">
        <w:rPr>
          <w:rFonts w:hint="eastAsia"/>
        </w:rPr>
        <w:t>清洁能源</w:t>
      </w:r>
      <w:r>
        <w:rPr>
          <w:rFonts w:hint="eastAsia"/>
        </w:rPr>
        <w:t>基地</w:t>
      </w:r>
      <w:r w:rsidRPr="007E31A5">
        <w:rPr>
          <w:rFonts w:hint="eastAsia"/>
        </w:rPr>
        <w:t>管理效率，</w:t>
      </w:r>
      <w:r>
        <w:rPr>
          <w:rFonts w:hint="eastAsia"/>
        </w:rPr>
        <w:t>以</w:t>
      </w:r>
      <w:r w:rsidRPr="007E31A5">
        <w:rPr>
          <w:rFonts w:hint="eastAsia"/>
        </w:rPr>
        <w:t>助力</w:t>
      </w:r>
      <w:r>
        <w:rPr>
          <w:rFonts w:hint="eastAsia"/>
        </w:rPr>
        <w:t>我国</w:t>
      </w:r>
      <w:r w:rsidRPr="007E31A5">
        <w:rPr>
          <w:rFonts w:hint="eastAsia"/>
        </w:rPr>
        <w:t>能源结构转型与“双碳”目标的实现。</w:t>
      </w:r>
    </w:p>
    <w:p w14:paraId="4EBAC4B3" w14:textId="2E847985" w:rsidR="0084715F" w:rsidRDefault="0084715F" w:rsidP="0084715F">
      <w:pPr>
        <w:pStyle w:val="1"/>
      </w:pPr>
      <w:r>
        <w:rPr>
          <w:rFonts w:hint="eastAsia"/>
        </w:rPr>
        <w:t>文献综述</w:t>
      </w:r>
    </w:p>
    <w:p w14:paraId="694F0F63" w14:textId="043C38A9" w:rsidR="0084715F" w:rsidRDefault="0084715F" w:rsidP="0084715F">
      <w:pPr>
        <w:pStyle w:val="2"/>
      </w:pPr>
      <w:r>
        <w:rPr>
          <w:rFonts w:hint="eastAsia"/>
        </w:rPr>
        <w:t>项目群管理</w:t>
      </w:r>
    </w:p>
    <w:p w14:paraId="78602E80" w14:textId="017FCD9E" w:rsidR="0084715F" w:rsidRDefault="0084715F" w:rsidP="0084715F">
      <w:pPr>
        <w:ind w:firstLine="420"/>
      </w:pPr>
      <w:r w:rsidRPr="00766F0F">
        <w:rPr>
          <w:rFonts w:hint="eastAsia"/>
        </w:rPr>
        <w:t>项目</w:t>
      </w:r>
      <w:r>
        <w:rPr>
          <w:rFonts w:hint="eastAsia"/>
        </w:rPr>
        <w:t>（</w:t>
      </w:r>
      <w:r>
        <w:rPr>
          <w:rFonts w:hint="eastAsia"/>
        </w:rPr>
        <w:t>Project</w:t>
      </w:r>
      <w:r>
        <w:rPr>
          <w:rFonts w:hint="eastAsia"/>
        </w:rPr>
        <w:t>）</w:t>
      </w:r>
      <w:r w:rsidRPr="00236B5E">
        <w:rPr>
          <w:rFonts w:hint="eastAsia"/>
        </w:rPr>
        <w:t>是</w:t>
      </w:r>
      <w:r>
        <w:rPr>
          <w:rFonts w:hint="eastAsia"/>
        </w:rPr>
        <w:t>指</w:t>
      </w:r>
      <w:r w:rsidRPr="00236B5E">
        <w:rPr>
          <w:rFonts w:hint="eastAsia"/>
        </w:rPr>
        <w:t>为实现特定目标，在限定的时间内，合理配置并利用资源，以满足特定发起方需求，并产出具有独特性产品、服务或成果的一系列相互关联的活动集合</w:t>
      </w:r>
      <w:r w:rsidRPr="00766F0F">
        <w:rPr>
          <w:rFonts w:hint="eastAsia"/>
        </w:rPr>
        <w:t>。</w:t>
      </w:r>
      <w:r>
        <w:rPr>
          <w:rFonts w:hint="eastAsia"/>
        </w:rPr>
        <w:t>项目群（</w:t>
      </w:r>
      <w:r>
        <w:rPr>
          <w:rFonts w:hint="eastAsia"/>
        </w:rPr>
        <w:t>Program</w:t>
      </w:r>
      <w:r>
        <w:rPr>
          <w:rFonts w:hint="eastAsia"/>
        </w:rPr>
        <w:t>）</w:t>
      </w:r>
      <w:r w:rsidRPr="00236B5E">
        <w:rPr>
          <w:rFonts w:hint="eastAsia"/>
        </w:rPr>
        <w:t>被界定为一组彼此关联的项目，系统性</w:t>
      </w:r>
      <w:r>
        <w:rPr>
          <w:rFonts w:hint="eastAsia"/>
        </w:rPr>
        <w:t>的</w:t>
      </w:r>
      <w:r w:rsidRPr="00236B5E">
        <w:rPr>
          <w:rFonts w:hint="eastAsia"/>
        </w:rPr>
        <w:t>协调管理</w:t>
      </w:r>
      <w:r>
        <w:rPr>
          <w:rFonts w:hint="eastAsia"/>
        </w:rPr>
        <w:t>能够</w:t>
      </w:r>
      <w:r w:rsidRPr="00236B5E">
        <w:rPr>
          <w:rFonts w:hint="eastAsia"/>
        </w:rPr>
        <w:t>使整体效益优于单独管理各项目</w:t>
      </w:r>
      <w:r>
        <w:rPr>
          <w:rFonts w:hint="eastAsia"/>
        </w:rPr>
        <w:t>时的收益，从而实现</w:t>
      </w:r>
      <w:r w:rsidRPr="00236B5E">
        <w:rPr>
          <w:rFonts w:hint="eastAsia"/>
        </w:rPr>
        <w:t>价值整合与效益倍增</w:t>
      </w:r>
      <w:r>
        <w:fldChar w:fldCharType="begin"/>
      </w:r>
      <w:r w:rsidR="00E17813">
        <w:instrText xml:space="preserve"> ADDIN ZOTERO_ITEM CSL_CITATION {"citationID":"hcwZk3yH","properties":{"formattedCitation":"\\super [12]\\nosupersub{}","plainCitation":"[12]","noteIndex":0},"citationItems":[{"id":1249,"uris":["http://zotero.org/users/13172592/items/EZH78ZJE"],"itemData":{"id":1249,"type":"book","edition":"Seventh Edition","event-place":"Pennsylvania","ISBN":"978-1-62825-664-2","language":"en","number-of-pages":"274","publisher":"Project Management Institute, Inc","publisher-place":"Pennsylvania","source":"K10plus ISBN","title":"A guide to the project management body of knowledge and the standard for project management","editor":[{"family":"PMI","given":""}],"issued":{"date-parts":[["2021"]]}}}],"schema":"https://github.com/citation-style-language/schema/raw/master/csl-citation.json"} </w:instrText>
      </w:r>
      <w:r>
        <w:fldChar w:fldCharType="separate"/>
      </w:r>
      <w:r w:rsidR="00E17813" w:rsidRPr="00E17813">
        <w:rPr>
          <w:rFonts w:cs="Times New Roman"/>
          <w:kern w:val="0"/>
          <w:vertAlign w:val="superscript"/>
        </w:rPr>
        <w:t>[12]</w:t>
      </w:r>
      <w:r>
        <w:fldChar w:fldCharType="end"/>
      </w:r>
      <w:r w:rsidRPr="00766F0F">
        <w:rPr>
          <w:rFonts w:hint="eastAsia"/>
        </w:rPr>
        <w:t>。</w:t>
      </w:r>
      <w:r>
        <w:rPr>
          <w:rFonts w:hint="eastAsia"/>
        </w:rPr>
        <w:t>项目管理（</w:t>
      </w:r>
      <w:r>
        <w:rPr>
          <w:rFonts w:hint="eastAsia"/>
        </w:rPr>
        <w:t>Project management</w:t>
      </w:r>
      <w:r>
        <w:rPr>
          <w:rFonts w:hint="eastAsia"/>
        </w:rPr>
        <w:t>）是指在有限的时间和资源条件下，</w:t>
      </w:r>
      <w:r>
        <w:rPr>
          <w:rFonts w:hint="eastAsia"/>
        </w:rPr>
        <w:lastRenderedPageBreak/>
        <w:t>管理团队按照既定的目标，完成项目交付。在工程领域，单一水电项目、光伏发电项目的建设管理，均属于项目管理。项目群管理（</w:t>
      </w:r>
      <w:r>
        <w:rPr>
          <w:rFonts w:hint="eastAsia"/>
        </w:rPr>
        <w:t>Program management</w:t>
      </w:r>
      <w:r>
        <w:rPr>
          <w:rFonts w:hint="eastAsia"/>
        </w:rPr>
        <w:t>）</w:t>
      </w:r>
      <w:r>
        <w:t>旨在对一组相互关联的项目进行统筹规划与协同管控，通过优化资源配置、协调各项目参与方，并充分发挥项目间的协同效应与互补优势，高效推动项目群整体目标的达成</w:t>
      </w:r>
      <w:r>
        <w:rPr>
          <w:rFonts w:hint="eastAsia"/>
        </w:rPr>
        <w:t>。</w:t>
      </w:r>
      <w:r w:rsidR="004B0C55">
        <w:rPr>
          <w:rFonts w:hint="eastAsia"/>
        </w:rPr>
        <w:t>清洁能源基地涉及水、风、光等多个清洁能源工程的统筹管理，属于项目群管理范畴。</w:t>
      </w:r>
    </w:p>
    <w:p w14:paraId="3BC99978" w14:textId="1C42EA8B" w:rsidR="0084715F" w:rsidRDefault="0084715F" w:rsidP="0084715F">
      <w:pPr>
        <w:ind w:firstLine="420"/>
      </w:pPr>
      <w:r>
        <w:rPr>
          <w:rFonts w:hint="eastAsia"/>
        </w:rPr>
        <w:t>项目群管理要求管理主体具备</w:t>
      </w:r>
      <w:r>
        <w:t>战略意识</w:t>
      </w:r>
      <w:r>
        <w:rPr>
          <w:rFonts w:hint="eastAsia"/>
        </w:rPr>
        <w:t>，</w:t>
      </w:r>
      <w:r w:rsidRPr="00CC403A">
        <w:rPr>
          <w:rFonts w:hint="eastAsia"/>
        </w:rPr>
        <w:t>不仅要理解和掌握</w:t>
      </w:r>
      <w:r>
        <w:rPr>
          <w:rFonts w:hint="eastAsia"/>
        </w:rPr>
        <w:t>项目</w:t>
      </w:r>
      <w:r w:rsidRPr="00CC403A">
        <w:rPr>
          <w:rFonts w:hint="eastAsia"/>
        </w:rPr>
        <w:t>内部</w:t>
      </w:r>
      <w:r>
        <w:rPr>
          <w:rFonts w:hint="eastAsia"/>
        </w:rPr>
        <w:t>的</w:t>
      </w:r>
      <w:r w:rsidRPr="00CC403A">
        <w:rPr>
          <w:rFonts w:hint="eastAsia"/>
        </w:rPr>
        <w:t>运行机制</w:t>
      </w:r>
      <w:r>
        <w:rPr>
          <w:rFonts w:hint="eastAsia"/>
        </w:rPr>
        <w:t>与项目间的关联</w:t>
      </w:r>
      <w:r w:rsidRPr="00CC403A">
        <w:rPr>
          <w:rFonts w:hint="eastAsia"/>
        </w:rPr>
        <w:t>，</w:t>
      </w:r>
      <w:r>
        <w:rPr>
          <w:rFonts w:hint="eastAsia"/>
        </w:rPr>
        <w:t>也需</w:t>
      </w:r>
      <w:r w:rsidRPr="00CC403A">
        <w:rPr>
          <w:rFonts w:hint="eastAsia"/>
        </w:rPr>
        <w:t>全面了解市场、政策</w:t>
      </w:r>
      <w:r>
        <w:rPr>
          <w:rFonts w:hint="eastAsia"/>
        </w:rPr>
        <w:t>、技术发展等</w:t>
      </w:r>
      <w:r w:rsidRPr="00CC403A">
        <w:rPr>
          <w:rFonts w:hint="eastAsia"/>
        </w:rPr>
        <w:t>外部环境</w:t>
      </w:r>
      <w:r>
        <w:rPr>
          <w:rFonts w:hint="eastAsia"/>
        </w:rPr>
        <w:t>因素的动态变化</w:t>
      </w:r>
      <w:r>
        <w:fldChar w:fldCharType="begin"/>
      </w:r>
      <w:r w:rsidR="00E17813">
        <w:instrText xml:space="preserve"> ADDIN ZOTERO_ITEM CSL_CITATION {"citationID":"6nkQP41k","properties":{"formattedCitation":"\\super [13]\\nosupersub{}","plainCitation":"[13]","noteIndex":0},"citationItems":[{"id":1741,"uris":["http://zotero.org/users/13172592/items/3RD5ETMC"],"itemData":{"id":1741,"type":"article-journal","abstract":"Growth in the use of programmes as a vehicle for implementing strategy has been accompanied by a need to understand the competence of eﬀective programme managers. Corporate leaders know that promoting proven project managers into a programme manager role is unreliable, yet little rigorous research has been done into the distinctiveness of programme management competence. Using the interpretive approach known as phenomenography, we studied the management of 15 strategic programmes spread over seven industry sectors. We present our ﬁndings in the form of a framework of 17 key attributes of programme management work, each conceived at four levels in a hierarchy of competence.","call-number":"1","container-title":"International Journal of Project Management","DOI":"10.1016/j.ijproman.2004.06.004","ISSN":"02637863","issue":"2","journalAbbreviation":"International Journal of Project Management","language":"en","license":"https://www.elsevier.com/tdm/userlicense/1.0/","page":"87-95","source":"8","title":"Attributes and levels of programme management competence: An interpretive study","title-short":"Attributes and levels of programme management competence","volume":"23","author":[{"family":"Partington","given":"David"},{"family":"Pellegrinelli","given":"Sergio"},{"family":"Young","given":"Malcolm"}],"issued":{"date-parts":[["2005",2]]}}}],"schema":"https://github.com/citation-style-language/schema/raw/master/csl-citation.json"} </w:instrText>
      </w:r>
      <w:r>
        <w:fldChar w:fldCharType="separate"/>
      </w:r>
      <w:r w:rsidR="00E17813" w:rsidRPr="00E17813">
        <w:rPr>
          <w:rFonts w:cs="Times New Roman"/>
          <w:kern w:val="0"/>
          <w:vertAlign w:val="superscript"/>
        </w:rPr>
        <w:t>[13]</w:t>
      </w:r>
      <w:r>
        <w:fldChar w:fldCharType="end"/>
      </w:r>
      <w:r>
        <w:rPr>
          <w:rFonts w:hint="eastAsia"/>
        </w:rPr>
        <w:t>。此外，项目群管理对</w:t>
      </w:r>
      <w:r w:rsidRPr="00CC403A">
        <w:rPr>
          <w:rFonts w:hint="eastAsia"/>
        </w:rPr>
        <w:t>应变能力</w:t>
      </w:r>
      <w:r>
        <w:rPr>
          <w:rFonts w:hint="eastAsia"/>
        </w:rPr>
        <w:t>提出了更高的要求</w:t>
      </w:r>
      <w:r>
        <w:t>，</w:t>
      </w:r>
      <w:r>
        <w:rPr>
          <w:rFonts w:hint="eastAsia"/>
        </w:rPr>
        <w:t>以及时调整已有知识与技能，适应环境变化并实现创新</w:t>
      </w:r>
      <w:r>
        <w:fldChar w:fldCharType="begin"/>
      </w:r>
      <w:r w:rsidR="00E17813">
        <w:instrText xml:space="preserve"> ADDIN ZOTERO_ITEM CSL_CITATION {"citationID":"UfA6RTI3","properties":{"formattedCitation":"\\super [14,15]\\nosupersub{}","plainCitation":"[14,15]","noteIndex":0},"citationItems":[{"id":1742,"uris":["http://zotero.org/users/13172592/items/JE2E3QUW"],"itemData":{"id":1742,"type":"article-journal","abstract":"Creating and sustaining competitive advantage demands that ﬁrms both exploit knowledge and capabilities efﬁciently, and explore ways to innovate and respond ﬂexibly. The study of this dual capability, ambidexterity, has become increasingly prevalent as organizations struggle to address rapidly changing environments. This paper draws upon longitudinal case research into a business transformation to study how organizational ambidexterity was achieved and sustained through the complementary use of programs and projects. In particular, a strategic, emergent approach to the management of the transformation program created ﬂexibility, while the projects embedded in the program were managed to ensure the consistent, reliable and efﬁcient delivery of new products, operating changes and key capabilities. In combining, but not conﬂating, these management approaches the organization responded successfully to discontinuous changes, and out-performed competitors. This paper adds to our knowledge of how ambidexterity works in practice and the use of projects and programs for implementing strategic change.","call-number":"1","container-title":"International Journal of Project Management","DOI":"10.1016/j.ijproman.2014.04.008","ISSN":"02637863","issue":"1","journalAbbreviation":"International Journal of Project Management","language":"en","page":"153-164","source":"8","title":"Facilitating organizational ambidexterity through the complementary use of projects and programs","volume":"33","author":[{"family":"Pellegrinelli","given":"Sergio"},{"family":"Murray-Webster","given":"Ruth"},{"family":"Turner","given":"Neil"}],"issued":{"date-parts":[["2015",1]]}},"label":"page"},{"id":1643,"uris":["http://zotero.org/users/13172592/items/RBHGRIP5"],"itemData":{"id":1643,"type":"article-journal","abstract":"This paper explores how programme management (as opposed to project management) can contribute to the effective design and delivery of megaprojects. Traditionally, project management is considered to be performance focused and task oriented, whilst programme management entails a more strategic focus. The programme management literature suggests that this can result in tensions between the management of the projects and the programme as a whole. This paper uses the ﬁndings of the €2.4 billion Room for the River ﬂood protection programme in the Netherlands as a case study, because indicators about its budget, time, quality and stakeholder satisfaction suggest high programme management performance upon completion of the planning and design stage of its 39 river widening projects. Based on a literature review, document analysis and 55 face-to-face interviews, we have analysed how the programme management of the programme contributed to this result. Six attributes for effective programme management that are identiﬁed from the project and programme management literature are used to structure the research data. Consecutively, the interactions between project and programme management are analysed. The analysis of Room for the River reveals a combined strategic/performance focus at the level of both programme and project management that enables a collaborative approach between programme and project management. This particularly enables effective stakeholder collaboration, coordination and adaptation of the programme to contextual changes, newly acquired insights and the changing needs of consecutive planning stages, which positively contributes to the performance of the programme as a whole.","call-number":"1","container-title":"International Journal of Project Management","DOI":"10.1016/j.ijproman.2014.01.003","ISSN":"02637863","issue":"7","journalAbbreviation":"International Journal of Project Management","language":"en","page":"1197-1209","source":"8","title":"Adaptive programme management through a balanced performance/strategy-oriented focus","volume":"32","author":[{"family":"Rijke","given":"Jeroen"},{"family":"Van Herk","given":"Sebastiaan"},{"family":"Zevenbergen","given":"Chris"},{"family":"Ashley","given":"Richard"},{"family":"Hertogh","given":"Marcel"},{"family":"Ten Heuvelhof","given":"Ernst"}],"issued":{"date-parts":[["2014",10]]}},"label":"page"}],"schema":"https://github.com/citation-style-language/schema/raw/master/csl-citation.json"} </w:instrText>
      </w:r>
      <w:r>
        <w:fldChar w:fldCharType="separate"/>
      </w:r>
      <w:r w:rsidR="00E17813" w:rsidRPr="00E17813">
        <w:rPr>
          <w:rFonts w:cs="Times New Roman"/>
          <w:kern w:val="0"/>
          <w:vertAlign w:val="superscript"/>
        </w:rPr>
        <w:t>[14</w:t>
      </w:r>
      <w:r w:rsidR="00BA516A">
        <w:rPr>
          <w:rFonts w:cs="Times New Roman"/>
          <w:kern w:val="0"/>
          <w:vertAlign w:val="superscript"/>
        </w:rPr>
        <w:t>-</w:t>
      </w:r>
      <w:r w:rsidR="00E17813" w:rsidRPr="00E17813">
        <w:rPr>
          <w:rFonts w:cs="Times New Roman"/>
          <w:kern w:val="0"/>
          <w:vertAlign w:val="superscript"/>
        </w:rPr>
        <w:t>15]</w:t>
      </w:r>
      <w:r>
        <w:fldChar w:fldCharType="end"/>
      </w:r>
      <w:r>
        <w:rPr>
          <w:rFonts w:hint="eastAsia"/>
        </w:rPr>
        <w:t>。项目群管理还涉及更复杂的组织管理结构，更应注重构建利益相关方之间的伙伴关系</w:t>
      </w:r>
      <w:r>
        <w:fldChar w:fldCharType="begin"/>
      </w:r>
      <w:r w:rsidR="00E17813">
        <w:instrText xml:space="preserve"> ADDIN ZOTERO_ITEM CSL_CITATION {"citationID":"DjKeEjZd","properties":{"formattedCitation":"\\super [16]\\nosupersub{}","plainCitation":"[16]","noteIndex":0},"citationItems":[{"id":1740,"uris":["http://zotero.org/users/13172592/items/FCFII7GU"],"itemData":{"id":1740,"type":"article-journal","abstract":"The common conception of programme management as an extension or variant of project management, and therefore endowed with the same rationalist, instrumental underpinnings, is reviewed and questioned. In particular, the implications of labelling are highlighted, and the limitations for practice of conﬂated or poorly diﬀerentiated conceptions or models of project management and programme management are discussed. The central argument of this paper is that a distinct programme management model, grounded in a view of social reality as continually constructed through the actions and interactions of individuals – a becoming or related social constructionist ontology – provides an alternative way of shaping and undertaking change initiatives. Such a programme management model, when practised by reﬂective, context sensitive and value/ethically aware practitioners, can co-exist with and complement traditional project management approaches within an organisation.","call-number":"1","container-title":"International Journal of Project Management","DOI":"10.1016/j.ijproman.2010.02.009","ISSN":"02637863","issue":"2","journalAbbreviation":"International Journal of Project Management","language":"en","license":"https://www.elsevier.com/tdm/userlicense/1.0/","page":"232-240","source":"8","title":"What’s in a name: Project or programme?","title-short":"What’s in a name","volume":"29","author":[{"family":"Pellegrinelli","given":"Sergio"}],"issued":{"date-parts":[["2011",2]]}}}],"schema":"https://github.com/citation-style-language/schema/raw/master/csl-citation.json"} </w:instrText>
      </w:r>
      <w:r>
        <w:fldChar w:fldCharType="separate"/>
      </w:r>
      <w:r w:rsidR="00E17813" w:rsidRPr="00E17813">
        <w:rPr>
          <w:rFonts w:cs="Times New Roman"/>
          <w:kern w:val="0"/>
          <w:vertAlign w:val="superscript"/>
        </w:rPr>
        <w:t>[16]</w:t>
      </w:r>
      <w:r>
        <w:fldChar w:fldCharType="end"/>
      </w:r>
      <w:r>
        <w:rPr>
          <w:rFonts w:hint="eastAsia"/>
        </w:rPr>
        <w:t>。同时，由于项目群周期较长，涉及专业领域较多，知识与创新管理的重要性增加，项目群管理信息系统的设计与使用也因此受到了关注</w:t>
      </w:r>
      <w:r>
        <w:fldChar w:fldCharType="begin"/>
      </w:r>
      <w:r w:rsidR="00E17813">
        <w:instrText xml:space="preserve"> ADDIN ZOTERO_ITEM CSL_CITATION {"citationID":"tdbic1wL","properties":{"formattedCitation":"\\super [17,18]\\nosupersub{}","plainCitation":"[17,18]","noteIndex":0},"citationItems":[{"id":1917,"uris":["http://zotero.org/users/13172592/items/ITAY8FHW"],"itemData":{"id":1917,"type":"article-journal","abstract":"With the advancement of today's technological improvements and the rapid growth in population, the magnitude of construction projects has grown significantlywhile construction budgets continue to shrink. We can and must build faster, safer, bigger, and more economicallythan our predecessors did and while goingthrough the same basic planning, engineering, and construction phases. To meet this challenge, effective program management is crucial. Previously, management systemsconcentrated on schedule and cost, but in today's economic climate funding has become a major management issue for these multiproject programs. An effective management information system (MIS) must be capable of monitoring schedule, cost, and funding components. This paper discusses the general requirements for creation of a customized MIS and makes recommendations for assessing the program's needs, developing the schedules, and monitoring the finances. It is intended to be used as a guideline by managers to help define their project-specificrequirements and establish the foundation on which to build their MIS.","call-number":"1","container-title":"Journal of Management in Engineering","DOI":"10.1061/(ASCE)9742-597X(1994)10:1(37)","ISSN":"0742-597X, 1943-5479","issue":"1","journalAbbreviation":"J. Manage. Eng.","language":"en","page":"37-42","source":"7.4","title":"Establishing management information systems for multiproject programs","volume":"10","author":[{"family":"Zapalac","given":"Russell"},{"family":"Kuemmler","given":"Karen"},{"family":"Malagon","given":"Tim"}],"issued":{"date-parts":[["1994",1]]}}},{"id":1850,"uris":["http://zotero.org/users/13172592/items/54DC6TVI"],"itemData":{"id":1850,"type":"article-journal","abstract":"This paper is about intelligent Program Management Information System (iPMIS) to support decisionmaking and management of urban renewal mega projects over their life cycle in Korea. Program management focuses on soft issues i.e. benefits, stakeholders, and governance. A challenge is the diversity of urban renewal projects in terms of process and organization structure. The authors clarify the general requirements of systems to support program management while coping with diversity as follows: openness, clearness, convenience and consistency. As solutions, the authors present a conceptual model for iPMIS featuring the following characteristics: a web-based platform in which general modules and external integrated Geographic Information System (GIS) with decision support logical models are operated; interfaces; cooperative operating IT and IS in urban planning and construction; and a protocol for managing data cooperatively at the level of nation, district, project and facility. Two main unique features are: a user-created ontological process map that provides the operation scenario and menus of the iPMIS; and plug &amp; play techniques by which modules are selected and then operated immediately. These core concepts have been implemented as a prototype system and have been applied to a real construction project. The evaluation result shows that this technique can reduce systems implementation time by 90%.","call-number":"4","container-title":"Journal of Asian Architecture and Building Engineering","DOI":"10.3130/jaabe.8.57","ISSN":"1346-7581, 1347-2852","issue":"1","journalAbbreviation":"Journal of Asian Architecture and Building Engineering","language":"en","note":"TLDR: The authors present a conceptual model for iPMIS featuring a web-based platform in which general modules and external integrated Geographic Information System with decision support logical models are operated; interfaces; cooperative operating IT and IS in urban planning and construction; and a protocol for managing data cooperatively at the level of nation, district, project and facility.","page":"57-64","source":"1.3","title":"A conceptual model of intelligent program management information systems (iPMIS) for urban renewal mega projects in Korea","volume":"8","author":[{"family":"Kim","given":"Ju-Hyung"},{"family":"Yoon","given":"Ja-Young"},{"family":"Kim","given":"Kyung-Hwan"},{"family":"Kim","given":"Jae-Jun"}],"issued":{"date-parts":[["2009",5]]}}}],"schema":"https://github.com/citation-style-language/schema/raw/master/csl-citation.json"} </w:instrText>
      </w:r>
      <w:r>
        <w:fldChar w:fldCharType="separate"/>
      </w:r>
      <w:r w:rsidR="00E17813" w:rsidRPr="00E17813">
        <w:rPr>
          <w:rFonts w:cs="Times New Roman"/>
          <w:kern w:val="0"/>
          <w:vertAlign w:val="superscript"/>
        </w:rPr>
        <w:t>[17</w:t>
      </w:r>
      <w:r w:rsidR="00BA516A">
        <w:rPr>
          <w:rFonts w:cs="Times New Roman"/>
          <w:kern w:val="0"/>
          <w:vertAlign w:val="superscript"/>
        </w:rPr>
        <w:t>-</w:t>
      </w:r>
      <w:r w:rsidR="00E17813" w:rsidRPr="00E17813">
        <w:rPr>
          <w:rFonts w:cs="Times New Roman"/>
          <w:kern w:val="0"/>
          <w:vertAlign w:val="superscript"/>
        </w:rPr>
        <w:t>18]</w:t>
      </w:r>
      <w:r>
        <w:fldChar w:fldCharType="end"/>
      </w:r>
      <w:r>
        <w:rPr>
          <w:rFonts w:hint="eastAsia"/>
        </w:rPr>
        <w:t>。我国经济、城市化快速发展</w:t>
      </w:r>
      <w:r w:rsidRPr="009C120B">
        <w:rPr>
          <w:rFonts w:hint="eastAsia"/>
        </w:rPr>
        <w:t>，大型基础设施项目数量呈指数级增长</w:t>
      </w:r>
      <w:r>
        <w:fldChar w:fldCharType="begin"/>
      </w:r>
      <w:r w:rsidR="00E17813">
        <w:instrText xml:space="preserve"> ADDIN ZOTERO_ITEM CSL_CITATION {"citationID":"PnvLza1h","properties":{"formattedCitation":"\\super [19]\\nosupersub{}","plainCitation":"[19]","noteIndex":0},"citationItems":[{"id":1845,"uris":["http://zotero.org/users/13172592/items/5BSA373E"],"itemData":{"id":1845,"type":"article-journal","abstract":"The emergence of construction megaprojects has become a global phenomenon over the last two decades as a result of rapid urbanization. Program management has been increasingly promoted as a vital approach for ensuring megaproject success through the coordinated management of the dispensed execution of a program at the organizational level. Nevertheless, practicing this method in construction megaprojects is a continual improvement process that requires relevant guidelines and tools. This study proposes an innovative tool to evaluate a structured program organization in conjunction with the fuzzy synthetic evaluation method. Based on determinants of program organization identified from a Delphi survey previously conducted by authors regarding the Shanghai Expo construction, combined with results of further Delphi surveys for the same project, the use of this new evaluation approach in the case project is illustrated stepby-step. With this tool, clients can better utilize the program management approach in their organizational design and improvement, and the organizational effectiveness for delivering megaprojects can be improved constantly. DOI: 10.1061/(ASCE)ME.1943-5479.0000432. © 2016 American Society of Civil Engineers.","call-number":"1","container-title":"Journal of Management in Engineering","DOI":"10.1061/(ASCE)ME.1943-5479.0000432","ISSN":"0742-597X, 1943-5479","issue":"4","journalAbbreviation":"J. Manage. Eng.","language":"en","page":"05016007","source":"7.4","title":"Developing a program organization performance index for delivering construction megaprojects in China: Fuzzy synthetic evaluation analysis","title-short":"Developing a Program Organization Performance Index for Delivering Construction Megaprojects in China","volume":"32","author":[{"family":"Hu","given":"Yi"},{"family":"Chan","given":"Albert P. C."},{"family":"Le","given":"Yun"},{"family":"Xu","given":"Yelin"},{"family":"Shan","given":"Ming"}],"issued":{"date-parts":[["2016",7]]}}}],"schema":"https://github.com/citation-style-language/schema/raw/master/csl-citation.json"} </w:instrText>
      </w:r>
      <w:r>
        <w:fldChar w:fldCharType="separate"/>
      </w:r>
      <w:r w:rsidR="00E17813" w:rsidRPr="00E17813">
        <w:rPr>
          <w:rFonts w:cs="Times New Roman"/>
          <w:kern w:val="0"/>
          <w:vertAlign w:val="superscript"/>
        </w:rPr>
        <w:t>[19]</w:t>
      </w:r>
      <w:r>
        <w:fldChar w:fldCharType="end"/>
      </w:r>
      <w:r>
        <w:rPr>
          <w:rFonts w:hint="eastAsia"/>
        </w:rPr>
        <w:t>。项目群</w:t>
      </w:r>
      <w:r w:rsidRPr="009C120B">
        <w:rPr>
          <w:rFonts w:hint="eastAsia"/>
        </w:rPr>
        <w:t>管理</w:t>
      </w:r>
      <w:r>
        <w:rPr>
          <w:rFonts w:hint="eastAsia"/>
        </w:rPr>
        <w:t>已成为大型</w:t>
      </w:r>
      <w:r w:rsidRPr="00A61E9F">
        <w:rPr>
          <w:rFonts w:hint="eastAsia"/>
        </w:rPr>
        <w:t>基础设施</w:t>
      </w:r>
      <w:r>
        <w:rPr>
          <w:rFonts w:hint="eastAsia"/>
        </w:rPr>
        <w:t>开发的重要管理模式</w:t>
      </w:r>
      <w:r>
        <w:fldChar w:fldCharType="begin"/>
      </w:r>
      <w:r w:rsidR="00E17813">
        <w:instrText xml:space="preserve"> ADDIN ZOTERO_ITEM CSL_CITATION {"citationID":"iuCLWRw5","properties":{"formattedCitation":"\\super [15]\\nosupersub{}","plainCitation":"[15]","noteIndex":0},"citationItems":[{"id":1643,"uris":["http://zotero.org/users/13172592/items/RBHGRIP5"],"itemData":{"id":1643,"type":"article-journal","abstract":"This paper explores how programme management (as opposed to project management) can contribute to the effective design and delivery of megaprojects. Traditionally, project management is considered to be performance focused and task oriented, whilst programme management entails a more strategic focus. The programme management literature suggests that this can result in tensions between the management of the projects and the programme as a whole. This paper uses the ﬁndings of the €2.4 billion Room for the River ﬂood protection programme in the Netherlands as a case study, because indicators about its budget, time, quality and stakeholder satisfaction suggest high programme management performance upon completion of the planning and design stage of its 39 river widening projects. Based on a literature review, document analysis and 55 face-to-face interviews, we have analysed how the programme management of the programme contributed to this result. Six attributes for effective programme management that are identiﬁed from the project and programme management literature are used to structure the research data. Consecutively, the interactions between project and programme management are analysed. The analysis of Room for the River reveals a combined strategic/performance focus at the level of both programme and project management that enables a collaborative approach between programme and project management. This particularly enables effective stakeholder collaboration, coordination and adaptation of the programme to contextual changes, newly acquired insights and the changing needs of consecutive planning stages, which positively contributes to the performance of the programme as a whole.","call-number":"1","container-title":"International Journal of Project Management","DOI":"10.1016/j.ijproman.2014.01.003","ISSN":"02637863","issue":"7","journalAbbreviation":"International Journal of Project Management","language":"en","page":"1197-1209","source":"8","title":"Adaptive programme management through a balanced performance/strategy-oriented focus","volume":"32","author":[{"family":"Rijke","given":"Jeroen"},{"family":"Van Herk","given":"Sebastiaan"},{"family":"Zevenbergen","given":"Chris"},{"family":"Ashley","given":"Richard"},{"family":"Hertogh","given":"Marcel"},{"family":"Ten Heuvelhof","given":"Ernst"}],"issued":{"date-parts":[["2014",10]]}}}],"schema":"https://github.com/citation-style-language/schema/raw/master/csl-citation.json"} </w:instrText>
      </w:r>
      <w:r>
        <w:fldChar w:fldCharType="separate"/>
      </w:r>
      <w:r w:rsidR="00E17813" w:rsidRPr="00E17813">
        <w:rPr>
          <w:rFonts w:cs="Times New Roman"/>
          <w:kern w:val="0"/>
          <w:vertAlign w:val="superscript"/>
        </w:rPr>
        <w:t>[15]</w:t>
      </w:r>
      <w:r>
        <w:fldChar w:fldCharType="end"/>
      </w:r>
      <w:r>
        <w:rPr>
          <w:rFonts w:hint="eastAsia"/>
        </w:rPr>
        <w:t>。</w:t>
      </w:r>
    </w:p>
    <w:p w14:paraId="116B4378" w14:textId="1AE96F52" w:rsidR="0084715F" w:rsidRPr="0084715F" w:rsidRDefault="0084715F" w:rsidP="0084715F">
      <w:pPr>
        <w:pStyle w:val="2"/>
      </w:pPr>
      <w:r w:rsidRPr="0084715F">
        <w:rPr>
          <w:rFonts w:hint="eastAsia"/>
        </w:rPr>
        <w:t>项目群一体化管理研究</w:t>
      </w:r>
    </w:p>
    <w:p w14:paraId="2708F6B0" w14:textId="20137BBE" w:rsidR="0084715F" w:rsidRDefault="0084715F" w:rsidP="0084715F">
      <w:pPr>
        <w:ind w:firstLine="420"/>
      </w:pPr>
      <w:r>
        <w:rPr>
          <w:rFonts w:hint="eastAsia"/>
        </w:rPr>
        <w:t>一体化管理（</w:t>
      </w:r>
      <w:r>
        <w:rPr>
          <w:rFonts w:hint="eastAsia"/>
        </w:rPr>
        <w:t>Integration Management</w:t>
      </w:r>
      <w:r>
        <w:rPr>
          <w:rFonts w:hint="eastAsia"/>
        </w:rPr>
        <w:t>）是项目群管理的核心内容，</w:t>
      </w:r>
      <w:r w:rsidRPr="0019697D">
        <w:rPr>
          <w:rFonts w:hint="eastAsia"/>
        </w:rPr>
        <w:t>贯穿于项目群生命周期的各个阶段，旨在通过识别、定义、整合、协调和统一多个</w:t>
      </w:r>
      <w:r>
        <w:rPr>
          <w:rFonts w:hint="eastAsia"/>
        </w:rPr>
        <w:t>子</w:t>
      </w:r>
      <w:r w:rsidRPr="0019697D">
        <w:rPr>
          <w:rFonts w:hint="eastAsia"/>
        </w:rPr>
        <w:t>项目</w:t>
      </w:r>
      <w:r>
        <w:rPr>
          <w:rFonts w:hint="eastAsia"/>
        </w:rPr>
        <w:t>与利益相关方</w:t>
      </w:r>
      <w:r w:rsidRPr="0019697D">
        <w:rPr>
          <w:rFonts w:hint="eastAsia"/>
        </w:rPr>
        <w:t>，实现组织的战略目标</w:t>
      </w:r>
      <w:r>
        <w:fldChar w:fldCharType="begin"/>
      </w:r>
      <w:r w:rsidR="00E17813">
        <w:instrText xml:space="preserve"> ADDIN ZOTERO_ITEM CSL_CITATION {"citationID":"CwKnjVn0","properties":{"formattedCitation":"\\super [20]\\nosupersub{}","plainCitation":"[20]","noteIndex":0},"citationItems":[{"id":1716,"uris":["http://zotero.org/users/13172592/items/9RUS3GRM"],"itemData":{"id":1716,"type":"book","abstract":"\"The Standard for Program Management - Fourth Edition differs from prior editions by focusing on the principles of good program management. Program activities have been realigned to program lifecycle phases rather than topics, and the first section was expanded to address the key roles of program manager, program sponsor and program management office. It has also been updated to better align with PMI's Governance of Portfolios, Programs, and Projects: A Practice Guide\"--","call-number":"HD69.P75 S737 2017","event-place":"Newtown Square, PA","ISBN":"978-1-62825-196-8","language":"en","number-of-pages":"179","publisher":"Project Management Institute","publisher-place":"Newtown Square, PA","source":"Library of Congress ISBN","title":"The standard for program management","editor":[{"literal":"PMI"}],"issued":{"date-parts":[["2017"]]}}}],"schema":"https://github.com/citation-style-language/schema/raw/master/csl-citation.json"} </w:instrText>
      </w:r>
      <w:r>
        <w:fldChar w:fldCharType="separate"/>
      </w:r>
      <w:r w:rsidR="00E17813" w:rsidRPr="00E17813">
        <w:rPr>
          <w:rFonts w:cs="Times New Roman"/>
          <w:kern w:val="0"/>
          <w:vertAlign w:val="superscript"/>
        </w:rPr>
        <w:t>[20]</w:t>
      </w:r>
      <w:r>
        <w:fldChar w:fldCharType="end"/>
      </w:r>
      <w:r>
        <w:rPr>
          <w:rFonts w:hint="eastAsia"/>
        </w:rPr>
        <w:t>。在工程领域，项目群管理涉及</w:t>
      </w:r>
      <w:r>
        <w:t>不同利益相关方的参与和不同子项目的同步开发，</w:t>
      </w:r>
      <w:r>
        <w:rPr>
          <w:rFonts w:hint="eastAsia"/>
        </w:rPr>
        <w:t>组织结构分散和</w:t>
      </w:r>
      <w:r>
        <w:t>工作碎片化</w:t>
      </w:r>
      <w:r>
        <w:rPr>
          <w:rFonts w:hint="eastAsia"/>
        </w:rPr>
        <w:t>是项目群管理</w:t>
      </w:r>
      <w:r>
        <w:t>的</w:t>
      </w:r>
      <w:r>
        <w:rPr>
          <w:rFonts w:hint="eastAsia"/>
        </w:rPr>
        <w:t>重要</w:t>
      </w:r>
      <w:r>
        <w:t>挑战。</w:t>
      </w:r>
      <w:r w:rsidRPr="00527D5F">
        <w:rPr>
          <w:rFonts w:hint="eastAsia"/>
        </w:rPr>
        <w:t>已有研究表明，一体化管理通过建立系统化的集成管理框架，可以有效</w:t>
      </w:r>
      <w:r>
        <w:rPr>
          <w:rFonts w:hint="eastAsia"/>
        </w:rPr>
        <w:t>提升项目群绩效</w:t>
      </w:r>
      <w:r>
        <w:fldChar w:fldCharType="begin"/>
      </w:r>
      <w:r w:rsidR="002F3722">
        <w:instrText xml:space="preserve"> ADDIN ZOTERO_ITEM CSL_CITATION {"citationID":"a1k3cj5fg10","properties":{"formattedCitation":"\\super [21]\\nosupersub{}","plainCitation":"[21]","noteIndex":0},"citationItems":[{"id":3722,"uris":["http://zotero.org/users/13172592/items/KX4WZDRA"],"itemData":{"id":3722,"type":"article-journal","abstract":"Construction project performance relies on different dimensions of project management. Among those, integration management is of paramount importance since effective project management starts with the integration of processes and people within a construction project. This study investigates the influence of various components of integration management on construction project management performance and quantifies the relationship between those components and integration management. The proposed components of integration management are the development of a project charter, knowledge integration, process integration, staff integration, supply chain integration, and integration of changes; whereas the dimensions of project management performance are time, cost, quality, safety, and client satisfaction. A questionnaire was designed and administered to construction professionals and data from 121 projects was analyzed using structural equation modeling. The data was analyzed by using software, called SPSS AMOS. The findings of the research indicate that integration management has a strong impact on project management performance. The study contributes to the project management body of knowledge in that it develops a conceptual framework consisting of specific components for integration management, reveals the impact of integration management on performance, and proposes several tools and strategies for enabling effective integration along the project life cycle. Industry practitioners may benefit from the framework developed by considering the components proposed and following strategies recommended for construction phases.","call-number":"1","container-title":"International Journal of Project Management","DOI":"10.1016/j.ijproman.2017.09.008","ISSN":"0263-7863","issue":"8","journalAbbreviation":"International Journal of Project Management","language":"en","page":"1639-1654","source":"7.4","title":"Impact of integration management on construction project management performance","volume":"35","author":[{"family":"Demirkesen","given":"Sevilay"},{"family":"Ozorhon","given":"Beliz"}],"issued":{"date-parts":[["2017",11,1]]}}}],"schema":"https://github.com/citation-style-language/schema/raw/master/csl-citation.json"} </w:instrText>
      </w:r>
      <w:r>
        <w:fldChar w:fldCharType="separate"/>
      </w:r>
      <w:r w:rsidR="002F3722" w:rsidRPr="002F3722">
        <w:rPr>
          <w:rFonts w:cs="Times New Roman"/>
          <w:kern w:val="0"/>
          <w:vertAlign w:val="superscript"/>
        </w:rPr>
        <w:t>[21]</w:t>
      </w:r>
      <w:r>
        <w:fldChar w:fldCharType="end"/>
      </w:r>
      <w:r>
        <w:rPr>
          <w:rFonts w:hint="eastAsia"/>
        </w:rPr>
        <w:t>。</w:t>
      </w:r>
    </w:p>
    <w:p w14:paraId="2EAD553C" w14:textId="7C3D731F" w:rsidR="0084715F" w:rsidRDefault="0084715F" w:rsidP="0084715F">
      <w:pPr>
        <w:ind w:firstLine="420"/>
      </w:pPr>
      <w:r>
        <w:rPr>
          <w:rFonts w:hint="eastAsia"/>
        </w:rPr>
        <w:t>项目群一体化管理可以分为三个维度，包括利益相关方协同、各子项目联合开发和项目群开发各环节统筹。</w:t>
      </w:r>
      <w:r w:rsidRPr="00E616BF">
        <w:rPr>
          <w:rFonts w:hint="eastAsia"/>
        </w:rPr>
        <w:t>利益相关方协同被认为是项目群一体化的基础</w:t>
      </w:r>
      <w:r>
        <w:rPr>
          <w:rFonts w:hint="eastAsia"/>
        </w:rPr>
        <w:t>，旨在</w:t>
      </w:r>
      <w:r w:rsidRPr="00E616BF">
        <w:rPr>
          <w:rFonts w:hint="eastAsia"/>
        </w:rPr>
        <w:t>明确利益相关方的</w:t>
      </w:r>
      <w:r>
        <w:rPr>
          <w:rFonts w:hint="eastAsia"/>
        </w:rPr>
        <w:t>需求与责权</w:t>
      </w:r>
      <w:r w:rsidRPr="00E616BF">
        <w:rPr>
          <w:rFonts w:hint="eastAsia"/>
        </w:rPr>
        <w:t>，</w:t>
      </w:r>
      <w:r>
        <w:rPr>
          <w:rFonts w:hint="eastAsia"/>
        </w:rPr>
        <w:t>通过</w:t>
      </w:r>
      <w:r w:rsidRPr="00E616BF">
        <w:rPr>
          <w:rFonts w:hint="eastAsia"/>
        </w:rPr>
        <w:t>促进多方沟通与资源共享，</w:t>
      </w:r>
      <w:r>
        <w:rPr>
          <w:rFonts w:hint="eastAsia"/>
        </w:rPr>
        <w:t>建立信任与良好的合作关系，以减少</w:t>
      </w:r>
      <w:r w:rsidRPr="00E616BF">
        <w:rPr>
          <w:rFonts w:hint="eastAsia"/>
        </w:rPr>
        <w:t>冲突</w:t>
      </w:r>
      <w:r>
        <w:rPr>
          <w:rFonts w:hint="eastAsia"/>
        </w:rPr>
        <w:t>与</w:t>
      </w:r>
      <w:r w:rsidRPr="00E616BF">
        <w:rPr>
          <w:rFonts w:hint="eastAsia"/>
        </w:rPr>
        <w:t>资源浪费</w:t>
      </w:r>
      <w:r>
        <w:rPr>
          <w:rFonts w:hint="eastAsia"/>
        </w:rPr>
        <w:t>，获得政策与社会支持，并提高项目群管理效率</w:t>
      </w:r>
      <w:r>
        <w:fldChar w:fldCharType="begin"/>
      </w:r>
      <w:r w:rsidR="002F3722">
        <w:instrText xml:space="preserve"> ADDIN ZOTERO_ITEM CSL_CITATION {"citationID":"a2398vq05m1","properties":{"formattedCitation":"\\super [22\\uc0\\u8211{}24]\\nosupersub{}","plainCitation":"[22–24]","noteIndex":0},"citationItems":[{"id":3743,"uris":["http://zotero.org/users/13172592/items/66GRHPGK"],"itemData":{"id":3743,"type":"article-journal","call-number":"2","container-title":"Operations Management Research","DOI":"10.1007/s12063-010-0037-z","ISSN":"1936-9735, 1936-9743","issue":"3-4","journalAbbreviation":"Oper Manag Res","language":"en","page":"146-160","source":"6.9","title":"Integration of management systems: A methodology for operational excellence and strategic flexibility","title-short":"Integration of management systems","volume":"3","author":[{"family":"Asif","given":"Muhammad"},{"family":"Fisscher","given":"Olaf A. M."},{"family":"De Bruijn","given":"Erik Joost"},{"family":"Pagell","given":"Mark"}],"issued":{"date-parts":[["2010",9]]}}},{"id":3752,"uris":["http://zotero.org/users/13172592/items/C8WKEFZK"],"itemData":{"id":3752,"type":"article-journal","abstract":"This paper investigates the extent of integration achieved by construction project teams managed by award-winning construction managers within successfully completed projects. The research findings reveal that construction project teams exist as individual competent units within their organisationally defined boundaries. They exhibit varying degrees of integration, which are determined by the team practices adopted and their congruence with the procurement approach. The findings of this research do not, however, support the argument espoused by many construction industry authorities, that seamless operation is a fundamental requirement of integrated team performance. It is concluded that either fully integrated teams are not necessary for effective project delivery within the industry, or that the sector must overcome existing organisational and behavioural barriers if further improvements in project performance are to be fully realised in the future.","call-number":"1","container-title":"International Journal of Project Management","DOI":"10.1016/j.ijproman.2005.05.001","ISSN":"0263-7863","issue":"1","journalAbbreviation":"International Journal of Project Management","language":"en","page":"13-23","source":"7.4","title":"The extent of team integration within construction projects","volume":"24","author":[{"family":"Baiden","given":"B. K."},{"family":"Price","given":"A. D. F."},{"family":"Dainty","given":"A. R. J."}],"issued":{"date-parts":[["2006",1,1]]}}},{"id":3744,"uris":["http://zotero.org/users/13172592/items/C2EKU2NY"],"itemData":{"id":3744,"type":"article-journal","abstract":"AbstractTo succeed internationally, multinational, project-based organizations in the architectural,\nengineering, and construction (AEC) industry need to both adapt to local environments\nand integrate knowledge and processes across the organizations. ...","call-number":"1","container-title":"Journal of Management in Engineering","DOI":"10.1061/(ASCE)ME.1943-5479.0000366","ISSN":"1943-5479","issue":"6","language":"en","license":"© 2015 American Society of Civil Engineers","note":"publisher: American Society of Civil Engineers","page":"04015008","source":"5.3","title":"Adaptation and integration for multinational project-based organizations","volume":"31","author":[{"family":"Berteaux","given":"Florence"},{"family":"Javernick-Will","given":"Amy"}],"issued":{"date-parts":[["2015",11,1]]}}}],"schema":"https://github.com/citation-style-language/schema/raw/master/csl-citation.json"} </w:instrText>
      </w:r>
      <w:r>
        <w:fldChar w:fldCharType="separate"/>
      </w:r>
      <w:r w:rsidR="002F3722" w:rsidRPr="002F3722">
        <w:rPr>
          <w:rFonts w:cs="Times New Roman"/>
          <w:kern w:val="0"/>
          <w:vertAlign w:val="superscript"/>
        </w:rPr>
        <w:t>[22–24]</w:t>
      </w:r>
      <w:r>
        <w:fldChar w:fldCharType="end"/>
      </w:r>
      <w:r w:rsidRPr="00E616BF">
        <w:rPr>
          <w:rFonts w:hint="eastAsia"/>
        </w:rPr>
        <w:t>。各项目开发活动协调关注项目间的相互依赖性，</w:t>
      </w:r>
      <w:r>
        <w:rPr>
          <w:rFonts w:hint="eastAsia"/>
        </w:rPr>
        <w:t>主要涉及</w:t>
      </w:r>
      <w:r w:rsidRPr="00E616BF">
        <w:rPr>
          <w:rFonts w:hint="eastAsia"/>
        </w:rPr>
        <w:t>资源配置、</w:t>
      </w:r>
      <w:r>
        <w:rPr>
          <w:rFonts w:hint="eastAsia"/>
        </w:rPr>
        <w:t>项目群集成设计、</w:t>
      </w:r>
      <w:r w:rsidRPr="00E616BF">
        <w:rPr>
          <w:rFonts w:hint="eastAsia"/>
        </w:rPr>
        <w:t>进度安排</w:t>
      </w:r>
      <w:r>
        <w:rPr>
          <w:rFonts w:hint="eastAsia"/>
        </w:rPr>
        <w:t>、施工组织接口管理</w:t>
      </w:r>
      <w:r w:rsidRPr="00E616BF">
        <w:rPr>
          <w:rFonts w:hint="eastAsia"/>
        </w:rPr>
        <w:t>和技术接口</w:t>
      </w:r>
      <w:r>
        <w:rPr>
          <w:rFonts w:hint="eastAsia"/>
        </w:rPr>
        <w:t>管理</w:t>
      </w:r>
      <w:r w:rsidRPr="00E616BF">
        <w:rPr>
          <w:rFonts w:hint="eastAsia"/>
        </w:rPr>
        <w:t>，</w:t>
      </w:r>
      <w:r>
        <w:rPr>
          <w:rFonts w:hint="eastAsia"/>
        </w:rPr>
        <w:t>旨在实现各项目的顺利推进</w:t>
      </w:r>
      <w:r>
        <w:fldChar w:fldCharType="begin"/>
      </w:r>
      <w:r w:rsidR="002F3722">
        <w:instrText xml:space="preserve"> ADDIN ZOTERO_ITEM CSL_CITATION {"citationID":"a46a1ug8d5","properties":{"formattedCitation":"\\super [25,26]\\nosupersub{}","plainCitation":"[25,26]","noteIndex":0},"citationItems":[{"id":1848,"uris":["http://zotero.org/users/13172592/items/F6JM4NNF"],"itemData":{"id":1848,"type":"article-journal","abstract":"For the construction industry to survive the current turbulence in the economic atmosphere, it has the option of integrating new initiatives to march the uncertainties. Programme management is seen as an eﬃcient vehicle to successfully deliver the improvements and changes. However, the implementation of any new system or change initiatives has always been a challenging task; some of these challenges can be faced during the implementation or at practice stage. Programme management is not exempt from such challenges, in order to successfully implement and practice programme management, the knowledge of the major challenges associated to eﬀective implementation and practice should not be left to serendipity or sagacity. Due to the lack of clarity surrounding programme management in the construction industry, the understanding of these major challenges remains vague. To provide a deeper insight into the major challenges to implementation and practice of construction programme management, this paper conducts both a pragmatic and theoretical study by triangulating literature, industrial questionnaire survey and semi-structured interviews. The research was conducted in the UK construction industry and other programme management sectors to analyse and exploit the knowledge of these challenges for eﬀective implementation and practice of construction programmes. A total of 119 usable questionnaires were received and 17 semi-structured interviews were conducted, analysed and synthesised to provide a broader view on the major challenges and how to eﬀectively implement and practice construction programmes.","call-number":"1","container-title":"International Journal of Project Management","DOI":"10.1016/j.ijproman.2009.02.004","ISSN":"02637863","issue":"1","journalAbbreviation":"International Journal of Project Management","language":"en","license":"https://www.elsevier.com/tdm/userlicense/1.0/","page":"26-39","source":"8","title":"Major challenges to the successful implementation and practice of programme management in the construction environment: A critical analysis","title-short":"Major challenges to the successful implementation and practice of programme management in the construction environment","volume":"28","author":[{"family":"Shehu","given":"Zayyana"},{"family":"Akintoye","given":"Akintola"}],"issued":{"date-parts":[["2010",1]]}}},{"id":3757,"uris":["http://zotero.org/users/13172592/items/UF6FTCCL"],"itemData":{"id":3757,"type":"article-journal","abstract":"Multi-project change programs pursue challenging goals and may suffer from uncertainty and conflicting interests. To achieve their goals, such programs need integration both with the parent organization and between projects. There is a need for knowledge on how program actors implement integration. This study pursues new knowledge on program actors' agency in program integration in the context of multi-project change programs. Two case programs in different contexts were explored, to map their integration mechanisms and program actors' integration activities during the program lifecycle. The results reveal five integration tasks, the program-specific use of integration mechanisms, differences in the integration approach between the two programs, and the parent organization's input at the program front end in defining the program's requisite autonomy. The organization's maturity in project-based organizing, the program and project managers' competence, and the autonomy enabled at the program front end are shown to define the programs' integration practice.","container-title":"International Journal of Project Management","DOI":"10.1016/j.ijproman.2018.02.003","ISSN":"0263-7863","issue":"4","journalAbbreviation":"International Journal of Project Management","language":"en","note":"TLDR: The organization's maturity in project-based organizing, the program and project managers' competence, and the autonomy enabled at the program front end are shown to define the programs' integration practice.","page":"583-599","source":"7.4","title":"Program integration in multi-project change programs: Agency in integration practice","title-short":"Program integration in multi-project change programs","volume":"36","author":[{"family":"Vuorinen","given":"Lauri"},{"family":"Martinsuo","given":"Miia"}],"issued":{"date-parts":[["2018",5,1]]}}}],"schema":"https://github.com/citation-style-language/schema/raw/master/csl-citation.json"} </w:instrText>
      </w:r>
      <w:r>
        <w:fldChar w:fldCharType="separate"/>
      </w:r>
      <w:r w:rsidR="002F3722" w:rsidRPr="002F3722">
        <w:rPr>
          <w:rFonts w:cs="Times New Roman"/>
          <w:kern w:val="0"/>
          <w:vertAlign w:val="superscript"/>
        </w:rPr>
        <w:t>[25</w:t>
      </w:r>
      <w:r w:rsidR="00BA516A">
        <w:rPr>
          <w:rFonts w:cs="Times New Roman"/>
          <w:kern w:val="0"/>
          <w:vertAlign w:val="superscript"/>
        </w:rPr>
        <w:t>-</w:t>
      </w:r>
      <w:r w:rsidR="002F3722" w:rsidRPr="002F3722">
        <w:rPr>
          <w:rFonts w:cs="Times New Roman"/>
          <w:kern w:val="0"/>
          <w:vertAlign w:val="superscript"/>
        </w:rPr>
        <w:t>26]</w:t>
      </w:r>
      <w:r>
        <w:fldChar w:fldCharType="end"/>
      </w:r>
      <w:r w:rsidRPr="00E616BF">
        <w:rPr>
          <w:rFonts w:hint="eastAsia"/>
        </w:rPr>
        <w:t>。项目群开发各环节的统筹则聚焦于</w:t>
      </w:r>
      <w:r>
        <w:rPr>
          <w:rFonts w:hint="eastAsia"/>
        </w:rPr>
        <w:t>规划</w:t>
      </w:r>
      <w:r w:rsidRPr="00E616BF">
        <w:rPr>
          <w:rFonts w:hint="eastAsia"/>
        </w:rPr>
        <w:t>设计、</w:t>
      </w:r>
      <w:r w:rsidRPr="00E616BF">
        <w:rPr>
          <w:rFonts w:hint="eastAsia"/>
        </w:rPr>
        <w:t>采购、施工</w:t>
      </w:r>
      <w:r>
        <w:rPr>
          <w:rFonts w:hint="eastAsia"/>
        </w:rPr>
        <w:t>与运维</w:t>
      </w:r>
      <w:r w:rsidRPr="00E616BF">
        <w:rPr>
          <w:rFonts w:hint="eastAsia"/>
        </w:rPr>
        <w:t>等环节的整体规划，旨在通过</w:t>
      </w:r>
      <w:r>
        <w:rPr>
          <w:rFonts w:hint="eastAsia"/>
        </w:rPr>
        <w:t>信息</w:t>
      </w:r>
      <w:r w:rsidRPr="00E616BF">
        <w:rPr>
          <w:rFonts w:hint="eastAsia"/>
        </w:rPr>
        <w:t>集成</w:t>
      </w:r>
      <w:r>
        <w:rPr>
          <w:rFonts w:hint="eastAsia"/>
        </w:rPr>
        <w:t>实现各</w:t>
      </w:r>
      <w:r w:rsidRPr="00E616BF">
        <w:rPr>
          <w:rFonts w:hint="eastAsia"/>
        </w:rPr>
        <w:t>环节</w:t>
      </w:r>
      <w:r>
        <w:rPr>
          <w:rFonts w:hint="eastAsia"/>
        </w:rPr>
        <w:t>的流畅衔接</w:t>
      </w:r>
      <w:r w:rsidRPr="00E616BF">
        <w:rPr>
          <w:rFonts w:hint="eastAsia"/>
        </w:rPr>
        <w:t>，</w:t>
      </w:r>
      <w:r>
        <w:rPr>
          <w:rFonts w:hint="eastAsia"/>
        </w:rPr>
        <w:t>以</w:t>
      </w:r>
      <w:r w:rsidRPr="00E616BF">
        <w:rPr>
          <w:rFonts w:hint="eastAsia"/>
        </w:rPr>
        <w:t>提高项目群的整体绩效</w:t>
      </w:r>
      <w:r>
        <w:fldChar w:fldCharType="begin"/>
      </w:r>
      <w:r w:rsidR="002F3722">
        <w:instrText xml:space="preserve"> ADDIN ZOTERO_ITEM CSL_CITATION {"citationID":"a1aaqq0mtqt","properties":{"formattedCitation":"\\super [27,28]\\nosupersub{}","plainCitation":"[27,28]","noteIndex":0},"citationItems":[{"id":3755,"uris":["http://zotero.org/users/13172592/items/RCT4IH9V"],"itemData":{"id":3755,"type":"article-journal","abstract":"The paper reports a study of the post-acquisition integration process in three foreign acquisitions made by Swedish multinationals. Detailed interview data and questionnaire responses in both acquiring and acquired firms are presented. The sub-processes of task integration and human integration are separated out and it is shown that effective integration in these cases was achieved through a two-phase process. In phase one, task integration led to a satisficing solution that limited the interaction between acquired and acquiring units, while human integration proceeded smoothly and led to cultural convergence and mutual respect. In phase two, there was renewed task integration built on the success of the human integration that had been achieved, which led to much greater interdependencies between acquired and acquiring units.","call-number":"1","container-title":"Journal of Management Studies","DOI":"10.1111/1467-6486.00186","ISSN":"1467-6486","issue":"3","language":"en","note":"_eprint: https://onlinelibrary.wiley.com/doi/pdf/10.1111/1467-6486.00186\nTLDR: It is shown that effective integration in these cases was achieved through a two-phase process, where task integration led to a satisficing solution that limited the interaction between acquired and acquiring units, while human integration proceeded smoothly and led to cultural convergence and mutual respect.","page":"395-425","source":"7","title":"Managing the post-acquisition integration process: How the human integration and task integration processes interact to foster value creation","title-short":"Managing the post-acquisition integration process","volume":"37","author":[{"family":"Birkinshaw","given":"Julian"},{"family":"Bresman","given":"Henrik"},{"family":"Håkanson","given":"Lars"}],"issued":{"date-parts":[["2000"]]}}},{"id":1730,"uris":["http://zotero.org/users/13172592/items/6RNFFW52"],"itemData":{"id":1730,"type":"article-journal","abstract":"Maturity models can improve the effectiveness and capability of the organizations. However, the existing maturity models are only for one single organization and cannot deal with the specific problems of mega construction programs (MCPs) in China. The program management subjects of MCPs in China consist of the owner, the general design contractor, and the general construction contractor, which are not mature in the organizational management and process management. This paper presents a program management organization maturity integrated model for MCPs (PMOMIM-MCPs) in China, which integrates the program management subjects of MCPs and can improve the capability of them. Two submodels of PMOMIM-MCPs—Organizational Management Submodel (OMS) and Process Management Submodel (PMS) are given. In the end, a case study is given to justify and optimize the model.","call-number":"1","container-title":"International Journal of Project Management","DOI":"10.1016/j.ijproman.2011.03.003","ISSN":"02637863","issue":"7","journalAbbreviation":"International Journal of Project Management","language":"en","page":"834-845","source":"8","title":"Program management organization maturity integrated model for mega construction programs in China","volume":"29","author":[{"family":"Jia","given":"Guangshe"},{"family":"Chen","given":"Yuting"},{"family":"Xue","given":"Xiangdong"},{"family":"Chen","given":"Jianguo"},{"family":"Cao","given":"Jiming"},{"family":"Tang","given":"Kewei"}],"issued":{"date-parts":[["2011",10]]}}}],"schema":"https://github.com/citation-style-language/schema/raw/master/csl-citation.json"} </w:instrText>
      </w:r>
      <w:r>
        <w:fldChar w:fldCharType="separate"/>
      </w:r>
      <w:r w:rsidR="002F3722" w:rsidRPr="002F3722">
        <w:rPr>
          <w:rFonts w:cs="Times New Roman"/>
          <w:kern w:val="0"/>
          <w:vertAlign w:val="superscript"/>
        </w:rPr>
        <w:t>[27</w:t>
      </w:r>
      <w:r w:rsidR="00BA516A">
        <w:rPr>
          <w:rFonts w:cs="Times New Roman"/>
          <w:kern w:val="0"/>
          <w:vertAlign w:val="superscript"/>
        </w:rPr>
        <w:t>-</w:t>
      </w:r>
      <w:r w:rsidR="002F3722" w:rsidRPr="002F3722">
        <w:rPr>
          <w:rFonts w:cs="Times New Roman"/>
          <w:kern w:val="0"/>
          <w:vertAlign w:val="superscript"/>
        </w:rPr>
        <w:t>28]</w:t>
      </w:r>
      <w:r>
        <w:fldChar w:fldCharType="end"/>
      </w:r>
      <w:r>
        <w:rPr>
          <w:rFonts w:hint="eastAsia"/>
        </w:rPr>
        <w:t>。</w:t>
      </w:r>
    </w:p>
    <w:p w14:paraId="17EC45F4" w14:textId="3A406C51" w:rsidR="0084715F" w:rsidRDefault="0084715F" w:rsidP="0084715F">
      <w:pPr>
        <w:pStyle w:val="2"/>
      </w:pPr>
      <w:r w:rsidRPr="0084715F">
        <w:rPr>
          <w:rFonts w:hint="eastAsia"/>
        </w:rPr>
        <w:t>清洁能源项目管理</w:t>
      </w:r>
      <w:r>
        <w:rPr>
          <w:rFonts w:hint="eastAsia"/>
        </w:rPr>
        <w:t>机理研究</w:t>
      </w:r>
    </w:p>
    <w:p w14:paraId="50ACEC49" w14:textId="77BAF342" w:rsidR="000132E7" w:rsidRDefault="0084715F" w:rsidP="0084715F">
      <w:pPr>
        <w:ind w:firstLine="420"/>
      </w:pPr>
      <w:r>
        <w:rPr>
          <w:rFonts w:hint="eastAsia"/>
        </w:rPr>
        <w:t>清洁能源基地中各清洁能源项目的顺利实施，对清洁能源基地开发的总体顺利推进具有重要意义。</w:t>
      </w:r>
      <w:r w:rsidRPr="003568A5">
        <w:rPr>
          <w:rFonts w:hint="eastAsia"/>
        </w:rPr>
        <w:t>已有研究</w:t>
      </w:r>
      <w:r>
        <w:rPr>
          <w:rFonts w:hint="eastAsia"/>
        </w:rPr>
        <w:t>对清洁能源项目开发成功的关键因素进行了研究，涉及政策环境、市场需求、项目建设环境、相关技术应用和利益相关方合作等方面</w:t>
      </w:r>
      <w:r>
        <w:fldChar w:fldCharType="begin"/>
      </w:r>
      <w:r w:rsidR="00EB7246">
        <w:instrText xml:space="preserve"> ADDIN ZOTERO_ITEM CSL_CITATION {"citationID":"qhigk7yl","properties":{"formattedCitation":"\\super [3\\uc0\\u8211{}5]\\nosupersub{}","plainCitation":"[3–5]","noteIndex":0},"citationItems":[{"id":3663,"uris":["http://zotero.org/users/13172592/items/KBFEHVJI"],"itemData":{"id":3663,"type":"article-journal","abstract":"Renewable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K."}],"issued":{"date-parts":[["2014",10,1]]}}},{"id":3701,"uris":["http://zotero.org/users/13172592/items/DIB9DINA"],"itemData":{"id":3701,"type":"article-journal","abstract":"The future of electriﬁcation of Africa lies within off-grid generation via renewable energy (RE). Although many RE projects have started across the Sub-Sahara, especially public projects are seldom successful. This study engages directly (ethnographically) with the local communities beneﬁtting or expected to beneﬁt from the projects, the implementing organizations and government.","call-number":"1","container-title":"Renewable Energy","DOI":"10.1016/j.renene.2016.10.037","ISSN":"09601481","journalAbbreviation":"Renewable Energy","language":"en","page":"234-240","source":"9","title":"The empirical reality &amp; sustainable management failures of renewable energy projects in Sub-Saharan Africa (part 1 of 2)","volume":"102","author":[{"family":"Ikejemba","given":"Eugene C.X."},{"family":"Mpuan","given":"Peter B."},{"family":"Schuur","given":"Peter C."},{"family":"Van Hillegersberg","given":"Jos"}],"issued":{"date-parts":[["2017",3]]}}},{"id":3015,"uris":["http://zotero.org/users/13172592/items/HR7IAUXP"],"itemData":{"id":3015,"type":"article-journal","abstract":"Successful renewable energy projects are crucial to bring the cleaner and sustainable environment of this universe. Owed to this, world's countries and policymakers are trying hard to double the current share of renewable energy consumptions (18.3%) by 2030, which has been resulting in the construction of multiple renewable energy projects. This study identiﬁes multiple critical success factors (CSFs) and their inﬂuences mechanisms, required for renewable-energy projects. Using a sample of 272 ﬁrms working on renewable energy projects in Pakistan, a quantitative and causal study was undertaken to identify the efﬁciency (short-run success) and effectiveness (long-run success) mechanisms of critical success factors in renewable energy projects. Structural equation modeling (SEM) was applied to test and verify hypothesis. The results show that though the efﬁciency and effectiveness of critical success factors in renewable energy projects are equally important, the effectiveness (long-run success) in renewable energy projects is mainly depends upon the efﬁciency (short-run success) of the critical success factors (CSFs) involved in such kind of projects. The study expected to contribute towards and widen up the existing knowledge base for the renewable energy projects by adding on the ﬁndings regarding the inﬂuences mechanisms of critical success factors.","call-number":"1","container-title":"Energy","DOI":"10.1016/j.energy.2018.06.015","ISSN":"03605442","journalAbbreviation":"Energy","language":"en","page":"944-956","source":"9","title":"Efficiency and effectiveness of factors affecting renewable energy projects: An empirical perspective","volume":"158","author":[{"family":"Maqbool","given":"Rashid"}],"issued":{"date-parts":[["2018",9]]}}}],"schema":"https://github.com/citation-style-language/schema/raw/master/csl-citation.json"} </w:instrText>
      </w:r>
      <w:r>
        <w:fldChar w:fldCharType="separate"/>
      </w:r>
      <w:r w:rsidR="00EB7246" w:rsidRPr="00EB7246">
        <w:rPr>
          <w:rFonts w:cs="Times New Roman"/>
          <w:kern w:val="0"/>
          <w:vertAlign w:val="superscript"/>
        </w:rPr>
        <w:t>[3–5]</w:t>
      </w:r>
      <w:r>
        <w:fldChar w:fldCharType="end"/>
      </w:r>
      <w:r>
        <w:rPr>
          <w:rFonts w:hint="eastAsia"/>
        </w:rPr>
        <w:t>。</w:t>
      </w:r>
    </w:p>
    <w:p w14:paraId="0F521964" w14:textId="65D7178E" w:rsidR="000132E7" w:rsidRDefault="0084715F" w:rsidP="0084715F">
      <w:pPr>
        <w:ind w:firstLine="420"/>
      </w:pPr>
      <w:r>
        <w:rPr>
          <w:rFonts w:hint="eastAsia"/>
        </w:rPr>
        <w:t>分析清洁能源项目关键成功因素的作用机理对提高管理效率也十分重要。</w:t>
      </w:r>
      <w:r>
        <w:t>Goh et al.</w:t>
      </w:r>
      <w:r>
        <w:fldChar w:fldCharType="begin"/>
      </w:r>
      <w:r w:rsidR="00EB7246">
        <w:instrText xml:space="preserve"> ADDIN ZOTERO_ITEM CSL_CITATION {"citationID":"a1ufv5t6hfg","properties":{"formattedCitation":"\\super [3]\\nosupersub{}","plainCitation":"[3]","noteIndex":0},"citationItems":[{"id":3663,"uris":["http://zotero.org/users/13172592/items/KBFEHVJI"],"itemData":{"id":3663,"type":"article-journal","abstract":"Renewable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K."}],"issued":{"date-parts":[["2014",10,1]]}},"suppress-author":true}],"schema":"https://github.com/citation-style-language/schema/raw/master/csl-citation.json"} </w:instrText>
      </w:r>
      <w:r>
        <w:fldChar w:fldCharType="separate"/>
      </w:r>
      <w:r w:rsidR="00EB7246" w:rsidRPr="00EB7246">
        <w:rPr>
          <w:rFonts w:cs="Times New Roman"/>
          <w:kern w:val="0"/>
          <w:vertAlign w:val="superscript"/>
        </w:rPr>
        <w:t>[3]</w:t>
      </w:r>
      <w:r>
        <w:fldChar w:fldCharType="end"/>
      </w:r>
      <w:r>
        <w:rPr>
          <w:rFonts w:hint="eastAsia"/>
        </w:rPr>
        <w:t>首先应用</w:t>
      </w:r>
      <w:r w:rsidRPr="00D845BD">
        <w:rPr>
          <w:rFonts w:hint="eastAsia"/>
        </w:rPr>
        <w:t>系统动力学方法</w:t>
      </w:r>
      <w:r>
        <w:rPr>
          <w:rFonts w:hint="eastAsia"/>
        </w:rPr>
        <w:t>，验证了</w:t>
      </w:r>
      <w:r w:rsidRPr="00D845BD">
        <w:rPr>
          <w:rFonts w:hint="eastAsia"/>
        </w:rPr>
        <w:t>政府政策、清洁能源投资、能源需求、地理位置和资金管理</w:t>
      </w:r>
      <w:r>
        <w:rPr>
          <w:rFonts w:hint="eastAsia"/>
        </w:rPr>
        <w:t>能够影响项目规划设计、建设、运维等阶段。此外，许多学者以</w:t>
      </w:r>
      <w:r>
        <w:t>Maqbool</w:t>
      </w:r>
      <w:r w:rsidRPr="006E4BFF">
        <w:rPr>
          <w:rFonts w:cs="Times New Roman"/>
          <w:kern w:val="0"/>
        </w:rPr>
        <w:t xml:space="preserve"> </w:t>
      </w:r>
      <w:r w:rsidRPr="002E7F3B">
        <w:rPr>
          <w:rFonts w:cs="Times New Roman"/>
          <w:kern w:val="0"/>
        </w:rPr>
        <w:t>et al.</w:t>
      </w:r>
      <w:r>
        <w:fldChar w:fldCharType="begin"/>
      </w:r>
      <w:r w:rsidR="00EB7246">
        <w:instrText xml:space="preserve"> ADDIN ZOTERO_ITEM CSL_CITATION {"citationID":"g1ImEllB","properties":{"formattedCitation":"\\super [5]\\nosupersub{}","plainCitation":"[5]","noteIndex":0},"citationItems":[{"id":3015,"uris":["http://zotero.org/users/13172592/items/HR7IAUXP"],"itemData":{"id":3015,"type":"article-journal","abstract":"Successful renewable energy projects are crucial to bring the cleaner and sustainable environment of this universe. Owed to this, world's countries and policymakers are trying hard to double the current share of renewable energy consumptions (18.3%) by 2030, which has been resulting in the construction of multiple renewable energy projects. This study identiﬁes multiple critical success factors (CSFs) and their inﬂuences mechanisms, required for renewable-energy projects. Using a sample of 272 ﬁrms working on renewable energy projects in Pakistan, a quantitative and causal study was undertaken to identify the efﬁciency (short-run success) and effectiveness (long-run success) mechanisms of critical success factors in renewable energy projects. Structural equation modeling (SEM) was applied to test and verify hypothesis. The results show that though the efﬁciency and effectiveness of critical success factors in renewable energy projects are equally important, the effectiveness (long-run success) in renewable energy projects is mainly depends upon the efﬁciency (short-run success) of the critical success factors (CSFs) involved in such kind of projects. The study expected to contribute towards and widen up the existing knowledge base for the renewable energy projects by adding on the ﬁndings regarding the inﬂuences mechanisms of critical success factors.","call-number":"1","container-title":"Energy","DOI":"10.1016/j.energy.2018.06.015","ISSN":"03605442","journalAbbreviation":"Energy","language":"en","page":"944-956","source":"9","title":"Efficiency and effectiveness of factors affecting renewable energy projects: An empirical perspective","volume":"158","author":[{"family":"Maqbool","given":"Rashid"}],"issued":{"date-parts":[["2018",9]]}},"suppress-author":true}],"schema":"https://github.com/citation-style-language/schema/raw/master/csl-citation.json"} </w:instrText>
      </w:r>
      <w:r>
        <w:fldChar w:fldCharType="separate"/>
      </w:r>
      <w:r w:rsidR="00EB7246" w:rsidRPr="00EB7246">
        <w:rPr>
          <w:rFonts w:cs="Times New Roman"/>
          <w:kern w:val="0"/>
          <w:vertAlign w:val="superscript"/>
        </w:rPr>
        <w:t>[5]</w:t>
      </w:r>
      <w:r>
        <w:fldChar w:fldCharType="end"/>
      </w:r>
      <w:r>
        <w:rPr>
          <w:rFonts w:hint="eastAsia"/>
        </w:rPr>
        <w:t>提出的关键管理要素为基础，应用结构方程模型方法，分析这些因素之间的交互作用，以及如何通过影响利益相关方满意度、社区参与或支持型</w:t>
      </w:r>
      <w:r w:rsidRPr="009B3BEF">
        <w:rPr>
          <w:rFonts w:hint="eastAsia"/>
        </w:rPr>
        <w:t>领导</w:t>
      </w:r>
      <w:r>
        <w:rPr>
          <w:rFonts w:hint="eastAsia"/>
        </w:rPr>
        <w:t>等中间因素，最终作用于项目绩效</w:t>
      </w:r>
      <w:r>
        <w:fldChar w:fldCharType="begin"/>
      </w:r>
      <w:r w:rsidR="00EB7246">
        <w:instrText xml:space="preserve"> ADDIN ZOTERO_ITEM CSL_CITATION {"citationID":"a1kff2onkl2","properties":{"formattedCitation":"\\super [29\\uc0\\u8211{}31]\\nosupersub{}","plainCitation":"[29–31]","noteIndex":0},"citationItems":[{"id":3018,"uris":["http://zotero.org/users/13172592/items/LVZ3QQ6J"],"itemData":{"id":3018,"type":"article-journal","abstract":"Renewable energy projects (REPs) are critical to providing a clean and sustainable environmental perspective alongside the economic prosperity of any country. Unfortunately, recent trends in renewable energy projects (REPs) are not positive enough regarding their successful completion within the budgeted cost, planned time, proposed quality, and other necessary constraints. Although the pertinent literature has discussed the critical success factors (CSFs) for such projects, their influencing mechanism with respect to the role of key stakeholders is still overlooked. This study recognizes several critical success factors (CSFs) and their influencing mechanisms onto renewable energy projects (REPs) in order to evaluate direct influences onto project success as well as indirect influences through stakeholders’ satisfaction (SS) as mediation on the project success of small and medium-sized renewable energy projects (REPs) in Pakistan’s energy sector. A sample of about 272 respondents working with renewable energy projects (REPs), including key stakeholders, has been collected to perform data analysis and draw inferences. A structural equation modeling (SEM) approach was used for data analysis and inference drawing. The results show that though there is a positive and direct association between critical success factors (CSFs) and project success, a partial mediating role of stakeholders’ satisfaction (SS) between CSFs and project success was still determined. Hence, it was found that CSFs significantly contribute to renewable energy projects (REPs) through mediating influences of stakeholders’ satisfaction (SS). The findings confirmed that stakeholders’ satisfaction (SS) is a key determinant for critical success factors (CSFs) in renewable energy projects (REPs). Moreover, stakeholders’ satisfaction (SS) emerged to be a crucial element for the completion of such projects. The empirical findings of this study might have a useful effect on academicians and the practitioners engaged with renewable energy projects (REPs).","container-title":"Energy, Sustainability and Society","DOI":"10.1186/s13705-020-00259-0","ISSN":"2192-0567","issue":"1","journalAbbreviation":"Energ Sustain Soc","language":"en","license":"2020 The Author(s)","note":"number: 1\npublisher: BioMed Central","page":"1-15","source":"energsustainsoc.biomedcentral.com","title":"Stakeholders’ satisfaction as a key determinant of critical success factors in renewable energy projects","volume":"10","author":[{"family":"Maqbool","given":"Rashid"},{"family":"Deng","given":"Xiaomei"},{"family":"Rashid","given":"Yahya"}],"issued":{"date-parts":[["2020",12]]}}},{"id":3038,"uris":["http://zotero.org/users/13172592/items/TIGLYLVN"],"itemData":{"id":3038,"type":"article-journal","abstract":"This study investigates the relationship between critical success factors (CSFs), organizational support, and renewable energy project success. The critical success factors with multiple dimensions (communication, team, technical, and environmental) were used in this paper. This study adopts the questionnaire survey approach, and collects data from the construction based renewable energy projects located in Punjab Province, Pakistan, which comprised 342 valid samples. Partial least-squares structural equation modelling (PLS-SEM) was used to analyze the theoretical framework. The results conﬁrmed that three critical success factors i.e. team factors (TF), technical factors (Tech. F), and environmental factors (EF), have a positive and signiﬁcant direct relationship with project success. However, communication factors (CF) have a direct but insigniﬁcant relationship with project success. Moreover, results also conﬁrmed the positive mediating role of organizational support between critical success factors and project success. The empirical outcomes of this study show that these four critical success factors increase the success of renewable energy projects. The outcomes also show that organizational support as a mediating variable plays a dynamic role in enhancing the tangible success of renewable energy projects. This study contributes through empirical ﬁndings in the existing knowledge base for renewable energy projects.","call-number":"1","container-title":"Energy","DOI":"10.1016/j.energy.2021.122765","ISSN":"03605442","journalAbbreviation":"Energy","language":"en","page":"122765","source":"9","title":"Exploring the role of organizational support, and critical success factors on renewable energy projects of Pakistan","volume":"243","author":[{"family":"Rasool","given":"Samma Faiz"},{"family":"Chin","given":"Tachia"},{"family":"Wang","given":"Mansi"},{"family":"Asghar","given":"Ali"},{"family":"Khan","given":"Anwar"},{"family":"Zhou","given":"Li"}],"issued":{"date-parts":[["2022",3]]}}},{"id":3040,"uris":["http://zotero.org/users/13172592/items/AKUJJ752"],"itemData":{"id":3040,"type":"article-journal","abstract":"This study aims to investigate the relationship between critical success factors and sustainable project success of renewable energy projects of Pakistan. In this study, supportive leadership intervenes between critical success factors and sustainable project success. The study adopts a quantitative research approach using survey data from the project managers, project team leaders, and project staff of renewable energy projects. A questionnaire survey approach is used to collect data. For data analysis, we used the partial least square structural equation modeling through SmartPLS 3.2.2. The outcomes indicate that in the direct relationship, organizational, communication, and technical factors positively and significantly affect the sustainable project success, while team factors show insignificant relationships with sustainable project success. Moreover, organizational, team, and communication factors positively and significantly affect supportive leadership, while technical factors have established an insignificant relationship with supportive leadership. Besides, supportive leadership also positively and significantly impacts sustainable project success. The outcomes also show that supportive leadership positively and significantly mediates between organizational, team and communication factors and sustainable project success. Meanwhile, supportive leadership negatively and insignificantly mediates between technical factors and sustainable project success. The concluding remarks also discussed the practical implications, limitations, and future research directions.","call-number":"2","container-title":"Energy Policy","DOI":"10.1016/j.enpol.2022.112793","ISSN":"03014215","journalAbbreviation":"Energy Policy","language":"en","page":"112793","source":"9.3","title":"Impact of critical success factors and supportive leadership on sustainable success of renewable energy projects: Empirical evidence from Pakistan","title-short":"Impact of critical success factors and supportive leadership on sustainable success of renewable energy projects","volume":"162","author":[{"family":"Zaman","given":"Shah"},{"family":"Wang","given":"Zilong"},{"family":"Rasool","given":"Samma Faiz"},{"family":"Zaman","given":"Qamar Uz"},{"family":"Raza","given":"Hamid"}],"issued":{"date-parts":[["2022",3]]}}}],"schema":"https://github.com/citation-style-language/schema/raw/master/csl-citation.json"} </w:instrText>
      </w:r>
      <w:r>
        <w:fldChar w:fldCharType="separate"/>
      </w:r>
      <w:r w:rsidR="00EB7246" w:rsidRPr="00EB7246">
        <w:rPr>
          <w:rFonts w:cs="Times New Roman"/>
          <w:kern w:val="0"/>
          <w:vertAlign w:val="superscript"/>
        </w:rPr>
        <w:t>[29–31]</w:t>
      </w:r>
      <w:r>
        <w:fldChar w:fldCharType="end"/>
      </w:r>
      <w:r>
        <w:rPr>
          <w:rFonts w:hint="eastAsia"/>
        </w:rPr>
        <w:t>。</w:t>
      </w:r>
    </w:p>
    <w:p w14:paraId="56F66AA9" w14:textId="14F17CEC" w:rsidR="0084715F" w:rsidRPr="0084715F" w:rsidRDefault="0084715F" w:rsidP="0084715F">
      <w:pPr>
        <w:ind w:firstLine="420"/>
      </w:pPr>
      <w:r>
        <w:rPr>
          <w:rFonts w:hint="eastAsia"/>
        </w:rPr>
        <w:t>这些研究旨在验证管理要素对项目开发的积极作用，</w:t>
      </w:r>
      <w:r>
        <w:t>对中介因素的考量较为单一，未能</w:t>
      </w:r>
      <w:r>
        <w:rPr>
          <w:rFonts w:hint="eastAsia"/>
        </w:rPr>
        <w:t>系统</w:t>
      </w:r>
      <w:r>
        <w:t>揭示管理要素的作用机制</w:t>
      </w:r>
      <w:r>
        <w:rPr>
          <w:rFonts w:hint="eastAsia"/>
        </w:rPr>
        <w:t>；也尚未从项目群管理视角，综合考虑清洁能源基地多相关方管理、多项目协调、多开发环节统筹的特点，理论研究体系仍需进一步优化。</w:t>
      </w:r>
    </w:p>
    <w:p w14:paraId="2954E532" w14:textId="77777777" w:rsidR="00BC1DF7" w:rsidRDefault="00BC1DF7" w:rsidP="00BC1DF7">
      <w:pPr>
        <w:pStyle w:val="1"/>
      </w:pPr>
      <w:r>
        <w:rPr>
          <w:rFonts w:hint="eastAsia"/>
        </w:rPr>
        <w:t>模型构建</w:t>
      </w:r>
    </w:p>
    <w:p w14:paraId="081C146A" w14:textId="187DB48B" w:rsidR="000132E7" w:rsidRPr="000132E7" w:rsidRDefault="00873BC4" w:rsidP="00873BC4">
      <w:pPr>
        <w:pStyle w:val="2"/>
      </w:pPr>
      <w:r w:rsidRPr="00873BC4">
        <w:rPr>
          <w:rFonts w:hint="eastAsia"/>
        </w:rPr>
        <w:t>清洁能源基地一体化管理输入因素</w:t>
      </w:r>
    </w:p>
    <w:p w14:paraId="38E97200" w14:textId="7BD5B78B" w:rsidR="00BC1DF7" w:rsidRDefault="0084715F" w:rsidP="00873BC4">
      <w:pPr>
        <w:pStyle w:val="3"/>
      </w:pPr>
      <w:r>
        <w:rPr>
          <w:rFonts w:hint="eastAsia"/>
        </w:rPr>
        <w:t>外部条件</w:t>
      </w:r>
    </w:p>
    <w:p w14:paraId="5C0417AD" w14:textId="42119506" w:rsidR="000132E7" w:rsidRDefault="000132E7" w:rsidP="000132E7">
      <w:pPr>
        <w:ind w:firstLine="420"/>
      </w:pPr>
      <w:r>
        <w:rPr>
          <w:rFonts w:hint="eastAsia"/>
        </w:rPr>
        <w:t>清洁能源基地开发的外部条件对项目建设与运营</w:t>
      </w:r>
      <w:r w:rsidRPr="00C323B6">
        <w:rPr>
          <w:rFonts w:hint="eastAsia"/>
        </w:rPr>
        <w:t>起到了关键的支撑作用</w:t>
      </w:r>
      <w:r>
        <w:rPr>
          <w:rFonts w:hint="eastAsia"/>
        </w:rPr>
        <w:t>，可分为自然条件、征地移民条件、配套基础设施、政策与市场四方面。</w:t>
      </w:r>
    </w:p>
    <w:p w14:paraId="240D26B5" w14:textId="4326A5D7" w:rsidR="000132E7" w:rsidRDefault="000132E7" w:rsidP="000132E7">
      <w:pPr>
        <w:ind w:firstLine="420"/>
      </w:pPr>
      <w:r>
        <w:rPr>
          <w:rFonts w:hint="eastAsia"/>
        </w:rPr>
        <w:t>自然条件方面，清洁能源基地大多位于我国西部地区，所处地区的清洁能源禀赋、互补性是衡量项目技术、经济可行性的关键因素</w:t>
      </w:r>
      <w:r>
        <w:fldChar w:fldCharType="begin"/>
      </w:r>
      <w:r w:rsidR="00EB7246">
        <w:instrText xml:space="preserve"> ADDIN ZOTERO_ITEM CSL_CITATION {"citationID":"a2fos21vp2o","properties":{"formattedCitation":"\\super [32,33]\\nosupersub{}","plainCitation":"[32,33]","noteIndex":0},"citationItems":[{"id":739,"uris":["http://zotero.org/users/13172592/items/M3QTEVZQ"],"itemData":{"id":739,"type":"article-journal","abstract":"In the context of global carbon reduction, many countries have established carbon–neutral commitments. With abundant wind–solar–hydro–geothermal resources, the development of renewable energy in the Qinghai–Tibet Plateau can meet the demand for carbon neutrality. Accordingly, this study aims to carry out an innovative and systematic assessment of renewable energy, considering the new pattern of multiple renewable energies (wind, solar, hydro, and geothermal energy) centralized co-development. A propagable analysis is conducted, based on two hypotheses, namely, considering resource conditions and taking plateau-specific practical constraints and energy storage into account. Resource concentration and synergy are further analyzed by a novel indicator and multiple scenarios are initiated to reduce the subjectivity, while various distance thresholds for substations with varying voltage levels are innovatively defined to optimize the assessment accuracy. Taking the Lhasa River Basin as the study area, results show that areas with suitable resources for two, three, and four types of renewable energy centralized co-development account for 41.3%, 32.7%, and 5.8% of the total area, respectively. After constraints considered, eligible areas for wind, photovoltaic, geothermal, and hydro power decline sharply to 6.0%, 22.3%, 13.5%, and 13.1% of the entire basin, with potentials of 4.91, 12.68, 10.77, and 0.97 GW. Under the highly suitable scenario, the proportions plummet to 0.2%, 1.6%, 0.6%, and 0.4%, with potentials of 0.12, 0.99, 0.29, and 0.02 GW, reflecting a high sensitivity to plateau-specific practical constraints. Wind power potential is the most sensitive to construction difficulty and investment reward among these resources, whereas hydropower potential has the strongest response to ecological protection. Results also show that more than a quarter of the renewable energy centrally developable areas have energy synergies, indicating the applicability of renewable energy centralized co-development.","call-number":"1","container-title":"Energy Conversion and Management","DOI":"10.1016/j.enconman.2022.115879","ISSN":"01968904","journalAbbreviation":"Energy Conversion and Management","language":"en","note":"rate: 5","page":"115879","source":"10.4","title":"Systematic potential analysis on renewable energy centralized co-development at high altitude: A case study in Qinghai-Tibet plateau","title-short":"Systematic potential analysis on renewable energy centralized co-development at high altitude","volume":"267","author":[{"family":"Qiu","given":"Lihua"},{"family":"He","given":"Li"},{"family":"Lu","given":"Hongwei"},{"family":"Liang","given":"Dongzhe"}],"issued":{"date-parts":[["2022",9]]}}},{"id":745,"uris":["http://zotero.org/users/13172592/items/JSFYLTMN"],"itemData":{"id":745,"type":"article-journal","abstract":"Multi-criteria decision making (MCDM) methods are becoming increasingly popular in solving energy selection problems because these problems involve multiple and often conﬂicting criteria. This paper presents comparative analysis of ranking renewable energy sources (RES) for electricity generation in Taiwan using four MCDM methods - WSM, VIKOR, TOPSIS, and ELECTRE. The Shannon entropy weight method is used to assess the importance of each criterion for the ranking of RES. After that, four MCDM methods are utilized for quantitative evaluation to rank all available RE alternatives. From the weights estimation results, eﬃciency is the ﬁrst priority in all evaluation criteria, followed by job creation, operation, and maintenance cost. The purpose of this study is to rank the priorities of various RES and propose recommendations for Taiwan's RE development. The ranking results show that hydro is the best alternative in Taiwan, followed by solar, wind, biomass and geothermal. Furthermore, sensitivity analysis of the weights was conducted considering the ranking results heavily depend on the criteria weight. The results of sensitivity analysis indicated that when ﬁnancial or technical aspects are focused upon, hydropower is the best RES because its technology is the most mature and the cost is the lowest in Taiwan. In addition, from an environmental perspective, wind energy is the best choice, and from the social perspective, solar PV is the best choice. The ﬁndings of this study can provide useful information to energy decision makers and serve as a reference for Taiwan's energy policy.","container-title":"Renewable and Sustainable Energy Reviews","DOI":"10.1016/j.rser.2018.05.007","ISSN":"13640321","journalAbbreviation":"Renewable and Sustainable Energy Reviews","language":"en","note":"rate: 3\nTLDR: Hydropower is the best RES in Taiwan because its technology is the most mature and the cost is the lowest in Taiwan, according to the results of comparative analysis of ranking renewable energy sources for electricity generation using four MCDM methods.","page":"883-896","source":"DOI.org (Crossref)","title":"Comparative analysis of MCDM methods for ranking renewable energy sources in Taiwan","volume":"92","author":[{"family":"Lee","given":"Hsing-Chen"},{"family":"Chang","given":"Ching-Ter"}],"issued":{"date-parts":[["2018",9]]}}}],"schema":"https://github.com/citation-style-language/schema/raw/master/csl-citation.json"} </w:instrText>
      </w:r>
      <w:r>
        <w:fldChar w:fldCharType="separate"/>
      </w:r>
      <w:r w:rsidR="00EB7246" w:rsidRPr="00EB7246">
        <w:rPr>
          <w:rFonts w:cs="Times New Roman"/>
          <w:kern w:val="0"/>
          <w:vertAlign w:val="superscript"/>
        </w:rPr>
        <w:t>[32</w:t>
      </w:r>
      <w:r w:rsidR="00BA516A">
        <w:rPr>
          <w:rFonts w:cs="Times New Roman"/>
          <w:kern w:val="0"/>
          <w:vertAlign w:val="superscript"/>
        </w:rPr>
        <w:t>-</w:t>
      </w:r>
      <w:r w:rsidR="00EB7246" w:rsidRPr="00EB7246">
        <w:rPr>
          <w:rFonts w:cs="Times New Roman"/>
          <w:kern w:val="0"/>
          <w:vertAlign w:val="superscript"/>
        </w:rPr>
        <w:t>33]</w:t>
      </w:r>
      <w:r>
        <w:fldChar w:fldCharType="end"/>
      </w:r>
      <w:r>
        <w:rPr>
          <w:rFonts w:hint="eastAsia"/>
        </w:rPr>
        <w:t>。地形、</w:t>
      </w:r>
      <w:r w:rsidRPr="00C323B6">
        <w:rPr>
          <w:rFonts w:hint="eastAsia"/>
        </w:rPr>
        <w:t>地质、水文和气候条件</w:t>
      </w:r>
      <w:r>
        <w:rPr>
          <w:rFonts w:hint="eastAsia"/>
        </w:rPr>
        <w:t>直接影响设计、</w:t>
      </w:r>
      <w:r w:rsidRPr="00C323B6">
        <w:rPr>
          <w:rFonts w:hint="eastAsia"/>
        </w:rPr>
        <w:t>施工</w:t>
      </w:r>
      <w:r>
        <w:rPr>
          <w:rFonts w:hint="eastAsia"/>
        </w:rPr>
        <w:t>的</w:t>
      </w:r>
      <w:r w:rsidRPr="00C323B6">
        <w:rPr>
          <w:rFonts w:hint="eastAsia"/>
        </w:rPr>
        <w:t>复杂度</w:t>
      </w:r>
      <w:r>
        <w:fldChar w:fldCharType="begin"/>
      </w:r>
      <w:r w:rsidR="00EB7246">
        <w:instrText xml:space="preserve"> ADDIN ZOTERO_ITEM CSL_CITATION {"citationID":"a16dvdqckop","properties":{"formattedCitation":"\\super [34]\\nosupersub{}","plainCitation":"[34]","noteIndex":0},"citationItems":[{"id":684,"uris":["http://zotero.org/users/13172592/items/ZYN4KCDV"],"itemData":{"id":684,"type":"article-journal","abstract":"The intermittent characteristic of a solar-alone or a wind-alone power generation system prevents the standalone renewable energy system from being fully reliable without suitable energy storage capability. In this study, the most traditional and mature storage technology, pumped hydro storage (PHS), is introduced to support the standalone microgrid hybrid solar-wind system. This paper explores a new solution for the challenging task about energy storage. A mathematical model of the hybrid system is developed and the operating principle is introduced. The proposed system is applied in a case study to power a remote island in Hong Kong, and its technical feasibility is then examined. The hour-by-hour simulation results indicate that the intermittent nature of the renewables can be compensated by introducing the PHS technology. Therefore, a reliable and environmentally friendly power supply can be provided. The results demonstrate that technically the PHS based renewable energy system is an ideal solution to achieve 100% energy autonomy in remote communities.","call-number":"1","container-title":"Renewable Energy","DOI":"10.1016/j.renene.2014.03.028","ISSN":"09601481","journalAbbreviation":"Renewable Energy","language":"en","page":"7-15","source":"8.7","title":"Technical feasibility study on a standalone hybrid solar-wind system with pumped hydro storage for a remote island in Hong Kong","volume":"69","author":[{"family":"Ma","given":"Tao"},{"family":"Yang","given":"Hongxing"},{"family":"Lu","given":"Lin"},{"family":"Peng","given":"Jinqing"}],"issued":{"date-parts":[["2014",9]]}}}],"schema":"https://github.com/citation-style-language/schema/raw/master/csl-citation.json"} </w:instrText>
      </w:r>
      <w:r>
        <w:fldChar w:fldCharType="separate"/>
      </w:r>
      <w:r w:rsidR="00EB7246" w:rsidRPr="00EB7246">
        <w:rPr>
          <w:rFonts w:cs="Times New Roman"/>
          <w:kern w:val="0"/>
          <w:vertAlign w:val="superscript"/>
        </w:rPr>
        <w:t>[34]</w:t>
      </w:r>
      <w:r>
        <w:fldChar w:fldCharType="end"/>
      </w:r>
      <w:r>
        <w:rPr>
          <w:rFonts w:hint="eastAsia"/>
        </w:rPr>
        <w:t>。清洁能源基地对自然环境的影响也是项目审批的重点论证环节，需关注基地开发对动物栖息地、保护区、迁徙路线等方面的影响</w:t>
      </w:r>
      <w:r>
        <w:fldChar w:fldCharType="begin"/>
      </w:r>
      <w:r w:rsidR="00EB7246">
        <w:instrText xml:space="preserve"> ADDIN ZOTERO_ITEM CSL_CITATION {"citationID":"a1f3kjprt7u","properties":{"formattedCitation":"\\super [35]\\nosupersub{}","plainCitation":"[35]","noteIndex":0},"citationItems":[{"id":3101,"uris":["http://zotero.org/users/13172592/items/EXH2UIRP"],"itemData":{"id":3101,"type":"article-journal","abstract":"Although the development and the implementation of Renewable Energy (RE) solutions are crucial for the transformation of countries towards sustainability, Project Management (PM) may help companies to introduce these solutions, although no study analyzes and synthetizes previous research on the interplay between PM and RE. The article aims to ﬁll this gap by presenting an analysis of publications that address the analyzed issue and are indexed in the Scopus database. The article utilizes bibliometric analysis, network analyses, and in-depth qualitative studies published before 2023. The ﬁrst method examines research productivity in the context of authors, institutions, and designations. The second method examines the authors’ and keywords’ networks. The third is more comprehensive and focuses on contributions to both project management and the technological domain provided by articles, which constitute H (Hirsch)-Core in this research ﬁeld. Based on the bibliometric analysis, it can be concluded that the scientiﬁc structure of the “project management–renewable energy” (PM-RE) ﬁeld consists of 335 documents, which were published, in total, by 672 authors and in 135 journals. There are four keyword clusters, with blurred boundaries between them. In the PM area, organizational issues, focusing on project effectiveness, cooperation with stakeholders, and project evaluation methods were discussed. In the RE area, the main focus was on wind energy, technological issues, and the implementation of technologies in the end-toend communication architecture for smart grids, photovoltaic systems, biomass projects, or the exploitation of geothermal resources. The article directly indicates the areas that should be addressed in future research. This study is the ﬁrst literature review that explores the PM–RE research ﬁeld. It provides knowledge that can be the subject of improving technologies and project management issues in the energy industry.","call-number":"4","container-title":"Energies","DOI":"10.3390/en16124609","ISSN":"1996-1073","issue":"12","journalAbbreviation":"Energies","language":"en","license":"https://creativecommons.org/licenses/by/4.0/","page":"4609","source":"3","title":"The linkage between renewable energy and project management: What do we already know, and what are the future directions of research?","title-short":"The linkage between renewable energy and project management","volume":"16","author":[{"family":"Piwowar-Sulej","given":"Katarzyna"},{"family":"Sołtysik","given":"Mariusz"},{"family":"Jarosz","given":"Szymon"},{"family":"Pukała","given":"Ryszard"}],"issued":{"date-parts":[["2023",6,9]]}}}],"schema":"https://github.com/citation-style-language/schema/raw/master/csl-citation.json"} </w:instrText>
      </w:r>
      <w:r>
        <w:fldChar w:fldCharType="separate"/>
      </w:r>
      <w:r w:rsidR="00EB7246" w:rsidRPr="00EB7246">
        <w:rPr>
          <w:rFonts w:cs="Times New Roman"/>
          <w:kern w:val="0"/>
          <w:vertAlign w:val="superscript"/>
        </w:rPr>
        <w:t>[35]</w:t>
      </w:r>
      <w:r>
        <w:fldChar w:fldCharType="end"/>
      </w:r>
      <w:r>
        <w:rPr>
          <w:rFonts w:hint="eastAsia"/>
        </w:rPr>
        <w:t>。</w:t>
      </w:r>
    </w:p>
    <w:p w14:paraId="2792C5F2" w14:textId="5DF43641" w:rsidR="000132E7" w:rsidRDefault="000132E7" w:rsidP="000132E7">
      <w:pPr>
        <w:ind w:firstLine="420"/>
      </w:pPr>
      <w:r>
        <w:t>征地与移民安置直接关系到项目的顺利实施</w:t>
      </w:r>
      <w:r>
        <w:rPr>
          <w:rFonts w:hint="eastAsia"/>
        </w:rPr>
        <w:t>以及当地</w:t>
      </w:r>
      <w:r>
        <w:t>社会</w:t>
      </w:r>
      <w:r>
        <w:rPr>
          <w:rFonts w:hint="eastAsia"/>
        </w:rPr>
        <w:t>环境</w:t>
      </w:r>
      <w:r>
        <w:t>的稳定</w:t>
      </w:r>
      <w:r>
        <w:fldChar w:fldCharType="begin"/>
      </w:r>
      <w:r w:rsidR="00EB7246">
        <w:instrText xml:space="preserve"> ADDIN ZOTERO_ITEM CSL_CITATION {"citationID":"a2ibcbakap2","properties":{"formattedCitation":"\\super [36]\\nosupersub{}","plainCitation":"[36]","noteIndex":0},"citationItems":[{"id":3781,"uris":["http://zotero.org/users/13172592/items/FCEXP5AE"],"itemData":{"id":3781,"type":"article-journal","abstract":"This article examines the role of multilateral social and environmental safeguards in land acquisition for renewable energy (RE) development in Southeast Asia. We assessed the development of two large-scale wind projects in Indonesia and the Philippines through a qualitative comparative case study analysis. We find that the influence of safeguards is the product of two factors: the timing of multilateral funds in project development and the relative ease through which developers can acquire land through non-safeguard-compliant pathways. Our findings highlight the continued importance of land use policy and planning in mediating the social and environmental impacts of RE infrastructure.","call-number":"3","container-title":"Journal of Planning Education and Research","DOI":"10.1177/0739456X221147859","ISSN":"0739-456X","issue":"4","language":"en","note":"publisher: SAGE Publications Inc","page":"2056-2067","source":"2.8","title":"Land acquisition governance and its implications for renewable energy development in Indonesia and the Philippines","volume":"44","author":[{"family":"Kennedy","given":"Sean F."},{"family":"Qayyum","given":"Faizaan"}],"issued":{"date-parts":[["2024",12,1]]}}}],"schema":"https://github.com/citation-style-language/schema/raw/master/csl-citation.json"} </w:instrText>
      </w:r>
      <w:r>
        <w:fldChar w:fldCharType="separate"/>
      </w:r>
      <w:r w:rsidR="00EB7246" w:rsidRPr="00EB7246">
        <w:rPr>
          <w:rFonts w:cs="Times New Roman"/>
          <w:kern w:val="0"/>
          <w:vertAlign w:val="superscript"/>
        </w:rPr>
        <w:t>[36]</w:t>
      </w:r>
      <w:r>
        <w:fldChar w:fldCharType="end"/>
      </w:r>
      <w:r w:rsidRPr="00ED3D47">
        <w:rPr>
          <w:rFonts w:hint="eastAsia"/>
        </w:rPr>
        <w:t>。</w:t>
      </w:r>
      <w:r>
        <w:rPr>
          <w:rFonts w:hint="eastAsia"/>
        </w:rPr>
        <w:t>一方面，</w:t>
      </w:r>
      <w:r w:rsidRPr="00ED3D47">
        <w:rPr>
          <w:rFonts w:hint="eastAsia"/>
        </w:rPr>
        <w:t>需合理规划土地征收</w:t>
      </w:r>
      <w:r>
        <w:rPr>
          <w:rFonts w:hint="eastAsia"/>
        </w:rPr>
        <w:t>，</w:t>
      </w:r>
      <w:r>
        <w:t>并系统评估其对社会经济及生态环境的影响</w:t>
      </w:r>
      <w:r>
        <w:fldChar w:fldCharType="begin"/>
      </w:r>
      <w:r w:rsidR="00EB7246">
        <w:instrText xml:space="preserve"> ADDIN ZOTERO_ITEM CSL_CITATION {"citationID":"a1an2538vg0","properties":{"formattedCitation":"\\super [37]\\nosupersub{}","plainCitation":"[37]","noteIndex":0},"citationItems":[{"id":3779,"uris":["http://zotero.org/users/13172592/items/R3CZC9BE"],"itemData":{"id":3779,"type":"article-journal","abstract":"In Kenya, as well as in other parts of the global South, the drive to expand electricity production through large-scale renewable energy projects such as wind, solar and geothermal have been widely documented, along with land-related contestations emerging from within the affected communities. However, cases where local people consent to cede land to land investors have not yet received sufficient scholarly attention. Focusing on the Kipeto wind energy project in Kenya, this paper presents a counterpoint to the theoretical postulate of ‘accumulation by dispossession’ – to show how accumulation was possible without community dispossession of land. Grounded in empirical research, the paper argues, first, that land acquisition for wind energy development does not necessarily lead to dispossession if affected populations are compensated fairly, for example with better housing, jobs, money, and importantly are allowed to continue accessing land to sustain livelihoods. Second, the achievability of Kipeto wind energy project is largely due to the company's strategic approach to land consultation and negotiation with communities, which leads to wider social acceptance of the wind energy project. Nevertheless, some landowners have expressed their dissatisfaction concerning the financial compensation mechanisms. Thus, there is need for a longitudinal study to ascertain the extent to which the project developer and landowners keep to their promises as well as to understand the long-term impacts of land deals.","call-number":"2","container-title":"Energy Research &amp; Social Science","DOI":"10.1016/j.erss.2024.103530","ISSN":"2214-6296","journalAbbreviation":"Energy Research &amp; Social Science","page":"103530","source":"6.9","title":"Land acquisition, renewable energy development, and livelihood transformation in rural Kenya: The case of the Kipeto wind energy project","title-short":"Land acquisition, renewable energy development, and livelihood transformation in rural Kenya","volume":"112","author":[{"family":"Ndi","given":"Frankline A."}],"issued":{"date-parts":[["2024",6,1]]}}}],"schema":"https://github.com/citation-style-language/schema/raw/master/csl-citation.json"} </w:instrText>
      </w:r>
      <w:r>
        <w:fldChar w:fldCharType="separate"/>
      </w:r>
      <w:r w:rsidR="00EB7246" w:rsidRPr="00EB7246">
        <w:rPr>
          <w:rFonts w:cs="Times New Roman"/>
          <w:kern w:val="0"/>
          <w:vertAlign w:val="superscript"/>
        </w:rPr>
        <w:t>[37]</w:t>
      </w:r>
      <w:r>
        <w:fldChar w:fldCharType="end"/>
      </w:r>
      <w:r w:rsidRPr="00ED3D47">
        <w:rPr>
          <w:rFonts w:hint="eastAsia"/>
        </w:rPr>
        <w:t>。</w:t>
      </w:r>
      <w:r>
        <w:rPr>
          <w:rFonts w:hint="eastAsia"/>
        </w:rPr>
        <w:t>另一方面，应</w:t>
      </w:r>
      <w:r w:rsidRPr="00ED3D47">
        <w:rPr>
          <w:rFonts w:hint="eastAsia"/>
        </w:rPr>
        <w:t>制定公平合理的移民安置</w:t>
      </w:r>
      <w:r w:rsidRPr="00ED3D47">
        <w:rPr>
          <w:rFonts w:hint="eastAsia"/>
        </w:rPr>
        <w:lastRenderedPageBreak/>
        <w:t>计划与补偿标准，</w:t>
      </w:r>
      <w:r>
        <w:rPr>
          <w:rFonts w:hint="eastAsia"/>
        </w:rPr>
        <w:t>以获得</w:t>
      </w:r>
      <w:r w:rsidRPr="00ED3D47">
        <w:rPr>
          <w:rFonts w:hint="eastAsia"/>
        </w:rPr>
        <w:t>地方政府和居民的信任与支持</w:t>
      </w:r>
      <w:r>
        <w:fldChar w:fldCharType="begin"/>
      </w:r>
      <w:r w:rsidR="00EB7246">
        <w:instrText xml:space="preserve"> ADDIN ZOTERO_ITEM CSL_CITATION {"citationID":"a1m853u8eco","properties":{"formattedCitation":"\\super [38]\\nosupersub{}","plainCitation":"[38]","noteIndex":0},"citationItems":[{"id":3050,"uris":["http://zotero.org/users/13172592/items/GRM9JMJ9"],"itemData":{"id":3050,"type":"article-journal","abstract":"With increasing worldwide energy demand, many energy-related issues are growing, including global warming, energy sustainability, and environmental pollution. These challenges force nations to actively endorse renewable energy development policies. As a result, numerous renewable energy projects are executed around the globe, which are confronting various hurdles, causing failure for many of the current projects. This study, therefore, aims to suggest that community participation in planning and decisionmaking is an imperative mediator through which government support (GS) and organizational innovativeness (OI) can positively affect renewable project success. Data was collected through a survey from 650 respondents of the renewable energy projects in Pakistan, and hypotheses were proved by employing structural equation modeling (SEM). The ﬁndings show that GS and OI have a signiﬁcant positive impact on the CP and project success. Moreover, CP was realized to partially mediates these relationships. It is expected that the ﬁndings present guidelines for the government authorities so that they endeavor and make better policies for involving the community as a mediator in project planning and decision making for renewable energy projects.","call-number":"1","container-title":"Energy","DOI":"10.1016/j.energy.2021.122172","ISSN":"03605442","journalAbbreviation":"Energy","language":"en","page":"122172","source":"9","title":"The influence of government support, organizational innovativeness and community participation in renewable energy project success: A case of Pakistan","title-short":"The influence of government support, organizational innovativeness and community participation in renewable energy project success","volume":"239","author":[{"family":"Hussain","given":"Shahid"},{"family":"Xuetong","given":"Wang"},{"family":"Maqbool","given":"Rashid"},{"family":"Hussain","given":"Mustansar"},{"family":"Shahnawaz","given":"Muhammad"}],"issued":{"date-parts":[["2022",1]]}}}],"schema":"https://github.com/citation-style-language/schema/raw/master/csl-citation.json"} </w:instrText>
      </w:r>
      <w:r>
        <w:fldChar w:fldCharType="separate"/>
      </w:r>
      <w:r w:rsidR="00EB7246" w:rsidRPr="00EB7246">
        <w:rPr>
          <w:rFonts w:cs="Times New Roman"/>
          <w:kern w:val="0"/>
          <w:vertAlign w:val="superscript"/>
        </w:rPr>
        <w:t>[38]</w:t>
      </w:r>
      <w:r>
        <w:fldChar w:fldCharType="end"/>
      </w:r>
      <w:r w:rsidRPr="00ED3D47">
        <w:rPr>
          <w:rFonts w:hint="eastAsia"/>
        </w:rPr>
        <w:t>。</w:t>
      </w:r>
    </w:p>
    <w:p w14:paraId="44C0A6BC" w14:textId="58552414" w:rsidR="000132E7" w:rsidRDefault="000132E7" w:rsidP="000132E7">
      <w:pPr>
        <w:ind w:firstLine="420"/>
      </w:pPr>
      <w:r w:rsidRPr="008351F6">
        <w:rPr>
          <w:rFonts w:hint="eastAsia"/>
        </w:rPr>
        <w:t>配套基础设施</w:t>
      </w:r>
      <w:r>
        <w:rPr>
          <w:rFonts w:hint="eastAsia"/>
        </w:rPr>
        <w:t>方面，</w:t>
      </w:r>
      <w:r>
        <w:t>首先道路交通设施是物资、设备和人力及时供应的基础</w:t>
      </w:r>
      <w:r>
        <w:fldChar w:fldCharType="begin"/>
      </w:r>
      <w:r w:rsidR="00EB7246">
        <w:instrText xml:space="preserve"> ADDIN ZOTERO_ITEM CSL_CITATION {"citationID":"a1qq3f6h3va","properties":{"formattedCitation":"\\super [32]\\nosupersub{}","plainCitation":"[32]","noteIndex":0},"citationItems":[{"id":739,"uris":["http://zotero.org/users/13172592/items/M3QTEVZQ"],"itemData":{"id":739,"type":"article-journal","abstract":"In the context of global carbon reduction, many countries have established carbon–neutral commitments. With abundant wind–solar–hydro–geothermal resources, the development of renewable energy in the Qinghai–Tibet Plateau can meet the demand for carbon neutrality. Accordingly, this study aims to carry out an innovative and systematic assessment of renewable energy, considering the new pattern of multiple renewable energies (wind, solar, hydro, and geothermal energy) centralized co-development. A propagable analysis is conducted, based on two hypotheses, namely, considering resource conditions and taking plateau-specific practical constraints and energy storage into account. Resource concentration and synergy are further analyzed by a novel indicator and multiple scenarios are initiated to reduce the subjectivity, while various distance thresholds for substations with varying voltage levels are innovatively defined to optimize the assessment accuracy. Taking the Lhasa River Basin as the study area, results show that areas with suitable resources for two, three, and four types of renewable energy centralized co-development account for 41.3%, 32.7%, and 5.8% of the total area, respectively. After constraints considered, eligible areas for wind, photovoltaic, geothermal, and hydro power decline sharply to 6.0%, 22.3%, 13.5%, and 13.1% of the entire basin, with potentials of 4.91, 12.68, 10.77, and 0.97 GW. Under the highly suitable scenario, the proportions plummet to 0.2%, 1.6%, 0.6%, and 0.4%, with potentials of 0.12, 0.99, 0.29, and 0.02 GW, reflecting a high sensitivity to plateau-specific practical constraints. Wind power potential is the most sensitive to construction difficulty and investment reward among these resources, whereas hydropower potential has the strongest response to ecological protection. Results also show that more than a quarter of the renewable energy centrally developable areas have energy synergies, indicating the applicability of renewable energy centralized co-development.","call-number":"1","container-title":"Energy Conversion and Management","DOI":"10.1016/j.enconman.2022.115879","ISSN":"01968904","journalAbbreviation":"Energy Conversion and Management","language":"en","note":"rate: 5","page":"115879","source":"10.4","title":"Systematic potential analysis on renewable energy centralized co-development at high altitude: A case study in Qinghai-Tibet plateau","title-short":"Systematic potential analysis on renewable energy centralized co-development at high altitude","volume":"267","author":[{"family":"Qiu","given":"Lihua"},{"family":"He","given":"Li"},{"family":"Lu","given":"Hongwei"},{"family":"Liang","given":"Dongzhe"}],"issued":{"date-parts":[["2022",9]]}}}],"schema":"https://github.com/citation-style-language/schema/raw/master/csl-citation.json"} </w:instrText>
      </w:r>
      <w:r>
        <w:fldChar w:fldCharType="separate"/>
      </w:r>
      <w:r w:rsidR="00EB7246" w:rsidRPr="00EB7246">
        <w:rPr>
          <w:rFonts w:cs="Times New Roman"/>
          <w:kern w:val="0"/>
          <w:vertAlign w:val="superscript"/>
        </w:rPr>
        <w:t>[32]</w:t>
      </w:r>
      <w:r>
        <w:fldChar w:fldCharType="end"/>
      </w:r>
      <w:r>
        <w:t>。其次，多能互补的运营模式对电网基础设施提出了更高</w:t>
      </w:r>
      <w:r>
        <w:rPr>
          <w:rFonts w:hint="eastAsia"/>
        </w:rPr>
        <w:t>的</w:t>
      </w:r>
      <w:r>
        <w:t>要求</w:t>
      </w:r>
      <w:r>
        <w:fldChar w:fldCharType="begin"/>
      </w:r>
      <w:r w:rsidR="00EB7246">
        <w:instrText xml:space="preserve"> ADDIN ZOTERO_ITEM CSL_CITATION {"citationID":"aklpu13mj","properties":{"formattedCitation":"\\super [39,40]\\nosupersub{}","plainCitation":"[39,40]","noteIndex":0},"citationItems":[{"id":3230,"uris":["http://zotero.org/users/13172592/items/X7HBX32P"],"itemData":{"id":3230,"type":"article-journal","abstract":"Power transmission and transformation projects (PTTPs) under new energy grid connections are different from ordinary engineering construction projects. With large investment amounts, various supporting facilities, and high safety and quality requirements, PTTPs are vulnerable to the volatility of new energy power generation, climate, geological conditions, geopolitical environment, technological changes, and other kinds of uncertain factors. Therefore, the investment risk of PTTPs under new energy grid connection is particularly considerable in the project management. For the owner of PTTPs, adopting the engineering-procurement-construction (EPC) mode is an effective attempt to solve the project construction problems faced by the owners. Thus, this paper deeply excavates the key risk points of PTTPs in the initial investment phase under the EPC mode and constructs the novel risk evaluation index system from the perspectives of economy, management, policy, society, and environment. An assessment model is established based on triangle fuzzy number-hesitant fuzzy linguistic term sets (HFLTS-TFNs), the entropy method, and the fuzzy comprehensive evaluation method, which is used to evaluate the investment risk of PTTPs to provide reference for power grid corporations to control project risks. Finally, a case study in the Hexi Corridor region, Gansu Province, China, is illustrated to demonstrate the rationality of the decision model and find management risks are the most vital risk factors for PTTPs under EPC mode.","container-title":"Mathematical Problems in Engineering","DOI":"10.1155/2022/2258938","ISSN":"1563-5147, 1024-123X","journalAbbreviation":"Mathematical Problems in Engineering","language":"en","license":"https://creativecommons.org/licenses/by/4.0/","page":"1-12","source":"DOI.org (Crossref)","title":"Investment risk assessment of EPC power transmission and transformation projects under new energy grid connection based on the owner’s perspective","volume":"2022","author":[{"family":"Ding","given":"Yan"},{"family":"Zhang","given":"Xiaomei"},{"family":"Zhou","given":"Liqing"},{"family":"Xu","given":"Chuanbo"}],"editor":[{"family":"Dinçer","given":"Hasan"}],"issued":{"date-parts":[["2022",8,12]]}}</w:instrText>
      </w:r>
      <w:r w:rsidR="00EB7246">
        <w:rPr>
          <w:rFonts w:hint="eastAsia"/>
        </w:rPr>
        <w:instrText>},{"id":3304,"uris":["http://zotero.org/users/13172592/items/SM667CBB"],"itemData":{"id":3304,"type":"article-journal","abstract":"</w:instrText>
      </w:r>
      <w:r w:rsidR="00EB7246">
        <w:rPr>
          <w:rFonts w:hint="eastAsia"/>
        </w:rPr>
        <w:instrText>大力推动可再生能源发展是应对当前能源危机和环境问题的重要手段</w:instrText>
      </w:r>
      <w:r w:rsidR="00EB7246">
        <w:rPr>
          <w:rFonts w:hint="eastAsia"/>
        </w:rPr>
        <w:instrText>,</w:instrText>
      </w:r>
      <w:r w:rsidR="00EB7246">
        <w:rPr>
          <w:rFonts w:hint="eastAsia"/>
        </w:rPr>
        <w:instrText>全球许多国家和地区陆续提出未来向</w:instrText>
      </w:r>
      <w:r w:rsidR="00EB7246">
        <w:rPr>
          <w:rFonts w:hint="eastAsia"/>
        </w:rPr>
        <w:instrText>100%</w:instrText>
      </w:r>
      <w:r w:rsidR="00EB7246">
        <w:rPr>
          <w:rFonts w:hint="eastAsia"/>
        </w:rPr>
        <w:instrText>可再生能源电力系统</w:instrText>
      </w:r>
      <w:r w:rsidR="00EB7246">
        <w:rPr>
          <w:rFonts w:hint="eastAsia"/>
        </w:rPr>
        <w:instrText>(100%renewableenergypower systems,100%REPS)</w:instrText>
      </w:r>
      <w:r w:rsidR="00EB7246">
        <w:rPr>
          <w:rFonts w:hint="eastAsia"/>
        </w:rPr>
        <w:instrText>转型的设想</w:instrText>
      </w:r>
      <w:r w:rsidR="00EB7246">
        <w:rPr>
          <w:rFonts w:hint="eastAsia"/>
        </w:rPr>
        <w:instrText>,</w:instrText>
      </w:r>
      <w:r w:rsidR="00EB7246">
        <w:rPr>
          <w:rFonts w:hint="eastAsia"/>
        </w:rPr>
        <w:instrText>相关学术研究成果在近年来也持续大量涌现。为全面综述该领域的国内外研究现状和发展趋势</w:instrText>
      </w:r>
      <w:r w:rsidR="00EB7246">
        <w:rPr>
          <w:rFonts w:hint="eastAsia"/>
        </w:rPr>
        <w:instrText>,</w:instrText>
      </w:r>
      <w:r w:rsidR="00EB7246">
        <w:rPr>
          <w:rFonts w:hint="eastAsia"/>
        </w:rPr>
        <w:instrText>对进一步开展该领域相关研究工作提供参考和借鉴</w:instrText>
      </w:r>
      <w:r w:rsidR="00EB7246">
        <w:rPr>
          <w:rFonts w:hint="eastAsia"/>
        </w:rPr>
        <w:instrText>,</w:instrText>
      </w:r>
      <w:r w:rsidR="00EB7246">
        <w:rPr>
          <w:rFonts w:hint="eastAsia"/>
        </w:rPr>
        <w:instrText>该文阐述</w:instrText>
      </w:r>
      <w:r w:rsidR="00EB7246">
        <w:rPr>
          <w:rFonts w:hint="eastAsia"/>
        </w:rPr>
        <w:instrText>100%REPS</w:instrText>
      </w:r>
      <w:r w:rsidR="00EB7246">
        <w:rPr>
          <w:rFonts w:hint="eastAsia"/>
        </w:rPr>
        <w:instrText>的基本概念及其与碳中和电力系统、纯清洁能源电力系统的联系和区别</w:instrText>
      </w:r>
      <w:r w:rsidR="00EB7246">
        <w:rPr>
          <w:rFonts w:hint="eastAsia"/>
        </w:rPr>
        <w:instrText>,</w:instrText>
      </w:r>
      <w:r w:rsidR="00EB7246">
        <w:rPr>
          <w:rFonts w:hint="eastAsia"/>
        </w:rPr>
        <w:instrText>从技术、经济、政策</w:instrText>
      </w:r>
      <w:r w:rsidR="00EB7246">
        <w:rPr>
          <w:rFonts w:hint="eastAsia"/>
        </w:rPr>
        <w:instrText>3</w:instrText>
      </w:r>
      <w:r w:rsidR="00EB7246">
        <w:rPr>
          <w:rFonts w:hint="eastAsia"/>
        </w:rPr>
        <w:instrText>方面分析构建</w:instrText>
      </w:r>
      <w:r w:rsidR="00EB7246">
        <w:rPr>
          <w:rFonts w:hint="eastAsia"/>
        </w:rPr>
        <w:instrText>100%REPS</w:instrText>
      </w:r>
      <w:r w:rsidR="00EB7246">
        <w:rPr>
          <w:rFonts w:hint="eastAsia"/>
        </w:rPr>
        <w:instrText>将面临的主要挑战。在此基础上</w:instrText>
      </w:r>
      <w:r w:rsidR="00EB7246">
        <w:rPr>
          <w:rFonts w:hint="eastAsia"/>
        </w:rPr>
        <w:instrText>,</w:instrText>
      </w:r>
      <w:r w:rsidR="00EB7246">
        <w:rPr>
          <w:rFonts w:hint="eastAsia"/>
        </w:rPr>
        <w:instrText>从电源规划、网架规划、无功配置、稳定性分析与控制、运行调度、电能质量优化</w:instrText>
      </w:r>
      <w:r w:rsidR="00EB7246">
        <w:rPr>
          <w:rFonts w:hint="eastAsia"/>
        </w:rPr>
        <w:instrText>6</w:instrText>
      </w:r>
      <w:r w:rsidR="00EB7246">
        <w:rPr>
          <w:rFonts w:hint="eastAsia"/>
        </w:rPr>
        <w:instrText>个环节</w:instrText>
      </w:r>
      <w:r w:rsidR="00EB7246">
        <w:rPr>
          <w:rFonts w:hint="eastAsia"/>
        </w:rPr>
        <w:instrText>,</w:instrText>
      </w:r>
      <w:r w:rsidR="00EB7246">
        <w:rPr>
          <w:rFonts w:hint="eastAsia"/>
        </w:rPr>
        <w:instrText>综述当前相关研究成果</w:instrText>
      </w:r>
      <w:r w:rsidR="00EB7246">
        <w:rPr>
          <w:rFonts w:hint="eastAsia"/>
        </w:rPr>
        <w:instrText>,</w:instrText>
      </w:r>
      <w:r w:rsidR="00EB7246">
        <w:rPr>
          <w:rFonts w:hint="eastAsia"/>
        </w:rPr>
        <w:instrText>拟定应对这些挑战的潜在研究方向</w:instrText>
      </w:r>
      <w:r w:rsidR="00EB7246">
        <w:rPr>
          <w:rFonts w:hint="eastAsia"/>
        </w:rPr>
        <w:instrText>,</w:instrText>
      </w:r>
      <w:r w:rsidR="00EB7246">
        <w:rPr>
          <w:rFonts w:hint="eastAsia"/>
        </w:rPr>
        <w:instrText>分析其中需要重点关注的难点问题</w:instrText>
      </w:r>
      <w:r w:rsidR="00EB7246">
        <w:rPr>
          <w:rFonts w:hint="eastAsia"/>
        </w:rPr>
        <w:instrText>,</w:instrText>
      </w:r>
      <w:r w:rsidR="00EB7246">
        <w:rPr>
          <w:rFonts w:hint="eastAsia"/>
        </w:rPr>
        <w:instrText>进而提出一套面向</w:instrText>
      </w:r>
      <w:r w:rsidR="00EB7246">
        <w:rPr>
          <w:rFonts w:hint="eastAsia"/>
        </w:rPr>
        <w:instrText>100%REPS</w:instrText>
      </w:r>
      <w:r w:rsidR="00EB7246">
        <w:rPr>
          <w:rFonts w:hint="eastAsia"/>
        </w:rPr>
        <w:instrText>的研究框架。最后</w:instrText>
      </w:r>
      <w:r w:rsidR="00EB7246">
        <w:rPr>
          <w:rFonts w:hint="eastAsia"/>
        </w:rPr>
        <w:instrText>,</w:instrText>
      </w:r>
      <w:r w:rsidR="00EB7246">
        <w:rPr>
          <w:rFonts w:hint="eastAsia"/>
        </w:rPr>
        <w:instrText>对未来</w:instrText>
      </w:r>
      <w:r w:rsidR="00EB7246">
        <w:rPr>
          <w:rFonts w:hint="eastAsia"/>
        </w:rPr>
        <w:instrText>100%REPS</w:instrText>
      </w:r>
      <w:r w:rsidR="00EB7246">
        <w:rPr>
          <w:rFonts w:hint="eastAsia"/>
        </w:rPr>
        <w:instrText>的应用实践与探索进行总结和展望。</w:instrText>
      </w:r>
      <w:r w:rsidR="00EB7246">
        <w:rPr>
          <w:rFonts w:hint="eastAsia"/>
        </w:rPr>
        <w:instrText>","container-title":"</w:instrText>
      </w:r>
      <w:r w:rsidR="00EB7246">
        <w:rPr>
          <w:rFonts w:hint="eastAsia"/>
        </w:rPr>
        <w:instrText>中国电机工程学报</w:instrText>
      </w:r>
      <w:r w:rsidR="00EB7246">
        <w:rPr>
          <w:rFonts w:hint="eastAsia"/>
        </w:rPr>
        <w:instrText>","DOI":"10.13334/j.0258-8013.pcsee.192031","ISSN":"0258-8013","issue":"6","language":"zh-CN","page":"1843-1856","source":"CNKI","title":"</w:instrText>
      </w:r>
      <w:r w:rsidR="00EB7246">
        <w:rPr>
          <w:rFonts w:hint="eastAsia"/>
        </w:rPr>
        <w:instrText>构建</w:instrText>
      </w:r>
      <w:r w:rsidR="00EB7246">
        <w:rPr>
          <w:rFonts w:hint="eastAsia"/>
        </w:rPr>
        <w:instrText>100%</w:instrText>
      </w:r>
      <w:r w:rsidR="00EB7246">
        <w:rPr>
          <w:rFonts w:hint="eastAsia"/>
        </w:rPr>
        <w:instrText>可再生能源电力系统述评与展望</w:instrText>
      </w:r>
      <w:r w:rsidR="00EB7246">
        <w:rPr>
          <w:rFonts w:hint="eastAsia"/>
        </w:rPr>
        <w:instrText>","volume":"40","author":[{"family":"</w:instrText>
      </w:r>
      <w:r w:rsidR="00EB7246">
        <w:rPr>
          <w:rFonts w:hint="eastAsia"/>
        </w:rPr>
        <w:instrText>文</w:instrText>
      </w:r>
      <w:r w:rsidR="00EB7246">
        <w:rPr>
          <w:rFonts w:hint="eastAsia"/>
        </w:rPr>
        <w:instrText>","given":"</w:instrText>
      </w:r>
      <w:r w:rsidR="00EB7246">
        <w:rPr>
          <w:rFonts w:hint="eastAsia"/>
        </w:rPr>
        <w:instrText>云峰</w:instrText>
      </w:r>
      <w:r w:rsidR="00EB7246">
        <w:rPr>
          <w:rFonts w:hint="eastAsia"/>
        </w:rPr>
        <w:instrText>"},{"family":"</w:instrText>
      </w:r>
      <w:r w:rsidR="00EB7246">
        <w:rPr>
          <w:rFonts w:hint="eastAsia"/>
        </w:rPr>
        <w:instrText>杨</w:instrText>
      </w:r>
      <w:r w:rsidR="00EB7246">
        <w:rPr>
          <w:rFonts w:hint="eastAsia"/>
        </w:rPr>
        <w:instrText>","given":"</w:instrText>
      </w:r>
      <w:r w:rsidR="00EB7246">
        <w:rPr>
          <w:rFonts w:hint="eastAsia"/>
        </w:rPr>
        <w:instrText>伟峰</w:instrText>
      </w:r>
      <w:r w:rsidR="00EB7246">
        <w:rPr>
          <w:rFonts w:hint="eastAsia"/>
        </w:rPr>
        <w:instrText>"},{"family":"</w:instrText>
      </w:r>
      <w:r w:rsidR="00EB7246">
        <w:rPr>
          <w:rFonts w:hint="eastAsia"/>
        </w:rPr>
        <w:instrText>汪</w:instrText>
      </w:r>
      <w:r w:rsidR="00EB7246">
        <w:rPr>
          <w:rFonts w:hint="eastAsia"/>
        </w:rPr>
        <w:instrText>","given":"</w:instrText>
      </w:r>
      <w:r w:rsidR="00EB7246">
        <w:rPr>
          <w:rFonts w:hint="eastAsia"/>
        </w:rPr>
        <w:instrText>荣华</w:instrText>
      </w:r>
      <w:r w:rsidR="00EB7246">
        <w:rPr>
          <w:rFonts w:hint="eastAsia"/>
        </w:rPr>
        <w:instrText>"},{"family":"</w:instrText>
      </w:r>
      <w:r w:rsidR="00EB7246">
        <w:rPr>
          <w:rFonts w:hint="eastAsia"/>
        </w:rPr>
        <w:instrText>胥</w:instrText>
      </w:r>
      <w:r w:rsidR="00EB7246">
        <w:rPr>
          <w:rFonts w:hint="eastAsia"/>
        </w:rPr>
        <w:instrText>","given":"</w:instrText>
      </w:r>
      <w:r w:rsidR="00EB7246">
        <w:rPr>
          <w:rFonts w:hint="eastAsia"/>
        </w:rPr>
        <w:instrText>威汀</w:instrText>
      </w:r>
      <w:r w:rsidR="00EB7246">
        <w:rPr>
          <w:rFonts w:hint="eastAsia"/>
        </w:rPr>
        <w:instrText>"},{"family":"</w:instrText>
      </w:r>
      <w:r w:rsidR="00EB7246">
        <w:rPr>
          <w:rFonts w:hint="eastAsia"/>
        </w:rPr>
        <w:instrText>叶</w:instrText>
      </w:r>
      <w:r w:rsidR="00EB7246">
        <w:rPr>
          <w:rFonts w:hint="eastAsia"/>
        </w:rPr>
        <w:instrText>","given":"</w:instrText>
      </w:r>
      <w:r w:rsidR="00EB7246">
        <w:rPr>
          <w:rFonts w:hint="eastAsia"/>
        </w:rPr>
        <w:instrText>希</w:instrText>
      </w:r>
      <w:r w:rsidR="00EB7246">
        <w:rPr>
          <w:rFonts w:hint="eastAsia"/>
        </w:rPr>
        <w:instrText>"},{"family":"</w:instrText>
      </w:r>
      <w:r w:rsidR="00EB7246">
        <w:rPr>
          <w:rFonts w:hint="eastAsia"/>
        </w:rPr>
        <w:instrText>李</w:instrText>
      </w:r>
      <w:r w:rsidR="00EB7246">
        <w:rPr>
          <w:rFonts w:hint="eastAsia"/>
        </w:rPr>
        <w:instrText>","given":"</w:instrText>
      </w:r>
      <w:r w:rsidR="00EB7246">
        <w:rPr>
          <w:rFonts w:hint="eastAsia"/>
        </w:rPr>
        <w:instrText>婷</w:instrText>
      </w:r>
      <w:r w:rsidR="00EB7246">
        <w:rPr>
          <w:rFonts w:hint="eastAsia"/>
        </w:rPr>
        <w:instrText>"}],"issued":{"date-parts":[["2020"]]}}}],"schema":"https://github.com/citation-style-language/schema/raw/master/csl-cit</w:instrText>
      </w:r>
      <w:r w:rsidR="00EB7246">
        <w:instrText xml:space="preserve">ation.json"} </w:instrText>
      </w:r>
      <w:r>
        <w:fldChar w:fldCharType="separate"/>
      </w:r>
      <w:r w:rsidR="00EB7246" w:rsidRPr="00EB7246">
        <w:rPr>
          <w:rFonts w:cs="Times New Roman"/>
          <w:kern w:val="0"/>
          <w:vertAlign w:val="superscript"/>
        </w:rPr>
        <w:t>[39</w:t>
      </w:r>
      <w:r w:rsidR="00BA516A">
        <w:rPr>
          <w:rFonts w:cs="Times New Roman"/>
          <w:kern w:val="0"/>
          <w:vertAlign w:val="superscript"/>
        </w:rPr>
        <w:t>-</w:t>
      </w:r>
      <w:r w:rsidR="00EB7246" w:rsidRPr="00EB7246">
        <w:rPr>
          <w:rFonts w:cs="Times New Roman"/>
          <w:kern w:val="0"/>
          <w:vertAlign w:val="superscript"/>
        </w:rPr>
        <w:t>40]</w:t>
      </w:r>
      <w:r>
        <w:fldChar w:fldCharType="end"/>
      </w:r>
      <w:r>
        <w:rPr>
          <w:rFonts w:hint="eastAsia"/>
        </w:rPr>
        <w:t>。</w:t>
      </w:r>
      <w:r>
        <w:t>此外，</w:t>
      </w:r>
      <w:r>
        <w:rPr>
          <w:rFonts w:hint="eastAsia"/>
        </w:rPr>
        <w:t>也</w:t>
      </w:r>
      <w:r>
        <w:t>需构建完善的通信网络基础设施，以保障信息的高效</w:t>
      </w:r>
      <w:r>
        <w:rPr>
          <w:rFonts w:hint="eastAsia"/>
        </w:rPr>
        <w:t>、可靠</w:t>
      </w:r>
      <w:r>
        <w:t>传输，从而提升决策效率与系统响应能力</w:t>
      </w:r>
      <w:r>
        <w:fldChar w:fldCharType="begin"/>
      </w:r>
      <w:r w:rsidR="00EB7246">
        <w:instrText xml:space="preserve"> ADDIN ZOTERO_ITEM CSL_CITATION {"citationID":"a102k5ju8tn","properties":{"formattedCitation":"\\super [41,42]\\nosupersub{}","plainCitation":"[41,42]","noteIndex":0},"citationItems":[{"id":3784,"uris":["http://zotero.org/users/13172592/items/LYITPWEF"],"itemData":{"id":3784,"type":"article-journal","abstract":"By focusing on a distributed energy system that has been widely diffused for efficient utilization of renewable energy generation in recent years, this paper investigates the relationship between productivity growth and information and communications technology capital in the energy sector. Information and communications technology is a key factor in operating distributed energy systems in a way that balances energy supply and demand in order to minimize energy loss and to enhance capacity utilization. The objective of this study is to clarify the determining factors that affect productivity growth, focusing on three different information and communications technologies: information technology capital, communication technology capital and software capital. Our estimation sample covers energy sectors in 14 countries from 2000 to 2014. The results show that information technology and software capital contribute to increasing material productivity and capital productivity in the energy sector, respectively. Meanwhile, communication technology capital negatively affects these two productivity indicators.","container-title":"Energies","DOI":"10.3390/en12091786","ISSN":"1996-1073","issue":"9","language":"en","license":"http://creativecommons.org/licenses/by/3.0/","note":"number: 9\npublisher: Multidisciplinary Digital Publishing Institute\nTLDR: The results show that information technology and software capital contribute to increasing material productivity and capital productivity in the energy sector, respectively, while communication technology capital negatively affects these two productivity indicators.","page":"1786","source":"3","title":"How does information and communication technology capital affect productivity in the energy sector? New evidence from 14 countries, considering the transition to renewable energy systems","title-short":"How does information and communication technology capital affect productivity in the energy sector?","volume":"12","author":[{"family":"Fujii","given":"Hidemichi"},{"family":"Shinozaki","given":"Akihiko"},{"family":"Kagawa","given":"Shigemi"},{"family":"Managi","given":"Shunsuke"}],"issued":{"date-parts":[["2019",1]]}},"label":"page"},{"id":3782,"uris":["http://zotero.org/users/13172592/items/ZSPGCAZW"],"itemData":{"id":3782,"type":"article-journal","abstract":"Renewable energy technology innovation (RETI) has become a key factor in mitigating climate change and promoting sustainable development of the world economy, but there is no literature on the effect of information and communication technology (ICT) on RETI and its impact mechanism. This paper measures RETI using panel data for 70 countries from 2005 to 2019 based on the combination of diffusion and depreciation effects of technological innovation and systematically examines the direct and mediating mechanisms of ICT's effect on RETI. The results show that ICT significantly contributes to RETI and even holds after addressing endogeneity, replacing the explanatory or explanatory variables, excluding extreme values, and excluding the effects of the financial crisis. The results of the transmission mechanism analysis indicate that ICT affects RETI through human capital accumulation, financial development, and information disclosure, meaning that human capital, financial development, and information disclosure are important mediating transmission mechanisms. The results of heterogeneity analysis note significant economic organizational heterogeneity and innovation environment heterogeneity of ICT to RETI. Specifically, in IEA and OECD member nations as well as in the high renewable energy consumption and high R&amp;D investment groups, the contribution effect of ICT on RETI is more significant.","call-number":"1","container-title":"Renewable Energy","DOI":"10.1016/j.renene.2022.10.015","ISSN":"0960-1481","journalAbbreviation":"Renewable Energy","language":"en","page":"546-557","source":"9","title":"How does information and communication technology affect renewable energy technology innovation? International evidence","title-short":"How does information and communication technology affect renewable energy technology innovation?","volume":"200","author":[{"family":"Lee","given":"Chien-Chiang"},{"family":"He","given":"Zhi-Wen"},{"family":"Xiao","given":"Fu"}],"issued":{"date-parts":[["2022",11,1]]}},"label":"page"}],"schema":"https://github.com/citation-style-language/schema/raw/master/csl-citation.json"} </w:instrText>
      </w:r>
      <w:r>
        <w:fldChar w:fldCharType="separate"/>
      </w:r>
      <w:r w:rsidR="00EB7246" w:rsidRPr="00EB7246">
        <w:rPr>
          <w:rFonts w:cs="Times New Roman"/>
          <w:kern w:val="0"/>
          <w:vertAlign w:val="superscript"/>
        </w:rPr>
        <w:t>[41</w:t>
      </w:r>
      <w:r w:rsidR="00BA516A">
        <w:rPr>
          <w:rFonts w:cs="Times New Roman"/>
          <w:kern w:val="0"/>
          <w:vertAlign w:val="superscript"/>
        </w:rPr>
        <w:t>-</w:t>
      </w:r>
      <w:r w:rsidR="00EB7246" w:rsidRPr="00EB7246">
        <w:rPr>
          <w:rFonts w:cs="Times New Roman"/>
          <w:kern w:val="0"/>
          <w:vertAlign w:val="superscript"/>
        </w:rPr>
        <w:t>42]</w:t>
      </w:r>
      <w:r>
        <w:fldChar w:fldCharType="end"/>
      </w:r>
      <w:r>
        <w:t>。</w:t>
      </w:r>
    </w:p>
    <w:p w14:paraId="2DC961A0" w14:textId="3B96EC08" w:rsidR="000132E7" w:rsidRDefault="000132E7" w:rsidP="000132E7">
      <w:pPr>
        <w:ind w:firstLine="420"/>
      </w:pPr>
      <w:r>
        <w:t>在政策层面，财税优惠、技术创新激励</w:t>
      </w:r>
      <w:r>
        <w:rPr>
          <w:rFonts w:hint="eastAsia"/>
        </w:rPr>
        <w:t>、</w:t>
      </w:r>
      <w:r>
        <w:t>科研资金支持等政策措施可为项目建设提供制度保障</w:t>
      </w:r>
      <w:r>
        <w:fldChar w:fldCharType="begin"/>
      </w:r>
      <w:r w:rsidR="00EB7246">
        <w:instrText xml:space="preserve"> ADDIN ZOTERO_ITEM CSL_CITATION {"citationID":"a1741pnuk53","properties":{"formattedCitation":"\\super [43\\uc0\\u8211{}45]\\nosupersub{}","plainCitation":"[43–45]","noteIndex":0},"citationItems":[{"id":751,"uris":["http://zotero.org/users/13172592/items/I3QECVUL"],"itemData":{"id":751,"type":"article-journal","abstract":"To solve the global warming and energy crisis, substituting fossil fuel energy such as oil with renewable energy is an inevitable trend. International efforts towards this have been great, as evidenced by climate change legislation related to the energy sector. Employing panel data on energy-related legislative activity aimed at climate change in 129 countries in the period 2001–2020, this research statistically investigated the short- and long-term effects of energy laws that promote renewable energy-based electricity generation including non-hydro renewable energy-based electricity generation in the short and long run. The effect is enhanced in countries with a strong legal system. Moreover, the impact of legislative acts is stronger than that of executive orders. Regarding different types of renewable energy resources, the effects of energy laws on solar and wind energy are stronger compared to other renewable sources. Furthermore, heterogeneous tests show that the effect of energy laws on renewable energy is greater in high and upper middle-income countries than in lower middle- and low-income countries. In 2020, the current energy laws increased renewable energy and non-hydro renewable energy electricity generation by 2248.067 and 1888.341 quadrillion kWh, respectively.","call-number":"2","container-title":"Energy Economics","DOI":"10.1016/j.eneco.2023.106504","ISSN":"01409883","journalAbbreviation":"Energy Economics","language":"en","page":"106504","source":"12.8","title":"Promoting renewable energy through national energy legislation","volume":"118","author":[{"family":"Liu","given":"Ying"},{"family":"Feng","given":"Chao"}],"issued":{"date-parts":[["2023",2]]}}},{"id":752,"uris":["http://zotero.org/users/13172592/items/B29ULQ6W"],"itemData":{"id":752,"type":"article-journal","abstract":"Considering the importance of developing renewable energy consumption to reduce the threat of climate change, this study attempts to evaluate the impacts of green bonds and the development of wind, hydro, and solar energy in a sample of 15 member economies of the Organisation for Economic Co-operation and Development (OECD). It employs the fully modified OLS (FMOLS) technique based on data from 2010 to 2020. The estimations show that issued green bonds increase wind and hydro-energy consumption in OECD countries. At the same time, green bonds do not significantly impact solar energy deployment in these economies. The central practical integrated policies recommended by this study include developing a digital green bond market, establishing a green bond issuance network (GBIN), implementing an international carbon tax policy, and planning to achieve green economic recovery through the green bond market development.","call-number":"2","container-title":"Energy Economics","DOI":"10.1016/j.eneco.2023.106725","ISSN":"01409883","journalAbbreviation":"Energy Economics","language":"en","page":"106725","source":"12.8","title":"Green bonds markets and renewable energy development: Policy integration for achieving carbon neutrality","title-short":"Green bonds markets and renewable energy development","volume":"123","author":[{"family":"Wang","given":"Yang"},{"family":"Taghizadeh-Hesary","given":"Farhad"}],"issued":{"date-parts":[["2023",7]]}}},{"id":753,"uris":["http://zotero.org/users/13172592/items/YSKVMKNQ"],"itemData":{"id":753,"type":"article-journal","abstract":"This research examines the effect of environmental policy stringency on green innovation in renewable energy technology and whether the green innovation response differs with varying degrees of environmental policy. Based on panel data of 33 countries over the period 1990e2015, we show that a stringent environmental policy does encourage green innovation in renewable energy technology, and this impact is more pronounced in OECD countries and high-income countries. More speciﬁcally, a stringent non-market-based environmental policy induces more patents in renewable energy generation. The ﬁndings also show that a stringent environmental policy yields green innovation for geothermal energy, hydro energy, and marine energy, but not for wind energy and solar energy. Heterogeneity analysis suggests that innovation capacity and environmental pressure enhance the impact of environmental policy stringency on green innovation in the renewable energy ﬁeld. Finally, the paper presents that clean energy investment plays the role of a mechanism through which environmental policy stringency spurs green innovation in the renewable energy ﬁeld, offering insights into the inﬂuence of environmental policy stringency on green innovation.","call-number":"1","container-title":"Renewable Energy","DOI":"10.1016/j.renene.2022.06.074","ISSN":"09601481","journalAbbreviation":"Renewable Energy","language":"en","page":"1113-1124","source":"8.7","title":"Does an environmental policy bring to green innovation in renewable energy?","volume":"195","author":[{"family":"Zhang","given":"Dan"},{"family":"Zheng","given":"Mingbo"},{"family":"Feng","given":"Gen-Fu"},{"family":"Chang","given":"Chun-Ping"}],"issued":{"date-parts":[["2022",8]]}}}],"schema":"https://github.com/citation-style-language/schema/raw/master/csl-citation.json"} </w:instrText>
      </w:r>
      <w:r>
        <w:fldChar w:fldCharType="separate"/>
      </w:r>
      <w:r w:rsidR="00EB7246" w:rsidRPr="00EB7246">
        <w:rPr>
          <w:rFonts w:cs="Times New Roman"/>
          <w:kern w:val="0"/>
          <w:vertAlign w:val="superscript"/>
        </w:rPr>
        <w:t>[43–45]</w:t>
      </w:r>
      <w:r>
        <w:fldChar w:fldCharType="end"/>
      </w:r>
      <w:r>
        <w:rPr>
          <w:rFonts w:hint="eastAsia"/>
        </w:rPr>
        <w:t>。</w:t>
      </w:r>
      <w:r>
        <w:t>在市场层面，完善清洁能源电力市场交易机制，</w:t>
      </w:r>
      <w:r>
        <w:rPr>
          <w:rFonts w:hint="eastAsia"/>
        </w:rPr>
        <w:t>合理分配</w:t>
      </w:r>
      <w:r>
        <w:t>输配电权</w:t>
      </w:r>
      <w:r>
        <w:rPr>
          <w:rFonts w:hint="eastAsia"/>
        </w:rPr>
        <w:t>，</w:t>
      </w:r>
      <w:r>
        <w:t>明确市场准入规则和电价机制，</w:t>
      </w:r>
      <w:r>
        <w:rPr>
          <w:rFonts w:hint="eastAsia"/>
        </w:rPr>
        <w:t>则有助于</w:t>
      </w:r>
      <w:r>
        <w:t>构建公平开放的电力市场。</w:t>
      </w:r>
    </w:p>
    <w:p w14:paraId="77C7FE4D" w14:textId="77777777" w:rsidR="00BC1DF7" w:rsidRDefault="00BC1DF7" w:rsidP="00873BC4">
      <w:pPr>
        <w:pStyle w:val="3"/>
      </w:pPr>
      <w:r>
        <w:rPr>
          <w:rFonts w:hint="eastAsia"/>
        </w:rPr>
        <w:t>业主项目群管理能力</w:t>
      </w:r>
    </w:p>
    <w:p w14:paraId="56A719F3" w14:textId="5C509829" w:rsidR="000132E7" w:rsidRDefault="000132E7" w:rsidP="00BC1DF7">
      <w:pPr>
        <w:ind w:firstLine="420"/>
      </w:pPr>
      <w:r w:rsidRPr="00C323B6">
        <w:rPr>
          <w:rFonts w:hint="eastAsia"/>
        </w:rPr>
        <w:t>业主参与</w:t>
      </w:r>
      <w:r>
        <w:rPr>
          <w:rFonts w:hint="eastAsia"/>
        </w:rPr>
        <w:t>清洁能源基地</w:t>
      </w:r>
      <w:r w:rsidRPr="00C323B6">
        <w:rPr>
          <w:rFonts w:hint="eastAsia"/>
        </w:rPr>
        <w:t>投资、</w:t>
      </w:r>
      <w:r>
        <w:rPr>
          <w:rFonts w:hint="eastAsia"/>
        </w:rPr>
        <w:t>规划设计、</w:t>
      </w:r>
      <w:r w:rsidRPr="00C323B6">
        <w:rPr>
          <w:rFonts w:hint="eastAsia"/>
        </w:rPr>
        <w:t>建设、运维等各阶段，其管理能力对</w:t>
      </w:r>
      <w:r>
        <w:rPr>
          <w:rFonts w:hint="eastAsia"/>
        </w:rPr>
        <w:t>清洁能源基地开发</w:t>
      </w:r>
      <w:r w:rsidRPr="00C323B6">
        <w:rPr>
          <w:rFonts w:hint="eastAsia"/>
        </w:rPr>
        <w:t>至关重要</w:t>
      </w:r>
      <w:r>
        <w:fldChar w:fldCharType="begin"/>
      </w:r>
      <w:r w:rsidR="00E17813">
        <w:instrText xml:space="preserve"> ADDIN ZOTERO_ITEM CSL_CITATION {"citationID":"a5na685753","properties":{"formattedCitation":"\\super [46,47]\\nosupersub{}","plainCitation":"[46,47]","noteIndex":0},"citationItems":[{"id":2584,"uris":["http://zotero.org/users/13172592/items/LUC3WH29","http://zotero.org/users/13172592/items/SB8X9A3C"],"itemData":{"id":2584,"type":"article-journal","archive_location":"WOS:000235671300002","call-number":"2","container-title":"Journal of Construction Engineering and Management","DOI":"10.1061/(ASCE)0733-9364(2006)132:3(217)","ISSN":"0733-9364","issue":"3","language":"en","page":"217-229","source":"5.1","title":"Partnering mechanism in construction: An empirical study on the Chinese construction industry","volume":"132","author":[{"family":"Tang","given":"WZ"},{"family":"Duffield","given":"CF"},{"family":"Young","given":"DM"}],"issued":{"date-parts":[["2006",3]]}}},{"id":2700,"uris":["http://zotero.org/users/13172592/items/UYEBYSJ7"],"itemData":{"id":2700,"type":"article-journal","abstract":"AbstractExisting studies tend to agree that there are links between owners’ capabilities and\nproject performance. However, limited research has systematically addressed the relationships\namong the multiple facets of organizational capabilities and project ...","archive_location":"world","call-number":"2","container-title":"Journal of Construction Engineering and Management","DOI":"10.1061/(ASCE)CO.1943-7862.0000694","ISSN":"1943-7862","issue":"9","language":"en","license":"© 2013 American Society of Civil Engineers","note":"publisher: American Society of Civil Engineers","page":"1168-1178","source":"4.1","title":"Relationship between owners’ capabilities and project performance on development of hydropower projects in China","volume":"139","author":[{"family":"Wang","given":"Shuli"},{"family":"Tang","given":"Wenzhe"},{"family":"Li","given":"Yuxuan"}],"issued":{"date-parts":[["2013",9,1]]}}}],"schema":"https://github.com/citation-style-language/schema/raw/master/csl-citation.json"} </w:instrText>
      </w:r>
      <w:r>
        <w:fldChar w:fldCharType="separate"/>
      </w:r>
      <w:r w:rsidR="00E17813" w:rsidRPr="00E17813">
        <w:rPr>
          <w:rFonts w:cs="Times New Roman"/>
          <w:kern w:val="0"/>
          <w:vertAlign w:val="superscript"/>
        </w:rPr>
        <w:t>[46</w:t>
      </w:r>
      <w:r w:rsidR="00BA516A">
        <w:rPr>
          <w:rFonts w:cs="Times New Roman"/>
          <w:kern w:val="0"/>
          <w:vertAlign w:val="superscript"/>
        </w:rPr>
        <w:t>-</w:t>
      </w:r>
      <w:r w:rsidR="00E17813" w:rsidRPr="00E17813">
        <w:rPr>
          <w:rFonts w:cs="Times New Roman"/>
          <w:kern w:val="0"/>
          <w:vertAlign w:val="superscript"/>
        </w:rPr>
        <w:t>47]</w:t>
      </w:r>
      <w:r>
        <w:fldChar w:fldCharType="end"/>
      </w:r>
      <w:r w:rsidRPr="00C323B6">
        <w:rPr>
          <w:rFonts w:hint="eastAsia"/>
        </w:rPr>
        <w:t>。</w:t>
      </w:r>
    </w:p>
    <w:p w14:paraId="6F2FCC13" w14:textId="211105FB" w:rsidR="000132E7" w:rsidRDefault="000132E7" w:rsidP="00BC1DF7">
      <w:pPr>
        <w:ind w:firstLine="420"/>
      </w:pPr>
      <w:r>
        <w:t>清洁能源基地</w:t>
      </w:r>
      <w:r>
        <w:rPr>
          <w:rFonts w:hint="eastAsia"/>
        </w:rPr>
        <w:t>涉及</w:t>
      </w:r>
      <w:r>
        <w:t>地域广、</w:t>
      </w:r>
      <w:r>
        <w:rPr>
          <w:rFonts w:hint="eastAsia"/>
        </w:rPr>
        <w:t>建设</w:t>
      </w:r>
      <w:r>
        <w:t>周期长，业主</w:t>
      </w:r>
      <w:r>
        <w:rPr>
          <w:rFonts w:hint="eastAsia"/>
        </w:rPr>
        <w:t>的</w:t>
      </w:r>
      <w:r>
        <w:t>目标管理能力</w:t>
      </w:r>
      <w:r>
        <w:rPr>
          <w:rFonts w:hint="eastAsia"/>
        </w:rPr>
        <w:t>对高效推进基地目标的实现至关重要</w:t>
      </w:r>
      <w:r>
        <w:fldChar w:fldCharType="begin"/>
      </w:r>
      <w:r w:rsidR="00E17813">
        <w:instrText xml:space="preserve"> ADDIN ZOTERO_ITEM CSL_CITATION {"citationID":"a1nktuklng6","properties":{"formattedCitation":"\\super [11,48]\\nosupersub{}","plainCitation":"[11,48]","noteIndex":0},"citationItems":[{"id":1879,"uris":["http://zotero.org/users/13172592/items/5S4EIAMP","http://zotero.org/users/13172592/items/6FMHPKI8"],"itemData":{"id":1879,"type":"article-journal","abstract":"Program management is increasingly regarded as a key approach to improving the performance of a construction megaproject through the coordinated management of its constituent projects. However, previous studies have seldom provided a pragmatic program management framework that can fully address the requirements of clients in managing construction megaprojects. Therefore, based on a case study of the Shanghai Expo construction, this study aims to identify the principal program organization factors (POFs) that are determinants of the program organization established by a client to manage a megaproject. Mixed research methods, such as case study, literature review, interviews, Delphi survey, and archival methods, are employed in this study. Consequently, 12 principal POFs, grouped under three main categories (environmental capability, core capacity, and motivational capability of the client’s program organization to manage its construction megaproject), are identified: (1) contextual understanding, (2) program strategy, (3) program leadership, (4) scope management, (5) program governance, (6) matrix organizational structure, (7) program management office, (8) use of project breakdown structure and work breakdown structure tools, (9) partnering with key stakeholders, (10) technology management, (11) communication management, and (12) team building. These research findings will help scholars and professionals, particularly those in China, to appreciate the key issues in managing megaprojects through program organization. DOI: 10.1061/(ASCE)ME.1943-5479.0000310. © 2014 American Society of Civil Engineers.","call-number":"1","container-title":"Journal of Management in Engineering","DOI":"10.1061/(ASCE)ME.1943-5479.0000310","ISSN":"0742-597X, 1943-5479","issue":"5","journalAbbreviation":"J. Manage. Eng.","language":"en","page":"05014019","source":"7.4","title":"Understanding the determinants of program organization for construction megaproject success: Case study of the Shanghai Expo construction","title-short":"Understanding the Determinants of Program Organization for Construction Megaproject Success","volume":"31","author":[{"family":"Hu","given":"Yi"},{"family":"Chan","given":"Albert P. C."},{"family":"Le","given":"Yun"}],"issued":{"date-parts":[["2015",9]]}}},{"id":1738,"uris":["http://zotero.org/users/13172592/items/CUYPTB3R"],"itemData":{"id":1738,"type":"article-journal","abstract":"Project management, as a discipline in its traditional form, is insular, focusing on the deﬁnition, planning and execution of a speciﬁc objective. The growing use of projects to eﬀect signiﬁcant organisational change has led to a widespread interest in programme management. Programmes by grouping, directing and initiating new projects set the context for projects, yet they too are subject to external inﬂuences and developments. Emergent thinking on programme management best practice has focused on the internal context, namely the marshalling of projects and resources to achieve the desired strategic and/or synergy beneﬁts. Relatively neglected, though crucially important, is the need to shape, embed and align the programme to the evolving needs of the organisation. This paper argues that, where programmes provide a bridge between projects and the organisation’s strategy, programme management takes on many of the characteristics and competencies of strategic change management and organisational development. Programme directors and managers have fundamental roles as mediators’ moderators and manipulators of the external context and pressures. They must embrace and deal with the ambiguity, tensions and interplay between the need for concrete action and the strategic imperative of openness, options and speedy response. Drawing on a case study, the paper illustrates the challenges and development needs of project managers seeking to make the transition to programme management. The paper argues that newly appointed programme directors and managers are often unprepared for the challenges of continually shaping internal and external context, and frequently lacking the creativity, awareness and sensitivity such a role demands. # 2002 Elsevier Science Ltd and IPMA. All rights reserved.","call-number":"1","container-title":"International Journal of Project Management","DOI":"10.1016/S0263-7863(01)00073-4","ISSN":"02637863","issue":"3","journalAbbreviation":"International Journal of Project Management","language":"en","license":"https://www.elsevier.com/tdm/userlicense/1.0/","page":"229-233","source":"8","title":"Shaping context: The role and challenge for programmes","title-short":"Shaping context","volume":"20","author":[{"family":"Pellegrinelli","given":"Sergio"}],"issued":{"date-parts":[["2002",4]]}}}],"schema":"https://github.com/citation-style-language/schema/raw/master/csl-citation.json"} </w:instrText>
      </w:r>
      <w:r>
        <w:fldChar w:fldCharType="separate"/>
      </w:r>
      <w:r w:rsidR="00E17813" w:rsidRPr="00E17813">
        <w:rPr>
          <w:rFonts w:cs="Times New Roman"/>
          <w:kern w:val="0"/>
          <w:vertAlign w:val="superscript"/>
        </w:rPr>
        <w:t>[11,48]</w:t>
      </w:r>
      <w:r>
        <w:fldChar w:fldCharType="end"/>
      </w:r>
      <w:r>
        <w:rPr>
          <w:rFonts w:hint="eastAsia"/>
        </w:rPr>
        <w:t>。</w:t>
      </w:r>
      <w:r>
        <w:t>业主需明确项目建设与运营目标，</w:t>
      </w:r>
      <w:r>
        <w:rPr>
          <w:rFonts w:hint="eastAsia"/>
        </w:rPr>
        <w:t>并</w:t>
      </w:r>
      <w:r>
        <w:t>充分理解各利益相关方对清洁能源基地的</w:t>
      </w:r>
      <w:r w:rsidRPr="00D854C4">
        <w:t>需求</w:t>
      </w:r>
      <w:r w:rsidRPr="00D854C4">
        <w:fldChar w:fldCharType="begin"/>
      </w:r>
      <w:r w:rsidR="00EB7246">
        <w:instrText xml:space="preserve"> ADDIN ZOTERO_ITEM CSL_CITATION {"citationID":"QeJLPHPT","properties":{"formattedCitation":"\\super [11]\\nosupersub{}","plainCitation":"[11]","noteIndex":0},"citationItems":[{"id":1879,"uris":["http://zotero.org/users/13172592/items/5S4EIAMP","http://zotero.org/users/13172592/items/6FMHPKI8"],"itemData":{"id":1879,"type":"article-journal","abstract":"Program management is increasingly regarded as a key approach to improving the performance of a construction megaproject through the coordinated management of its constituent projects. However, previous studies have seldom provided a pragmatic program management framework that can fully address the requirements of clients in managing construction megaprojects. Therefore, based on a case study of the Shanghai Expo construction, this study aims to identify the principal program organization factors (POFs) that are determinants of the program organization established by a client to manage a megaproject. Mixed research methods, such as case study, literature review, interviews, Delphi survey, and archival methods, are employed in this study. Consequently, 12 principal POFs, grouped under three main categories (environmental capability, core capacity, and motivational capability of the client’s program organization to manage its construction megaproject), are identified: (1) contextual understanding, (2) program strategy, (3) program leadership, (4) scope management, (5) program governance, (6) matrix organizational structure, (7) program management office, (8) use of project breakdown structure and work breakdown structure tools, (9) partnering with key stakeholders, (10) technology management, (11) communication management, and (12) team building. These research findings will help scholars and professionals, particularly those in China, to appreciate the key issues in managing megaprojects through program organization. DOI: 10.1061/(ASCE)ME.1943-5479.0000310. © 2014 American Society of Civil Engineers.","call-number":"1","container-title":"Journal of Management in Engineering","DOI":"10.1061/(ASCE)ME.1943-5479.0000310","ISSN":"0742-597X, 1943-5479","issue":"5","journalAbbreviation":"J. Manage. Eng.","language":"en","page":"05014019","source":"7.4","title":"Understanding the determinants of program organization for construction megaproject success: Case study of the Shanghai Expo construction","title-short":"Understanding the Determinants of Program Organization for Construction Megaproject Success","volume":"31","author":[{"family":"Hu","given":"Yi"},{"family":"Chan","given":"Albert P. C."},{"family":"Le","given":"Yun"}],"issued":{"date-parts":[["2015",9]]}}}],"schema":"https://github.com/citation-style-language/schema/raw/master/csl-citation.json"} </w:instrText>
      </w:r>
      <w:r w:rsidRPr="00D854C4">
        <w:fldChar w:fldCharType="separate"/>
      </w:r>
      <w:r w:rsidR="00EB7246" w:rsidRPr="00EB7246">
        <w:rPr>
          <w:rFonts w:cs="Times New Roman"/>
          <w:kern w:val="0"/>
          <w:vertAlign w:val="superscript"/>
        </w:rPr>
        <w:t>[11]</w:t>
      </w:r>
      <w:r w:rsidRPr="00D854C4">
        <w:fldChar w:fldCharType="end"/>
      </w:r>
      <w:r w:rsidRPr="00D854C4">
        <w:t>。</w:t>
      </w:r>
    </w:p>
    <w:p w14:paraId="2760B8CF" w14:textId="2878E27E" w:rsidR="000132E7" w:rsidRDefault="000132E7" w:rsidP="00BC1DF7">
      <w:pPr>
        <w:ind w:firstLine="420"/>
      </w:pPr>
      <w:r w:rsidRPr="00E81D9B">
        <w:rPr>
          <w:rFonts w:hint="eastAsia"/>
        </w:rPr>
        <w:t>组织协调</w:t>
      </w:r>
      <w:r>
        <w:rPr>
          <w:rFonts w:hint="eastAsia"/>
        </w:rPr>
        <w:t>各项目、各利益相关方与各开发环节间的顺畅衔接</w:t>
      </w:r>
      <w:r w:rsidRPr="00E81D9B">
        <w:rPr>
          <w:rFonts w:hint="eastAsia"/>
        </w:rPr>
        <w:t>是</w:t>
      </w:r>
      <w:r>
        <w:rPr>
          <w:rFonts w:hint="eastAsia"/>
        </w:rPr>
        <w:t>高效推进</w:t>
      </w:r>
      <w:r w:rsidRPr="00E81D9B">
        <w:rPr>
          <w:rFonts w:hint="eastAsia"/>
        </w:rPr>
        <w:t>清洁能源基地</w:t>
      </w:r>
      <w:r>
        <w:rPr>
          <w:rFonts w:hint="eastAsia"/>
        </w:rPr>
        <w:t>开发</w:t>
      </w:r>
      <w:r w:rsidRPr="00E81D9B">
        <w:rPr>
          <w:rFonts w:hint="eastAsia"/>
        </w:rPr>
        <w:t>的关键</w:t>
      </w:r>
      <w:r>
        <w:fldChar w:fldCharType="begin"/>
      </w:r>
      <w:r w:rsidR="00E17813">
        <w:instrText xml:space="preserve"> ADDIN ZOTERO_ITEM CSL_CITATION {"citationID":"a2bmuvsbm5u","properties":{"formattedCitation":"\\super [49,50]\\nosupersub{}","plainCitation":"[49,50]","noteIndex":0},"citationItems":[{"id":3031,"uris":["http://zotero.org/users/13172592/items/2YQAPHEH"],"itemData":{"id":3031,"type":"article-journal","abstract":"Owed to their enormous impact on the sustainable development of energy security, climate change, and the economy, multiple renewable-energy projects are carried out around the world, both in developed and in developing countries. Since the construction of renewable energy project is an entrepreneurial activity, there is a big concern about the success of such projects. Although pertinent literature suggests several methodologies to enhance the success of various projects, renewable-energy projects are still overlooked. This study identifies multiple critical success factors (CSFs), required for renewable-energy projects. Using a sample of 272 firms working on renewable energy projects in Pakistan, a quantitative and causal study was undertaken to identify the critical success factors (CSFs). Structural equation modeling (SEM) was applied to test and verify hypothesis. The results show that there is a strong direct dependency of project success over the proposed factors, however environmental factors are found to be the only predominant CSFs which show the significant indirect effect on project success. The study expected to contribute towards and widen up the existing knowledge base for the project performance of renewable energy projects by adding on the findings regarding critical success factors.","call-number":"3","container-title":"Journal of Civil Engineering and Management","DOI":"10.3846/jcem.2018.1691","ISSN":"1392-3730, 1822-3605","issue":"3","language":"en","page":"223-237","source":"4.3","title":"Identifying the critical success factors and their relevant aspects for renewable energy projects: An empirical perspective","volume":"24","author":[{"family":"Maqbool","given":"Rashid"},{"family":"Rashid","given":"Yahya"},{"family":"Sultana","given":"Saira"},{"family":"Sudong","given":"Ye"}],"issued":{"date-parts":[["2018",5,28]]}}},{"id":2357,"uris":["http://zotero.org/users/13172592/items/675DGTRL"],"itemData":{"id":2357,"type":"article-journal","abstract":"Given that a strong owner has been identified as an important factor in the success of megaprojects, there has been a growing recognition of the importance of megaproject owner organizational capabilities. However, the questions of what organizational capabilities do owners need to foster successful megaprojects, and whether these capabilities are the stronger the better, have yet to be addressed. To answer these questions, this study identified the dimensions of owner organizational capabilities based on literature and interviews, and developed several sets of parallel hypotheses. Based on the 229 valid questionnaire data collected, the relationships between owner organizational capabilities and megaproject success were analyzed through hierarchical multiple regression, and the results were discussed through expert interviews. The findings show that owner coordination, dynamic, and system integration capabilities have positive impacts on megaproject success, with coordination capabilities being the most significant. While the impact of motivational capabilities on megaproject success is inverted U-shaped. This study provides an actionable dimensional framework for megaproject owner capabilities, moving the field of owner organizational capabilities beyond the conceptual level. This study provides empirical evidence for the importance of megaproject owner organizational capabilities and takes a more dialectical view of a strong owner. The empirical results can provide insights and guidance on the configuration and development of megaproject owner capabilities. DOI: 10.1061/JCEMD4.COENG-13097. © 2023 American Society of Civil Engineers.","call-number":"2","container-title":"Journal of Construction Engineering and Management","DOI":"10.1061/JCEMD4.COENG-13097","ISSN":"0733-9364, 1943-7862","issue":"7","journalAbbreviation":"J. Constr. Eng. Manage.","language":"en","page":"04023055","source":"5.1","title":"Deconstructing organizational capabilities of megaproject owners: Dimensions and levels","title-short":"Deconstructing Organizational Capabilities of Megaproject Owners","volume":"149","author":[{"family":"Zhang","given":"Xinyue"},{"family":"Liu","given":"Mingqiang"},{"family":"Le","given":"Yun"},{"family":"Wei","given":"Jianjun"},{"family":"Zhu","given":"Yongsong"},{"family":"Li","given":"Yongkui"}],"issued":{"date-parts":[["2023",7]]}}}],"schema":"https://github.com/citation-style-language/schema/raw/master/csl-citation.json"} </w:instrText>
      </w:r>
      <w:r>
        <w:fldChar w:fldCharType="separate"/>
      </w:r>
      <w:r w:rsidR="00E17813" w:rsidRPr="00E17813">
        <w:rPr>
          <w:rFonts w:cs="Times New Roman"/>
          <w:kern w:val="0"/>
          <w:vertAlign w:val="superscript"/>
        </w:rPr>
        <w:t>[49</w:t>
      </w:r>
      <w:r w:rsidR="00BA516A">
        <w:rPr>
          <w:rFonts w:cs="Times New Roman"/>
          <w:kern w:val="0"/>
          <w:vertAlign w:val="superscript"/>
        </w:rPr>
        <w:t>-</w:t>
      </w:r>
      <w:r w:rsidR="00E17813" w:rsidRPr="00E17813">
        <w:rPr>
          <w:rFonts w:cs="Times New Roman"/>
          <w:kern w:val="0"/>
          <w:vertAlign w:val="superscript"/>
        </w:rPr>
        <w:t>50]</w:t>
      </w:r>
      <w:r>
        <w:fldChar w:fldCharType="end"/>
      </w:r>
      <w:r w:rsidRPr="00E81D9B">
        <w:rPr>
          <w:rFonts w:hint="eastAsia"/>
        </w:rPr>
        <w:t>。清洁能源基地</w:t>
      </w:r>
      <w:r>
        <w:rPr>
          <w:rFonts w:hint="eastAsia"/>
        </w:rPr>
        <w:t>开发</w:t>
      </w:r>
      <w:r w:rsidRPr="00E81D9B">
        <w:rPr>
          <w:rFonts w:hint="eastAsia"/>
        </w:rPr>
        <w:t>涉及规划</w:t>
      </w:r>
      <w:r>
        <w:rPr>
          <w:rFonts w:hint="eastAsia"/>
        </w:rPr>
        <w:t>、</w:t>
      </w:r>
      <w:r w:rsidRPr="00E81D9B">
        <w:rPr>
          <w:rFonts w:hint="eastAsia"/>
        </w:rPr>
        <w:t>设计</w:t>
      </w:r>
      <w:r>
        <w:rPr>
          <w:rFonts w:hint="eastAsia"/>
        </w:rPr>
        <w:t>、采购、</w:t>
      </w:r>
      <w:r w:rsidRPr="00E81D9B">
        <w:rPr>
          <w:rFonts w:hint="eastAsia"/>
        </w:rPr>
        <w:t>施工</w:t>
      </w:r>
      <w:r>
        <w:rPr>
          <w:rFonts w:hint="eastAsia"/>
        </w:rPr>
        <w:t>、</w:t>
      </w:r>
      <w:r w:rsidRPr="00E81D9B">
        <w:rPr>
          <w:rFonts w:hint="eastAsia"/>
        </w:rPr>
        <w:t>运营的全生命周期管理</w:t>
      </w:r>
      <w:r>
        <w:rPr>
          <w:rFonts w:hint="eastAsia"/>
        </w:rPr>
        <w:t>。</w:t>
      </w:r>
      <w:r w:rsidRPr="00E81D9B">
        <w:rPr>
          <w:rFonts w:hint="eastAsia"/>
        </w:rPr>
        <w:t>业主</w:t>
      </w:r>
      <w:r>
        <w:rPr>
          <w:rFonts w:hint="eastAsia"/>
        </w:rPr>
        <w:t>需统筹调配不同子项目各环节的</w:t>
      </w:r>
      <w:r w:rsidRPr="00E81D9B">
        <w:rPr>
          <w:rFonts w:hint="eastAsia"/>
        </w:rPr>
        <w:t>资源，</w:t>
      </w:r>
      <w:r>
        <w:rPr>
          <w:rFonts w:hint="eastAsia"/>
        </w:rPr>
        <w:t>促进</w:t>
      </w:r>
      <w:r w:rsidRPr="00E81D9B">
        <w:rPr>
          <w:rFonts w:hint="eastAsia"/>
        </w:rPr>
        <w:t>多方协作</w:t>
      </w:r>
      <w:r>
        <w:rPr>
          <w:rFonts w:hint="eastAsia"/>
        </w:rPr>
        <w:t>，推进信息流通，提高管理效率。</w:t>
      </w:r>
    </w:p>
    <w:p w14:paraId="0E0667D9" w14:textId="4E30E537" w:rsidR="000132E7" w:rsidRDefault="000132E7" w:rsidP="00BC1DF7">
      <w:pPr>
        <w:ind w:firstLine="420"/>
      </w:pPr>
      <w:r w:rsidRPr="006B4AC8">
        <w:rPr>
          <w:rFonts w:hint="eastAsia"/>
        </w:rPr>
        <w:t>信息技术是业主提升清洁能源基地</w:t>
      </w:r>
      <w:r>
        <w:rPr>
          <w:rFonts w:hint="eastAsia"/>
        </w:rPr>
        <w:t>建设与运维水平</w:t>
      </w:r>
      <w:r w:rsidRPr="006B4AC8">
        <w:rPr>
          <w:rFonts w:hint="eastAsia"/>
        </w:rPr>
        <w:t>的重要</w:t>
      </w:r>
      <w:r>
        <w:rPr>
          <w:rFonts w:hint="eastAsia"/>
        </w:rPr>
        <w:t>工具</w:t>
      </w:r>
      <w:r>
        <w:fldChar w:fldCharType="begin"/>
      </w:r>
      <w:r w:rsidR="00E17813">
        <w:instrText xml:space="preserve"> ADDIN ZOTERO_ITEM CSL_CITATION {"citationID":"a25fpq313rg","properties":{"formattedCitation":"\\super [51,52]\\nosupersub{}","plainCitation":"[51,52]","noteIndex":0},"citationItems":[{"id":687,"uris":["http://zotero.org/users/13172592/items/D8ELTBEC"],"itemData":{"id":687,"type":"article-journal","abstract":"Optimizing day-ahead generation schedules of hydro–wind–photovoltaic (PV) complementary systems (HWPCSs) can help to promote the accommodation of wind and solar energies. However, it is challenging to formulate appropriate generation schedules for the large HWPCS that contains cascade hydropower plants, in particular, a steady requirement of power delivery is considered in the optimization model. To further improve complementary performance of the large HWPCS, we propose a risk-averse day-ahead generation scheduling approach that considers the steady requirement of power delivery. First, a representative scenario set is used to characterize forecast uncertainties of the wind and PV power. Then, a multi-objective optimal generation scheduling model with consideration of the operational risks of electricity curtailment and power shortage is proposed. Finally, a two-layer nested optimization framework is designed to derive the system’s generation schedule. The clean energy base in the upper Yellow River basin, China was selected as a case study. The results show that: (1) forecast uncertainties of wind and PV power are more likely to induce power shortage risk in summer and autumn, but to induce electricity curtailment risk in spring and winter; (2) without using extra constraint handling strategies, the proposed approach could directly yield a stair-shaped power delivery curve, which is good for long-distance power transmission applications; and (3) compared with a traditional method without considering the operational risks, the proposed generation scheduling approach could significantly reduce the comprehensive risk rate by 65% on average, while the cascade hydropower production and peak shaving performance are satisfactory. Therefore, the proposed approach is effective in guiding the day-ahead generation scheduling of the HWPCSs that contain cascade hydropower plants.","call-number":"1","container-title":"Applied Energy","DOI":"10.1016/j.apenergy.2021.118467","ISSN":"03062619","journalAbbreviation":"Applied Energy","language":"en","page":"118467","source":"11.2","title":"Risk-averse day-ahead generation scheduling of hydro–wind–photovoltaic complementary systems considering the steady requirement of power delivery","volume":"309","author":[{"family":"Guo","given":"Yi"},{"family":"Ming","given":"Bo"},{"family":"Huang","given":"Qiang"},{"family":"Wang","given":"Yimin"},{"family":"Zheng","given":"Xudong"},{"family":"Zhang","given":"Wei"}],"issued":{"date-parts":[["2022",3]]}}},{"id":992,"uris":["http://zotero.org/users/13172592/items/RBW6SKQ8"],"itemData":{"id":992,"type":"article-journal","abstract":"Cascade hydropower producers face two stages of risk when participating in medium and long-term market transactions: transaction risk during the bidding stage; and the operational risk during the scheduling and operation stage due to the uncertainty of runoff and market-clearing prices. Therefore, how to measure the above risks and make corresponding decisions has become an urgent problem for producers.This paper combines the real market structure and rules of a certain hydropower dominated market in Southwest China, and establishes a mid-term operation and trading decision-making method based on the Joint Information Gap Decision Theory (IGDT) and Prospect Theory. To address the main uncertainty variables that producers face in participating in transactions, this paper obtains the maximum fluctuation range of variables that satisfy the expected revenue in a robust model based on IGDT. Then, using Prospect Theory, a bidding strategy model that takes into account the psychological factors of producers is constructed within this range.To solve the nonlinear programming problem and address the accuracy issues caused by curve fitting during the solution process, a nonlinear programming combined with an improved stepwise optimization hybrid algorithm is employed.Using actual data from a hydropower grid in southwest China participating in the market as an example. The results indicate that the method provides the fluctuation range of runoff and market prices under different expected return targets, and can formulate reasonable bidding decisions and operation plans based on producers different risk preferences within this range.","call-number":"4","container-title":"Frontiers in Energy Research","DOI":"10.3389/fenrg.2023.1252624","ISSN":"2296-598X","journalAbbreviation":"Front. Energy Res.","language":"en","page":"1252624","source":"3.4","title":"Mid-term scheduling and trading decisions for cascade hydropower stations considering multiple variable uncertainties","volume":"11","author":[{"family":"Lu","given":"Jia"},{"family":"Liu","given":"Yaxin"},{"family":"Cao","given":"Hui"},{"family":"Xu","given":"Yang"},{"family":"Ma","given":"Haoyu"},{"family":"Zhang","given":"Zheng"},{"family":"Wang","given":"Tao"},{"family":"Yang","given":"Yuqi"}],"issued":{"date-parts":[["2023",10,13]]}}}],"schema":"https://github.com/citation-style-language/schema/raw/master/csl-citation.json"} </w:instrText>
      </w:r>
      <w:r>
        <w:fldChar w:fldCharType="separate"/>
      </w:r>
      <w:r w:rsidR="00E17813" w:rsidRPr="00E17813">
        <w:rPr>
          <w:rFonts w:cs="Times New Roman"/>
          <w:kern w:val="0"/>
          <w:vertAlign w:val="superscript"/>
        </w:rPr>
        <w:t>[51</w:t>
      </w:r>
      <w:r w:rsidR="00BA516A">
        <w:rPr>
          <w:rFonts w:cs="Times New Roman"/>
          <w:kern w:val="0"/>
          <w:vertAlign w:val="superscript"/>
        </w:rPr>
        <w:t>-</w:t>
      </w:r>
      <w:r w:rsidR="00E17813" w:rsidRPr="00E17813">
        <w:rPr>
          <w:rFonts w:cs="Times New Roman"/>
          <w:kern w:val="0"/>
          <w:vertAlign w:val="superscript"/>
        </w:rPr>
        <w:t>52]</w:t>
      </w:r>
      <w:r>
        <w:fldChar w:fldCharType="end"/>
      </w:r>
      <w:r w:rsidRPr="006B4AC8">
        <w:rPr>
          <w:rFonts w:hint="eastAsia"/>
        </w:rPr>
        <w:t>。</w:t>
      </w:r>
      <w:r>
        <w:rPr>
          <w:rFonts w:hint="eastAsia"/>
        </w:rPr>
        <w:t>例如，</w:t>
      </w:r>
      <w:r>
        <w:t>清洁能源基地开发</w:t>
      </w:r>
      <w:r>
        <w:rPr>
          <w:rFonts w:hint="eastAsia"/>
        </w:rPr>
        <w:t>往往面临复杂的地质条件，涉及更繁杂的设计、施工流程，也会产生更加庞大的工程数据</w:t>
      </w:r>
      <w:r>
        <w:fldChar w:fldCharType="begin"/>
      </w:r>
      <w:r w:rsidR="00EB7246">
        <w:instrText xml:space="preserve"> ADDIN ZOTERO_ITEM CSL_CITATION {"citationID":"KQyPEwn9","properties":{"formattedCitation":"\\super [34]\\nosupersub{}","plainCitation":"[34]","noteIndex":0},"citationItems":[{"id":684,"uris":["http://zotero.org/users/13172592/items/ZYN4KCDV"],"itemData":{"id":684,"type":"article-journal","abstract":"The intermittent characteristic of a solar-alone or a wind-alone power generation system prevents the standalone renewable energy system from being fully reliable without suitable energy storage capability. In this study, the most traditional and mature storage technology, pumped hydro storage (PHS), is introduced to support the standalone microgrid hybrid solar-wind system. This paper explores a new solution for the challenging task about energy storage. A mathematical model of the hybrid system is developed and the operating principle is introduced. The proposed system is applied in a case study to power a remote island in Hong Kong, and its technical feasibility is then examined. The hour-by-hour simulation results indicate that the intermittent nature of the renewables can be compensated by introducing the PHS technology. Therefore, a reliable and environmentally friendly power supply can be provided. The results demonstrate that technically the PHS based renewable energy system is an ideal solution to achieve 100% energy autonomy in remote communities.","call-number":"1","container-title":"Renewable Energy","DOI":"10.1016/j.renene.2014.03.028","ISSN":"09601481","journalAbbreviation":"Renewable Energy","language":"en","page":"7-15","source":"8.7","title":"Technical feasibility study on a standalone hybrid solar-wind system with pumped hydro storage for a remote island in Hong Kong","volume":"69","author":[{"family":"Ma","given":"Tao"},{"family":"Yang","given":"Hongxing"},{"family":"Lu","given":"Lin"},{"family":"Peng","given":"Jinqing"}],"issued":{"date-parts":[["2014",9]]}}}],"schema":"https://github.com/citation-style-language/schema/raw/master/csl-citation.json"} </w:instrText>
      </w:r>
      <w:r>
        <w:fldChar w:fldCharType="separate"/>
      </w:r>
      <w:r w:rsidR="00EB7246" w:rsidRPr="00EB7246">
        <w:rPr>
          <w:rFonts w:cs="Times New Roman"/>
          <w:kern w:val="0"/>
          <w:vertAlign w:val="superscript"/>
        </w:rPr>
        <w:t>[34]</w:t>
      </w:r>
      <w:r>
        <w:fldChar w:fldCharType="end"/>
      </w:r>
      <w:r>
        <w:rPr>
          <w:rFonts w:hint="eastAsia"/>
        </w:rPr>
        <w:t>。</w:t>
      </w:r>
      <w:r w:rsidRPr="006B4AC8">
        <w:rPr>
          <w:rFonts w:hint="eastAsia"/>
        </w:rPr>
        <w:t>构建一体化信息管理平台，能够有效集成项目群的数据</w:t>
      </w:r>
      <w:r>
        <w:fldChar w:fldCharType="begin"/>
      </w:r>
      <w:r w:rsidR="00EB7246">
        <w:instrText xml:space="preserve"> ADDIN ZOTERO_ITEM CSL_CITATION {"citationID":"a16eaercq5j","properties":{"formattedCitation":"\\super [41]\\nosupersub{}","plainCitation":"[41]","noteIndex":0},"citationItems":[{"id":3784,"uris":["http://zotero.org/users/13172592/items/LYITPWEF"],"itemData":{"id":3784,"type":"article-journal","abstract":"By focusing on a distributed energy system that has been widely diffused for efficient utilization of renewable energy generation in recent years, this paper investigates the relationship between productivity growth and information and communications technology capital in the energy sector. Information and communications technology is a key factor in operating distributed energy systems in a way that balances energy supply and demand in order to minimize energy loss and to enhance capacity utilization. The objective of this study is to clarify the determining factors that affect productivity growth, focusing on three different information and communications technologies: information technology capital, communication technology capital and software capital. Our estimation sample covers energy sectors in 14 countries from 2000 to 2014. The results show that information technology and software capital contribute to increasing material productivity and capital productivity in the energy sector, respectively. Meanwhile, communication technology capital negatively affects these two productivity indicators.","container-title":"Energies","DOI":"10.3390/en12091786","ISSN":"1996-1073","issue":"9","language":"en","license":"http://creativecommons.org/licenses/by/3.0/","note":"number: 9\npublisher: Multidisciplinary Digital Publishing Institute\nTLDR: The results show that information technology and software capital contribute to increasing material productivity and capital productivity in the energy sector, respectively, while communication technology capital negatively affects these two productivity indicators.","page":"1786","source":"3","title":"How does information and communication technology capital affect productivity in the energy sector? New evidence from 14 countries, considering the transition to renewable energy systems","title-short":"How does information and communication technology capital affect productivity in the energy sector?","volume":"12","author":[{"family":"Fujii","given":"Hidemichi"},{"family":"Shinozaki","given":"Akihiko"},{"family":"Kagawa","given":"Shigemi"},{"family":"Managi","given":"Shunsuke"}],"issued":{"date-parts":[["2019",1]]}}}],"schema":"https://github.com/citation-style-language/schema/raw/master/csl-citation.json"} </w:instrText>
      </w:r>
      <w:r>
        <w:fldChar w:fldCharType="separate"/>
      </w:r>
      <w:r w:rsidR="00EB7246" w:rsidRPr="00EB7246">
        <w:rPr>
          <w:rFonts w:cs="Times New Roman"/>
          <w:kern w:val="0"/>
          <w:vertAlign w:val="superscript"/>
        </w:rPr>
        <w:t>[41]</w:t>
      </w:r>
      <w:r>
        <w:fldChar w:fldCharType="end"/>
      </w:r>
      <w:r>
        <w:rPr>
          <w:rFonts w:hint="eastAsia"/>
        </w:rPr>
        <w:t>；也需建立配套的</w:t>
      </w:r>
      <w:r w:rsidRPr="006B4AC8">
        <w:rPr>
          <w:rFonts w:hint="eastAsia"/>
        </w:rPr>
        <w:t>数字化业务流程，</w:t>
      </w:r>
      <w:r>
        <w:rPr>
          <w:rFonts w:hint="eastAsia"/>
        </w:rPr>
        <w:t>以充分发挥信息技术的潜力</w:t>
      </w:r>
      <w:r>
        <w:fldChar w:fldCharType="begin"/>
      </w:r>
      <w:r w:rsidR="00EB7246">
        <w:instrText xml:space="preserve"> ADDIN ZOTERO_ITEM CSL_CITATION {"citationID":"a2mb8t24927","properties":{"formattedCitation":"\\super [42]\\nosupersub{}","plainCitation":"[42]","noteIndex":0},"citationItems":[{"id":3782,"uris":["http://zotero.org/users/13172592/items/ZSPGCAZW"],"itemData":{"id":3782,"type":"article-journal","abstract":"Renewable energy technology innovation (RETI) has become a key factor in mitigating climate change and promoting sustainable development of the world economy, but there is no literature on the effect of information and communication technology (ICT) on RETI and its impact mechanism. This paper measures RETI using panel data for 70 countries from 2005 to 2019 based on the combination of diffusion and depreciation effects of technological innovation and systematically examines the direct and mediating mechanisms of ICT's effect on RETI. The results show that ICT significantly contributes to RETI and even holds after addressing endogeneity, replacing the explanatory or explanatory variables, excluding extreme values, and excluding the effects of the financial crisis. The results of the transmission mechanism analysis indicate that ICT affects RETI through human capital accumulation, financial development, and information disclosure, meaning that human capital, financial development, and information disclosure are important mediating transmission mechanisms. The results of heterogeneity analysis note significant economic organizational heterogeneity and innovation environment heterogeneity of ICT to RETI. Specifically, in IEA and OECD member nations as well as in the high renewable energy consumption and high R&amp;D investment groups, the contribution effect of ICT on RETI is more significant.","call-number":"1","container-title":"Renewable Energy","DOI":"10.1016/j.renene.2022.10.015","ISSN":"0960-1481","journalAbbreviation":"Renewable Energy","language":"en","page":"546-557","source":"9","title":"How does information and communication technology affect renewable energy technology innovation? International evidence","title-short":"How does information and communication technology affect renewable energy technology innovation?","volume":"200","author":[{"family":"Lee","given":"Chien-Chiang"},{"family":"He","given":"Zhi-Wen"},{"family":"Xiao","given":"Fu"}],"issued":{"date-parts":[["2022",11,1]]}}}],"schema":"https://github.com/citation-style-language/schema/raw/master/csl-citation.json"} </w:instrText>
      </w:r>
      <w:r>
        <w:fldChar w:fldCharType="separate"/>
      </w:r>
      <w:r w:rsidR="00EB7246" w:rsidRPr="00EB7246">
        <w:rPr>
          <w:rFonts w:cs="Times New Roman"/>
          <w:kern w:val="0"/>
          <w:vertAlign w:val="superscript"/>
        </w:rPr>
        <w:t>[42]</w:t>
      </w:r>
      <w:r>
        <w:fldChar w:fldCharType="end"/>
      </w:r>
      <w:r w:rsidRPr="006B4AC8">
        <w:rPr>
          <w:rFonts w:hint="eastAsia"/>
        </w:rPr>
        <w:t>。</w:t>
      </w:r>
    </w:p>
    <w:p w14:paraId="39AF5227" w14:textId="6C68B426" w:rsidR="000132E7" w:rsidRDefault="000132E7" w:rsidP="000132E7">
      <w:pPr>
        <w:ind w:firstLine="420"/>
      </w:pPr>
      <w:r>
        <w:t>清洁能源基地</w:t>
      </w:r>
      <w:r w:rsidRPr="0093489A">
        <w:t>开发</w:t>
      </w:r>
      <w:r w:rsidRPr="0093489A">
        <w:rPr>
          <w:rFonts w:hint="eastAsia"/>
        </w:rPr>
        <w:t>也面临</w:t>
      </w:r>
      <w:r>
        <w:rPr>
          <w:rFonts w:hint="eastAsia"/>
        </w:rPr>
        <w:t>复杂</w:t>
      </w:r>
      <w:r w:rsidRPr="0093489A">
        <w:rPr>
          <w:rFonts w:hint="eastAsia"/>
        </w:rPr>
        <w:t>多变的自然、社会、经济与政策环境</w:t>
      </w:r>
      <w:r w:rsidRPr="0093489A">
        <w:fldChar w:fldCharType="begin"/>
      </w:r>
      <w:r w:rsidR="00E17813">
        <w:instrText xml:space="preserve"> ADDIN ZOTERO_ITEM CSL_CITATION {"citationID":"O3xt7wad","properties":{"formattedCitation":"\\super [49]\\nosupersub{}","plainCitation":"[49]","noteIndex":0},"citationItems":[{"id":3031,"uris":["http://zotero.org/users/13172592/items/2YQAPHEH"],"itemData":{"id":3031,"type":"article-journal","abstract":"Owed to their enormous impact on the sustainable development of energy security, climate change, and the economy, multiple renewable-energy projects are carried out around the world, both in developed and in developing countries. Since the construction of renewable energy project is an entrepreneurial activity, there is a big concern about the success of such projects. Although pertinent literature suggests several methodologies to enhance the success of various projects, renewable-energy projects are still overlooked. This study identifies multiple critical success factors (CSFs), required for renewable-energy projects. Using a sample of 272 firms working on renewable energy projects in Pakistan, a quantitative and causal study was undertaken to identify the critical success factors (CSFs). Structural equation modeling (SEM) was applied to test and verify hypothesis. The results show that there is a strong direct dependency of project success over the proposed factors, however environmental factors are found to be the only predominant CSFs which show the significant indirect effect on project success. The study expected to contribute towards and widen up the existing knowledge base for the project performance of renewable energy projects by adding on the findings regarding critical success factors.","call-number":"3","container-title":"Journal of Civil Engineering and Management","DOI":"10.3846/jcem.2018.1691","ISSN":"1392-3730, 1822-3605","issue":"3","language":"en","page":"223-237","source":"4.3","title":"Identifying the critical success factors and their relevant aspects for renewable energy projects: An empirical perspective","volume":"24","author":[{"family":"Maqbool","given":"Rashid"},{"family":"Rashid","given":"Yahya"},{"family":"Sultana","given":"Saira"},{"family":"Sudong","given":"Ye"}],"issued":{"date-parts":[["2018",5,28]]}}}],"schema":"https://github.com/citation-style-language/schema/raw/master/csl-citation.json"} </w:instrText>
      </w:r>
      <w:r w:rsidRPr="0093489A">
        <w:fldChar w:fldCharType="separate"/>
      </w:r>
      <w:r w:rsidR="00E17813" w:rsidRPr="00E17813">
        <w:rPr>
          <w:rFonts w:cs="Times New Roman"/>
          <w:kern w:val="0"/>
          <w:vertAlign w:val="superscript"/>
        </w:rPr>
        <w:t>[49]</w:t>
      </w:r>
      <w:r w:rsidRPr="0093489A">
        <w:fldChar w:fldCharType="end"/>
      </w:r>
      <w:r>
        <w:rPr>
          <w:rFonts w:hint="eastAsia"/>
        </w:rPr>
        <w:t>。</w:t>
      </w:r>
      <w:r>
        <w:t>其中，国家层面的财税补贴与政策支持对清洁能源项目的顺利实施及经济收益具有重要影响</w:t>
      </w:r>
      <w:r w:rsidRPr="00D95F17">
        <w:rPr>
          <w:highlight w:val="yellow"/>
        </w:rPr>
        <w:fldChar w:fldCharType="begin"/>
      </w:r>
      <w:r w:rsidR="00EB7246">
        <w:rPr>
          <w:highlight w:val="yellow"/>
        </w:rPr>
        <w:instrText xml:space="preserve"> ADDIN ZOTERO_ITEM CSL_CITATION {"citationID":"hGvTAddi","properties":{"formattedCitation":"\\super [4]\\nosupersub{}","plainCitation":"[4]","noteIndex":0},"citationItems":[{"id":3701,"uris":["http://zotero.org/users/13172592/items/DIB9DINA"],"itemData":{"id":3701,"type":"article-journal","abstract":"The future of electriﬁcation of Africa lies within off-grid generation via renewable energy (RE). Although many RE projects have started across the Sub-Sahara, especially public projects are seldom successful. This study engages directly (ethnographically) with the local communities beneﬁtting or expected to beneﬁt from the projects, the implementing organizations and government.","call-number":"1","container-title":"Renewable Energy","DOI":"10.1016/j.renene.2016.10.037","ISSN":"09601481","journalAbbreviation":"Renewable Energy","language":"en","page":"234-240","source":"9","title":"The empirical reality &amp; sustainable management failures of renewable energy projects in Sub-Saharan Africa (part 1 of 2)","volume":"102","author":[{"family":"Ikejemba","given":"Eugene C.X."},{"family":"Mpuan","given":"Peter B."},{"family":"Schuur","given":"Peter C."},{"family":"Van Hillegersberg","given":"Jos"}],"issued":{"date-parts":[["2017",3]]}}}],"schema":"https://github.com/citation-style-language/schema/raw/master/csl-citation.json"} </w:instrText>
      </w:r>
      <w:r w:rsidRPr="00D95F17">
        <w:rPr>
          <w:highlight w:val="yellow"/>
        </w:rPr>
        <w:fldChar w:fldCharType="separate"/>
      </w:r>
      <w:r w:rsidR="00EB7246" w:rsidRPr="00EB7246">
        <w:rPr>
          <w:rFonts w:cs="Times New Roman"/>
          <w:kern w:val="0"/>
          <w:vertAlign w:val="superscript"/>
        </w:rPr>
        <w:t>[4]</w:t>
      </w:r>
      <w:r w:rsidRPr="00D95F17">
        <w:rPr>
          <w:highlight w:val="yellow"/>
        </w:rPr>
        <w:fldChar w:fldCharType="end"/>
      </w:r>
      <w:r>
        <w:rPr>
          <w:rFonts w:hint="eastAsia"/>
        </w:rPr>
        <w:t>。</w:t>
      </w:r>
      <w:r>
        <w:t>业主</w:t>
      </w:r>
      <w:r w:rsidRPr="00AA25BC">
        <w:rPr>
          <w:rFonts w:hint="eastAsia"/>
        </w:rPr>
        <w:t>需保持对政策法规变动、市场需求</w:t>
      </w:r>
      <w:r>
        <w:rPr>
          <w:rFonts w:hint="eastAsia"/>
        </w:rPr>
        <w:t>波动</w:t>
      </w:r>
      <w:r w:rsidRPr="00AA25BC">
        <w:rPr>
          <w:rFonts w:hint="eastAsia"/>
        </w:rPr>
        <w:t>以及自然环境变化的敏锐感知</w:t>
      </w:r>
      <w:r>
        <w:rPr>
          <w:rFonts w:hint="eastAsia"/>
        </w:rPr>
        <w:t>，</w:t>
      </w:r>
      <w:r>
        <w:t>并通过优化资源配置，及时应对潜在风险与挑战</w:t>
      </w:r>
      <w:r>
        <w:rPr>
          <w:rFonts w:hint="eastAsia"/>
        </w:rPr>
        <w:t>。</w:t>
      </w:r>
      <w:r>
        <w:t>同时，业主应建立知识管理</w:t>
      </w:r>
      <w:r>
        <w:rPr>
          <w:rFonts w:hint="eastAsia"/>
        </w:rPr>
        <w:t>体系</w:t>
      </w:r>
      <w:r>
        <w:t>，总结并吸收过往经验，不断提升管理能力</w:t>
      </w:r>
      <w:r>
        <w:rPr>
          <w:rFonts w:hint="eastAsia"/>
        </w:rPr>
        <w:t>，快速适应环境变化</w:t>
      </w:r>
      <w:r w:rsidRPr="0093489A">
        <w:fldChar w:fldCharType="begin"/>
      </w:r>
      <w:r w:rsidR="00E17813">
        <w:instrText xml:space="preserve"> ADDIN ZOTERO_ITEM CSL_CITATION {"citationID":"myIg1KkA","properties":{"formattedCitation":"\\super [53]\\nosupersub{}","plainCitation":"[53]","noteIndex":0},"citationItems":[{"id":3803,"uris":["http://zotero.org/users/13172592/items/YTLSDMGW"],"itemData"</w:instrText>
      </w:r>
      <w:r w:rsidR="00E17813">
        <w:rPr>
          <w:rFonts w:hint="eastAsia"/>
        </w:rPr>
        <w:instrText>:{"id":3803,"type":"thesis","event-place":"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价值共创视角下水利水电工程设计管理研究</w:instrText>
      </w:r>
      <w:r w:rsidR="00E17813">
        <w:rPr>
          <w:rFonts w:hint="eastAsia"/>
        </w:rPr>
        <w:instrText>","author":[{"family":"</w:instrText>
      </w:r>
      <w:r w:rsidR="00E17813">
        <w:rPr>
          <w:rFonts w:hint="eastAsia"/>
        </w:rPr>
        <w:instrText>刘</w:instrText>
      </w:r>
      <w:r w:rsidR="00E17813">
        <w:rPr>
          <w:rFonts w:hint="eastAsia"/>
        </w:rPr>
        <w:instrText>","given":"</w:instrText>
      </w:r>
      <w:r w:rsidR="00E17813">
        <w:rPr>
          <w:rFonts w:hint="eastAsia"/>
        </w:rPr>
        <w:instrText>扬</w:instrText>
      </w:r>
      <w:r w:rsidR="00E17813">
        <w:rPr>
          <w:rFonts w:hint="eastAsia"/>
        </w:rPr>
        <w:instrText>"}],"issued":{"date-parts":[["2023"]]}}}],"schema":"https://github.com/citation-style-language/schema/</w:instrText>
      </w:r>
      <w:r w:rsidR="00E17813">
        <w:instrText xml:space="preserve">raw/master/csl-citation.json"} </w:instrText>
      </w:r>
      <w:r w:rsidRPr="0093489A">
        <w:fldChar w:fldCharType="separate"/>
      </w:r>
      <w:r w:rsidR="00E17813" w:rsidRPr="00E17813">
        <w:rPr>
          <w:rFonts w:cs="Times New Roman"/>
          <w:kern w:val="0"/>
          <w:vertAlign w:val="superscript"/>
        </w:rPr>
        <w:t>[53]</w:t>
      </w:r>
      <w:r w:rsidRPr="0093489A">
        <w:fldChar w:fldCharType="end"/>
      </w:r>
      <w:r>
        <w:rPr>
          <w:rFonts w:hint="eastAsia"/>
        </w:rPr>
        <w:t>。</w:t>
      </w:r>
    </w:p>
    <w:p w14:paraId="47029939" w14:textId="6EDC2D9E" w:rsidR="000132E7" w:rsidRPr="000132E7" w:rsidRDefault="000132E7" w:rsidP="00BC1DF7">
      <w:pPr>
        <w:ind w:firstLine="420"/>
      </w:pPr>
      <w:r>
        <w:rPr>
          <w:rFonts w:hint="eastAsia"/>
        </w:rPr>
        <w:t>在适应外部环境变化的同时，业主也需联合利益相关各方进一步实现技术与管理层面的优化与创</w:t>
      </w:r>
      <w:r>
        <w:rPr>
          <w:rFonts w:hint="eastAsia"/>
        </w:rPr>
        <w:t>新</w:t>
      </w:r>
      <w:r>
        <w:fldChar w:fldCharType="begin"/>
      </w:r>
      <w:r w:rsidR="00E17813">
        <w:instrText xml:space="preserve"> ADDIN ZOTERO_ITEM CSL_CITATION {"citationID":"a26rnqc5d5a","properties":{"formattedCitation":"\\super [54]\\nosupersub{}","plainCitation":"[54]","noteIndex":0},"citationItems":[{"id":2996,"uris":["http://zotero.org/users/13172592/items/9VHB8M2S"],"itemDa</w:instrText>
      </w:r>
      <w:r w:rsidR="00E17813">
        <w:rPr>
          <w:rFonts w:hint="eastAsia"/>
        </w:rPr>
        <w:instrText>ta":{"id":2996,"type":"thesis","event-place":"</w:instrText>
      </w:r>
      <w:r w:rsidR="00E17813">
        <w:rPr>
          <w:rFonts w:hint="eastAsia"/>
        </w:rPr>
        <w:instrText>北京</w:instrText>
      </w:r>
      <w:r w:rsidR="00E17813">
        <w:rPr>
          <w:rFonts w:hint="eastAsia"/>
        </w:rPr>
        <w:instrText>","language":"en-US","publisher":"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清洁能源工程科技创新机理研究</w:instrText>
      </w:r>
      <w:r w:rsidR="00E17813">
        <w:rPr>
          <w:rFonts w:hint="eastAsia"/>
        </w:rPr>
        <w:instrText>","author":[{"family":"</w:instrText>
      </w:r>
      <w:r w:rsidR="00E17813">
        <w:rPr>
          <w:rFonts w:hint="eastAsia"/>
        </w:rPr>
        <w:instrText>张亚坤</w:instrText>
      </w:r>
      <w:r w:rsidR="00E17813">
        <w:rPr>
          <w:rFonts w:hint="eastAsia"/>
        </w:rPr>
        <w:instrText>","given":""}],"issued":{"date-parts":[["2024"]]}}}],"schema":"https://github.com/citation-styl</w:instrText>
      </w:r>
      <w:r w:rsidR="00E17813">
        <w:instrText xml:space="preserve">e-language/schema/raw/master/csl-citation.json"} </w:instrText>
      </w:r>
      <w:r>
        <w:fldChar w:fldCharType="separate"/>
      </w:r>
      <w:r w:rsidR="00E17813" w:rsidRPr="00E17813">
        <w:rPr>
          <w:rFonts w:cs="Times New Roman"/>
          <w:kern w:val="0"/>
          <w:vertAlign w:val="superscript"/>
        </w:rPr>
        <w:t>[54]</w:t>
      </w:r>
      <w:r>
        <w:fldChar w:fldCharType="end"/>
      </w:r>
      <w:r>
        <w:rPr>
          <w:rFonts w:hint="eastAsia"/>
        </w:rPr>
        <w:t>。技术层面，应</w:t>
      </w:r>
      <w:r>
        <w:t>密切关注前沿技术发展，及时应用新技术、新工艺、新材料，</w:t>
      </w:r>
      <w:r>
        <w:rPr>
          <w:rFonts w:hint="eastAsia"/>
        </w:rPr>
        <w:t>以</w:t>
      </w:r>
      <w:r>
        <w:t>提升清洁能源基地</w:t>
      </w:r>
      <w:r w:rsidRPr="0093489A">
        <w:t>开发</w:t>
      </w:r>
      <w:r>
        <w:rPr>
          <w:rFonts w:hint="eastAsia"/>
        </w:rPr>
        <w:t>的</w:t>
      </w:r>
      <w:r>
        <w:t>技术水平</w:t>
      </w:r>
      <w:r w:rsidRPr="0093489A">
        <w:fldChar w:fldCharType="begin"/>
      </w:r>
      <w:r w:rsidR="00E17813">
        <w:instrText xml:space="preserve"> ADDIN ZOTERO_ITEM CSL_CITATION {"citationID":"sEMJXiGu","properties":{"formattedCitation":"\\super [55]\\nosupersub{}","plainCitation":"[55]","noteIndex":0},"citationItems":[{"id":2358,"uris":["http://zotero.org/users/13172592/items/E9Z93RH2"],"itemData":{"id":2358,"type":"article-journal","call-number":"4","container-title":"Journal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megaprojects","author":[{"family":"Wang","given":"Dedong"},{"family":"Zhao","given":"Xiaoru"}],"issued":{"date-parts":[["2024",3,17]]}}}],"schema":"https://github.com/citation-style-language/schema/raw/master/csl-citation.json"} </w:instrText>
      </w:r>
      <w:r w:rsidRPr="0093489A">
        <w:fldChar w:fldCharType="separate"/>
      </w:r>
      <w:r w:rsidR="00E17813" w:rsidRPr="00E17813">
        <w:rPr>
          <w:rFonts w:cs="Times New Roman"/>
          <w:kern w:val="0"/>
          <w:vertAlign w:val="superscript"/>
        </w:rPr>
        <w:t>[55]</w:t>
      </w:r>
      <w:r w:rsidRPr="0093489A">
        <w:fldChar w:fldCharType="end"/>
      </w:r>
      <w:r>
        <w:t>。</w:t>
      </w:r>
      <w:r>
        <w:rPr>
          <w:rFonts w:hint="eastAsia"/>
        </w:rPr>
        <w:t>管理层面，则应重视风险管理，及时辨识潜在风险因素，以更好地应对项目开发的不确定性；也需明确</w:t>
      </w:r>
      <w:r>
        <w:t>利益相关方协作机制，</w:t>
      </w:r>
      <w:r>
        <w:rPr>
          <w:rFonts w:hint="eastAsia"/>
        </w:rPr>
        <w:t>积极</w:t>
      </w:r>
      <w:r>
        <w:t>引入外部知识</w:t>
      </w:r>
      <w:r>
        <w:rPr>
          <w:rFonts w:hint="eastAsia"/>
        </w:rPr>
        <w:t>，以</w:t>
      </w:r>
      <w:r>
        <w:t>不断</w:t>
      </w:r>
      <w:r>
        <w:rPr>
          <w:rFonts w:hint="eastAsia"/>
        </w:rPr>
        <w:t>优化</w:t>
      </w:r>
      <w:r>
        <w:t>管理流程</w:t>
      </w:r>
      <w:r>
        <w:fldChar w:fldCharType="begin"/>
      </w:r>
      <w:r w:rsidR="00E17813">
        <w:instrText xml:space="preserve"> ADDIN ZOTERO_ITEM CSL_CITATION {"citationID":"a3fjlpcpv","properties":{"formattedCitation":"\\super [56,57]\\nosupersub{}","plainCitation":"[56,57]","noteIndex":0},"citationItems":[{"id":3707,"uris":["http://zotero.org/users/13172592/items/8BFVII23"],"itemData":{"id":3707,"type":"article-journal","abstract":"There is a rapidly increasing demand for hydropower in China. However, little research has been conducted to systematically investigate the overall aspects of hydropower development risks. With support of the data collected from a fieldwork survey, this study reports the multiple facets of hydropower development risks in China as perceived by main project participants. All groups have a common view on the criticality of safety, and the groups also have their own priorities, i.e., resettlement of migrants, incompetence of subcontractors, project delay, inadequate or incorrect design, premature failure of facilities and ecological and environmental impacts are the key risks to clients, whereas quality of work, financial related risks, reputation, and claims and disputes are the main concerns to contractors. A case study of Three Gorges Project further demonstrates that, hydropower development risks can be effectively managed by encouraging joint efforts of all participants to achieve the goals on producing renewable energy, reducing emissions of CO2, and providing important social/economical benefits. Future hydropower development should emphasize the interactions between project delivery, environmental, and economical processes to reach appropriate trade-offs among involving stakeholders, by adequately considering the inter-relations between project participants' risks as well as hydropower project's externalities on a broad view.","call-number":"1","container-title":"Energy","DOI":"10.1016/j.energy.2013.08.034","ISSN":"0360-5442","journalAbbreviation":"Energy","language":"en","page":"316-324","source":"9","title":"Risk management of hydropower development in China","volume":"60","author":[{"family":"Tang","given":"Wenzhe"},{"family":"Li","given":"Zhuoyu"},{"family":"Qiang","given":"Maoshan"},{"family":"Wang","given":"Shuli"},{"family":"Lu","given":"Youmei"}],"issued":{"date-parts":[["2013",10,1]]}}},{"id":3718,"uris":["http://zotero.org/users/13172592/items/F3U4KHM8"],"itemData":{"id":3718,"type":"article-journal","abstract":"The construction phase of onshore wind farm projects involves different types of risks that hinder their development. This study aims to identify and assess risk factors that affect the construction of onshore wind farm projects and rank them based on their severity as assessed from the Canadian perspective. Thirty risk factors were collected through an extensive literature review. Then, experts were asked to subjectively evaluate the probability and impact of each factor on project cost, time, quality, and safety. The fuzzy technique for order of preference by similarity to ideal solution (fuzzy TOPSIS) and the fuzzy analytic hierarchy process (fuzzy AHP) were used to rank these risk factors based on their severity. The closeness coefficient (CC) indicated that a lack of management expertise, a shortage of resources required for project delivery, adverse weather, material damage during construction, and failure to keep up with recent innovative technology are the most severe risks affecting onshore wind farm projects in Canada with CC values of 0.9710, 0.9642, 0.9635, 0.9575, and 0.9450, respectively. The findings of this study support the decision making of investors and contractors who work in the Canadian wind energy industry by highlighting the critical risk factors. Moreover, this study is beneficial for decision makers in other jurisdictions since a review and a list of risk factors that affect the construction of onshore wind projects are provided herein.","container-title":"Renewable and Sustainable Energy Reviews","DOI":"10.1016/j.rser.2023.114145","ISSN":"1364-0321","journalAbbreviation":"Renewable and Sustainable Energy Reviews","language":"en","page":"114145","source":"ScienceDirect","title":"Risk assessment for onshore wind projects in Canada","volume":"191","author":[{"family":"Mohamed","given":"Emad"},{"family":"Seresht","given":"Nima Gerami"},{"family":"Jafari","given":"Parinaz"},{"family":"AbouRizk","given":"Simaan"}],"issued":{"date-parts":[["2024",3,1]]}}}],"schema":"https://github.com/citation-style-language/schema/raw/master/csl-citation.json"} </w:instrText>
      </w:r>
      <w:r>
        <w:fldChar w:fldCharType="separate"/>
      </w:r>
      <w:r w:rsidR="00E17813" w:rsidRPr="00E17813">
        <w:rPr>
          <w:rFonts w:cs="Times New Roman"/>
          <w:kern w:val="0"/>
          <w:vertAlign w:val="superscript"/>
        </w:rPr>
        <w:t>[56</w:t>
      </w:r>
      <w:r w:rsidR="00BA516A">
        <w:rPr>
          <w:rFonts w:cs="Times New Roman"/>
          <w:kern w:val="0"/>
          <w:vertAlign w:val="superscript"/>
        </w:rPr>
        <w:t>-</w:t>
      </w:r>
      <w:r w:rsidR="00E17813" w:rsidRPr="00E17813">
        <w:rPr>
          <w:rFonts w:cs="Times New Roman"/>
          <w:kern w:val="0"/>
          <w:vertAlign w:val="superscript"/>
        </w:rPr>
        <w:t>57]</w:t>
      </w:r>
      <w:r>
        <w:fldChar w:fldCharType="end"/>
      </w:r>
      <w:r>
        <w:rPr>
          <w:rFonts w:hint="eastAsia"/>
        </w:rPr>
        <w:t>。</w:t>
      </w:r>
    </w:p>
    <w:p w14:paraId="2291751B" w14:textId="47DCC981" w:rsidR="00BC1DF7" w:rsidRDefault="000132E7" w:rsidP="00873BC4">
      <w:pPr>
        <w:pStyle w:val="3"/>
      </w:pPr>
      <w:bookmarkStart w:id="0" w:name="_Toc198492772"/>
      <w:r>
        <w:rPr>
          <w:rFonts w:hint="eastAsia"/>
        </w:rPr>
        <w:t>管理制度</w:t>
      </w:r>
      <w:bookmarkEnd w:id="0"/>
    </w:p>
    <w:p w14:paraId="239D2261" w14:textId="3A6B60F8" w:rsidR="000132E7" w:rsidRDefault="000132E7" w:rsidP="000132E7">
      <w:pPr>
        <w:ind w:firstLine="420"/>
      </w:pPr>
      <w:r>
        <w:rPr>
          <w:rFonts w:hint="eastAsia"/>
        </w:rPr>
        <w:t>项目管理制度旨在明确利益相关方责权分配，规范项目开发与管理流程，并制定考核与激励机制，以提升项目管理效率</w:t>
      </w:r>
      <w:r w:rsidRPr="004924D6">
        <w:fldChar w:fldCharType="begin"/>
      </w:r>
      <w:r w:rsidR="00E17813">
        <w:instrText xml:space="preserve"> ADDIN ZOTERO_ITEM CSL_CITATION {"citationID":"K2z44r88","properties":{"formattedCitation":"\\super [58,59]\\nosupersub{}","plainCitation":"[58,59]","noteIndex":0},"citationItems":[{"id":3641,"uris":["http://zotero.org/users/13172592/items/E8ZZWK6Q"],"itemData":{"id":3641,"type":"article-journal","abstract":"Public infrastructure projects must comply with the divergent and even conflicting demands of multiple institutional logics causing institutional complexity. Despite the increasing interest in different forms of complexities in projects, we lack empirical illustrations and rigorous theorizing of mechanisms for responding to institutional complexity. This paper demonstrates how public buyers of a tunnel construction project formed a hybrid organization of a multi-party project alliance to respond to institutional complexity. We delineate a process of temporary hybridization through which the competing logics of a bureaucratic state, corporate market, and multiple professions were combined within the temporary project alliance organization. Such temporary hybridization not only focused on selective coupling with external demands but also mitigated internal tensions. Our findings emphasize a blended organizational structure, jointly formed governance and incentive systems, and the facilitation of social interaction to build a temporary yet sustainable hybrid organization capable of combining conflicting institutional logics.","call-number":"1","collection-title":"Projects, Organizations and Institutions","container-title":"International Journal of Project Management","DOI":"10.1016/j.ijproman.2018.07.004","ISSN":"0263-7863","issue":"2","journalAbbreviation":"International Journal of Project Management","language":"en","page":"298-317","source":"7.4","title":"Politics, public servants, and profits: Institutional complexity and temporary hybridization in a public infrastructure alliance project","title-short":"Politics, public servants, and profits","volume":"37","author":[{"family":"Matinheikki","given":"Juri"},{"family":"Aaltonen","given":"Kirsi"},{"family":"Walker","given":"Derek"}],"issued":{"date-parts":[["2019",2,1]]}}},{"id":3643,"uris":["http://zotero.org/users/13172592/items/4AWXSLXW"],"itemData":{"id":3643,"type":"article-journal","abstract":"Understanding the drivers of low-carbon practices in green supply chain management in the construction industry is essential because it largely addresses the major problem of global warming due to carbon dioxide emissions. The purpose of this study is to investigate key drivers of low-carbon practices in green supply chain management in construction industry. Based on institutional theory, relational view theory, and self-determination theory, three drivers for low-carbon practices were identified, namely, environmental regulation, supply chain relationship, and organizational culture. Then a questionnaire was administered and data were collected from the owners, contractors, designers, and other relevant parties of the construction project. Partial least squares structural equation modeling was used to analyze data. The results show that supply chain relationship and organizational culture are positively and directly correlated with the low-carbon practices level of green supply chain management. In addition, this study also found that organizational culture partially mediates the relationship between supply chain relationship and low-carbon practices. Contrary to expectations, environmental regulation has no direct effect on practices, while supply chain relationship and organizational culture fully mediate the relationship between environmental regulation and practices. As limited research has been conducted to examine the drivers for green supply chain management low-carbon practices in the construction industry, this study bridges the knowledge gap and contributes to the current knowledge system of green supply chain management. Additionally, the findings of this study can provide authorities and practitioners with a deeper understanding of low-carbon practices in green supply chain management, and helping to propose more feasible measures to reduce carbon dioxide emissions and improve environmental performance.","call-number":"1","container-title":"Journal of Cleaner Production","DOI":"10.1016/j.jclepro.2023.139497","ISSN":"0959-6526","journalAbbreviation":"Journal of Cleaner Production","language":"en","page":"139497","source":"9.7","title":"Drivers of low-carbon practices in green supply chain management in construction industry: An empirical study in China","title-short":"Drivers of low-carbon practices in green supply chain management in construction industry","volume":"428","author":[{"family":"Fu","given":"Chun"},{"family":"Liu","given":"Ya-Qi"},{"family":"Shan","given":"Ming"}],"issued":{"date-parts":[["2023",11,20]]}}}],"schema":"https://github.com/citation-style-language/schema/raw/master/csl-citation.json"} </w:instrText>
      </w:r>
      <w:r w:rsidRPr="004924D6">
        <w:fldChar w:fldCharType="separate"/>
      </w:r>
      <w:r w:rsidR="00E17813" w:rsidRPr="00E17813">
        <w:rPr>
          <w:rFonts w:cs="Times New Roman"/>
          <w:kern w:val="0"/>
          <w:vertAlign w:val="superscript"/>
        </w:rPr>
        <w:t>[58</w:t>
      </w:r>
      <w:r w:rsidR="00BA516A">
        <w:rPr>
          <w:rFonts w:cs="Times New Roman"/>
          <w:kern w:val="0"/>
          <w:vertAlign w:val="superscript"/>
        </w:rPr>
        <w:t>-</w:t>
      </w:r>
      <w:r w:rsidR="00E17813" w:rsidRPr="00E17813">
        <w:rPr>
          <w:rFonts w:cs="Times New Roman"/>
          <w:kern w:val="0"/>
          <w:vertAlign w:val="superscript"/>
        </w:rPr>
        <w:t>59]</w:t>
      </w:r>
      <w:r w:rsidRPr="004924D6">
        <w:fldChar w:fldCharType="end"/>
      </w:r>
      <w:r w:rsidRPr="004924D6">
        <w:rPr>
          <w:rFonts w:hint="eastAsia"/>
        </w:rPr>
        <w:t>。</w:t>
      </w:r>
      <w:r w:rsidRPr="00EB2D8E">
        <w:rPr>
          <w:rFonts w:hint="eastAsia"/>
        </w:rPr>
        <w:t>清洁能源基地开发需根据社会与政策环境建立适配的管理制度体系。</w:t>
      </w:r>
      <w:r>
        <w:rPr>
          <w:rFonts w:hint="eastAsia"/>
        </w:rPr>
        <w:t>适宜的项目开发环境能够降低清洁能源基地设计、施工、采购、运维各环节的实施难度，减少开发过程中的不确定性与风险水平，进而减少各环节管理制度制定的复杂度</w:t>
      </w:r>
      <w:r w:rsidRPr="00F00752">
        <w:fldChar w:fldCharType="begin"/>
      </w:r>
      <w:r w:rsidR="00EB7246">
        <w:instrText xml:space="preserve"> ADDIN ZOTERO_ITEM CSL_CITATION {"citationID":"trs93gTu","properties":{"formattedCitation":"\\super [3]\\nosupersub{}","plainCitation":"[3]","noteIndex":0},"citationItems":[{"id":3663,"uris":["http://zotero.org/users/13172592/items/KBFEHVJI"],"itemData":{"id":3663,"type":"article-journal","abstract":"Renewable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K."}],"issued":{"date-parts":[["2014",10,1]]}}}],"schema":"https://github.com/citation-style-language/schema/raw/master/csl-citation.json"} </w:instrText>
      </w:r>
      <w:r w:rsidRPr="00F00752">
        <w:fldChar w:fldCharType="separate"/>
      </w:r>
      <w:r w:rsidR="00EB7246" w:rsidRPr="00EB7246">
        <w:rPr>
          <w:rFonts w:cs="Times New Roman"/>
          <w:kern w:val="0"/>
          <w:vertAlign w:val="superscript"/>
        </w:rPr>
        <w:t>[3]</w:t>
      </w:r>
      <w:r w:rsidRPr="00F00752">
        <w:fldChar w:fldCharType="end"/>
      </w:r>
      <w:r>
        <w:rPr>
          <w:rFonts w:hint="eastAsia"/>
        </w:rPr>
        <w:t>。完善且明确的清洁能源电力市场参与机制有助于清洁能源基地制定合理的运行机制，以建立多能互补系统，充分利用清洁能源</w:t>
      </w:r>
      <w:r>
        <w:fldChar w:fldCharType="begin"/>
      </w:r>
      <w:r w:rsidR="00E17813">
        <w:instrText xml:space="preserve"> ADDIN ZOTERO_ITEM CSL_CITATION {"citationID":"al4d3skci6","properties":{"formattedCitation":"\\super [60]\\nosupersub{}","plainCitation":"[60]","noteIndex":0},"citationItems":[{"id":2489,"uris":["http://zotero.org/users/13172592/items/RHTGFDIB"],"itemData":{"id":2489,"type":"article-journal","abstract":"To achieve the carbon-neutral goal set for 2060, China has promoted renewable energy development for more than two decades. Meanwhile, China's electricity market is undergoing a new round of reform by introducing more market-oriented mechanisms and changing the market structure. This paper investigates the impact of three electric utility market structures experimented with in China on promoting renewable energy through a simulation model. The three market structures are vertical monopoly, weak monopoly (separation of power generators and grids), and monopolistic competition (Cournot-Nash competition). The model is calibrated with the actual data of the regional utility network in Beijing, Tianjin, and Tangshan areas. The simulation results show that the electricity market structure plays a vital role in renewable electricity, and the competition among utilities tends to benefit renewable energy development (wind power here). The study's conclusions are helpful to our understanding of further reforms in the electric utility industry and the long-term clean energy target in China.","call-number":"1","container-title":"Renewable Energy","language":"en","page":"118911","source":"8.7","title":"Effect of market structure on renewable energy development—A simulation study of a regional electricity market in China","volume":"215","author":[{"family":"Zhao","given":"Xiaoli"},{"family":"Sun","given":"Chuyu"},{"family":"Zhong","given":"Zewei"},{"family":"Liu","given":"Suwei"},{"family":"Yang","given":"Zili"}],"issued":{"date-parts":[["2023",10,1]]}}}],"schema":"https://github.com/citation-style-language/schema/raw/master/csl-citation.json"} </w:instrText>
      </w:r>
      <w:r>
        <w:fldChar w:fldCharType="separate"/>
      </w:r>
      <w:r w:rsidR="00E17813" w:rsidRPr="00E17813">
        <w:rPr>
          <w:rFonts w:cs="Times New Roman"/>
          <w:kern w:val="0"/>
          <w:vertAlign w:val="superscript"/>
        </w:rPr>
        <w:t>[60]</w:t>
      </w:r>
      <w:r>
        <w:fldChar w:fldCharType="end"/>
      </w:r>
      <w:r>
        <w:rPr>
          <w:rFonts w:hint="eastAsia"/>
        </w:rPr>
        <w:t>。良好的征地移民、财税、输配电权政策，则能够为相关管理制度提供政府的</w:t>
      </w:r>
      <w:r w:rsidRPr="00722BCA">
        <w:rPr>
          <w:rFonts w:hint="eastAsia"/>
        </w:rPr>
        <w:t>规制性</w:t>
      </w:r>
      <w:r>
        <w:rPr>
          <w:rFonts w:hint="eastAsia"/>
        </w:rPr>
        <w:t>支撑，也为制定合理的激励机制、引入外部技术支持提供了物质基础</w:t>
      </w:r>
      <w:r w:rsidRPr="00F00752">
        <w:rPr>
          <w:highlight w:val="yellow"/>
        </w:rPr>
        <w:fldChar w:fldCharType="begin"/>
      </w:r>
      <w:r w:rsidR="00E17813">
        <w:rPr>
          <w:highlight w:val="yellow"/>
        </w:rPr>
        <w:instrText xml:space="preserve"> ADDIN ZOTERO_ITEM CSL_CITATION {"citationID":"9XrNfdbj","properties":{"formattedCitation":"\\super [61]\\nosupersub{}","plainCitation":"[61]","noteIndex":0},"citationItems":[{"id":3773,"uris":["http://zotero.org/users/13172592/items/8JFUZWNV"],"itemData":{"id":3773,"type":"article-journal","abstract":"Global awareness and commitment, in regards to climate change, access to water and renewable energy deployment has risen in the last decade. However, many countries are still locked in unsustainable practices, specifically in regards to energy, this results in damaging consequences not just for the country but the world. Case in point of the Dominican Republic (DR), an island with an immense renewable energy potential, a growing economy and the financial aid of many international entities. Regardless of all this, “the business as usual” decision for the energy strategies is based on fossil foil. As a result, thousands of people are still without energy, the infrastructure itself is unreliable, and the cost of fossil fuel is 6–8% of the country’s GDP. The country also suffers from blackouts, the expensive tariff and unstable energy grid. Therefore, this paper discusses and critically evaluates critical success factors (CSF) for implementing renewable energy strategies in the DR. For this purpose, an extensive literature review was done, along with 25 interviews with the key actors in the renewable energy market of the DR, that were analysed using content analysis and ISM method. These methods provided insight into 6 CSF. These CFS aid the stakeholder’s in the creation and growth of the RE market in the DR.","call-number":"1","container-title":"Renewable Energy","DOI":"10.1016/j.renene.2019.12.053","ISSN":"0960-1481","journalAbbreviation":"Renewable Energy","language":"en","page":"329-335","source":"9","title":"Evaluating critical success factors for implementing renewable energy strategies in the Dominican Republic","volume":"149","author":[{"family":"Donastorg","given":"Angelines"},{"family":"Renukappa","given":"Suresh"},{"family":"Suresh","given":"Subashini"}],"issued":{"date-parts":[["2020",4,1]]}}}],"schema":"https://github.com/citation-style-language/schema/raw/master/csl-citation.json"} </w:instrText>
      </w:r>
      <w:r w:rsidRPr="00F00752">
        <w:rPr>
          <w:highlight w:val="yellow"/>
        </w:rPr>
        <w:fldChar w:fldCharType="separate"/>
      </w:r>
      <w:r w:rsidR="00E17813" w:rsidRPr="00E17813">
        <w:rPr>
          <w:rFonts w:cs="Times New Roman"/>
          <w:kern w:val="0"/>
          <w:vertAlign w:val="superscript"/>
        </w:rPr>
        <w:t>[61]</w:t>
      </w:r>
      <w:r w:rsidRPr="00F00752">
        <w:rPr>
          <w:highlight w:val="yellow"/>
        </w:rPr>
        <w:fldChar w:fldCharType="end"/>
      </w:r>
      <w:r>
        <w:rPr>
          <w:rFonts w:hint="eastAsia"/>
        </w:rPr>
        <w:t>。基于此，提出假设</w:t>
      </w:r>
      <w:r>
        <w:rPr>
          <w:rFonts w:hint="eastAsia"/>
        </w:rPr>
        <w:t>1</w:t>
      </w:r>
      <w:r>
        <w:rPr>
          <w:rFonts w:hint="eastAsia"/>
        </w:rPr>
        <w:t>（</w:t>
      </w:r>
      <w:r>
        <w:rPr>
          <w:rFonts w:hint="eastAsia"/>
        </w:rPr>
        <w:t>H1</w:t>
      </w:r>
      <w:r>
        <w:rPr>
          <w:rFonts w:hint="eastAsia"/>
        </w:rPr>
        <w:t>）：</w:t>
      </w:r>
    </w:p>
    <w:p w14:paraId="0FC4B747" w14:textId="6063A2D5" w:rsidR="00BC1DF7" w:rsidRDefault="000132E7" w:rsidP="006D6E88">
      <w:pPr>
        <w:ind w:firstLine="422"/>
      </w:pPr>
      <w:r w:rsidRPr="000132E7">
        <w:rPr>
          <w:rFonts w:hint="eastAsia"/>
          <w:b/>
          <w:bCs/>
        </w:rPr>
        <w:t>H1</w:t>
      </w:r>
      <w:r w:rsidRPr="000132E7">
        <w:rPr>
          <w:rFonts w:hint="eastAsia"/>
          <w:b/>
          <w:bCs/>
        </w:rPr>
        <w:t>：</w:t>
      </w:r>
      <w:r w:rsidRPr="000132E7">
        <w:rPr>
          <w:rFonts w:hint="eastAsia"/>
        </w:rPr>
        <w:t>清洁能源基地适宜的外部条件能够提升管理制度建设水平。</w:t>
      </w:r>
    </w:p>
    <w:p w14:paraId="60611995" w14:textId="1ABFDBEA" w:rsidR="000132E7" w:rsidRDefault="000132E7" w:rsidP="000132E7">
      <w:pPr>
        <w:ind w:firstLine="420"/>
      </w:pPr>
      <w:r>
        <w:t>业主在</w:t>
      </w:r>
      <w:r>
        <w:rPr>
          <w:rFonts w:hint="eastAsia"/>
        </w:rPr>
        <w:t>清洁能源基地管理</w:t>
      </w:r>
      <w:r>
        <w:t>制度制定与执行过程中发挥关键作用</w:t>
      </w:r>
      <w:r>
        <w:fldChar w:fldCharType="begin"/>
      </w:r>
      <w:r w:rsidR="00E17813">
        <w:instrText xml:space="preserve"> ADDIN ZOTERO_ITEM CSL_CITATION {"citationID":"a1endudo2n5","properties":{"formattedCitation":"\\super [62,63]\\nosupersub{}","plainCitation":"[62,63]","noteIndex":0},"citationItems":[{"id":3118,"uris":["http://zotero.org/users/13172592/items/U72NFJ32"],"itemData":{"id":3118,"type":"article-journal","abstract":"External program manager involvement can provide professional and systematic management services to owners. It can help to manage and coordinate different subprojects and ensure the achievement of the overall strategic goals of large projects. The promotion of external program manager involvement is not only efficiency-driven, but the institutional environment also has a significant impact. This study developed a theoretical model to explain how external program manager involvement is influenced by external institutional forces (coercive, mimetic, and normative pressures) and internal top management support. Based on a questionnaire survey, this study tested the research model through partial least-squares structural equation modeling. The empirical results revealed that coercive pressures have no significant impact on external program manager involvement; owners’ top management support acts as a complete mediator between the mimetic pressures and external program manager involvement; normative pressures have the greatest impact on top management support and external program manager involvement, and top management support plays a key but partially mediating role. A direct contribution of this study is to reveal how different types of isomorphic pressures can be better exercised to facilitate the involvement of external program managers. Going further, by incorporating both external institutional pressures and internal top management support into the research model, this study provides insight into how organizations are influenced by external institutions to apply tools or approaches internally. DOI: 10.1061/(ASCE)CO.1943-7862.0002306. © 2022 American Society of Civil Engineers.","call-number":"2","container-title":"Journal of Construction Engineering and Management","DOI":"10.1061/(ASCE)CO.1943-7862.0002306","ISSN":"0733-9364, 1943-7862","issue":"9","journalAbbreviation":"J. Constr. Eng. Manage.","language":"en","page":"04022079","source":"4.1","title":"Impact of institutional pressures on external program manager involvement: Evidence from large projects in China","title-short":"Impact of institutional pressures on external program manager involvement","volume":"148","author":[{"family":"Liu","given":"Mingqiang"},{"family":"Zhu","given":"Yongsong"},{"family":"Wei","given":"Jianjun"},{"family":"Le","given":"Yun"},{"family":"Zhang","given":"Xinyue"}],"issued":{"date-parts":[["2022",9]]}}},{"id":3150,"uris":["http://zotero.org/users/13172592/items/7UCP48TP"],"itemData":{"id":3150,"type":"article-journal","abstract":"The characteristics of Mega construction projects bring great difficulties and challenges to project management, as in the aspects of complexity, uncertainty, integrated management, etc. Mega industrial construction is more difficult to managers. Traditional project management with even appropriate method and data can not meet mega construction projects, so with integrating projects objectives with strategic view, managers should design project organization on the basis of every project characteristics, establish good communication and cross-functional coordination mechanism, create unity and cooperation partnership culture in the project process. This paper has designed an owner organization of a mega industrial construction project according to relevant literature and determining factors of organization, and has also proposed that cross-functional and cross-professional coordination is key to continuous improvement and successful implementation of the organization.","call-number":"1","collection-title":"Complexities in Managing Mega Construction Projects","container-title":"International Journal of Project Management","DOI":"10.1016/j.ijproman.2011.04.005","ISSN":"0263-7863","issue":"7","journalAbbreviation":"International Journal of Project Management","language":"en","page":"828-833","source":"7.4","title":"Owner organization design for mega industrial construction projects","volume":"29","author":[{"family":"Sun","given":"Jide"},{"family":"Zhang","given":"Peiliang"}],"issued":{"date-parts":[["2011",10,1]]}}}],"schema":"https://github.com/citation-style-language/schema/raw/master/csl-citation.json"} </w:instrText>
      </w:r>
      <w:r>
        <w:fldChar w:fldCharType="separate"/>
      </w:r>
      <w:r w:rsidR="00E17813" w:rsidRPr="00E17813">
        <w:rPr>
          <w:rFonts w:cs="Times New Roman"/>
          <w:kern w:val="0"/>
          <w:vertAlign w:val="superscript"/>
        </w:rPr>
        <w:t>[62</w:t>
      </w:r>
      <w:r w:rsidR="00BA516A">
        <w:rPr>
          <w:rFonts w:cs="Times New Roman"/>
          <w:kern w:val="0"/>
          <w:vertAlign w:val="superscript"/>
        </w:rPr>
        <w:t>-</w:t>
      </w:r>
      <w:r w:rsidR="00E17813" w:rsidRPr="00E17813">
        <w:rPr>
          <w:rFonts w:cs="Times New Roman"/>
          <w:kern w:val="0"/>
          <w:vertAlign w:val="superscript"/>
        </w:rPr>
        <w:t>63]</w:t>
      </w:r>
      <w:r>
        <w:fldChar w:fldCharType="end"/>
      </w:r>
      <w:r>
        <w:rPr>
          <w:rFonts w:hint="eastAsia"/>
        </w:rPr>
        <w:t>。首先，业主的目标管理能力有助于明确各方需求以及项目开发的重难点，并制定更为合理的绩效考核指标与相应的激励机制</w:t>
      </w:r>
      <w:r>
        <w:fldChar w:fldCharType="begin"/>
      </w:r>
      <w:r w:rsidR="00E17813">
        <w:instrText xml:space="preserve"> ADDIN ZOTERO_ITEM CSL_CITATION {"citationID":"ahi1lutb18","properties":{"formattedCitation":"\\super [48,64]\\nosupersub{}","plainCitation":"[48,64]","noteIndex":0},"citationItems":[{"id":1738,"uris":["http://zotero.org/users/13172592/items/CUYPTB3R"],"itemData":{"id":1738,"type":"article-journal","abstract":"Project management, as a discipline in its traditional form, is insular, focusing on the deﬁnition, planning and execution of a speciﬁc objective. The growing use of projects to eﬀect signiﬁcant organisational change has led to a widespread interest in programme management. Programmes by grouping, directing and initiating new projects set the context for projects, yet they too are subject to external inﬂuences and developments. Emergent thinking on programme management best practice has focused on the internal context, namely the marshalling of projects and resources to achieve the desired strategic and/or synergy beneﬁts. Relatively neglected, though crucially important, is the need to shape, embed and align the programme to the evolving needs of the organisation. This paper argues that, where programmes provide a bridge between projects and the organisation’s strategy, programme management takes on many of the characteristics and competencies of strategic change management and organisational development. Programme directors and managers have fundamental roles as mediators’ moderators and manipulators of the external context and pressures. They must embrace and deal with the ambiguity, tensions and interplay between the need for concrete action and the strategic imperative of openness, options and speedy response. Drawing on a case study, the paper illustrates the challenges and development needs of project managers seeking to make the transition to programme management. The paper argues that newly appointed programme directors and managers are often unprepared for the challenges of continually shaping internal and external context, and frequently lacking the creativity, awareness and sensitivity such a role demands. # 2002 Elsevier Science Ltd and IPMA. All rights reserved.","call-number":"1","container-title":"International Journal of Project Management","DOI":"10.1016/S0263-7863(01)00073-4","ISSN":"02637863","issue":"3","journalAbbreviation":"International Journal of Project Management","language":"en","license":"https://www.elsevier.com/tdm/userlicense/1.0/","page":"229-233","source":"8","title":"Shaping context: The role and challenge for programmes","title-short":"Shaping context","volume":"20","author":[{"family":"Pellegrinelli","given":"Sergio"}],"issued":{"date-parts":[["2002",4]]}}},{"id":1851,"uris":["http://zotero.org/users/13172592/items/BJPXB6VR"],"itemData":{"id":1851,"type":"article-journal","abstract":"In recent years, the construction sector has been increasingly inclined toward using systematic program management approaches. Despite acknowledging the crucial impact of PgMO on program management success, the existing literature lacks sufﬁcient research on the areas where this ofﬁce can provide support for success in the construction sector. This article aims to identify the critical success factors and PgMO areas that contribute to program success in the construction sector. To address the research questions and goals, standardized interviews were conducted with 49 PgMO members from 14 organizations implementing construction programs. Based on the literature and statistical analysis, ten critical success factors (CSFs) for construction programs were identiﬁed. However, the signiﬁcance of these CSFs may vary depending on the context of the construction sector. Furthermore, statistical analysis revealed ﬁve areas where PgMO can support program success: maintaining program governance, program initiation, program planning and budgeting, stakeholder and relationship management, and requirements and knowledge management resulting from program implementation. Managers are advised to take action in all the identiﬁed areas of PgMO to increase the likelihood of achieving program success. They should also pay attention to weaker areas and strengthen them as part of best practices.","call-number":"3","container-title":"Buildings","DOI":"10.3390/buildings13051336","ISSN":"2075-5309","issue":"5","journalAbbreviation":"Buildings","language":"en","license":"https://creativecommons.org/licenses/by/4.0/","page":"1336","source":"3.8","title":"Factors and areas of PgMO supporting the success of the program management in the construction sector","volume":"13","author":[{"family":"Trzeciak","given":"Mateusz"}],"issued":{"date-parts":[["2023",5,20]]}}}],"schema":"https://github.com/citation-style-language/schema/raw/master/csl-citation.json"} </w:instrText>
      </w:r>
      <w:r>
        <w:fldChar w:fldCharType="separate"/>
      </w:r>
      <w:r w:rsidR="00E17813" w:rsidRPr="00E17813">
        <w:rPr>
          <w:rFonts w:cs="Times New Roman"/>
          <w:kern w:val="0"/>
          <w:vertAlign w:val="superscript"/>
        </w:rPr>
        <w:t>[48,64]</w:t>
      </w:r>
      <w:r>
        <w:fldChar w:fldCharType="end"/>
      </w:r>
      <w:r>
        <w:rPr>
          <w:rFonts w:hint="eastAsia"/>
        </w:rPr>
        <w:t>。其次，良好的组织协调能力能够帮助业主统筹管理多项目的同步开发，明确管理接口与业务衔接关系，从而</w:t>
      </w:r>
      <w:r>
        <w:t>针对各环节制定科学且适配的管理机制</w:t>
      </w:r>
      <w:r>
        <w:fldChar w:fldCharType="begin"/>
      </w:r>
      <w:r w:rsidR="00E17813">
        <w:instrText xml:space="preserve"> ADDIN ZOTERO_ITEM CSL_CITATION {"citationID":"a2o3vt638db","properties":{"formattedCitation":"\\super [47,65]\\nosupersub{}","plainCitation":"[47,65]","noteIndex":0},"citationItems":[{"id":3169,"uris":["http://zotero.org/users/13172592/items/M7I4LF4Y"],"itemData":{"id":3169,"type":"article-journal","abstract":"A great deal of literature has pointed to the importance of trust as a facilitator of positive relationships among project stakeholders. Trust is argued to enhance a variety of intra-organizational relationships, including project team dynamics, top management support, and coordination across functional departments. Likewise, trust is argued to improve the inter-organizational relationships among principal actors in project development, such as contractors, owners, and suppliers. This paper reports on the results of an empirical study that investigated the impact of trust between project owners and contractors in a number of large construction projects in Canada. We operationalized trust along the Hartman [Hartman FT. The role of trust in project management. In: Slevin DP, Cleland DI, Pinto JK, editors. The frontiers of project management research. Newtown Square, PA: Project Management Institute; 2002, p. 225–35] dimensions as incorporating both competence and integrity and compared the perspectives of project contractors and owners. Using regression and path analysis, we analyzed the diﬀerential eﬀects of competence and integrity trust on enhanced owner/contractor relationships and project success. Our ﬁndings indicate that trust has diﬀerent meanings for contractors and owners, as its impact on satisfaction with the relationship and positive project outcomes varies depending upon which group is surveyed.","call-number":"1","container-title":"International Journal of Project Management","DOI":"10.1016/j.ijproman.2008.09.010","ISSN":"02637863","issue":"6","journalAbbreviation":"International Journal of Project Management","language":"en","license":"https://www.elsevier.com/tdm/userlicense/1.0/","page":"638-648","source":"7.4","title":"Trust in projects: An empirical assessment of owner/contractor relationships","title-short":"Trust in projects","volume":"27","author":[{"family":"Pinto","given":"Jeffrey K."},{"family":"Slevin","given":"Dennis P."},{"family":"English","given":"Brent"}],"issued":{"date-parts":[["2009",8]]}},"label":"page"},{"id":2700,"uris":["http://zotero.org/users/13172592/items/UYEBYSJ7"],"itemData":{"id":2700,"type":"article-journal","abstract":"AbstractExisting studies tend to agree that there are links between owners’ capabilities and\nproject performance. However, limited research has systematically addressed the relationships\namong the multiple facets of organizational capabilities and project ...","archive_location":"world","call-number":"2","container-title":"Journal of Construction Engineering and Management","DOI":"10.1061/(ASCE)CO.1943-7862.0000694","ISSN":"1943-7862","issue":"9","language":"en","license":"© 2013 American Society of Civil Engineers","note":"publisher: American Society of Civil Engineers","page":"1168-1178","source":"4.1","title":"Relationship between owners’ capabilities and project performance on development of hydropower projects in China","volume":"139","author":[{"family":"Wang","given":"Shuli"},{"family":"Tang","given":"Wenzhe"},{"family":"Li","given":"Yuxuan"}],"issued":{"date-parts":[["2013",9,1]]}},"label":"page"}],"schema":"https://github.com/citation-style-language/schema/raw/master/csl-citation.json"} </w:instrText>
      </w:r>
      <w:r>
        <w:fldChar w:fldCharType="separate"/>
      </w:r>
      <w:r w:rsidR="00E17813" w:rsidRPr="00E17813">
        <w:rPr>
          <w:rFonts w:cs="Times New Roman"/>
          <w:kern w:val="0"/>
          <w:vertAlign w:val="superscript"/>
        </w:rPr>
        <w:t>[47,65]</w:t>
      </w:r>
      <w:r>
        <w:fldChar w:fldCharType="end"/>
      </w:r>
      <w:r>
        <w:rPr>
          <w:rFonts w:hint="eastAsia"/>
        </w:rPr>
        <w:t>。第三，业主的信息技术应用能力是实现清洁能源基地数字化建设与运维的重要支撑，也为制定配套的数字化管理体系奠定了基础</w:t>
      </w:r>
      <w:r>
        <w:fldChar w:fldCharType="begin"/>
      </w:r>
      <w:r w:rsidR="002F3722">
        <w:instrText xml:space="preserve"> ADDIN ZOTERO_ITEM CSL_CITATION {"citationID":"adnc27ip76","properties":{"formattedCitation":"\\super [28]\\nosupersub{}","plainCitation":"[28]","noteIndex":0},"citationItems":[{"id":1730,"uris":["http://zotero.org/users/13172592/items/6RNFFW52"],"itemData":{"id":1730,"type":"article-journal","abstract":"Maturity models can improve the effectiveness and capability of the organizations. However, the existing maturity models are only for one single organization and cannot deal with the specific problems of mega construction programs (MCPs) in China. The program management subjects of MCPs in China consist of the owner, the general design contractor, and the general construction contractor, which are not mature in the organizational management and process management. This paper presents a program management organization maturity integrated model for MCPs (PMOMIM-MCPs) in China, which integrates the program management subjects of MCPs and can improve the capability of them. Two submodels of PMOMIM-MCPs—Organizational Management Submodel (OMS) and Process Management Submodel (PMS) are given. In the end, a case study is given to justify and optimize the model.","call-number":"1","container-title":"International Journal of Project Management","DOI":"10.1016/j.ijproman.2011.03.003","ISSN":"02637863","issue":"7","journalAbbreviation":"International Journal of Project Management","language":"en","page":"834-845","source":"8","title":"Program management organization maturity integrated model for mega construction programs in China","volume":"29","author":[{"family":"Jia","given":"Guangshe"},{"family":"Chen","given":"Yuting"},{"family":"Xue","given":"Xiangdong"},{"family":"Chen","given":"Jianguo"},{"family":"Cao","given":"Jiming"},{"family":"Tang","given":"Kewei"}],"issued":{"date-parts":[["2011",10]]}}}],"schema":"https://github.com/citation-style-language/schema/raw/master/csl-citation.json"} </w:instrText>
      </w:r>
      <w:r>
        <w:fldChar w:fldCharType="separate"/>
      </w:r>
      <w:r w:rsidR="002F3722" w:rsidRPr="002F3722">
        <w:rPr>
          <w:rFonts w:cs="Times New Roman"/>
          <w:kern w:val="0"/>
          <w:vertAlign w:val="superscript"/>
        </w:rPr>
        <w:t>[28]</w:t>
      </w:r>
      <w:r>
        <w:fldChar w:fldCharType="end"/>
      </w:r>
      <w:r>
        <w:rPr>
          <w:rFonts w:hint="eastAsia"/>
        </w:rPr>
        <w:t>。此外，清洁能源基地管理制度需适应不断变化的外部环境。业主敏捷感知外部政策、市场、社会与自然环境变化并及时进行动态优化，有利于保持管理制度与清洁能源基地开发的长期适配</w:t>
      </w:r>
      <w:r>
        <w:fldChar w:fldCharType="begin"/>
      </w:r>
      <w:r w:rsidR="00E17813">
        <w:instrText xml:space="preserve"> ADDIN ZOTERO_ITEM CSL_CITATION {"citationID":"a249cvspj4r","properties":{"formattedCitation":"\\super [50,53]\\nosupersub{}","plainCitation":"[50,53]","noteIndex":0},"citationItems":[{"id":2357,"uris":["http://zotero.org/users/13172592/items/675DGTRL"],"itemData":{"id":2357,"type":"article-journal","abstract":"Given that a strong owner has been identified as an important factor in the success of megaprojects, there has been a growing recognition of the importance of megaproject owner organizational capabilities. However, the questions of what organizational capabilities do owners need to foster successful megaprojects, and whether these capabilities are the stronger the better, have yet to be addressed. To answer these questions, this study identified the dimensions of owner organizational capabilities based on literature and interviews, and developed several sets of parallel hypotheses. Based on the 229 valid questionnaire data collected, the relationships between owner organizational capabilities and megaproject success were analyzed through hierarchical multiple regression, and the results were discussed through expert interviews. The findings show that owner coordination, dynamic, and system integration capabilities have positive impacts on megaproject success, with coordination capabilities being the most significant. While the impact of motivational capabilities on megaproject success is inverted U-shaped. This study provides an actionable dimensional framework for megaproject owner capabilities, moving the field of owner organizational capabilities beyond the conceptual level. This study provides empirical evidence for the importance of megaproject owner organizational capabilities and takes a more dialectical view of a strong owner. The empirical results can provide insights and guidance on the configuration and development of megaproject owner capabilities. DOI: 10.1061/JCEMD4.COENG-13097. © 2023 American Society of Civil Engineers.","call-number":"2","container-title":"Journal of Construction Engineering and Management","DOI":"10.1061/JCEMD4.COENG-13097","ISSN":"0733-9364, 1943-7862","issue":"7","journalAbbreviation":"J. Constr. Eng. Manage.","language":"en","page":"04023055","source":"5.1","title":"Deconstructing organizational capabilities of megaproject owners: Dimensions and levels","title-short":"Deconstructing Organizational Capabilities of Megaproject Owners","volume":"149","author":[{"family":"Zhang","given":"Xinyue"},{"family":"Liu","given":"Mingqiang"},{"family":"Le","given":"Yun"},{"family":"Wei","given":"Jianjun"},{"family":"Zhu","given":"Yongsong"},{"family":"Li","given":"Yongkui"}],"issued":{"date-parts":[["2023",7]]}},"label":"page"},{"id":3803,"uris":["http://zotero.org/users/13172592/items/YTLSDMGW"],"itemData":{"id":3803,"type</w:instrText>
      </w:r>
      <w:r w:rsidR="00E17813">
        <w:rPr>
          <w:rFonts w:hint="eastAsia"/>
        </w:rPr>
        <w:instrText>":"thesis","event-place":"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价值共创视角下水利水电工程设计管理研究</w:instrText>
      </w:r>
      <w:r w:rsidR="00E17813">
        <w:rPr>
          <w:rFonts w:hint="eastAsia"/>
        </w:rPr>
        <w:instrText>","author":[{"family":"</w:instrText>
      </w:r>
      <w:r w:rsidR="00E17813">
        <w:rPr>
          <w:rFonts w:hint="eastAsia"/>
        </w:rPr>
        <w:instrText>刘</w:instrText>
      </w:r>
      <w:r w:rsidR="00E17813">
        <w:rPr>
          <w:rFonts w:hint="eastAsia"/>
        </w:rPr>
        <w:instrText>","given":"</w:instrText>
      </w:r>
      <w:r w:rsidR="00E17813">
        <w:rPr>
          <w:rFonts w:hint="eastAsia"/>
        </w:rPr>
        <w:instrText>扬</w:instrText>
      </w:r>
      <w:r w:rsidR="00E17813">
        <w:rPr>
          <w:rFonts w:hint="eastAsia"/>
        </w:rPr>
        <w:instrText>"}],"issued":{"date-parts":[["2023"]]}},"label":"page"}],"schema":"https://github.com/citation-style-language/schema/ra</w:instrText>
      </w:r>
      <w:r w:rsidR="00E17813">
        <w:instrText xml:space="preserve">w/master/csl-citation.json"} </w:instrText>
      </w:r>
      <w:r>
        <w:fldChar w:fldCharType="separate"/>
      </w:r>
      <w:r w:rsidR="00E17813" w:rsidRPr="00E17813">
        <w:rPr>
          <w:rFonts w:cs="Times New Roman"/>
          <w:kern w:val="0"/>
          <w:vertAlign w:val="superscript"/>
        </w:rPr>
        <w:t>[50,53]</w:t>
      </w:r>
      <w:r>
        <w:fldChar w:fldCharType="end"/>
      </w:r>
      <w:r>
        <w:rPr>
          <w:rFonts w:hint="eastAsia"/>
        </w:rPr>
        <w:t>。基于此，提出假设</w:t>
      </w:r>
      <w:r>
        <w:rPr>
          <w:rFonts w:hint="eastAsia"/>
        </w:rPr>
        <w:t>2</w:t>
      </w:r>
      <w:r>
        <w:rPr>
          <w:rFonts w:hint="eastAsia"/>
        </w:rPr>
        <w:t>（</w:t>
      </w:r>
      <w:r>
        <w:rPr>
          <w:rFonts w:hint="eastAsia"/>
        </w:rPr>
        <w:t>H2</w:t>
      </w:r>
      <w:r>
        <w:rPr>
          <w:rFonts w:hint="eastAsia"/>
        </w:rPr>
        <w:t>）：</w:t>
      </w:r>
    </w:p>
    <w:p w14:paraId="081F6331" w14:textId="77777777" w:rsidR="000132E7" w:rsidRDefault="000132E7" w:rsidP="000132E7">
      <w:pPr>
        <w:ind w:firstLine="422"/>
      </w:pPr>
      <w:r w:rsidRPr="000132E7">
        <w:rPr>
          <w:rFonts w:hint="eastAsia"/>
          <w:b/>
          <w:bCs/>
        </w:rPr>
        <w:t>H2</w:t>
      </w:r>
      <w:r w:rsidRPr="000132E7">
        <w:rPr>
          <w:rFonts w:hint="eastAsia"/>
          <w:b/>
          <w:bCs/>
        </w:rPr>
        <w:t>：</w:t>
      </w:r>
      <w:r w:rsidRPr="000132E7">
        <w:rPr>
          <w:rFonts w:hint="eastAsia"/>
        </w:rPr>
        <w:t>清洁能源基地良好的业主项目群管理能力能够提升管理制度建设水平。</w:t>
      </w:r>
    </w:p>
    <w:p w14:paraId="4565339B" w14:textId="2AF611A6" w:rsidR="00873BC4" w:rsidRPr="000132E7" w:rsidRDefault="00873BC4" w:rsidP="00873BC4">
      <w:pPr>
        <w:pStyle w:val="2"/>
      </w:pPr>
      <w:r w:rsidRPr="00873BC4">
        <w:rPr>
          <w:rFonts w:hint="eastAsia"/>
        </w:rPr>
        <w:t>清洁能源基地一体化管理</w:t>
      </w:r>
      <w:r>
        <w:rPr>
          <w:rFonts w:hint="eastAsia"/>
        </w:rPr>
        <w:t>过程</w:t>
      </w:r>
      <w:r w:rsidRPr="00873BC4">
        <w:rPr>
          <w:rFonts w:hint="eastAsia"/>
        </w:rPr>
        <w:t>因素</w:t>
      </w:r>
    </w:p>
    <w:p w14:paraId="08B7E082" w14:textId="534A5C5D" w:rsidR="00BC1DF7" w:rsidRDefault="000132E7" w:rsidP="00873BC4">
      <w:pPr>
        <w:pStyle w:val="3"/>
      </w:pPr>
      <w:bookmarkStart w:id="1" w:name="_Toc198492774"/>
      <w:r>
        <w:rPr>
          <w:rFonts w:hint="eastAsia"/>
        </w:rPr>
        <w:t>资源配置</w:t>
      </w:r>
      <w:bookmarkEnd w:id="1"/>
    </w:p>
    <w:p w14:paraId="01AEBEBA" w14:textId="6773F36A" w:rsidR="00873BC4" w:rsidRPr="009E77A9" w:rsidRDefault="00873BC4" w:rsidP="00873BC4">
      <w:pPr>
        <w:ind w:firstLine="420"/>
        <w:rPr>
          <w:color w:val="FF0000"/>
        </w:rPr>
      </w:pPr>
      <w:r w:rsidRPr="004B70A9">
        <w:rPr>
          <w:rFonts w:hint="eastAsia"/>
        </w:rPr>
        <w:t>在工程项目管理中</w:t>
      </w:r>
      <w:r>
        <w:rPr>
          <w:rFonts w:hint="eastAsia"/>
        </w:rPr>
        <w:t>，“</w:t>
      </w:r>
      <w:r w:rsidRPr="004B70A9">
        <w:rPr>
          <w:rFonts w:hint="eastAsia"/>
        </w:rPr>
        <w:t>资源</w:t>
      </w:r>
      <w:r>
        <w:rPr>
          <w:rFonts w:hint="eastAsia"/>
        </w:rPr>
        <w:t>”包括</w:t>
      </w:r>
      <w:r w:rsidRPr="004B70A9">
        <w:rPr>
          <w:rFonts w:hint="eastAsia"/>
        </w:rPr>
        <w:t>项目</w:t>
      </w:r>
      <w:r>
        <w:rPr>
          <w:rFonts w:hint="eastAsia"/>
        </w:rPr>
        <w:t>开发</w:t>
      </w:r>
      <w:r w:rsidRPr="004B70A9">
        <w:rPr>
          <w:rFonts w:hint="eastAsia"/>
        </w:rPr>
        <w:t>过</w:t>
      </w:r>
      <w:r w:rsidRPr="004B70A9">
        <w:rPr>
          <w:rFonts w:hint="eastAsia"/>
        </w:rPr>
        <w:lastRenderedPageBreak/>
        <w:t>程所需</w:t>
      </w:r>
      <w:r>
        <w:rPr>
          <w:rFonts w:hint="eastAsia"/>
        </w:rPr>
        <w:t>的</w:t>
      </w:r>
      <w:r w:rsidRPr="004B70A9">
        <w:rPr>
          <w:rFonts w:hint="eastAsia"/>
        </w:rPr>
        <w:t>资金、设备、</w:t>
      </w:r>
      <w:r>
        <w:rPr>
          <w:rFonts w:hint="eastAsia"/>
        </w:rPr>
        <w:t>材料、</w:t>
      </w:r>
      <w:r w:rsidRPr="004B70A9">
        <w:rPr>
          <w:rFonts w:hint="eastAsia"/>
        </w:rPr>
        <w:t>人员、技术、</w:t>
      </w:r>
      <w:r>
        <w:rPr>
          <w:rFonts w:hint="eastAsia"/>
        </w:rPr>
        <w:t>知识、</w:t>
      </w:r>
      <w:r w:rsidRPr="004B70A9">
        <w:rPr>
          <w:rFonts w:hint="eastAsia"/>
        </w:rPr>
        <w:t>信息等。</w:t>
      </w:r>
      <w:r>
        <w:rPr>
          <w:rFonts w:hint="eastAsia"/>
        </w:rPr>
        <w:t>“</w:t>
      </w:r>
      <w:r w:rsidRPr="004B70A9">
        <w:rPr>
          <w:rFonts w:hint="eastAsia"/>
        </w:rPr>
        <w:t>资源配置</w:t>
      </w:r>
      <w:r>
        <w:rPr>
          <w:rFonts w:hint="eastAsia"/>
        </w:rPr>
        <w:t>”</w:t>
      </w:r>
      <w:r w:rsidRPr="004B70A9">
        <w:rPr>
          <w:rFonts w:hint="eastAsia"/>
        </w:rPr>
        <w:t>则是指</w:t>
      </w:r>
      <w:r>
        <w:rPr>
          <w:rFonts w:hint="eastAsia"/>
        </w:rPr>
        <w:t>对各类资源进行</w:t>
      </w:r>
      <w:r w:rsidRPr="004B70A9">
        <w:rPr>
          <w:rFonts w:hint="eastAsia"/>
        </w:rPr>
        <w:t>合理分配</w:t>
      </w:r>
      <w:r>
        <w:rPr>
          <w:rFonts w:hint="eastAsia"/>
        </w:rPr>
        <w:t>与高效</w:t>
      </w:r>
      <w:r w:rsidRPr="004B70A9">
        <w:rPr>
          <w:rFonts w:hint="eastAsia"/>
        </w:rPr>
        <w:t>调度，以</w:t>
      </w:r>
      <w:r w:rsidRPr="00CD53DE">
        <w:rPr>
          <w:rFonts w:hint="eastAsia"/>
        </w:rPr>
        <w:t>保障项目目标达成，并确保项目顺利推进</w:t>
      </w:r>
      <w:r>
        <w:rPr>
          <w:shd w:val="clear" w:color="auto" w:fill="FFFFFF"/>
        </w:rPr>
        <w:fldChar w:fldCharType="begin"/>
      </w:r>
      <w:r w:rsidR="00E17813">
        <w:rPr>
          <w:shd w:val="clear" w:color="auto" w:fill="FFFFFF"/>
        </w:rPr>
        <w:instrText xml:space="preserve"> ADDIN ZOTERO_ITEM CSL_CITATION {"citationID":"oA0lBCyp","properties":{"formattedCitation":"\\super [66]\\nosupersub{}","plainCitation":"[66]","noteIndex":0},"citationItems":[{"id":1913,"uris":["http://zotero.org/users/13172592/items/SEEJ9QCG"],"itemData":{"id":1913,"type":"article-journal","abstract":"Multi-project management is typically considered an intra-organizational endeavor of implementing strategies through programs, portfolios, or lineages of change and development projects. Inter-organizational multi-project management takes place between project-based firms and other actors in project networks. The multi-project aspects in inter-organizational contexts cause significant management complexity, but their specific requirements are inadequately understood. This article explores the nature and requirements of project-based firms’ multi-project management in inter-organizational contexts. Parallel and sequential inter-organizational multi-project settings are proposed as an expansion to the dominant intra-organizational research. A thematic framework is developed based on stakeholder and agency theories and previous knowledge from portfolio and program management research complemented with an inductive analysis of extant literature. Consequently, we map and report previous research on multi-project management requirements relevant to inter-organizational contexts concerning strategy, resources, governance, and learning. Propositions are developed and future research is recommended in these domains.","call-number":"1","container-title":"International Journal of Project Management","DOI":"10.1016/j.ijproman.2022.09.003","ISSN":"02637863","issue":"7","journalAbbreviation":"International Journal of Project Management","language":"en","page":"813-826","source":"8","title":"Multi-project management in inter-organizational contexts","volume":"40","author":[{"family":"Martinsuo","given":"Miia"},{"family":"Ahola","given":"Tuomas"}],"issued":{"date-parts":[["2022",10]]}}}],"schema":"https://github.com/citation-style-language/schema/raw/master/csl-citation.json"} </w:instrText>
      </w:r>
      <w:r>
        <w:rPr>
          <w:shd w:val="clear" w:color="auto" w:fill="FFFFFF"/>
        </w:rPr>
        <w:fldChar w:fldCharType="separate"/>
      </w:r>
      <w:r w:rsidR="00E17813" w:rsidRPr="00E17813">
        <w:rPr>
          <w:rFonts w:cs="Times New Roman"/>
          <w:kern w:val="0"/>
          <w:vertAlign w:val="superscript"/>
        </w:rPr>
        <w:t>[66]</w:t>
      </w:r>
      <w:r>
        <w:rPr>
          <w:shd w:val="clear" w:color="auto" w:fill="FFFFFF"/>
        </w:rPr>
        <w:fldChar w:fldCharType="end"/>
      </w:r>
      <w:r w:rsidRPr="004B70A9">
        <w:rPr>
          <w:rFonts w:hint="eastAsia"/>
        </w:rPr>
        <w:t>。</w:t>
      </w:r>
      <w:r>
        <w:rPr>
          <w:rFonts w:hint="eastAsia"/>
        </w:rPr>
        <w:t>在清洁能源基地开发</w:t>
      </w:r>
      <w:r w:rsidRPr="004B70A9">
        <w:rPr>
          <w:rFonts w:hint="eastAsia"/>
        </w:rPr>
        <w:t>中，不仅</w:t>
      </w:r>
      <w:r>
        <w:rPr>
          <w:rFonts w:hint="eastAsia"/>
        </w:rPr>
        <w:t>应保证</w:t>
      </w:r>
      <w:r w:rsidRPr="004B70A9">
        <w:rPr>
          <w:rFonts w:hint="eastAsia"/>
        </w:rPr>
        <w:t>资源</w:t>
      </w:r>
      <w:r>
        <w:rPr>
          <w:rFonts w:hint="eastAsia"/>
        </w:rPr>
        <w:t>的按时供给</w:t>
      </w:r>
      <w:r w:rsidRPr="004B70A9">
        <w:rPr>
          <w:rFonts w:hint="eastAsia"/>
        </w:rPr>
        <w:t>，还需在不同环节</w:t>
      </w:r>
      <w:r>
        <w:rPr>
          <w:rFonts w:hint="eastAsia"/>
        </w:rPr>
        <w:t>、不同项目与不同利益相关方</w:t>
      </w:r>
      <w:r w:rsidRPr="004B70A9">
        <w:rPr>
          <w:rFonts w:hint="eastAsia"/>
        </w:rPr>
        <w:t>间实现资源</w:t>
      </w:r>
      <w:r>
        <w:rPr>
          <w:rFonts w:hint="eastAsia"/>
        </w:rPr>
        <w:t>的</w:t>
      </w:r>
      <w:r w:rsidRPr="004B70A9">
        <w:rPr>
          <w:rFonts w:hint="eastAsia"/>
        </w:rPr>
        <w:t>有效共享和</w:t>
      </w:r>
      <w:r>
        <w:rPr>
          <w:rFonts w:hint="eastAsia"/>
        </w:rPr>
        <w:t>敏捷</w:t>
      </w:r>
      <w:r w:rsidRPr="004B70A9">
        <w:rPr>
          <w:rFonts w:hint="eastAsia"/>
        </w:rPr>
        <w:t>调度</w:t>
      </w:r>
      <w:r>
        <w:fldChar w:fldCharType="begin"/>
      </w:r>
      <w:r w:rsidR="00E17813">
        <w:instrText xml:space="preserve"> ADDIN ZOTERO_ITEM CSL_CITATION {"citationID":"a1ne6fksgnn","properties":{"formattedCitation":"\\super [3,55]\\nosupersub{}","plainCitation":"[3,55]","noteIndex":0},"citationItems":[{"id":3663,"uris":["http://zotero.org/users/13172592/items/KBFEHVJI"],"itemData":{"id":3663,"type":"article-journal","abstract":"Renewable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megaprojects","author":[{"family":"Wang","given":"Dedong"},{"family":"Zhao","given":"Xiaoru"}],"issued":{"date-parts":[["2024",3,17]]}}}],"schema":"https://github.com/citation-style-language/schema/raw/master/csl-citation.json"} </w:instrText>
      </w:r>
      <w:r>
        <w:fldChar w:fldCharType="separate"/>
      </w:r>
      <w:r w:rsidR="00E17813" w:rsidRPr="00E17813">
        <w:rPr>
          <w:rFonts w:cs="Times New Roman"/>
          <w:kern w:val="0"/>
          <w:vertAlign w:val="superscript"/>
        </w:rPr>
        <w:t>[3,55]</w:t>
      </w:r>
      <w:r>
        <w:fldChar w:fldCharType="end"/>
      </w:r>
      <w:r w:rsidRPr="004B70A9">
        <w:rPr>
          <w:rFonts w:hint="eastAsia"/>
        </w:rPr>
        <w:t>。</w:t>
      </w:r>
    </w:p>
    <w:p w14:paraId="3CB3BE65" w14:textId="58EF851D" w:rsidR="00873BC4" w:rsidRDefault="00873BC4" w:rsidP="00873BC4">
      <w:pPr>
        <w:ind w:firstLine="420"/>
      </w:pPr>
      <w:r w:rsidRPr="00B040CB">
        <w:t>在清洁能源基地开发中，外部条件对资源配置水平具有重要影响</w:t>
      </w:r>
      <w:r w:rsidRPr="00B040CB">
        <w:fldChar w:fldCharType="begin"/>
      </w:r>
      <w:r w:rsidR="00EB7246">
        <w:instrText xml:space="preserve"> ADDIN ZOTERO_ITEM CSL_CITATION {"citationID":"abo11oYw","properties":{"formattedCitation":"\\super [3]\\nosupersub{}","plainCitation":"[3]","noteIndex":0},"citationItems":[{"id":3663,"uris":["http://zotero.org/users/13172592/items/KBFEHVJI"],"itemData":{"id":3663,"type":"article-journal","abstract":"Renewable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K."}],"issued":{"date-parts":[["2014",10,1]]}}}],"schema":"https://github.com/citation-style-language/schema/raw/master/csl-citation.json"} </w:instrText>
      </w:r>
      <w:r w:rsidRPr="00B040CB">
        <w:fldChar w:fldCharType="separate"/>
      </w:r>
      <w:r w:rsidR="00EB7246" w:rsidRPr="00EB7246">
        <w:rPr>
          <w:rFonts w:cs="Times New Roman"/>
          <w:kern w:val="0"/>
          <w:vertAlign w:val="superscript"/>
        </w:rPr>
        <w:t>[3]</w:t>
      </w:r>
      <w:r w:rsidRPr="00B040CB">
        <w:fldChar w:fldCharType="end"/>
      </w:r>
      <w:r w:rsidRPr="00B040CB">
        <w:t>。</w:t>
      </w:r>
      <w:r>
        <w:rPr>
          <w:rFonts w:hint="eastAsia"/>
        </w:rPr>
        <w:t>良好</w:t>
      </w:r>
      <w:r w:rsidRPr="00B040CB">
        <w:rPr>
          <w:rFonts w:hint="eastAsia"/>
        </w:rPr>
        <w:t>的地形</w:t>
      </w:r>
      <w:r>
        <w:rPr>
          <w:rFonts w:hint="eastAsia"/>
        </w:rPr>
        <w:t>地质</w:t>
      </w:r>
      <w:r w:rsidRPr="00B040CB">
        <w:rPr>
          <w:rFonts w:hint="eastAsia"/>
        </w:rPr>
        <w:t>和适宜的气候条件能够降低施工难度</w:t>
      </w:r>
      <w:r w:rsidRPr="007E5AFB">
        <w:rPr>
          <w:rFonts w:hint="eastAsia"/>
        </w:rPr>
        <w:t>，</w:t>
      </w:r>
      <w:r w:rsidRPr="00B040CB">
        <w:rPr>
          <w:rFonts w:hint="eastAsia"/>
        </w:rPr>
        <w:t>减少自然灾害带来的风险</w:t>
      </w:r>
      <w:r>
        <w:rPr>
          <w:rFonts w:hint="eastAsia"/>
        </w:rPr>
        <w:t>，</w:t>
      </w:r>
      <w:r w:rsidRPr="00B040CB">
        <w:rPr>
          <w:rFonts w:hint="eastAsia"/>
        </w:rPr>
        <w:t>从而提升设备与材料运输的效率</w:t>
      </w:r>
      <w:r w:rsidRPr="007E5AFB">
        <w:rPr>
          <w:rFonts w:hint="eastAsia"/>
        </w:rPr>
        <w:t>，加快资源的调度和投入</w:t>
      </w:r>
      <w:r>
        <w:fldChar w:fldCharType="begin"/>
      </w:r>
      <w:r w:rsidR="00E17813">
        <w:instrText xml:space="preserve"> ADDIN ZOTERO_ITEM CSL_CITATION {"citationID":"a216ql7b5f3","properties":{"formattedCitation":"\\super [57]\\nosupersub{}","plainCitation":"[57]","noteIndex":0},"citationItems":[{"id":3718,"uris":["http://zotero.org/users/13172592/items/F3U4KHM8"],"itemData":{"id":3718,"type":"article-journal","abstract":"The construction phase of onshore wind farm projects involves different types of risks that hinder their development. This study aims to identify and assess risk factors that affect the construction of onshore wind farm projects and rank them based on their severity as assessed from the Canadian perspective. Thirty risk factors were collected through an extensive literature review. Then, experts were asked to subjectively evaluate the probability and impact of each factor on project cost, time, quality, and safety. The fuzzy technique for order of preference by similarity to ideal solution (fuzzy TOPSIS) and the fuzzy analytic hierarchy process (fuzzy AHP) were used to rank these risk factors based on their severity. The closeness coefficient (CC) indicated that a lack of management expertise, a shortage of resources required for project delivery, adverse weather, material damage during construction, and failure to keep up with recent innovative technology are the most severe risks affecting onshore wind farm projects in Canada with CC values of 0.9710, 0.9642, 0.9635, 0.9575, and 0.9450, respectively. The findings of this study support the decision making of investors and contractors who work in the Canadian wind energy industry by highlighting the critical risk factors. Moreover, this study is beneficial for decision makers in other jurisdictions since a review and a list of risk factors that affect the construction of onshore wind projects are provided herein.","container-title":"Renewable and Sustainable Energy Reviews","DOI":"10.1016/j.rser.2023.114145","ISSN":"1364-0321","journalAbbreviation":"Renewable and Sustainable Energy Reviews","language":"en","page":"114145","source":"ScienceDirect","title":"Risk assessment for onshore wind projects in Canada","volume":"191","author":[{"family":"Mohamed","given":"Emad"},{"family":"Seresht","given":"Nima Gerami"},{"family":"Jafari","given":"Parinaz"},{"family":"AbouRizk","given":"Simaan"}],"issued":{"date-parts":[["2024",3,1]]}}}],"schema":"https://github.com/citation-style-language/schema/raw/master/csl-citation.json"} </w:instrText>
      </w:r>
      <w:r>
        <w:fldChar w:fldCharType="separate"/>
      </w:r>
      <w:r w:rsidR="00E17813" w:rsidRPr="00E17813">
        <w:rPr>
          <w:rFonts w:cs="Times New Roman"/>
          <w:kern w:val="0"/>
          <w:vertAlign w:val="superscript"/>
        </w:rPr>
        <w:t>[57]</w:t>
      </w:r>
      <w:r>
        <w:fldChar w:fldCharType="end"/>
      </w:r>
      <w:r w:rsidRPr="007E5AFB">
        <w:rPr>
          <w:rFonts w:hint="eastAsia"/>
        </w:rPr>
        <w:t>。</w:t>
      </w:r>
      <w:r>
        <w:t>此外，完善的交通基础设施可保障设备、材料及人力资源的高效流动，而现代化通信设施则为信息共享提供技术支撑</w:t>
      </w:r>
      <w:r>
        <w:fldChar w:fldCharType="begin"/>
      </w:r>
      <w:r w:rsidR="00E17813">
        <w:instrText xml:space="preserve"> ADDIN ZOTERO_ITEM CSL_CITATION {"citationID":"a2odn1kkr2i","properties":{"formattedCitation":"\\super [67,68]\\nosupersub{}","plainCitation":"[67,68]","noteIndex":0},"citationItems":[{"id":4058,"uris":["http://zotero.org/users/13172592/items/IHGTN6WL"],"itemData":{"id":4058,"type":"article-journal","abstract":"Wind energy is among the most relevant types of renewable energy and plays a vital role in the projected European energy mix for 2020. The aim of this paper is to comprehensively present current risks and risk management solutions of renewable energy projects and to identify critical gaps in risk transfer, thereby differentiating between onshore and offshore wind parks with focus on the European market. Our study shows that apart from insurance, diversification, in particular, is one of the most important tools for risk management and it is used in various dimensions, which also results from a lack of alternative coverage. Furthermore, policy and regulatory risks appear to represent a major barrier for renewable energy investments, while at the same time, insurance coverage or alternative risk mitigation is strongly limited. This emphasizes the need for new risk transfer solutions to ensure a sustainable growth of renewable energy.","container-title":"Renewable and Sustainable Energy Reviews","DOI":"10.1016/j.rser.2016.01.103","ISSN":"1364-0321","journalAbbreviation":"Renewable and Sustainable Energy Reviews","language":"en","page":"982-998","source":"ScienceDirect","title":"Risks and risk management of renewable energy projects: The case of onshore and offshore wind parks","title-short":"Risks and risk management of renewable energy projects","volume":"60","author":[{"family":"Gatzert","given":"Nadine"},{"family":"Kosub","given":"Thomas"}],"issued":{"date-parts":[["2016",7,1]]}}},{"id":741,"uris":["http://zotero.org/users/13172592/items/ASZS8NR9"],"itemData":{"id":741,"type":"article-journal","abstract":"Traditional energy supplies in rural areas are mainly rural power grids and fossil energy, which makes energy use inefficient and is not environmentally unfriendly. With the development of agricultural intelligence and the increasing seriousness of environmental problems, rural areas urgently need to make full use of the rich local renewable resources such as biogas and wind power. Meanwhile, it is also necessary to jointly optimize the supply of electricity and heat energy to improve energy utilization efficiency and reduce emissions. In this paper, a cooperative operation framework of the integrated rural energy system with greenhouses (IRES-GH) is introduced and a novel forecast scenario-based robust energy management method is presented to hedge the uncertainty of electric load and wind power output. Based on the forecast bounds of uncertain variables, a twostage robust optimization (TSRO) model of the IRES-GH is first built. Using the TSRO model, the operation status of the units and energy storage elements in the worst-case scenario can be got. Then, the deterministic dispatch model is constructed based on the obtained operation status of devices and the day-ahead hourly point forecast scenario of uncertain variables to enhance the economy of the dispatch results. Since the second stage of the TSRO model includes binary variables, the nested column and constraint generation (NC&amp;CG) algorithm is used to solve it. The effectiveness of the model and solution method is verified by two cases with different scales.","call-number":"1","container-title":"Applied Energy","DOI":"10.1016/j.apenergy.2022.120343","ISSN":"03062619","journalAbbreviation":"Applied Energy","language":"en","note":"rate: 4","page":"120343","source":"11.2","title":"A novel forecast scenario-based robust energy management method for integrated rural energy systems with greenhouses","volume":"330","author":[{"family":"Tan","given":"Hong"},{"family":"Li","given":"Zhenxing"},{"family":"Wang","given":"Qiujie"},{"family":"Mohamed","given":"Mohamed A."}],"issued":{"date-parts":[["2023",1]]}}}],"schema":"https://github.com/citation-style-language/schema/raw/master/csl-citation.json"} </w:instrText>
      </w:r>
      <w:r>
        <w:fldChar w:fldCharType="separate"/>
      </w:r>
      <w:r w:rsidR="00E17813" w:rsidRPr="00E17813">
        <w:rPr>
          <w:rFonts w:cs="Times New Roman"/>
          <w:kern w:val="0"/>
          <w:vertAlign w:val="superscript"/>
        </w:rPr>
        <w:t>[67</w:t>
      </w:r>
      <w:r w:rsidR="00BA516A">
        <w:rPr>
          <w:rFonts w:cs="Times New Roman"/>
          <w:kern w:val="0"/>
          <w:vertAlign w:val="superscript"/>
        </w:rPr>
        <w:t>-</w:t>
      </w:r>
      <w:r w:rsidR="00E17813" w:rsidRPr="00E17813">
        <w:rPr>
          <w:rFonts w:cs="Times New Roman"/>
          <w:kern w:val="0"/>
          <w:vertAlign w:val="superscript"/>
        </w:rPr>
        <w:t>68]</w:t>
      </w:r>
      <w:r>
        <w:fldChar w:fldCharType="end"/>
      </w:r>
      <w:r w:rsidRPr="007E5AFB">
        <w:rPr>
          <w:rFonts w:hint="eastAsia"/>
        </w:rPr>
        <w:t>。</w:t>
      </w:r>
      <w:r>
        <w:t>与此同时，政策支持以及清洁能源电力市场</w:t>
      </w:r>
      <w:r>
        <w:rPr>
          <w:rFonts w:hint="eastAsia"/>
        </w:rPr>
        <w:t>不断</w:t>
      </w:r>
      <w:r>
        <w:t>完善，为清洁能源基地开发提供了稳定的制度保障，增强了行业发展的确定性，</w:t>
      </w:r>
      <w:r>
        <w:rPr>
          <w:rFonts w:hint="eastAsia"/>
        </w:rPr>
        <w:t>有助于</w:t>
      </w:r>
      <w:r>
        <w:t>吸引外部资本投入，推动内外部资源高效整合</w:t>
      </w:r>
      <w:r>
        <w:fldChar w:fldCharType="begin"/>
      </w:r>
      <w:r w:rsidR="00E17813">
        <w:instrText xml:space="preserve"> ADDIN ZOTERO_ITEM CSL_CITATION {"citationID":"a1stqdjurid","properties":{"formattedCitation":"\\super [69,70]\\nosupersub{}","plainCitation":"[69,70]","noteIndex":0},"citationItems":[{"id":2656,"uris":["http://zotero.org/users/13172592/items/V5DR77T4"],"itemData":{"id":2656,"type":"article-journal","abstract":"The transition to a 100% renewable energy system based on variable renewable energy raises technical but also institutional questions. The smart energ…","call-number":"1","container-title":"Energy","DOI":"10.1016/j.energy.2018.07.100","ISSN":"0360-5442","language":"en","note":"publisher: Pergamon","page":"148-157","source":"9","title":"The electricity market in a renewable energy system","volume":"162","author":[{"family":"Djørup","given":"Søren"},{"family":"Thellufsen","given":"Jakob Zinck"},{"family":"Sorknæs","given":"Peter"}],"issued":{"date-parts":[["2018",11,1]]}}},{"id":3719,"uris":["http://zotero.org/users/13172592/items/LLAK7P4C"],"itemData":{"id":3719,"type":"article-journal","abstract":"The global collective actions of countries are insufficient to meet the goals agreed upon under the Paris Agreement. On one hand, countries are trailing behind in meeting their renewable energy targets. On the other hand, the implementation of renewable energy projects is affected by the political, regulatory, and policy challenges faced by engineering, procurement, and construction firms. Such issues force project firms to overlook their best practices and cause delays in connecting renewable energy plants to the national grid. This study investigates the relationship between two key project-level critical success factors and the project success of renewable energy projects in Pakistan with the moderating role of political factors. Using a data set of 238 respondents and Smart PLS 4 to analyze the data set, the results confirm the positive impact of communication and organizational factors on a project’s success. The findings also indicate that political factors are a major bottleneck that weakens the capability of project organizations to implement renewable energy projects in Pakistan. The current line of inquiry has implications for the ability of governments to effectively manage the power generation sector and support the transition to renewable energy. It also has significant theoretical implications for environmental contingency theory in terms of the adaptation of project firms to the external environment. The study concludes that project firms in the renewable energy sector need to be aware of political forces in the external environment to not only minimize their impact but to also provide timely completion of projects within and beyond Pakistan.","call-number":"3","container-title":"Sustainability","DOI":"10.3390/su15118910","ISSN":"2071-1050","issue":"11","language":"en","license":"http://creativecommons.org/licenses/by/3.0/","note":"number: 11\npublisher: Multidisciplinary Digital Publishing Institute","page":"8910","source":"3.3","title":"Investigating the moderating role of political factors on internal success factors and project success: Empirical evidence from Pakistan","title-short":"Investigating the moderating role of political factors on internal success factors and project success","volume":"15","author":[{"family":"Haris","given":"Muhammad"},{"family":"Yang","given":"Qing"}],"issued":{"date-parts":[["2023",1]]}}}],"schema":"https://github.com/citation-style-language/schema/raw/master/csl-citation.json"} </w:instrText>
      </w:r>
      <w:r>
        <w:fldChar w:fldCharType="separate"/>
      </w:r>
      <w:r w:rsidR="00E17813" w:rsidRPr="00E17813">
        <w:rPr>
          <w:rFonts w:cs="Times New Roman"/>
          <w:kern w:val="0"/>
          <w:vertAlign w:val="superscript"/>
        </w:rPr>
        <w:t>[69</w:t>
      </w:r>
      <w:r w:rsidR="00BA516A">
        <w:rPr>
          <w:rFonts w:cs="Times New Roman"/>
          <w:kern w:val="0"/>
          <w:vertAlign w:val="superscript"/>
        </w:rPr>
        <w:t>-</w:t>
      </w:r>
      <w:r w:rsidR="00E17813" w:rsidRPr="00E17813">
        <w:rPr>
          <w:rFonts w:cs="Times New Roman"/>
          <w:kern w:val="0"/>
          <w:vertAlign w:val="superscript"/>
        </w:rPr>
        <w:t>70]</w:t>
      </w:r>
      <w:r>
        <w:fldChar w:fldCharType="end"/>
      </w:r>
      <w:r>
        <w:rPr>
          <w:rFonts w:hint="eastAsia"/>
        </w:rPr>
        <w:t>。基于此，提出假设</w:t>
      </w:r>
      <w:r>
        <w:rPr>
          <w:rFonts w:hint="eastAsia"/>
        </w:rPr>
        <w:t>3</w:t>
      </w:r>
      <w:r>
        <w:rPr>
          <w:rFonts w:hint="eastAsia"/>
        </w:rPr>
        <w:t>（</w:t>
      </w:r>
      <w:r>
        <w:rPr>
          <w:rFonts w:hint="eastAsia"/>
        </w:rPr>
        <w:t>H3</w:t>
      </w:r>
      <w:r>
        <w:rPr>
          <w:rFonts w:hint="eastAsia"/>
        </w:rPr>
        <w:t>）：</w:t>
      </w:r>
    </w:p>
    <w:p w14:paraId="569BEEC0" w14:textId="77777777" w:rsidR="00873BC4" w:rsidRPr="00873BC4" w:rsidRDefault="00873BC4" w:rsidP="00873BC4">
      <w:pPr>
        <w:ind w:firstLine="422"/>
        <w:rPr>
          <w:b/>
          <w:bCs/>
        </w:rPr>
      </w:pPr>
      <w:r w:rsidRPr="00873BC4">
        <w:rPr>
          <w:rFonts w:hint="eastAsia"/>
          <w:b/>
          <w:bCs/>
        </w:rPr>
        <w:t>H3</w:t>
      </w:r>
      <w:r w:rsidRPr="00873BC4">
        <w:rPr>
          <w:rFonts w:hint="eastAsia"/>
          <w:b/>
          <w:bCs/>
        </w:rPr>
        <w:t>：</w:t>
      </w:r>
      <w:r w:rsidRPr="00873BC4">
        <w:rPr>
          <w:rFonts w:hint="eastAsia"/>
        </w:rPr>
        <w:t>清洁能源基地适宜的外部条件能够提升资源配置水平。</w:t>
      </w:r>
    </w:p>
    <w:p w14:paraId="288A19E6" w14:textId="538DD272" w:rsidR="00873BC4" w:rsidRDefault="00873BC4" w:rsidP="00873BC4">
      <w:pPr>
        <w:ind w:firstLine="420"/>
      </w:pPr>
      <w:r>
        <w:rPr>
          <w:rFonts w:hint="eastAsia"/>
        </w:rPr>
        <w:t>完善的建设与运行管理制度能够为设计</w:t>
      </w:r>
      <w:r>
        <w:t>、采购、施工及运营</w:t>
      </w:r>
      <w:r>
        <w:rPr>
          <w:rFonts w:hint="eastAsia"/>
        </w:rPr>
        <w:t>的资源配置</w:t>
      </w:r>
      <w:r>
        <w:t>提供规范化指导，</w:t>
      </w:r>
      <w:r>
        <w:rPr>
          <w:rFonts w:hint="eastAsia"/>
        </w:rPr>
        <w:t>以促使</w:t>
      </w:r>
      <w:r w:rsidRPr="00583126">
        <w:rPr>
          <w:rFonts w:hint="eastAsia"/>
        </w:rPr>
        <w:t>资源</w:t>
      </w:r>
      <w:r>
        <w:rPr>
          <w:rFonts w:hint="eastAsia"/>
        </w:rPr>
        <w:t>供给</w:t>
      </w:r>
      <w:r w:rsidRPr="00583126">
        <w:rPr>
          <w:rFonts w:hint="eastAsia"/>
        </w:rPr>
        <w:t>符合</w:t>
      </w:r>
      <w:r>
        <w:rPr>
          <w:rFonts w:hint="eastAsia"/>
        </w:rPr>
        <w:t>各环节的</w:t>
      </w:r>
      <w:r w:rsidRPr="00583126">
        <w:rPr>
          <w:rFonts w:hint="eastAsia"/>
        </w:rPr>
        <w:t>需求</w:t>
      </w:r>
      <w:r>
        <w:fldChar w:fldCharType="begin"/>
      </w:r>
      <w:r w:rsidR="00E17813">
        <w:instrText xml:space="preserve"> ADDIN ZOTERO_ITEM CSL_CITATION {"citationID":"a2c0np9ht7h","properties":{"formattedCitation":"\\super [71,72]\\nosupersub{}","plainCitation":"[71,72]","noteIndex":0},"citationItems":[{"id":3596,"uris":["http://zotero.org/users/13172592/items/6ND7JBXD"],"itemData":{"id":3596,"type":"article-journal","abstract":"What makes organizations so similar? We contend that the engine of rationalization and bureaucratization has moved from the competitive marketplace to the state and the professions. Once a set of organizations emerges as a field, a paradox arises: rational actors make their organizations increasingly similar as they try to change them. We describe three isomorphic processes--coercive, mimetic, and normative--leading to this outcome. We then specify hypotheses about the impact of resource centralization and dependency, goal ambiguity and technical uncertainty, and professionalization and structuration on isomorphic change. Finally, we suggest implications for theories of organizations and social change.","call-number":"1","container-title":"American Sociological Review","DOI":"10.2307/2095101","ISSN":"0003-1224","issue":"2","language":"en","note":"publisher: [American Sociological Association, Sage Publications, Inc.]","page":"147-160","source":"7.1","title":"The iron cage revisited: Institutional isomorphism and collective rationality in organizational fields","title-short":"The iron cage revisited","volume":"48","author":[{"family":"Dimaggio","given":"Paul J."},{"family":"Powell","given":"Walter W."}],"issued":{"date-parts":[["1983"]]}}},{"id":3586,"uris":["http://zotero.org/users/13172592/items/L5F2R9UW"],"itemData":{"id":3586,"type":"article-journal","abstract":"Project management is widely seen as delivering undertakings on time, on budget, and on scope. This conceptualization fails, however, to address the front end and its management. Addressing the front end moves the discipline to a second, more strategic level. This article proposes a third level of conceptualization: the institutional level, where management is focused on creating the conditions to support and foster projects, both in its parent organization and its external environment. Management here is done for and on the project rather than in or to it. We show that management at this level offers an enlarged research agenda and improvement in performance.","call-number":"2","container-title":"Project Management Journal","DOI":"10.1002/pmj.20271","ISSN":"1938-9507","issue":"6","language":"en","license":"© 2011 Project Management Institute","note":"_eprint: https://onlinelibrary.wiley.com/doi/pdf/10.1002/pmj.20271","page":"20-32","source":"5.1","title":"Managing the institutional context for projects","volume":"42","author":[{"family":"Morris","given":"Peter W. G."},{"family":"Geraldi","given":"Joana"}],"issued":{"date-parts":[["2011"]]}}}],"schema":"https://github.com/citation-style-language/schema/raw/master/csl-citation.json"} </w:instrText>
      </w:r>
      <w:r>
        <w:fldChar w:fldCharType="separate"/>
      </w:r>
      <w:r w:rsidR="00E17813" w:rsidRPr="00E17813">
        <w:rPr>
          <w:rFonts w:cs="Times New Roman"/>
          <w:kern w:val="0"/>
          <w:vertAlign w:val="superscript"/>
        </w:rPr>
        <w:t>[71</w:t>
      </w:r>
      <w:r w:rsidR="00BA516A">
        <w:rPr>
          <w:rFonts w:cs="Times New Roman"/>
          <w:kern w:val="0"/>
          <w:vertAlign w:val="superscript"/>
        </w:rPr>
        <w:t>-</w:t>
      </w:r>
      <w:r w:rsidR="00E17813" w:rsidRPr="00E17813">
        <w:rPr>
          <w:rFonts w:cs="Times New Roman"/>
          <w:kern w:val="0"/>
          <w:vertAlign w:val="superscript"/>
        </w:rPr>
        <w:t>72]</w:t>
      </w:r>
      <w:r>
        <w:fldChar w:fldCharType="end"/>
      </w:r>
      <w:r w:rsidRPr="00583126">
        <w:rPr>
          <w:rFonts w:hint="eastAsia"/>
        </w:rPr>
        <w:t>。</w:t>
      </w:r>
      <w:r>
        <w:rPr>
          <w:rFonts w:hint="eastAsia"/>
        </w:rPr>
        <w:t>其次，</w:t>
      </w:r>
      <w:r>
        <w:t>明确利益相关方责权</w:t>
      </w:r>
      <w:r>
        <w:rPr>
          <w:rFonts w:hint="eastAsia"/>
        </w:rPr>
        <w:t>，并制定清晰的管理流程，</w:t>
      </w:r>
      <w:r w:rsidRPr="00583126">
        <w:rPr>
          <w:rFonts w:hint="eastAsia"/>
        </w:rPr>
        <w:t>能够确保资源在不同</w:t>
      </w:r>
      <w:r>
        <w:rPr>
          <w:rFonts w:hint="eastAsia"/>
        </w:rPr>
        <w:t>利益相关方与</w:t>
      </w:r>
      <w:r w:rsidRPr="00583126">
        <w:rPr>
          <w:rFonts w:hint="eastAsia"/>
        </w:rPr>
        <w:t>环节间有序流动</w:t>
      </w:r>
      <w:r>
        <w:fldChar w:fldCharType="begin"/>
      </w:r>
      <w:r w:rsidR="00E17813">
        <w:instrText xml:space="preserve"> ADDIN ZOTERO_ITEM CSL_CITATION {"citationID":"acsh9hdosm","properties":{"formattedCitation":"\\super [46]\\nosupersub{}","plainCitation":"[46]","noteIndex":0},"citationItems":[{"id":2584,"uris":["http://zotero.org/users/13172592/items/LUC3WH29","http://zotero.org/users/13172592/items/SB8X9A3C"],"itemData":{"id":2584,"type":"article-journal","archive_location":"WOS:000235671300002","call-number":"2","container-title":"Journal of Construction Engineering and Management","DOI":"10.1061/(ASCE)0733-9364(2006)132:3(217)","ISSN":"0733-9364","issue":"3","language":"en","page":"217-229","source":"5.1","title":"Partnering mechanism in construction: An empirical study on the Chinese construction industry","volume":"132","author":[{"family":"Tang","given":"WZ"},{"family":"Duffield","given":"CF"},{"family":"Young","given":"DM"}],"issued":{"date-parts":[["2006",3]]}}}],"schema":"https://github.com/citation-style-language/schema/raw/master/csl-citation.json"} </w:instrText>
      </w:r>
      <w:r>
        <w:fldChar w:fldCharType="separate"/>
      </w:r>
      <w:r w:rsidR="00E17813" w:rsidRPr="00E17813">
        <w:rPr>
          <w:rFonts w:cs="Times New Roman"/>
          <w:kern w:val="0"/>
          <w:vertAlign w:val="superscript"/>
        </w:rPr>
        <w:t>[46]</w:t>
      </w:r>
      <w:r>
        <w:fldChar w:fldCharType="end"/>
      </w:r>
      <w:r>
        <w:rPr>
          <w:rFonts w:hint="eastAsia"/>
        </w:rPr>
        <w:t>。构建完善的知识管理体系也有助于总结经验，分析与整合信息，并推进</w:t>
      </w:r>
      <w:r>
        <w:t>项目间</w:t>
      </w:r>
      <w:r>
        <w:rPr>
          <w:rFonts w:hint="eastAsia"/>
        </w:rPr>
        <w:t>以及利益相关方间的知识</w:t>
      </w:r>
      <w:r>
        <w:t>共享</w:t>
      </w:r>
      <w:r>
        <w:fldChar w:fldCharType="begin"/>
      </w:r>
      <w:r w:rsidR="00E17813">
        <w:instrText xml:space="preserve"> ADDIN ZOTERO_ITEM CSL_CITATION {"citationID":"a2jf6f5tk1j","properties":{"formattedCitation":"\\super [73,74]\\nosupersub{}","plainCitation":"[73,74]","noteIndex":0},"citationItems":[{"id":1641,"uris":["http://zotero.org/users/13172592/items/93NZ4BEB"],"itemData":{"id":1641,"type":"article-journal","abstract":"The combination of the economic pressures, maturity and limitations of project management and the dynamic nature of the construction industry clients’ requirements has triggered the need for the adoption and implementation of programme management as a de facto means of aligning, coordinating and managing a portfolio of construction projects to deliver beneﬁts that would not be achievable if the projects were managed independently. Despite the beneﬁts achievable in the practice of programme management, the awareness and understanding of its practice in the construction industry remains vague as a result of a lack of clarity and inconsistencies associated with its deﬁnitions. To fully understand the core essence of programme management, it is imperative that its quintessential deﬁnition, practice and context are clearly understood and documented. This research is based on a pragmatic synthesis of literature review and industrial questionnaire survey which establishes the relationship, similarities and diﬀerences between programme management and project management and subsequently draws comparisons of the practices relevant to programmes between programme and non-programme organisations. The research further highlights the implications of unawareness and lack of understanding that can aﬀect the eﬀective implementation and practice of programme management in the UK construction environment.","call-number":"1","container-title":"International Journal of Project Management","DOI":"10.1016/j.ijproman.2009.02.005","ISSN":"02637863","issue":"7","journalAbbreviation":"International Journal of Project Management","language":"en","license":"https://www.elsevier.com/tdm/userlicense/1.0/","page":"703-716","source":"8","title":"Construction programme management theory and practice: Contextual and pragmatic approach","title-short":"Construction programme management theory and practice","volume":"27","author":[{"family":"Shehu","given":"Zayyana"},{"family":"Akintoye","given":"Akintola"}],"issued":{"date-parts":[["2009",10]]}}},{"id":4083,"uris":["http://zotero.org/users/13172592/items/IKSFIFU8"],"itemData":{"id":4083,"type":"article-journal","abstract":"In the information age, organization theories have addressed p</w:instrText>
      </w:r>
      <w:r w:rsidR="00E17813">
        <w:rPr>
          <w:rFonts w:hint="eastAsia"/>
        </w:rPr>
        <w:instrText>roblem</w:instrText>
      </w:r>
      <w:r w:rsidR="00E17813">
        <w:rPr>
          <w:rFonts w:hint="eastAsia"/>
        </w:rPr>
        <w:instrText>‐</w:instrText>
      </w:r>
      <w:r w:rsidR="00E17813">
        <w:rPr>
          <w:rFonts w:hint="eastAsia"/>
        </w:rPr>
        <w:instrText>solving as an information</w:instrText>
      </w:r>
      <w:r w:rsidR="00E17813">
        <w:rPr>
          <w:rFonts w:hint="eastAsia"/>
        </w:rPr>
        <w:instrText>‐</w:instrText>
      </w:r>
      <w:r w:rsidR="00E17813">
        <w:rPr>
          <w:rFonts w:hint="eastAsia"/>
        </w:rPr>
        <w:instrText>processing activity. However, in this era, with the realization of knowledge</w:instrText>
      </w:r>
      <w:r w:rsidR="00E17813">
        <w:rPr>
          <w:rFonts w:hint="eastAsia"/>
        </w:rPr>
        <w:instrText>‐</w:instrText>
      </w:r>
      <w:r w:rsidR="00E17813">
        <w:rPr>
          <w:rFonts w:hint="eastAsia"/>
        </w:rPr>
        <w:instrText>based views of the organi...","archive_location":"world","container-title":"Construction Management and Economics","DOI":"10.1080/014461908026210</w:instrText>
      </w:r>
      <w:r w:rsidR="00E17813">
        <w:instrText xml:space="preserve">44","issue":"12","language":"en","license":"Copyright Taylor and Francis Group, LLC","note":"publisher: Taylor &amp; Francis","page":"1303-1311","source":"3","title":"Managing construction project change: A knowledge management perspective","title-short":"Managing construction project change","volume":"26","author":[{"family":"Senaratne","given":"Sepani"},{"family":"Sexton","given":"Martin"}],"issued":{"date-parts":[["2008"]]}}}],"schema":"https://github.com/citation-style-language/schema/raw/master/csl-citation.json"} </w:instrText>
      </w:r>
      <w:r>
        <w:fldChar w:fldCharType="separate"/>
      </w:r>
      <w:r w:rsidR="00E17813" w:rsidRPr="00E17813">
        <w:rPr>
          <w:rFonts w:cs="Times New Roman"/>
          <w:kern w:val="0"/>
          <w:vertAlign w:val="superscript"/>
        </w:rPr>
        <w:t>[73</w:t>
      </w:r>
      <w:r w:rsidR="00BA516A">
        <w:rPr>
          <w:rFonts w:cs="Times New Roman"/>
          <w:kern w:val="0"/>
          <w:vertAlign w:val="superscript"/>
        </w:rPr>
        <w:t>-</w:t>
      </w:r>
      <w:r w:rsidR="00E17813" w:rsidRPr="00E17813">
        <w:rPr>
          <w:rFonts w:cs="Times New Roman"/>
          <w:kern w:val="0"/>
          <w:vertAlign w:val="superscript"/>
        </w:rPr>
        <w:t>74]</w:t>
      </w:r>
      <w:r>
        <w:fldChar w:fldCharType="end"/>
      </w:r>
      <w:r>
        <w:rPr>
          <w:rFonts w:hint="eastAsia"/>
        </w:rPr>
        <w:t>。此外，建立合理的</w:t>
      </w:r>
      <w:r>
        <w:t>技能培训</w:t>
      </w:r>
      <w:r>
        <w:rPr>
          <w:rFonts w:hint="eastAsia"/>
        </w:rPr>
        <w:t>与人才培养机制能够及时、高效地引入外部人力、技术与管理资源。基于此，提出假设</w:t>
      </w:r>
      <w:r>
        <w:rPr>
          <w:rFonts w:hint="eastAsia"/>
        </w:rPr>
        <w:t>4</w:t>
      </w:r>
      <w:r>
        <w:rPr>
          <w:rFonts w:hint="eastAsia"/>
        </w:rPr>
        <w:t>（</w:t>
      </w:r>
      <w:r>
        <w:rPr>
          <w:rFonts w:hint="eastAsia"/>
        </w:rPr>
        <w:t>H4</w:t>
      </w:r>
      <w:r>
        <w:rPr>
          <w:rFonts w:hint="eastAsia"/>
        </w:rPr>
        <w:t>）：</w:t>
      </w:r>
    </w:p>
    <w:p w14:paraId="55105D07" w14:textId="1CBCC55E" w:rsidR="00873BC4" w:rsidRDefault="00873BC4" w:rsidP="00873BC4">
      <w:pPr>
        <w:ind w:firstLine="422"/>
      </w:pPr>
      <w:r w:rsidRPr="00873BC4">
        <w:rPr>
          <w:rFonts w:hint="eastAsia"/>
          <w:b/>
          <w:bCs/>
        </w:rPr>
        <w:t>H4</w:t>
      </w:r>
      <w:r w:rsidRPr="00873BC4">
        <w:rPr>
          <w:rFonts w:hint="eastAsia"/>
          <w:b/>
          <w:bCs/>
        </w:rPr>
        <w:t>：</w:t>
      </w:r>
      <w:r w:rsidRPr="00873BC4">
        <w:rPr>
          <w:rFonts w:hint="eastAsia"/>
        </w:rPr>
        <w:t>清洁能源基地完善的管理制度能够提升资源配置水平。</w:t>
      </w:r>
    </w:p>
    <w:p w14:paraId="5304EACD" w14:textId="2DFED432" w:rsidR="00BA516A" w:rsidRPr="00BA516A" w:rsidRDefault="00BA516A" w:rsidP="00BA516A">
      <w:pPr>
        <w:ind w:firstLine="420"/>
        <w:rPr>
          <w:bCs/>
        </w:rPr>
      </w:pPr>
      <w:r w:rsidRPr="00BA516A">
        <w:rPr>
          <w:rFonts w:hint="eastAsia"/>
          <w:bCs/>
        </w:rPr>
        <w:t>业主能够推进清洁能源基地实现资源的高效配置</w:t>
      </w:r>
      <w:r>
        <w:rPr>
          <w:bCs/>
        </w:rPr>
        <w:softHyphen/>
      </w:r>
      <w:r>
        <w:rPr>
          <w:rFonts w:hint="eastAsia"/>
          <w:bCs/>
          <w:vertAlign w:val="superscript"/>
        </w:rPr>
        <w:t>[</w:t>
      </w:r>
      <w:r>
        <w:rPr>
          <w:bCs/>
          <w:vertAlign w:val="superscript"/>
        </w:rPr>
        <w:t>63]</w:t>
      </w:r>
      <w:r w:rsidRPr="00BA516A">
        <w:rPr>
          <w:rFonts w:hint="eastAsia"/>
          <w:bCs/>
        </w:rPr>
        <w:t>。首先，业主明确清洁能源基地各子项目的开发目标与资源需求，能够减少资源调配的不确定性，避免资源浪费，以实现资源及时供应与精准配置</w:t>
      </w:r>
      <w:r w:rsidR="008A61D6">
        <w:rPr>
          <w:rFonts w:hint="eastAsia"/>
          <w:bCs/>
          <w:vertAlign w:val="superscript"/>
        </w:rPr>
        <w:t>[</w:t>
      </w:r>
      <w:r w:rsidR="008A61D6">
        <w:rPr>
          <w:bCs/>
          <w:vertAlign w:val="superscript"/>
        </w:rPr>
        <w:t>14]</w:t>
      </w:r>
      <w:r w:rsidRPr="00BA516A">
        <w:rPr>
          <w:rFonts w:hint="eastAsia"/>
          <w:bCs/>
        </w:rPr>
        <w:t>。其次，业主以清洁能源基地总体开发为目标，从一体化视角统筹协调多个项目和利益相关方，有助于明确资源配置的优先级，减少因信息不对称导致的资源错配，提升资源利用效率</w:t>
      </w:r>
      <w:r w:rsidR="008A61D6" w:rsidRPr="008A61D6">
        <w:rPr>
          <w:rFonts w:hint="eastAsia"/>
          <w:bCs/>
          <w:vertAlign w:val="superscript"/>
        </w:rPr>
        <w:t>[</w:t>
      </w:r>
      <w:r w:rsidR="008A61D6" w:rsidRPr="008A61D6">
        <w:rPr>
          <w:bCs/>
          <w:vertAlign w:val="superscript"/>
        </w:rPr>
        <w:t>50]</w:t>
      </w:r>
      <w:r w:rsidRPr="00BA516A">
        <w:rPr>
          <w:rFonts w:hint="eastAsia"/>
          <w:bCs/>
        </w:rPr>
        <w:t>。知识与信息是清洁能源基地开发过程中的重要资源。业主对信息技术的有效应用不仅能够提升各利益相关方之间的信息流通与共享效率；也有助于构建知识管</w:t>
      </w:r>
      <w:r w:rsidRPr="00BA516A">
        <w:rPr>
          <w:rFonts w:hint="eastAsia"/>
          <w:bCs/>
        </w:rPr>
        <w:t>理系统，以促进组织内部及外部经验的积累与分享</w:t>
      </w:r>
      <w:r w:rsidR="008A61D6">
        <w:fldChar w:fldCharType="begin"/>
      </w:r>
      <w:r w:rsidR="008A61D6">
        <w:instrText xml:space="preserve"> ADDIN ZOTERO_ITEM CSL_CITATION {"citationID":"tdbic1wL","properties":{"formattedCitation":"\\super [17,18]\\nosupersub{}","plainCitation":"[17,18]","noteIndex":0},"citationItems":[{"id":1917,"uris":["http://zotero.org/users/13172592/items/ITAY8FHW"],"itemData":{"id":1917,"type":"article-journal","abstract":"With the advancement of today's technological improvements and the rapid growth in population, the magnitude of construction projects has grown significantlywhile construction budgets continue to shrink. We can and must build faster, safer, bigger, and more economicallythan our predecessors did and while goingthrough the same basic planning, engineering, and construction phases. To meet this challenge, effective program management is crucial. Previously, management systemsconcentrated on schedule and cost, but in today's economic climate funding has become a major management issue for these multiproject programs. An effective management information system (MIS) must be capable of monitoring schedule, cost, and funding components. This paper discusses the general requirements for creation of a customized MIS and makes recommendations for assessing the program's needs, developing the schedules, and monitoring the finances. It is intended to be used as a guideline by managers to help define their project-specificrequirements and establish the foundation on which to build their MIS.","call-number":"1","container-title":"Journal of Management in Engineering","DOI":"10.1061/(ASCE)9742-597X(1994)10:1(37)","ISSN":"0742-597X, 1943-5479","issue":"1","journalAbbreviation":"J. Manage. Eng.","language":"en","page":"37-42","source":"7.4","title":"Establishing management information systems for multiproject programs","volume":"10","author":[{"family":"Zapalac","given":"Russell"},{"family":"Kuemmler","given":"Karen"},{"family":"Malagon","given":"Tim"}],"issued":{"date-parts":[["1994",1]]}}},{"id":1850,"uris":["http://zotero.org/users/13172592/items/54DC6TVI"],"itemData":{"id":1850,"type":"article-journal","abstract":"This paper is about intelligent Program Management Information System (iPMIS) to support decisionmaking and management of urban renewal mega projects over their life cycle in Korea. Program management focuses on soft issues i.e. benefits, stakeholders, and governance. A challenge is the diversity of urban renewal projects in terms of process and organization structure. The authors clarify the general requirements of systems to support program management while coping with diversity as follows: openness, clearness, convenience and consistency. As solutions, the authors present a conceptual model for iPMIS featuring the following characteristics: a web-based platform in which general modules and external integrated Geographic Information System (GIS) with decision support logical models are operated; interfaces; cooperative operating IT and IS in urban planning and construction; and a protocol for managing data cooperatively at the level of nation, district, project and facility. Two main unique features are: a user-created ontological process map that provides the operation scenario and menus of the iPMIS; and plug &amp; play techniques by which modules are selected and then operated immediately. These core concepts have been implemented as a prototype system and have been applied to a real construction project. The evaluation result shows that this technique can reduce systems implementation time by 90%.","call-number":"4","container-title":"Journal of Asian Architecture and Building Engineering","DOI":"10.3130/jaabe.8.57","ISSN":"1346-7581, 1347-2852","issue":"1","journalAbbreviation":"Journal of Asian Architecture and Building Engineering","language":"en","note":"TLDR: The authors present a conceptual model for iPMIS featuring a web-based platform in which general modules and external integrated Geographic Information System with decision support logical models are operated; interfaces; cooperative operating IT and IS in urban planning and construction; and a protocol for managing data cooperatively at the level of nation, district, project and facility.","page":"57-64","source":"1.3","title":"A conceptual model of intelligent program management information systems (iPMIS) for urban renewal mega projects in Korea","volume":"8","author":[{"family":"Kim","given":"Ju-Hyung"},{"family":"Yoon","given":"Ja-Young"},{"family":"Kim","given":"Kyung-Hwan"},{"family":"Kim","given":"Jae-Jun"}],"issued":{"date-parts":[["2009",5]]}}}],"schema":"https://github.com/citation-style-language/schema/raw/master/csl-citation.json"} </w:instrText>
      </w:r>
      <w:r w:rsidR="008A61D6">
        <w:fldChar w:fldCharType="separate"/>
      </w:r>
      <w:r w:rsidR="008A61D6" w:rsidRPr="00E17813">
        <w:rPr>
          <w:rFonts w:cs="Times New Roman"/>
          <w:kern w:val="0"/>
          <w:vertAlign w:val="superscript"/>
        </w:rPr>
        <w:t>[17</w:t>
      </w:r>
      <w:r w:rsidR="008A61D6">
        <w:rPr>
          <w:rFonts w:cs="Times New Roman"/>
          <w:kern w:val="0"/>
          <w:vertAlign w:val="superscript"/>
        </w:rPr>
        <w:t>-</w:t>
      </w:r>
      <w:r w:rsidR="008A61D6" w:rsidRPr="00E17813">
        <w:rPr>
          <w:rFonts w:cs="Times New Roman"/>
          <w:kern w:val="0"/>
          <w:vertAlign w:val="superscript"/>
        </w:rPr>
        <w:t>18]</w:t>
      </w:r>
      <w:r w:rsidR="008A61D6">
        <w:fldChar w:fldCharType="end"/>
      </w:r>
      <w:r w:rsidRPr="00BA516A">
        <w:rPr>
          <w:rFonts w:hint="eastAsia"/>
          <w:bCs/>
        </w:rPr>
        <w:t>。此外，业主通过对市场变化、政策调整和各子项目需求的敏锐感知，快速响应外部变化，能够保障外部知识、技术的及时引入，并促进资源配置的动态调整与优化</w:t>
      </w:r>
      <w:r w:rsidR="008A61D6" w:rsidRPr="0093489A">
        <w:fldChar w:fldCharType="begin"/>
      </w:r>
      <w:r w:rsidR="008A61D6">
        <w:instrText xml:space="preserve"> ADDIN ZOTERO_ITEM CSL_CITATION {"citationID":"sEMJXiGu","properties":{"formattedCitation":"\\super [55]\\nosupersub{}","plainCitation":"[55]","noteIndex":0},"citationItems":[{"id":2358,"uris":["http://zotero.org/users/13172592/items/E9Z93RH2"],"itemData":{"id":2358,"type":"article-journal","call-number":"4","container-title":"Journal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megaprojects","author":[{"family":"Wang","given":"Dedong"},{"family":"Zhao","given":"Xiaoru"}],"issued":{"date-parts":[["2024",3,17]]}}}],"schema":"https://github.com/citation-style-language/schema/raw/master/csl-citation.json"} </w:instrText>
      </w:r>
      <w:r w:rsidR="008A61D6" w:rsidRPr="0093489A">
        <w:fldChar w:fldCharType="separate"/>
      </w:r>
      <w:r w:rsidR="008A61D6" w:rsidRPr="00E17813">
        <w:rPr>
          <w:rFonts w:cs="Times New Roman"/>
          <w:kern w:val="0"/>
          <w:vertAlign w:val="superscript"/>
        </w:rPr>
        <w:t>[55]</w:t>
      </w:r>
      <w:r w:rsidR="008A61D6" w:rsidRPr="0093489A">
        <w:fldChar w:fldCharType="end"/>
      </w:r>
      <w:r w:rsidRPr="00BA516A">
        <w:rPr>
          <w:rFonts w:hint="eastAsia"/>
          <w:bCs/>
        </w:rPr>
        <w:t>。基于此，提出假设</w:t>
      </w:r>
      <w:r w:rsidRPr="00BA516A">
        <w:rPr>
          <w:rFonts w:hint="eastAsia"/>
          <w:bCs/>
        </w:rPr>
        <w:t>5</w:t>
      </w:r>
      <w:r w:rsidRPr="00BA516A">
        <w:rPr>
          <w:rFonts w:hint="eastAsia"/>
          <w:bCs/>
        </w:rPr>
        <w:t>（</w:t>
      </w:r>
      <w:r w:rsidRPr="00BA516A">
        <w:rPr>
          <w:rFonts w:hint="eastAsia"/>
          <w:bCs/>
        </w:rPr>
        <w:t>H5</w:t>
      </w:r>
      <w:r w:rsidRPr="00BA516A">
        <w:rPr>
          <w:rFonts w:hint="eastAsia"/>
          <w:bCs/>
        </w:rPr>
        <w:t>）：</w:t>
      </w:r>
    </w:p>
    <w:p w14:paraId="10EC77A0" w14:textId="7EB09030" w:rsidR="00BA516A" w:rsidRPr="00BA516A" w:rsidRDefault="00BA516A" w:rsidP="00BA516A">
      <w:pPr>
        <w:ind w:firstLine="422"/>
        <w:rPr>
          <w:bCs/>
        </w:rPr>
      </w:pPr>
      <w:r w:rsidRPr="00BA516A">
        <w:rPr>
          <w:rFonts w:hint="eastAsia"/>
          <w:b/>
          <w:bCs/>
        </w:rPr>
        <w:t>H5</w:t>
      </w:r>
      <w:r w:rsidRPr="00BA516A">
        <w:rPr>
          <w:rFonts w:hint="eastAsia"/>
          <w:b/>
          <w:bCs/>
        </w:rPr>
        <w:t>：</w:t>
      </w:r>
      <w:r w:rsidRPr="00BA516A">
        <w:rPr>
          <w:rFonts w:hint="eastAsia"/>
          <w:bCs/>
        </w:rPr>
        <w:t>清洁能源基地良好的业主项目群管理能力能够提升资源配置水平。</w:t>
      </w:r>
    </w:p>
    <w:p w14:paraId="19C5B2DA" w14:textId="58EA8CE3" w:rsidR="00BC1DF7" w:rsidRDefault="00873BC4" w:rsidP="00873BC4">
      <w:pPr>
        <w:pStyle w:val="3"/>
      </w:pPr>
      <w:r>
        <w:rPr>
          <w:rFonts w:hint="eastAsia"/>
        </w:rPr>
        <w:t>伙伴关系</w:t>
      </w:r>
    </w:p>
    <w:p w14:paraId="506B121D" w14:textId="46DA7E38" w:rsidR="00BC1DF7" w:rsidRDefault="00873BC4" w:rsidP="00BC1DF7">
      <w:pPr>
        <w:ind w:firstLine="420"/>
      </w:pPr>
      <w:r w:rsidRPr="00E46326">
        <w:rPr>
          <w:rFonts w:hint="eastAsia"/>
        </w:rPr>
        <w:t>伙伴关系</w:t>
      </w:r>
      <w:r>
        <w:rPr>
          <w:rFonts w:hint="eastAsia"/>
        </w:rPr>
        <w:t>（</w:t>
      </w:r>
      <w:r>
        <w:rPr>
          <w:rFonts w:hint="eastAsia"/>
        </w:rPr>
        <w:t>Partnering</w:t>
      </w:r>
      <w:r>
        <w:rPr>
          <w:rFonts w:hint="eastAsia"/>
        </w:rPr>
        <w:t>）</w:t>
      </w:r>
      <w:r w:rsidRPr="00E46326">
        <w:rPr>
          <w:rFonts w:hint="eastAsia"/>
        </w:rPr>
        <w:t>指项目各</w:t>
      </w:r>
      <w:r>
        <w:rPr>
          <w:rFonts w:hint="eastAsia"/>
        </w:rPr>
        <w:t>利益相关方</w:t>
      </w:r>
      <w:r w:rsidRPr="00E46326">
        <w:rPr>
          <w:rFonts w:hint="eastAsia"/>
        </w:rPr>
        <w:t>基于共同目标，构建的长期互信合作关系</w:t>
      </w:r>
      <w:r>
        <w:fldChar w:fldCharType="begin"/>
      </w:r>
      <w:r w:rsidR="00E17813">
        <w:instrText xml:space="preserve"> ADDIN ZOTERO_ITEM CSL_CITATION {"citationID":"a11ma01e0rh","properties":{"formattedCitation":"\\super [46]\\nosupersub{}","plainCitation":"[46]","noteIndex":0},"citationItems":[{"id":2584,"uris":["http://zotero.org/users/13172592/items/LUC3WH29","http://zotero.org/users/13172592/items/SB8X9A3C"],"itemData":{"id":2584,"type":"article-journal","archive_location":"WOS:000235671300002","call-number":"2","container-title":"Journal of Construction Engineering and Management","DOI":"10.1061/(ASCE)0733-9364(2006)132:3(217)","ISSN":"0733-9364","issue":"3","language":"en","page":"217-229","source":"5.1","title":"Partnering mechanism in construction: An empirical study on the Chinese construction industry","volume":"132","author":[{"family":"Tang","given":"WZ"},{"family":"Duffield","given":"CF"},{"family":"Young","given":"DM"}],"issued":{"date-parts":[["2006",3]]}}}],"schema":"https://github.com/citation-style-language/schema/raw/master/csl-citation.json"} </w:instrText>
      </w:r>
      <w:r>
        <w:fldChar w:fldCharType="separate"/>
      </w:r>
      <w:r w:rsidR="00E17813" w:rsidRPr="00E17813">
        <w:rPr>
          <w:rFonts w:cs="Times New Roman"/>
          <w:kern w:val="0"/>
          <w:vertAlign w:val="superscript"/>
        </w:rPr>
        <w:t>[46]</w:t>
      </w:r>
      <w:r>
        <w:fldChar w:fldCharType="end"/>
      </w:r>
      <w:r>
        <w:rPr>
          <w:rFonts w:hint="eastAsia"/>
        </w:rPr>
        <w:t>。清洁能源基地开发涉及利益相关方众多，包括</w:t>
      </w:r>
      <w:r w:rsidRPr="00E46326">
        <w:rPr>
          <w:rFonts w:hint="eastAsia"/>
        </w:rPr>
        <w:t>业主、政府部门、电网公司、设计单位、施工单位、监理单位、材料设备供应单位、用电方等</w:t>
      </w:r>
      <w:r>
        <w:rPr>
          <w:highlight w:val="yellow"/>
        </w:rPr>
        <w:fldChar w:fldCharType="begin"/>
      </w:r>
      <w:r w:rsidR="00E17813">
        <w:rPr>
          <w:highlight w:val="yellow"/>
        </w:rPr>
        <w:instrText xml:space="preserve"> ADDIN ZOTERO_ITEM CSL_CITATION {"citationID":"a1bc0c720n1","properties":{"formattedCitation":"\\super [75]\\nosupersub{}","plainCitation":"[75]","noteIndex":0},"citationItems":[{"id":2995,"uris":["http://zotero.org/users/13172592/items/W9LENCGE"],"itemDa</w:instrText>
      </w:r>
      <w:r w:rsidR="00E17813">
        <w:rPr>
          <w:rFonts w:hint="eastAsia"/>
          <w:highlight w:val="yellow"/>
        </w:rPr>
        <w:instrText>ta":{"id":2995,"type":"thesis","event-place":"</w:instrText>
      </w:r>
      <w:r w:rsidR="00E17813">
        <w:rPr>
          <w:rFonts w:hint="eastAsia"/>
          <w:highlight w:val="yellow"/>
        </w:rPr>
        <w:instrText>北京</w:instrText>
      </w:r>
      <w:r w:rsidR="00E17813">
        <w:rPr>
          <w:rFonts w:hint="eastAsia"/>
          <w:highlight w:val="yellow"/>
        </w:rPr>
        <w:instrText>","language":"en-US","publisher":"</w:instrText>
      </w:r>
      <w:r w:rsidR="00E17813">
        <w:rPr>
          <w:rFonts w:hint="eastAsia"/>
          <w:highlight w:val="yellow"/>
        </w:rPr>
        <w:instrText>清华大学</w:instrText>
      </w:r>
      <w:r w:rsidR="00E17813">
        <w:rPr>
          <w:rFonts w:hint="eastAsia"/>
          <w:highlight w:val="yellow"/>
        </w:rPr>
        <w:instrText>","publisher-place":"</w:instrText>
      </w:r>
      <w:r w:rsidR="00E17813">
        <w:rPr>
          <w:rFonts w:hint="eastAsia"/>
          <w:highlight w:val="yellow"/>
        </w:rPr>
        <w:instrText>北京</w:instrText>
      </w:r>
      <w:r w:rsidR="00E17813">
        <w:rPr>
          <w:rFonts w:hint="eastAsia"/>
          <w:highlight w:val="yellow"/>
        </w:rPr>
        <w:instrText>","title":"</w:instrText>
      </w:r>
      <w:r w:rsidR="00E17813">
        <w:rPr>
          <w:rFonts w:hint="eastAsia"/>
          <w:highlight w:val="yellow"/>
        </w:rPr>
        <w:instrText>清洁能源项目风险管理研究</w:instrText>
      </w:r>
      <w:r w:rsidR="00E17813">
        <w:rPr>
          <w:rFonts w:hint="eastAsia"/>
          <w:highlight w:val="yellow"/>
        </w:rPr>
        <w:instrText>","author":[{"family":"</w:instrText>
      </w:r>
      <w:r w:rsidR="00E17813">
        <w:rPr>
          <w:rFonts w:hint="eastAsia"/>
          <w:highlight w:val="yellow"/>
        </w:rPr>
        <w:instrText>娄长圣</w:instrText>
      </w:r>
      <w:r w:rsidR="00E17813">
        <w:rPr>
          <w:rFonts w:hint="eastAsia"/>
          <w:highlight w:val="yellow"/>
        </w:rPr>
        <w:instrText>","given":""}],"issued":{"date-parts":[["2024"]]}}}],"schema":"https://github.com/citation-style-</w:instrText>
      </w:r>
      <w:r w:rsidR="00E17813">
        <w:rPr>
          <w:highlight w:val="yellow"/>
        </w:rPr>
        <w:instrText xml:space="preserve">language/schema/raw/master/csl-citation.json"} </w:instrText>
      </w:r>
      <w:r>
        <w:rPr>
          <w:highlight w:val="yellow"/>
        </w:rPr>
        <w:fldChar w:fldCharType="separate"/>
      </w:r>
      <w:r w:rsidR="00E17813" w:rsidRPr="00E17813">
        <w:rPr>
          <w:rFonts w:cs="Times New Roman"/>
          <w:kern w:val="0"/>
          <w:vertAlign w:val="superscript"/>
        </w:rPr>
        <w:t>[75]</w:t>
      </w:r>
      <w:r>
        <w:rPr>
          <w:highlight w:val="yellow"/>
        </w:rPr>
        <w:fldChar w:fldCharType="end"/>
      </w:r>
      <w:r>
        <w:rPr>
          <w:rFonts w:hint="eastAsia"/>
        </w:rPr>
        <w:t>。构建利益相关方间良好的</w:t>
      </w:r>
      <w:r w:rsidRPr="00E46326">
        <w:rPr>
          <w:rFonts w:hint="eastAsia"/>
        </w:rPr>
        <w:t>伙伴关系</w:t>
      </w:r>
      <w:r>
        <w:rPr>
          <w:rFonts w:hint="eastAsia"/>
        </w:rPr>
        <w:t>，有助于推进</w:t>
      </w:r>
      <w:r w:rsidRPr="00E46326">
        <w:rPr>
          <w:rFonts w:hint="eastAsia"/>
        </w:rPr>
        <w:t>风险管理、全面质量管理</w:t>
      </w:r>
      <w:r>
        <w:rPr>
          <w:rFonts w:hint="eastAsia"/>
        </w:rPr>
        <w:t>以及</w:t>
      </w:r>
      <w:r w:rsidRPr="00E46326">
        <w:rPr>
          <w:rFonts w:hint="eastAsia"/>
        </w:rPr>
        <w:t>激励</w:t>
      </w:r>
      <w:r>
        <w:rPr>
          <w:rFonts w:hint="eastAsia"/>
        </w:rPr>
        <w:t>机制实施</w:t>
      </w:r>
      <w:r>
        <w:fldChar w:fldCharType="begin"/>
      </w:r>
      <w:r w:rsidR="00E17813">
        <w:instrText xml:space="preserve"> ADDIN ZOTERO_ITEM CSL_CITATION {"citationID":"a2pfuk0n60c","properties":{"formattedCitation":"\\super [56,76]\\nosupersub{}","plainCitation":"[56,76]","noteIndex":0},"citationItems":[{"id":2571,"uris":["http://zotero.org/users/13172592/items/5TZA5KFQ"],"itemData":{"id":2571,"type":"article-journal","abstract":"Total quality management (TQM) has increasingly been introduced into the construction industry across many countries as an improvement strategy, but there are many barriers impeding its effectiveness in implementation. Many researchers pointed out that partnering can facilitate TQM application, yet the quintessential nature on the linkage between the two techniques is still not clear due to a lack of rigorous verifiable empirical evidence. With support of the data collected from a survey of the Chinese construction industry, together with a case study of the Three Gorges Dam Project, this study reveals the mechanism of how partnering, associated with incentives, can enhance the implementation of TQM into the construction industry. It is concluded that partnering can enhance TQM largely due to enhancing the links across the boundaries of organizations within a trust environment; and the impacts of incentives on TQM are through both aligning strong motivations to encourage participants using the established links efficiently and aligning the necessary financial resources for participants to directly assist the investment on improving TQM. Further studies should be conducted to build optimum links and alignments among all project participants to ensure intraorganizational TQM activities are congruent with the interorganizational interactions, which require future project organizations to change in order to fit this.","archive_location":"WOS:000269848700003","container-title":"Journal of Professional Issues in Engineering Education and Practice","DOI":"10.1061/(ASCE)1052-3928(2009)135:4(129)","ISSN":"1052-3928","issue":"4","language":"en","page":"129-141","title":"Enhancing total quality management by partnering in construction","volume":"135","author":[{"family":"Tang","given":"WZ"},{"family":"Qiang","given":"MS"},{"family":"Duffield","given":"CF"},{"family":"Young","given":"DM"},{"family":"Lu","given":"YM"}],"issued":{"date-parts":[["2009",10]]}}},{"id":3707,"uris":["http://zotero.org/users/13172592/items/8BFVII23"],"itemData":{"id":3707,"type":"article-journal","abstract":"There is a rapidly increasing demand for hydropower in China. However, little research has been conducted to systematically investigate the overall aspects of hydropower development risks. With support of the data collected from a fieldwork survey, this study reports the multiple facets of hydropower development risks in China as perceived by main project participants. All groups have a common view on the criticality of safety, and the groups also have their own priorities, i.e., resettlement of migrants, incompetence of subcontractors, project delay, inadequate or incorrect design, premature failure of facilities and ecological and environmental impacts are the key risks to clients, whereas quality of work, financial related risks, reputation, and claims and disputes are the main concerns to contractors. A case study of Three Gorges Project further demonstrates that, hydropower development risks can be effectively managed by encouraging joint efforts of all participants to achieve the goals on producing renewable energy, reducing emissions of CO2, and providing important social/economical benefits. Future hydropower development should emphasize the interactions between project delivery, environmental, and economical processes to reach appropriate trade-offs among involving stakeholders, by adequately considering the inter-relations between project participants' risks as well as hydropower project's externalities on a broad view.","call-number":"1","container-title":"Energy","DOI":"10.1016/j.energy.2013.08.034","ISSN":"0360-5442","journalAbbreviation":"Energy","language":"en","page":"316-324","source":"9","title":"Risk management of hydropower development in China","volume":"60","author":[{"family":"Tang","given":"Wenzhe"},{"family":"Li","given":"Zhuoyu"},{"family":"Qiang","given":"Maoshan"},{"family":"Wang","given":"Shuli"},{"family":"Lu","given":"Youmei"}],"issued":{"date-parts":[["2013",10,1]]}}}],"schema":"https://github.com/citation-style-language/schema/raw/master/csl-citation.json"} </w:instrText>
      </w:r>
      <w:r>
        <w:fldChar w:fldCharType="separate"/>
      </w:r>
      <w:r w:rsidR="00E17813" w:rsidRPr="00E17813">
        <w:rPr>
          <w:rFonts w:cs="Times New Roman"/>
          <w:kern w:val="0"/>
          <w:vertAlign w:val="superscript"/>
        </w:rPr>
        <w:t>[56,76]</w:t>
      </w:r>
      <w:r>
        <w:fldChar w:fldCharType="end"/>
      </w:r>
      <w:r>
        <w:rPr>
          <w:rFonts w:hint="eastAsia"/>
        </w:rPr>
        <w:t>，提升设计、施工与采购水平，并最终作用于</w:t>
      </w:r>
      <w:r w:rsidRPr="00E46326">
        <w:rPr>
          <w:rFonts w:hint="eastAsia"/>
        </w:rPr>
        <w:t>项目绩效</w:t>
      </w:r>
      <w:r>
        <w:fldChar w:fldCharType="begin"/>
      </w:r>
      <w:r w:rsidR="00E17813">
        <w:instrText xml:space="preserve"> ADDIN ZOTERO_ITEM CSL_CITATION {"citationID":"a936mqcah7","properties":{"formattedCitation":"\\super [77\\uc0\\u8211{}79]\\nosupersub{}","plainCitation":"[77–79]","noteIndex":0},"citationItems":[{"id":168,"uris":["http://zotero.org/users/13172592/items/YXXHHZPX"],"itemData":{"id":168,"type":"article-journal","abstract":"The engineer–procure–construct (EPC) approach has been increasingly adopted in international markets, in which contractors need to have adequate capabilities in effectively dealing with a wide range of risks in a complex environment that consists of various stakeholders. Many researchers have embraced the strategy of partnering to integrate diverse project delivery activities by meeting the needs of all project participants. However, limited research has addressed the cause–effect relationships among partnering, risk management, and organizational capability on how performance improvements can be generated from them on a holistic view. This study systematically investigates the causal relationships among these themes by establishing and testing a conceptual model. With the support of data collected from Chinese contractors with experience in delivering EPC projects by questionnaire, interview, and a case study, the results provide empirical evidences on contractors' partnering application degree, strength, and weakness of organizational capabilities, overall picture of risk management, and project performance level, which form a sound basis for contractors' decision making during project implementation. This study further reveals that partnering can not only directly facilitate organizational capability and risk management but also exert its inﬂuence on risk management through enhanced organizational capability, thereby improving project performance. The above insights suggest research and practical emphases on combining risk management with partnering principles to assist in both intra- and inter-organizational activities, and contractors' appropriate linking with involved stakeholders to obtain necessary resources and effectively transfer them for successfully delivering international EPC projects.","container-title":"International Journal of Project Management","DOI":"10.1016/j.ijproman.2015.09.003","ISSN":"02637863","issue":"1","journalAbbreviation":"International Journal of Project Management","language":"en","page":"30-43","source":"DOI.org (Crossref)","title":"Enhancing engineer–procure–construct project performance by partnering in international markets: Perspective from Chinese construction companies","title-short":"Enhancing engineer–procure–construct project performance by partnering in international markets","volume":"34","author":[{"family":"Du","given":"Lei"},{"family":"Tang","given":"Wenzhe"},{"family":"Liu","given":"Chunna"},{"family":"Wang","given":"Shuli"},{"family":"Wang","given":"Tengfei"},{"family":"Shen","given":"Wenxin"},{"family":"Huang","given":"Min"},{"family":"Zhou","given":"Yongzhi"}],"issued":{"date-parts":[["2016",1]]}}},{"id":4096,"uris":["http://zotero.org/users/13172592/items/BLPYXAW5","http://zotero.org/users/13172592/items/QRNWAFXT"],"itemData":{"id":4096,"type":"article-journal","abstract":"Hydropower, as a renewable energy resource, has become an important way to ﬁt for Chinese long-term energy policy of energy transformation. Engineering–procurement–construction (EPC) has been increasingly adopted for improving hydropower project delivery efﬁciency in the utilization of water resources and generation of clean energy, where design plays a critical role in project success. Existing studies advocate the need to use partnering for better solutions to designs in EPC hydropower projects. However, there is a lack of a theoretical framework to systematically address design-related issues considering different participants’ interactions. This study coherently examined the causal relationships among partnering, design management, design capability, and EPC hydropower project performance by establishing and validating a conceptual model, with the support of data collected from a large-scale EPC hydropower project. Path analysis reveals that partnering can directly promote design management and design capability and exert an effect on design capability through enhancing design management, thereby achieving better hydropower project outcomes. This study’s contribution lies in that it theoretically builds the links between intraand inter-organizational design-related activities by systematically mapping EPC hydropower project performance on partnering, design management, and design capability. These ﬁndings also suggest broad practical strategies for participants to optimally integrate their complementary resources into designs to achieve superior hydropower project performance.","call-number":"3","container-title":"Water","DOI":"10.3390/w13233410","ISSN":"2073-4441","issue":"23","journalAbbreviation":"Water","language":"en","license":"https://creativecommons.org/licenses/by/4.0/","page":"3410","source":"3","title":"Improving design by partnering in engineering–procurement–construction (EPC) hydropower projects: A case study of a large-scale hydropower project in China","title-short":"Improving design by partnering in engineering–procurement–construction (EPC) hydropower projects","volume":"13","author":[{"family":"Liu","given":"Yang"},{"family":"Tang","given":"Wenzhe"},{"family":"Duffield","given":"Colin F."},{"family":"Hui","given":"Felix Kin Peng"},{"family":"Zhang","given":"Lihai"},{"family":"Zhang","given":"Xuteng"},{"family":"Kang","given":"Yanling"}],"issued":{"date-parts":[["2021",12,2]]}}},{"id":2569,"uris":["http://zotero.org/users/13172592/items/VCXERC3H"],"itemData":{"id":2569,"type":"article-journal","abstract":"Interface management has been viewed as one of the important organizational capabilities to promote coordination and integration among stakeholders in construction project delivery, especially for large-scale projects. This paper examines the role of formal governance, partnering, and organizational boundary activities and their interactions in interface management performance. An integrated framework with consideration of the influence of formal governance, partnering, and boundary activities on interface management performance and associated project outcomes was developed and empirically tested with data collected from 85 large-scale international projects. The results show that formal governance is the dominant determinant of interface management performance and can indirectly influence it through improving partnering and boundary activities. Partnering and boundary activities are also significant antecedents of interface management performance, which, in turn, improves project outcomes of large-scale construction projects. Formal governance and partnering mutually reinforce each other. Interface management performance is positively related to project outcomes in terms of quality, cost, and schedule. This empirical research contributes to the fundamental understanding of the critical factors that govern the interface management performance and, ultimately, the project outcomes. In addition, the outcomes of this study highlighted the broad managerial implications for participants in large-scale projects.","archive_location":"WOS:000656447700015","call-number":"2","container-title":"Journal of Construction Engineering and Management","DOI":"10.1061/(ASCE)CO.1943-7862.0002101","ISSN":"0733-9364","issue":"7","language":"en","page":"04021064","source":"5.1","title":"Managing interfaces in large-scale projects: The roles of formal governance and partnering","volume":"147","author":[{"family":"Shen","given":"WX"},{"family":"Tang","given":"WZ"},{"family":"Wang","given":"YH"},{"family":"Duffield","given":"CF"},{"family":"Hui","given":"FKP"},{"family":"Zhang","given":"LH"}],"issued":{"date-parts":[["2021",7,1]]}}}],"schema":"https://github.com/citation-style-language/schema/raw/master/csl-citation.json"} </w:instrText>
      </w:r>
      <w:r>
        <w:fldChar w:fldCharType="separate"/>
      </w:r>
      <w:r w:rsidR="00E17813" w:rsidRPr="00E17813">
        <w:rPr>
          <w:rFonts w:cs="Times New Roman"/>
          <w:kern w:val="0"/>
          <w:vertAlign w:val="superscript"/>
        </w:rPr>
        <w:t>[77–79]</w:t>
      </w:r>
      <w:r>
        <w:fldChar w:fldCharType="end"/>
      </w:r>
      <w:r w:rsidRPr="00E46326">
        <w:rPr>
          <w:rFonts w:hint="eastAsia"/>
        </w:rPr>
        <w:t>。</w:t>
      </w:r>
    </w:p>
    <w:p w14:paraId="1471236F" w14:textId="65D0E1E2" w:rsidR="00873BC4" w:rsidRDefault="00873BC4" w:rsidP="00873BC4">
      <w:pPr>
        <w:ind w:firstLine="420"/>
      </w:pPr>
      <w:r>
        <w:t>完善的清洁能源基地管理制度为利益相关方之间的协作与沟通提供了制度化保障。完善的制度能够在建设和运行阶段明确各方的责任与权力，规范管理流程，减少责任推诿和合作中的不确定性</w:t>
      </w:r>
      <w:r>
        <w:fldChar w:fldCharType="begin"/>
      </w:r>
      <w:r w:rsidR="00E17813">
        <w:instrText xml:space="preserve"> ADDIN ZOTERO_ITEM CSL_CITATION {"citationID":"atha17a6bh","properties":{"formattedCitation":"\\super [62,80]\\nosupersub{}","plainCitation":"[62,80]","noteIndex":0},"citationItems":[{"id":3118,"uris":["http://zotero.org/users/13172592/items/U72NFJ32"],"itemData":{"id":3118,"type":"article-journal","abstract":"External program manager involvement can provide professional and systematic management services to owners. It can help to manage and coordinate different subprojects and ensure the achievement of the overall strategic goals of large projects. The promotion of external program manager involvement is not only efficiency-driven, but the institutional environment also has a significant impact. This study developed a theoretical model to explain how external program manager involvement is influenced by external institutional forces (coercive, mimetic, and normative pressures) and internal top management support. Based on a questionnaire survey, this study tested the research model through partial least-squares structural equation modeling. The empirical results revealed that coercive pressures have no significant impact on external program manager involvement; owners’ top management support acts as a complete mediator between the mimetic pressures and external program manager involvement; normative pressures have the greatest impact on top management support and external program manager involvement, and top management support plays a key but partially mediating role. A direct contribution of this study is to reveal how different types of isomorphic pressures can be better exercised to facilitate the involvement of external program managers. Going further, by incorporating both external institutional pressures and internal top management support into the research model, this study provides insight into how organizations are influenced by external institutions to apply tools or approaches internally. DOI: 10.1061/(ASCE)CO.1943-7862.0002306. © 2022 American Society of Civil Engineers.","call-number":"2","container-title":"Journal of Construction Engineering and Management","DOI":"10.1061/(ASCE)CO.1943-7862.0002306","ISSN":"0733-9364, 1943-7862","issue":"9","journalAbbreviation":"J. Constr. Eng. Manage.","language":"en","page":"04022079","source":"4.1","title":"Impact of institutional pressures on external program manager involvement: Evidence from large projects in China","title-short":"Impact of institutional pressures on external program manager involvement","volume":"148","author":[{"family":"Liu","given":"Mingqiang"},{"family":"Zhu","given":"Yongsong"},{"family":"Wei","given":"Jianjun"},{"family":"Le","given":"Yun"},{"family":"Zhang","given":"Xinyue"}],"issued":{"date-parts":[["2022",9]]}}},{"id":3189,"uris":["http://zotero.org/users/13172592/items/ZUSW8V2S"],"itemData":{"id":3189,"type":"article-journal","abstract":"Risk allocation decisions are of critical importance in project management. The present study proposes an explanation for how risk allocation in a contract motivates a contractor to cooperate with a project owner. Theories of risk allocation and trust were used to motivate the research. Using a survey methodology, we collected data concerning 124 construction projects in China. We found that risk allocation inﬂuenced the contractor’s role behavior through the contractor’s feeling of being trusted but not the contractor’s trust in the owner. Feeling of being trusted partially mediated the eﬀect of risk allocation on the contractor’s in-role (i.e., contractual) behavior and fully mediated the eﬀect on extra-role behavior. The study introduces a social and psychological view of the impacts of risk allocation to the project and engineering management literature. We contribute to theory by arguing and demonstrating the mediating eﬀect of trust on the relationship between risk allocation and contractor behavior. From a practical standpoint, we conclude that contractual risk allocation has a signiﬁcant impact on building a trusting relationship between owners and contractors and that contractors who feel trusted perform both contractually mandated actions and actions external to the contract more diligently, resulting in the likelihood of improved outcomes for both parties.","call-number":"4","container-title":"Engineering Management Journal","DOI":"10.1080/10429247.2017.1408388","ISSN":"1042-9247, 2377-0643","issue":"1","journalAbbreviation":"Engineering Management Journal","language":"en","page":"14-23","source":"1.9","title":"Owner’s risk allocation and contractor’s role behavior in a project: A parallel-mediation model","title-short":"Owner’s risk allocation and contractor’s role behavior in a project","volume":"30","author":[{"family":"Xu","given":"Zhichao"},{"family":"Yin","given":"Yilin"},{"family":"Li","given":"Dahui"},{"family":"Browne","given":"Glenn J."}],"issued":{"date-parts":[["2018",1,2]]}}}],"schema":"https://github.com/citation-style-language/schema/raw/master/csl-citation.json"} </w:instrText>
      </w:r>
      <w:r>
        <w:fldChar w:fldCharType="separate"/>
      </w:r>
      <w:r w:rsidR="00E17813" w:rsidRPr="00E17813">
        <w:rPr>
          <w:rFonts w:cs="Times New Roman"/>
          <w:kern w:val="0"/>
          <w:vertAlign w:val="superscript"/>
        </w:rPr>
        <w:t>[62,80]</w:t>
      </w:r>
      <w:r>
        <w:fldChar w:fldCharType="end"/>
      </w:r>
      <w:r>
        <w:t>。数字化管理制度通过优化信息平台的</w:t>
      </w:r>
      <w:r>
        <w:rPr>
          <w:rFonts w:hint="eastAsia"/>
        </w:rPr>
        <w:t>信息</w:t>
      </w:r>
      <w:r>
        <w:t>流通与共享机制</w:t>
      </w:r>
      <w:r>
        <w:rPr>
          <w:rFonts w:hint="eastAsia"/>
        </w:rPr>
        <w:t>，提高沟通效率，</w:t>
      </w:r>
      <w:r>
        <w:t>为伙伴关系的建立提供了技术</w:t>
      </w:r>
      <w:r>
        <w:rPr>
          <w:rFonts w:hint="eastAsia"/>
        </w:rPr>
        <w:t>支撑</w:t>
      </w:r>
      <w:r>
        <w:fldChar w:fldCharType="begin"/>
      </w:r>
      <w:r w:rsidR="00E17813">
        <w:instrText xml:space="preserve"> ADDIN ZOTERO_ITEM CSL_CITATION {"citationID":"av221ilq5l","properties":{"formattedCitation":"\\super [18,81]\\nosupersub{}","plainCitation":"[18,81]","noteIndex":0},"citationItems":[{"id":1850,"uris":["http://zotero.org/users/13172592/items/54DC6TVI"],"itemData":{"id":1850,"type":"article-journal","abstract":"This paper is about intelligent Program Management Information System (iPMIS) to support decisionmaking and management of urban renewal mega projects over their life cycle in Korea. Program management focuses on soft issues i.e. benefits, stakeholders, and governance. A challenge is the diversity of urban renewal projects in terms of process and organization structure. The authors clarify the general requirements of systems to support program management while coping with diversity as follows: openness, clearness, convenience and consistency. As solutions, the authors present a conceptual model for iPMIS featuring the following characteristics: a web-based platform in which general modules and external integrated Geographic Information System (GIS) with decision support logical models are operated; interfaces; cooperative operating IT and IS in urban planning and construction; and a protocol for managing data cooperatively at the level of nation, district, project and facility. Two main unique features are: a user-created ontological process map that provides the operation scenario and menus of the iPMIS; and plug &amp; play techniques by which modules are selected and then operated immediately. These core concepts have been implemented as a prototype system and have been applied to a real construction project. The evaluation result shows that this technique can reduce systems implementation time by 90%.","call-number":"4","container-title":"Journal of Asian Architecture and Building Engineering","DOI":"10.3130/jaabe.8.57","ISSN":"1346-7581, 1347-2852","issue":"1","journalAbbreviation":"Journal of Asian Architecture and Building Engineering","language":"en","note":"TLDR: The authors present a conceptual model for iPMIS featuring a web-based platform in which general modules and external integrated Geographic Information System with decision support logical models are operated; interfaces; cooperative operating IT and IS in urban planning and construction; and a protocol for managing data cooperatively at the level of nation, district, project and facility.","page":"57-64","source":"1.3","title":"A conceptual model of intelligent program management information systems (iPMIS) for urban renewal mega projects in Korea","volume":"8","author":[{"family":"Kim","given":"Ju-Hyung"},{"family":"Yoon","given":"Ja-Young"},{"family":"Kim","given":"Kyung-Hwan"},{"family":"Kim","given":"Jae-Jun"}],"issued":{"date-parts":[["2009",5]]}}},{"id":4108,"uris":["http://zotero.org/users/13172592/items/G7XBNCZY"],"itemData":{"id":4108,"type":"article-journal","abstract":"BIM has been widely used in project management, but on the whole the applications have been scattered and the BIM models have not been deployed throughout the whole project life-cycle. Each participant builds their own BIM, so there is a major problem in how to integrate these dynamic and fragmented data together. In order to solve this problem, this paper focuses on BIM-based life-cycle information management and builds a framework for BIM-enabled life-cycle information management. To organize the life-cycle information well, the information components and information flow during the project life-cycle are defined. Then, the application of BIM in life-cycle information management is analysed. This framework will provide a unified platform for information management and ensure data integrity.","container-title":"International Journal of Advanced Robotic Systems","DOI":"10.5772/58445","ISSN":"1729-8806","issue":"8","language":"en","note":"publisher: SAGE Publications\nTLDR: A framework for BIM-enabled life-cycle information management is built and will provide a unified platform for information management and ensure data integrity.","page":"126","source":"2.1","title":"A framework for BIM-enabled life-cycle information management of construction project","volume":"11","author":[{"family":"Xu","given":"Xun"},{"family":"Ma","given":"Ling"},{"family":"Ding","given":"Lieyun"}],"issued":{"date-parts":[["2014",8,1]]}}}],"schema":"https://github.com/citation-style-language/schema/raw/master/csl-citation.json"} </w:instrText>
      </w:r>
      <w:r>
        <w:fldChar w:fldCharType="separate"/>
      </w:r>
      <w:r w:rsidR="00E17813" w:rsidRPr="00E17813">
        <w:rPr>
          <w:rFonts w:cs="Times New Roman"/>
          <w:kern w:val="0"/>
          <w:vertAlign w:val="superscript"/>
        </w:rPr>
        <w:t>[18,81]</w:t>
      </w:r>
      <w:r>
        <w:fldChar w:fldCharType="end"/>
      </w:r>
      <w:r>
        <w:rPr>
          <w:rFonts w:hint="eastAsia"/>
        </w:rPr>
        <w:t>。</w:t>
      </w:r>
      <w:r>
        <w:t>公平</w:t>
      </w:r>
      <w:r>
        <w:rPr>
          <w:rFonts w:hint="eastAsia"/>
        </w:rPr>
        <w:t>合理的</w:t>
      </w:r>
      <w:r>
        <w:t>考核评价体系</w:t>
      </w:r>
      <w:r>
        <w:rPr>
          <w:rFonts w:hint="eastAsia"/>
        </w:rPr>
        <w:t>则有助于鼓励</w:t>
      </w:r>
      <w:r w:rsidRPr="00A33000">
        <w:rPr>
          <w:rFonts w:hint="eastAsia"/>
        </w:rPr>
        <w:t>利益相关方</w:t>
      </w:r>
      <w:r>
        <w:rPr>
          <w:rFonts w:hint="eastAsia"/>
        </w:rPr>
        <w:t>履行</w:t>
      </w:r>
      <w:r w:rsidRPr="00A33000">
        <w:rPr>
          <w:rFonts w:hint="eastAsia"/>
        </w:rPr>
        <w:t>承诺</w:t>
      </w:r>
      <w:r>
        <w:rPr>
          <w:rFonts w:hint="eastAsia"/>
        </w:rPr>
        <w:t>，并重视与其他</w:t>
      </w:r>
      <w:r w:rsidRPr="00A33000">
        <w:rPr>
          <w:rFonts w:hint="eastAsia"/>
        </w:rPr>
        <w:t>利益相关方</w:t>
      </w:r>
      <w:r>
        <w:rPr>
          <w:rFonts w:hint="eastAsia"/>
        </w:rPr>
        <w:t>的协作；</w:t>
      </w:r>
      <w:r>
        <w:t>激励机制则</w:t>
      </w:r>
      <w:r>
        <w:rPr>
          <w:rFonts w:hint="eastAsia"/>
        </w:rPr>
        <w:t>能够</w:t>
      </w:r>
      <w:r>
        <w:t>通过激发合作积极性，</w:t>
      </w:r>
      <w:r>
        <w:rPr>
          <w:rFonts w:hint="eastAsia"/>
        </w:rPr>
        <w:t>推动</w:t>
      </w:r>
      <w:r>
        <w:t>伙伴关系的稳固发展</w:t>
      </w:r>
      <w:r>
        <w:fldChar w:fldCharType="begin"/>
      </w:r>
      <w:r w:rsidR="00E17813">
        <w:instrText xml:space="preserve"> ADDIN ZOTERO_ITEM CSL_CITATION {"citationID":"d5Fs49n0","properties":{"formattedCitation":"\\super [58,59]\\nosupersub{}","plainCitation":"[58,59]","noteIndex":0},"citationItems":[{"id":3641,"uris":["http://zotero.org/users/13172592/items/E8ZZWK6Q"],"itemData":{"id":3641,"type":"article-journal","abstract":"Public infrastructure projects must comply with the divergent and even conflicting demands of multiple institutional logics causing institutional complexity. Despite the increasing interest in different forms of complexities in projects, we lack empirical illustrations and rigorous theorizing of mechanisms for responding to institutional complexity. This paper demonstrates how public buyers of a tunnel construction project formed a hybrid organization of a multi-party project alliance to respond to institutional complexity. We delineate a process of temporary hybridization through which the competing logics of a bureaucratic state, corporate market, and multiple professions were combined within the temporary project alliance organization. Such temporary hybridization not only focused on selective coupling with external demands but also mitigated internal tensions. Our findings emphasize a blended organizational structure, jointly formed governance and incentive systems, and the facilitation of social interaction to build a temporary yet sustainable hybrid organization capable of combining conflicting institutional logics.","call-number":"1","collection-title":"Projects, Organizations and Institutions","container-title":"International Journal of Project Management","DOI":"10.1016/j.ijproman.2018.07.004","ISSN":"0263-7863","issue":"2","journalAbbreviation":"International Journal of Project Management","language":"en","page":"298-317","source":"7.4","title":"Politics, public servants, and profits: Institutional complexity and temporary hybridization in a public infrastructure alliance project","title-short":"Politics, public servants, and profits","volume":"37","author":[{"family":"Matinheikki","given":"Juri"},{"family":"Aaltonen","given":"Kirsi"},{"family":"Walker","given":"Derek"}],"issued":{"date-parts":[["2019",2,1]]}}},{"id":3643,"uris":["http://zotero.org/users/13172592/items/4AWXSLXW"],"itemData":{"id":3643,"type":"article-journal","abstract":"Understanding the drivers of low-carbon practices in green supply chain management in the construction industry is essential because it largely addresses the major problem of global warming due to carbon dioxide emissions. The purpose of this study is to investigate key drivers of low-carbon practices in green supply chain management in construction industry. Based on institutional theory, relational view theory, and self-determination theory, three drivers for low-carbon practices were identified, namely, environmental regulation, supply chain relationship, and organizational culture. Then a questionnaire was administered and data were collected from the owners, contractors, designers, and other relevant parties of the construction project. Partial least squares structural equation modeling was used to analyze data. The results show that supply chain relationship and organizational culture are positively and directly correlated with the low-carbon practices level of green supply chain management. In addition, this study also found that organizational culture partially mediates the relationship between supply chain relationship and low-carbon practices. Contrary to expectations, environmental regulation has no direct effect on practices, while supply chain relationship and organizational culture fully mediate the relationship between environmental regulation and practices. As limited research has been conducted to examine the drivers for green supply chain management low-carbon practices in the construction industry, this study bridges the knowledge gap and contributes to the current knowledge system of green supply chain management. Additionally, the findings of this study can provide authorities and practitioners with a deeper understanding of low-carbon practices in green supply chain management, and helping to propose more feasible measures to reduce carbon dioxide emissions and improve environmental performance.","call-number":"1","container-title":"Journal of Cleaner Production","DOI":"10.1016/j.jclepro.2023.139497","ISSN":"0959-6526","journalAbbreviation":"Journal of Cleaner Production","language":"en","page":"139497","source":"9.7","title":"Drivers of low-carbon practices in green supply chain management in construction industry: An empirical study in China","title-short":"Drivers of low-carbon practices in green supply chain management in construction industry","volume":"428","author":[{"family":"Fu","given":"Chun"},{"family":"Liu","given":"Ya-Qi"},{"family":"Shan","given":"Ming"}],"issued":{"date-parts":[["2023",11,20]]}}}],"schema":"https://github.com/citation-style-language/schema/raw/master/csl-citation.json"} </w:instrText>
      </w:r>
      <w:r>
        <w:fldChar w:fldCharType="separate"/>
      </w:r>
      <w:r w:rsidR="00E17813" w:rsidRPr="00E17813">
        <w:rPr>
          <w:rFonts w:cs="Times New Roman"/>
          <w:kern w:val="0"/>
          <w:vertAlign w:val="superscript"/>
        </w:rPr>
        <w:t>[58</w:t>
      </w:r>
      <w:r w:rsidR="00BA516A">
        <w:rPr>
          <w:rFonts w:cs="Times New Roman"/>
          <w:kern w:val="0"/>
          <w:vertAlign w:val="superscript"/>
        </w:rPr>
        <w:t>-</w:t>
      </w:r>
      <w:r w:rsidR="00E17813" w:rsidRPr="00E17813">
        <w:rPr>
          <w:rFonts w:cs="Times New Roman"/>
          <w:kern w:val="0"/>
          <w:vertAlign w:val="superscript"/>
        </w:rPr>
        <w:t>59]</w:t>
      </w:r>
      <w:r>
        <w:fldChar w:fldCharType="end"/>
      </w:r>
      <w:r>
        <w:t>。</w:t>
      </w:r>
      <w:r>
        <w:rPr>
          <w:rFonts w:hint="eastAsia"/>
        </w:rPr>
        <w:t>基于此，提出假设</w:t>
      </w:r>
      <w:r>
        <w:rPr>
          <w:rFonts w:hint="eastAsia"/>
        </w:rPr>
        <w:t>6</w:t>
      </w:r>
      <w:r>
        <w:rPr>
          <w:rFonts w:hint="eastAsia"/>
        </w:rPr>
        <w:t>（</w:t>
      </w:r>
      <w:r>
        <w:rPr>
          <w:rFonts w:hint="eastAsia"/>
        </w:rPr>
        <w:t>H6</w:t>
      </w:r>
      <w:r>
        <w:rPr>
          <w:rFonts w:hint="eastAsia"/>
        </w:rPr>
        <w:t>）：</w:t>
      </w:r>
    </w:p>
    <w:p w14:paraId="536920A8" w14:textId="77777777" w:rsidR="00873BC4" w:rsidRDefault="00873BC4" w:rsidP="00873BC4">
      <w:pPr>
        <w:ind w:firstLine="422"/>
      </w:pPr>
      <w:r w:rsidRPr="00873BC4">
        <w:rPr>
          <w:rFonts w:hint="eastAsia"/>
          <w:b/>
          <w:bCs/>
        </w:rPr>
        <w:t>H6</w:t>
      </w:r>
      <w:r w:rsidRPr="00873BC4">
        <w:rPr>
          <w:rFonts w:hint="eastAsia"/>
          <w:b/>
          <w:bCs/>
        </w:rPr>
        <w:t>：</w:t>
      </w:r>
      <w:r w:rsidRPr="00017B70">
        <w:rPr>
          <w:rFonts w:hint="eastAsia"/>
        </w:rPr>
        <w:t>清洁能源基地完善的管理制度</w:t>
      </w:r>
      <w:r>
        <w:rPr>
          <w:rFonts w:hint="eastAsia"/>
        </w:rPr>
        <w:t>能够提升</w:t>
      </w:r>
      <w:r w:rsidRPr="00761B3F">
        <w:rPr>
          <w:rFonts w:hint="eastAsia"/>
        </w:rPr>
        <w:t>各方间伙伴关系</w:t>
      </w:r>
      <w:r>
        <w:rPr>
          <w:rFonts w:hint="eastAsia"/>
        </w:rPr>
        <w:t>。</w:t>
      </w:r>
    </w:p>
    <w:p w14:paraId="781EABF3" w14:textId="2E83F629" w:rsidR="00873BC4" w:rsidRDefault="00873BC4" w:rsidP="00873BC4">
      <w:pPr>
        <w:ind w:firstLine="420"/>
      </w:pPr>
      <w:r>
        <w:rPr>
          <w:rFonts w:hint="eastAsia"/>
        </w:rPr>
        <w:t>在清洁能源基地开发过程中，</w:t>
      </w:r>
      <w:r w:rsidRPr="006D2BF0">
        <w:rPr>
          <w:rFonts w:hint="eastAsia"/>
        </w:rPr>
        <w:t>业主</w:t>
      </w:r>
      <w:r>
        <w:rPr>
          <w:rFonts w:hint="eastAsia"/>
        </w:rPr>
        <w:t>应与各</w:t>
      </w:r>
      <w:r w:rsidRPr="006D2BF0">
        <w:rPr>
          <w:rFonts w:hint="eastAsia"/>
        </w:rPr>
        <w:t>利益相关方</w:t>
      </w:r>
      <w:r>
        <w:rPr>
          <w:rFonts w:hint="eastAsia"/>
        </w:rPr>
        <w:t>建立良好的合作关系，促使各</w:t>
      </w:r>
      <w:r w:rsidRPr="006D2BF0">
        <w:rPr>
          <w:rFonts w:hint="eastAsia"/>
        </w:rPr>
        <w:t>利益相关方</w:t>
      </w:r>
      <w:r>
        <w:rPr>
          <w:rFonts w:hint="eastAsia"/>
        </w:rPr>
        <w:t>参与基地开发各环节。通过明确清洁能源基地与各子项目的开发目标，业主能够推动各</w:t>
      </w:r>
      <w:r w:rsidRPr="006D2BF0">
        <w:rPr>
          <w:rFonts w:hint="eastAsia"/>
        </w:rPr>
        <w:t>利益相关方</w:t>
      </w:r>
      <w:r>
        <w:rPr>
          <w:rFonts w:hint="eastAsia"/>
        </w:rPr>
        <w:t>对目标的一致认同</w:t>
      </w:r>
      <w:r>
        <w:fldChar w:fldCharType="begin"/>
      </w:r>
      <w:r w:rsidR="00E17813">
        <w:instrText xml:space="preserve"> ADDIN ZOTERO_ITEM CSL_CITATION {"citationID":"ame5tdol8f","properties":{"formattedCitation":"\\super [82]\\nosupersub{}","plainCitation":"[82]","noteIndex":0},"citationItems":[{"id":2567,"uris":["http://zotero.org/users/13172592/items/ZTQJ2U5I"],"itemData":{"id":2567,"type":"article-journal","abstract":"Hydropower development involves managing a network of diverse stakeholders. Owners play a critical part in effectively cooperating and establishing inter-organizational linking with stakeholders to achieve multiple project objectives. According to the data which is from the construction industry of hydropower in China, the research aims to investigate the causal relationships between cooperation with stakeholders and inter-organizational linking systematically, together with their impacts on the owners' social capital by developing and testing a conceptual model. Path analysis confirms that cooperation with stakeholders cannot only directly improve owners' social capital but also exert its influence on social capital through enhancement of inter-organizational linking, thereby improving project performance and winning external supports for owners' long-term development. Social network analysis shows that, from the perspective of owners, project stakeholders are clearly grouped into four clusters related to project feasibility, implementation, procurement and resettlement of migrants. These clusters reflect stakeholder's different roles and connections with each other in hydropower development. Understanding the above in-depth underlying relationships is fundamental for improving multi-organizational dynamics research to a state of the art, and help project participants to appropriately adopt cooperative strategies for maximizing the effectiveness of each stakeholder's resources. (C) 2018 Elsevier Ltd. All rights reserved.","archive_location":"WOS:000449892900028","call-number":"1","container-title":"Renewable Energy","DOI":"10.1016/j.renene.2018.07.137","ISSN":"0960-1481","language":"en","page":"326-334","source":"8.7","title":"Understanding the social network of stakeholders in hydropower project development: An owners' view","volume":"132","author":[{"family":"Wang","given":"SL"},{"family":"Shen","given":"WX"},{"family":"Tang","given":"WZ"},{"family":"Wang","given":"YH"},{"family":"Duffield","given":"CF"},{"family":"Hui","given":"FKP"}],"issued":{"date-parts":[["2019",3]]}}}],"schema":"https://github.com/citation-style-language/schema/raw/master/csl-citation.json"} </w:instrText>
      </w:r>
      <w:r>
        <w:fldChar w:fldCharType="separate"/>
      </w:r>
      <w:r w:rsidR="00E17813" w:rsidRPr="00E17813">
        <w:rPr>
          <w:rFonts w:cs="Times New Roman"/>
          <w:kern w:val="0"/>
          <w:vertAlign w:val="superscript"/>
        </w:rPr>
        <w:t>[82]</w:t>
      </w:r>
      <w:r>
        <w:fldChar w:fldCharType="end"/>
      </w:r>
      <w:r>
        <w:rPr>
          <w:rFonts w:hint="eastAsia"/>
        </w:rPr>
        <w:t>。良好的组织协调能力有助于业主明确各子项目、各环节中各方的资源需求，并公正合理地配置资源，高效解决矛盾与冲突</w:t>
      </w:r>
      <w:r>
        <w:fldChar w:fldCharType="begin"/>
      </w:r>
      <w:r w:rsidR="00E17813">
        <w:instrText xml:space="preserve"> ADDIN ZOTERO_ITEM CSL_CITATION {"citationID":"adm549p5m7","properties":{"formattedCitation":"\\super [29,83]\\nosupersub{}","plainCitation":"[29,83]","noteIndex":0},"citationItems":[{"id":3018,"uris":["http://zotero.org/users/13172592/items/LVZ3QQ6J"],"itemData":{"id":3018,"type":"article-journal","abstract":"Renewable energy projects (REPs) are critical to providing a clean and sustainable environmental perspective alongside the economic prosperity of any country. Unfortunately, recent trends in renewable energy projects (REPs) are not positive enough regarding their successful completion within the budgeted cost, planned time, proposed quality, and other necessary constraints. Although the pertinent literature has discussed the critical success factors (CSFs) for such projects, their influencing mechanism with respect to the role of key stakeholders is still overlooked. This study recognizes several critical success factors (CSFs) and their influencing mechanisms onto renewable energy projects (REPs) in order to evaluate direct influences onto project success as well as indirect influences through stakeholders’ satisfaction (SS) as mediation on the project success of small and medium-sized renewable energy projects (REPs) in Pakistan’s energy sector. A sample of about 272 respondents working with renewable energy projects (REPs), including key stakeholders, has been collected to perform data analysis and draw inferences. A structural equation modeling (SEM) approach was used for data analysis and inference drawing. The results show that though there is a positive and direct association between critical success factors (CSFs) and project success, a partial mediating role of stakeholders’ satisfaction (SS) between CSFs and project success was still determined. Hence, it was found that CSFs significantly contribute to renewable energy projects (REPs) through mediating influences of stakeholders’ satisfaction (SS). The findings confirmed that stakeholders’ satisfaction (SS) is a key determinant for critical success factors (CSFs) in renewable energy projects (REPs). Moreover, stakeholders’ satisfaction (SS) emerged to be a crucial element for the completion of such projects. The empirical findings of this study might have a useful effect on academicians and the practitioners engaged with renewable energy projects (REPs).","container-title":"Energy, Sustainability and Society","DOI":"10.1186/s13705-020-00259-0","ISSN":"2192-0567","issue":"1","journalAbbreviation":"Energ Sustain Soc","language":"en","license":"2020 The Author(s)","note":"number: 1\npublisher: BioMed Central","page":"1-15","source":"energsustainsoc.biomedcentral.com","title":"Stakeholders’ satisfaction as a key determinant of critical success factors in renewable energy projects","volume":"10","author":[{"family":"Maqbool","given":"Rashid"},{"family":"Deng","given":"Xiaomei"},{"family":"Rashid","given":"Yahya"}],"issued":{"date-parts":[["2020",12]]}}},{"id":2359,"uris":["http://zotero.org/users/13172592/items/H5TTPQC4"],"itemData":{"id":2359,"type":"article-journal","abstract":"Purpose – Currently, many studies have shown an increasing interest in owner-dynamic capabilities (ODCs). Existing studies mainly focus on the dynamic capability basis and capability development within the owner organization, whereas they rarely analyze the capability mobilization within the network of participants in megaprojects. Therefore, this study aims to explain the interaction and evolution of the mobilization strategies of ODCs and the cooperative strategies of other participants.","container-title":"Engineering, Construction and Architectural Management","DOI":"10.1108/ECAM-04-2023-0323","ISSN":"0969-9988","issue":"3","journalAbbreviation":"ECAM","language":"en","license":"https://www.emerald.com/insight/site-policies","page":"1478-1498","source":"DOI.org (Crossref)","title":"How to mobilize owner-dynamic capabilities in megaprojects? A tripartite evolutionary game approach","title-short":"How to mobilize owner-dynamic capabilities in megaprojects?","volume":"32","author":[{"family":"Tian","given":"Zidan"},{"family":"He","given":"Qinghua"},{"family":"Wang","given":"Ting"}],"issued":{"date-parts":[["2023"]]}}}],"schema":"https://github.com/citation-style-language/schema/raw/master/csl-citation.json"} </w:instrText>
      </w:r>
      <w:r>
        <w:fldChar w:fldCharType="separate"/>
      </w:r>
      <w:r w:rsidR="00E17813" w:rsidRPr="00E17813">
        <w:rPr>
          <w:rFonts w:cs="Times New Roman"/>
          <w:kern w:val="0"/>
          <w:vertAlign w:val="superscript"/>
        </w:rPr>
        <w:t>[29,83]</w:t>
      </w:r>
      <w:r>
        <w:fldChar w:fldCharType="end"/>
      </w:r>
      <w:r>
        <w:rPr>
          <w:rFonts w:hint="eastAsia"/>
        </w:rPr>
        <w:t>。业主的信息技术应用能力</w:t>
      </w:r>
      <w:r>
        <w:t>则为</w:t>
      </w:r>
      <w:r>
        <w:rPr>
          <w:rFonts w:hint="eastAsia"/>
        </w:rPr>
        <w:t>高效的</w:t>
      </w:r>
      <w:r>
        <w:t>信息</w:t>
      </w:r>
      <w:r>
        <w:rPr>
          <w:rFonts w:hint="eastAsia"/>
        </w:rPr>
        <w:t>采集</w:t>
      </w:r>
      <w:r>
        <w:t>、信息共享和决策提供了</w:t>
      </w:r>
      <w:r>
        <w:rPr>
          <w:rFonts w:hint="eastAsia"/>
        </w:rPr>
        <w:t>支撑</w:t>
      </w:r>
      <w:r>
        <w:t>，有助于</w:t>
      </w:r>
      <w:r>
        <w:rPr>
          <w:rFonts w:hint="eastAsia"/>
        </w:rPr>
        <w:t>在</w:t>
      </w:r>
      <w:r w:rsidRPr="006D2BF0">
        <w:rPr>
          <w:rFonts w:hint="eastAsia"/>
        </w:rPr>
        <w:t>利益相关方</w:t>
      </w:r>
      <w:r>
        <w:rPr>
          <w:rFonts w:hint="eastAsia"/>
        </w:rPr>
        <w:t>间</w:t>
      </w:r>
      <w:r>
        <w:t>建立</w:t>
      </w:r>
      <w:r>
        <w:rPr>
          <w:rFonts w:hint="eastAsia"/>
        </w:rPr>
        <w:t>透</w:t>
      </w:r>
      <w:r>
        <w:t>明、开放的沟通机制</w:t>
      </w:r>
      <w:r>
        <w:rPr>
          <w:rFonts w:hint="eastAsia"/>
        </w:rPr>
        <w:t>与渠道</w:t>
      </w:r>
      <w:r>
        <w:fldChar w:fldCharType="begin"/>
      </w:r>
      <w:r w:rsidR="00E17813">
        <w:instrText xml:space="preserve"> ADDIN ZOTERO_ITEM CSL_CITATION {"citationID":"a2dvl8otgef","properties":{"formattedCitation":"\\super [62]\\nosupersub{}","plainCitation":"[62]","noteIndex":0},"citationItems":[{"id":3118,"uris":["http://zotero.org/users/13172592/items/U72NFJ32"],"itemData":{"id":3118,"type":"article-journal","abstract":"External program manager involvement can provide professional and systematic management services to owners. It can help to manage and coordinate different subprojects and ensure the achievement of the overall strategic goals of large projects. The promotion of external program manager involvement is not only efficiency-driven, but the institutional environment also has a significant impact. This study developed a theoretical model to explain how external program manager involvement is influenced by external institutional forces (coercive, mimetic, and normative pressures) and internal top management support. Based on a questionnaire survey, this study tested the research model through partial least-squares structural equation modeling. The empirical results revealed that coercive pressures have no significant impact on external program manager involvement; owners’ top management support acts as a complete mediator between the mimetic pressures and external program manager involvement; normative pressures have the greatest impact on top management support and external program manager involvement, and top management support plays a key but partially mediating role. A direct contribution of this study is to reveal how different types of isomorphic pressures can be better exercised to facilitate the involvement of external program managers. Going further, by incorporating both external institutional pressures and internal top management support into the research model, this study provides insight into how organizations are influenced by external institutions to apply tools or approaches internally. DOI: 10.1061/(ASCE)CO.1943-7862.0002306. © 2022 American Society of Civil Engineers.","call-number":"2","container-title":"Journal of Construction Engineering and Management","DOI":"10.1061/(ASCE)CO.1943-7862.0002306","ISSN":"0733-9364, 1943-7862","issue":"9","journalAbbreviation":"J. Constr. Eng. Manage.","language":"en","page":"04022079","source":"4.1","title":"Impact of institutional pressures on external program manager involvement: Evidence from large projects in China","title-short":"Impact of institutional pressures on external program manager involvement","volume":"148","author":[{"family":"Liu","given":"Mingqiang"},{"family":"Zhu","given":"Yongsong"},{"family":"Wei","given":"Jianjun"},{"family":"Le","given":"Yun"},{"family":"Zhang","given":"Xinyue"}],"issued":{"date-parts":[["2022",9]]}}}],"schema":"https://github.com/citation-style-language/schema/raw/master/csl-citation.json"} </w:instrText>
      </w:r>
      <w:r>
        <w:fldChar w:fldCharType="separate"/>
      </w:r>
      <w:r w:rsidR="00E17813" w:rsidRPr="00E17813">
        <w:rPr>
          <w:rFonts w:cs="Times New Roman"/>
          <w:kern w:val="0"/>
          <w:vertAlign w:val="superscript"/>
        </w:rPr>
        <w:t>[62]</w:t>
      </w:r>
      <w:r>
        <w:fldChar w:fldCharType="end"/>
      </w:r>
      <w:r>
        <w:rPr>
          <w:rFonts w:hint="eastAsia"/>
        </w:rPr>
        <w:t>。业主的动态能力则能够及时感知环境变化</w:t>
      </w:r>
      <w:r>
        <w:rPr>
          <w:rFonts w:hint="eastAsia"/>
          <w:color w:val="000000"/>
        </w:rPr>
        <w:t>，及时发现并解决</w:t>
      </w:r>
      <w:r>
        <w:rPr>
          <w:rFonts w:hint="eastAsia"/>
        </w:rPr>
        <w:t>清洁能源基地开发过程中出现的问题</w:t>
      </w:r>
      <w:r>
        <w:fldChar w:fldCharType="begin"/>
      </w:r>
      <w:r w:rsidR="00E17813">
        <w:instrText xml:space="preserve"> ADDIN ZOTERO_ITEM CSL_CITATION {"citationID":"a12e8httacq","properties":{"formattedCitation":"\\super [11,50]\\nosupersub{}","plainCitation":"[11,50]","noteIndex":0},"citationItems":[{"id":1879,"uris":["http://zotero.org/users/13172592/items/5S4EIAMP","http://zotero.org/users/13172592/items/6FMHPKI8"],"itemData":{"id":1879,"type":"article-journal","abstract":"Program management is increasingly regarded as a key approach to improving the performance of a construction megaproject through the coordinated management of its constituent projects. However, previous studies have seldom provided a pragmatic program management framework that can fully address the requirements of clients in managing construction megaprojects. Therefore, based on a case study of the Shanghai Expo construction, this study aims to identify the principal program organization factors (POFs) that are determinants of the program organization established by a client to manage a megaproject. Mixed research methods, such as case study, literature review, interviews, Delphi survey, and archival methods, are employed in this study. Consequently, 12 principal POFs, grouped under three main categories (environmental capability, core capacity, and motivational capability of the client’s program organization to manage its construction megaproject), are identified: (1) contextual understanding, (2) program strategy, (3) program leadership, (4) scope management, (5) program governance, (6) matrix organizational structure, (7) program management office, (8) use of project breakdown structure and work breakdown structure tools, (9) partnering with key stakeholders, (10) technology management, (11) communication management, and (12) team building. These research findings will help scholars and professionals, particularly those in China, to appreciate the key issues in managing megaprojects through program organization. DOI: 10.1061/(ASCE)ME.1943-5479.0000310. © 2014 American Society of Civil Engineers.","call-number":"1","container-title":"Journal of Management in Engineering","DOI":"10.1061/(ASCE)ME.1943-5479.0000310","ISSN":"0742-597X, 1943-5479","issue":"5","journalAbbreviation":"J. Manage. Eng.","language":"en","page":"05014019","source":"7.4","title":"Understanding the determinants of program organization for construction megaproject success: Case study of the Shanghai Expo construction","title-short":"Understanding the Determinants of Program Organization for Construction Megaproject Success","volume":"31","author":[{"family":"Hu","given":"Yi"},{"family":"Chan","given":"Albert P. C."},{"family":"Le","given":"Yun"}],"issued":{"date-parts":[["2015",9]]}},"label":"page"},{"id":2357,"uris":["http://zotero.org/users/13172592/items/675DGTRL"],"itemData":{"id":2357,"type":"article-journal","abstract":"Given that a strong owner has been identified as an important factor in the success of megaprojects, there has been a growing recognition of the importance of megaproject owner organizational capabilities. However, the questions of what organizational capabilities do owners need to foster successful megaprojects, and whether these capabilities are the stronger the better, have yet to be addressed. To answer these questions, this study identified the dimensions of owner organizational capabilities based on literature and interviews, and developed several sets of parallel hypotheses. Based on the 229 valid questionnaire data collected, the relationships between owner organizational capabilities and megaproject success were analyzed through hierarchical multiple regression, and the results were discussed through expert interviews. The findings show that owner coordination, dynamic, and system integration capabilities have positive impacts on megaproject success, with coordination capabilities being the most significant. While the impact of motivational capabilities on megaproject success is inverted U-shaped. This study provides an actionable dimensional framework for megaproject owner capabilities, moving the field of owner organizational capabilities beyond the conceptual level. This study provides empirical evidence for the importance of megaproject owner organizational capabilities and takes a more dialectical view of a strong owner. The empirical results can provide insights and guidance on the configuration and development of megaproject owner capabilities. DOI: 10.1061/JCEMD4.COENG-13097. © 2023 American Society of Civil Engineers.","call-number":"2","container-title":"Journal of Construction Engineering and Management","DOI":"10.1061/JCEMD4.COENG-13097","ISSN":"0733-9364, 1943-7862","issue":"7","journalAbbreviation":"J. Constr. Eng. Manage.","language":"en","page":"04023055","source":"5.1","title":"Deconstructing organizational capabilities of megaproject owners: Dimensions and levels","title-short":"Deconstructing Organizational Capabilities of Megaproject Owners","volume":"149","author":[{"family":"Zhang","given":"Xinyue"},{"family":"Liu","given":"Mingqiang"},{"family":"Le","given":"Yun"},{"family":"Wei","given":"Jianjun"},{"family":"Zhu","given":"Yongsong"},{"family":"Li","given":"Yongkui"}],"issued":{"date-parts":[["2023",7]]}},"label":"page"}],"schema":"https://github.com/citation-style-language/schema/raw/master/csl-citation.json"} </w:instrText>
      </w:r>
      <w:r>
        <w:fldChar w:fldCharType="separate"/>
      </w:r>
      <w:r w:rsidR="00E17813" w:rsidRPr="00E17813">
        <w:rPr>
          <w:rFonts w:cs="Times New Roman"/>
          <w:kern w:val="0"/>
          <w:vertAlign w:val="superscript"/>
        </w:rPr>
        <w:t>[11,50]</w:t>
      </w:r>
      <w:r>
        <w:fldChar w:fldCharType="end"/>
      </w:r>
      <w:r>
        <w:rPr>
          <w:rFonts w:hint="eastAsia"/>
        </w:rPr>
        <w:t>。基于此，提出假设</w:t>
      </w:r>
      <w:r>
        <w:rPr>
          <w:rFonts w:hint="eastAsia"/>
        </w:rPr>
        <w:t>7</w:t>
      </w:r>
      <w:r>
        <w:rPr>
          <w:rFonts w:hint="eastAsia"/>
        </w:rPr>
        <w:t>（</w:t>
      </w:r>
      <w:r>
        <w:rPr>
          <w:rFonts w:hint="eastAsia"/>
        </w:rPr>
        <w:t>H7</w:t>
      </w:r>
      <w:r>
        <w:rPr>
          <w:rFonts w:hint="eastAsia"/>
        </w:rPr>
        <w:t>）：</w:t>
      </w:r>
    </w:p>
    <w:p w14:paraId="4BB77C24" w14:textId="77777777" w:rsidR="00873BC4" w:rsidRPr="006E71F6" w:rsidRDefault="00873BC4" w:rsidP="00873BC4">
      <w:pPr>
        <w:ind w:firstLine="422"/>
      </w:pPr>
      <w:r w:rsidRPr="00873BC4">
        <w:rPr>
          <w:rFonts w:hint="eastAsia"/>
          <w:b/>
          <w:bCs/>
        </w:rPr>
        <w:t>H7</w:t>
      </w:r>
      <w:r w:rsidRPr="00873BC4">
        <w:rPr>
          <w:rFonts w:hint="eastAsia"/>
          <w:b/>
          <w:bCs/>
        </w:rPr>
        <w:t>：</w:t>
      </w:r>
      <w:r>
        <w:rPr>
          <w:rFonts w:hint="eastAsia"/>
        </w:rPr>
        <w:t>清洁能源基地良好的业主项目群管理能力有助于</w:t>
      </w:r>
      <w:r w:rsidRPr="00761B3F">
        <w:rPr>
          <w:rFonts w:hint="eastAsia"/>
        </w:rPr>
        <w:t>提升各方间伙伴关系</w:t>
      </w:r>
      <w:r>
        <w:rPr>
          <w:rFonts w:hint="eastAsia"/>
        </w:rPr>
        <w:t>。</w:t>
      </w:r>
    </w:p>
    <w:p w14:paraId="1090625F" w14:textId="50770AB5" w:rsidR="00873BC4" w:rsidRDefault="00873BC4" w:rsidP="00873BC4">
      <w:pPr>
        <w:pStyle w:val="2"/>
      </w:pPr>
      <w:r w:rsidRPr="00873BC4">
        <w:rPr>
          <w:rFonts w:hint="eastAsia"/>
        </w:rPr>
        <w:lastRenderedPageBreak/>
        <w:t>清洁能源基地一体化管理输出因素</w:t>
      </w:r>
    </w:p>
    <w:p w14:paraId="6EE4F777" w14:textId="254EF9FA" w:rsidR="00873BC4" w:rsidRDefault="00873BC4" w:rsidP="00873BC4">
      <w:pPr>
        <w:pStyle w:val="3"/>
      </w:pPr>
      <w:r w:rsidRPr="00873BC4">
        <w:rPr>
          <w:rFonts w:hint="eastAsia"/>
        </w:rPr>
        <w:t>项目群实施</w:t>
      </w:r>
    </w:p>
    <w:p w14:paraId="533A70FE" w14:textId="4CE42EC9" w:rsidR="00873BC4" w:rsidRDefault="00873BC4" w:rsidP="00873BC4">
      <w:pPr>
        <w:ind w:firstLine="420"/>
      </w:pPr>
      <w:r w:rsidRPr="004F2A1B">
        <w:rPr>
          <w:rFonts w:hint="eastAsia"/>
        </w:rPr>
        <w:t>项目群实施</w:t>
      </w:r>
      <w:r>
        <w:rPr>
          <w:rFonts w:hint="eastAsia"/>
        </w:rPr>
        <w:t>涉及</w:t>
      </w:r>
      <w:r w:rsidRPr="004F2A1B">
        <w:rPr>
          <w:rFonts w:hint="eastAsia"/>
        </w:rPr>
        <w:t>清洁能源基地项目</w:t>
      </w:r>
      <w:r>
        <w:rPr>
          <w:rFonts w:hint="eastAsia"/>
        </w:rPr>
        <w:t>的</w:t>
      </w:r>
      <w:r w:rsidRPr="004F2A1B">
        <w:rPr>
          <w:rFonts w:hint="eastAsia"/>
        </w:rPr>
        <w:t>建设阶段，涵盖设计、采购与施工等主要内容</w:t>
      </w:r>
      <w:r>
        <w:rPr>
          <w:rFonts w:hint="eastAsia"/>
        </w:rPr>
        <w:t>。</w:t>
      </w:r>
      <w:r w:rsidRPr="007C7241">
        <w:rPr>
          <w:rFonts w:hint="eastAsia"/>
        </w:rPr>
        <w:t>清洁能源基地的实施水平受外部条件的</w:t>
      </w:r>
      <w:r>
        <w:rPr>
          <w:rFonts w:hint="eastAsia"/>
        </w:rPr>
        <w:t>直接</w:t>
      </w:r>
      <w:r w:rsidRPr="007C7241">
        <w:rPr>
          <w:rFonts w:hint="eastAsia"/>
        </w:rPr>
        <w:t>影响。自然环境是清洁能源基地</w:t>
      </w:r>
      <w:r>
        <w:rPr>
          <w:rFonts w:hint="eastAsia"/>
        </w:rPr>
        <w:t>实施</w:t>
      </w:r>
      <w:r w:rsidRPr="007C7241">
        <w:rPr>
          <w:rFonts w:hint="eastAsia"/>
        </w:rPr>
        <w:t>的基础条件，包括资源禀赋</w:t>
      </w:r>
      <w:r>
        <w:rPr>
          <w:rFonts w:hint="eastAsia"/>
        </w:rPr>
        <w:t>、</w:t>
      </w:r>
      <w:r w:rsidRPr="007C7241">
        <w:rPr>
          <w:rFonts w:hint="eastAsia"/>
        </w:rPr>
        <w:t>地形</w:t>
      </w:r>
      <w:r>
        <w:rPr>
          <w:rFonts w:hint="eastAsia"/>
        </w:rPr>
        <w:t>地质和气候条件等</w:t>
      </w:r>
      <w:r>
        <w:fldChar w:fldCharType="begin"/>
      </w:r>
      <w:r w:rsidR="00EB7246">
        <w:instrText xml:space="preserve"> ADDIN ZOTERO_ITEM CSL_CITATION {"citationID":"OUeu9UWc","properties":{"formattedCitation":"\\super [34]\\nosupersub{}","plainCitation":"[34]","noteIndex":0},"citationItems":[{"id":684,"uris":["http://zotero.org/users/13172592/items/ZYN4KCDV"],"itemData":{"id":684,"type":"article-journal","abstract":"The intermittent characteristic of a solar-alone or a wind-alone power generation system prevents the standalone renewable energy system from being fully reliable without suitable energy storage capability. In this study, the most traditional and mature storage technology, pumped hydro storage (PHS), is introduced to support the standalone microgrid hybrid solar-wind system. This paper explores a new solution for the challenging task about energy storage. A mathematical model of the hybrid system is developed and the operating principle is introduced. The proposed system is applied in a case study to power a remote island in Hong Kong, and its technical feasibility is then examined. The hour-by-hour simulation results indicate that the intermittent nature of the renewables can be compensated by introducing the PHS technology. Therefore, a reliable and environmentally friendly power supply can be provided. The results demonstrate that technically the PHS based renewable energy system is an ideal solution to achieve 100% energy autonomy in remote communities.","call-number":"1","container-title":"Renewable Energy","DOI":"10.1016/j.renene.2014.03.028","ISSN":"09601481","journalAbbreviation":"Renewable Energy","language":"en","page":"7-15","source":"8.7","title":"Technical feasibility study on a standalone hybrid solar-wind system with pumped hydro storage for a remote island in Hong Kong","volume":"69","author":[{"family":"Ma","given":"Tao"},{"family":"Yang","given":"Hongxing"},{"family":"Lu","given":"Lin"},{"family":"Peng","given":"Jinqing"}],"issued":{"date-parts":[["2014",9]]}}}],"schema":"https://github.com/citation-style-language/schema/raw/master/csl-citation.json"} </w:instrText>
      </w:r>
      <w:r>
        <w:fldChar w:fldCharType="separate"/>
      </w:r>
      <w:r w:rsidR="00EB7246" w:rsidRPr="00EB7246">
        <w:rPr>
          <w:rFonts w:cs="Times New Roman"/>
          <w:kern w:val="0"/>
          <w:vertAlign w:val="superscript"/>
        </w:rPr>
        <w:t>[34]</w:t>
      </w:r>
      <w:r>
        <w:fldChar w:fldCharType="end"/>
      </w:r>
      <w:r w:rsidRPr="007C7241">
        <w:rPr>
          <w:rFonts w:hint="eastAsia"/>
        </w:rPr>
        <w:t>。</w:t>
      </w:r>
      <w:r>
        <w:rPr>
          <w:rFonts w:hint="eastAsia"/>
        </w:rPr>
        <w:t>适宜</w:t>
      </w:r>
      <w:r>
        <w:t>的自然</w:t>
      </w:r>
      <w:r>
        <w:rPr>
          <w:rFonts w:hint="eastAsia"/>
        </w:rPr>
        <w:t>环境</w:t>
      </w:r>
      <w:r>
        <w:t>不仅有助于优化设计方案，提高资源利用效率，还能有效降低施工的技术难度和成本</w:t>
      </w:r>
      <w:r>
        <w:fldChar w:fldCharType="begin"/>
      </w:r>
      <w:r w:rsidR="00EB7246">
        <w:instrText xml:space="preserve"> ADDIN ZOTERO_ITEM CSL_CITATION {"citationID":"pTpDodya","properties":{"formattedCitation":"\\super [32,33]\\nosupersub{}","plainCitation":"[32,33]","noteIndex":0},"citationItems":[{"id":739,"uris":["http://zotero.org/users/13172592/items/M3QTEVZQ"],"itemData":{"id":739,"type":"article-journal","abstract":"In the context of global carbon reduction, many countries have established carbon–neutral commitments. With abundant wind–solar–hydro–geothermal resources, the development of renewable energy in the Qinghai–Tibet Plateau can meet the demand for carbon neutrality. Accordingly, this study aims to carry out an innovative and systematic assessment of renewable energy, considering the new pattern of multiple renewable energies (wind, solar, hydro, and geothermal energy) centralized co-development. A propagable analysis is conducted, based on two hypotheses, namely, considering resource conditions and taking plateau-specific practical constraints and energy storage into account. Resource concentration and synergy are further analyzed by a novel indicator and multiple scenarios are initiated to reduce the subjectivity, while various distance thresholds for substations with varying voltage levels are innovatively defined to optimize the assessment accuracy. Taking the Lhasa River Basin as the study area, results show that areas with suitable resources for two, three, and four types of renewable energy centralized co-development account for 41.3%, 32.7%, and 5.8% of the total area, respectively. After constraints considered, eligible areas for wind, photovoltaic, geothermal, and hydro power decline sharply to 6.0%, 22.3%, 13.5%, and 13.1% of the entire basin, with potentials of 4.91, 12.68, 10.77, and 0.97 GW. Under the highly suitable scenario, the proportions plummet to 0.2%, 1.6%, 0.6%, and 0.4%, with potentials of 0.12, 0.99, 0.29, and 0.02 GW, reflecting a high sensitivity to plateau-specific practical constraints. Wind power potential is the most sensitive to construction difficulty and investment reward among these resources, whereas hydropower potential has the strongest response to ecological protection. Results also show that more than a quarter of the renewable energy centrally developable areas have energy synergies, indicating the applicability of renewable energy centralized co-development.","call-number":"1","container-title":"Energy Conversion and Management","DOI":"10.1016/j.enconman.2022.115879","ISSN":"01968904","journalAbbreviation":"Energy Conversion and Management","language":"en","note":"rate: 5","page":"115879","source":"10.4","title":"Systematic potential analysis on renewable energy centralized co-development at high altitude: A case study in Qinghai-Tibet plateau","title-short":"Systematic potential analysis on renewable energy centralized co-development at high altitude","volume":"267","author":[{"family":"Qiu","given":"Lihua"},{"family":"He","given":"Li"},{"family":"Lu","given":"Hongwei"},{"family":"Liang","given":"Dongzhe"}],"issued":{"date-parts":[["2022",9]]}}},{"id":745,"uris":["http://zotero.org/users/13172592/items/JSFYLTMN"],"itemData":{"id":745,"type":"article-journal","abstract":"Multi-criteria decision making (MCDM) methods are becoming increasingly popular in solving energy selection problems because these problems involve multiple and often conﬂicting criteria. This paper presents comparative analysis of ranking renewable energy sources (RES) for electricity generation in Taiwan using four MCDM methods - WSM, VIKOR, TOPSIS, and ELECTRE. The Shannon entropy weight method is used to assess the importance of each criterion for the ranking of RES. After that, four MCDM methods are utilized for quantitative evaluation to rank all available RE alternatives. From the weights estimation results, eﬃciency is the ﬁrst priority in all evaluation criteria, followed by job creation, operation, and maintenance cost. The purpose of this study is to rank the priorities of various RES and propose recommendations for Taiwan's RE development. The ranking results show that hydro is the best alternative in Taiwan, followed by solar, wind, biomass and geothermal. Furthermore, sensitivity analysis of the weights was conducted considering the ranking results heavily depend on the criteria weight. The results of sensitivity analysis indicated that when ﬁnancial or technical aspects are focused upon, hydropower is the best RES because its technology is the most mature and the cost is the lowest in Taiwan. In addition, from an environmental perspective, wind energy is the best choice, and from the social perspective, solar PV is the best choice. The ﬁndings of this study can provide useful information to energy decision makers and serve as a reference for Taiwan's energy policy.","container-title":"Renewable and Sustainable Energy Reviews","DOI":"10.1016/j.rser.2018.05.007","ISSN":"13640321","journalAbbreviation":"Renewable and Sustainable Energy Reviews","language":"en","note":"rate: 3\nTLDR: Hydropower is the best RES in Taiwan because its technology is the most mature and the cost is the lowest in Taiwan, according to the results of comparative analysis of ranking renewable energy sources for electricity generation using four MCDM methods.","page":"883-896","source":"DOI.org (Crossref)","title":"Comparative analysis of MCDM methods for ranking renewable energy sources in Taiwan","volume":"92","author":[{"family":"Lee","given":"Hsing-Chen"},{"family":"Chang","given":"Ching-Ter"}],"issued":{"date-parts":[["2018",9]]}}}],"schema":"https://github.com/citation-style-language/schema/raw/master/csl-citation.json"} </w:instrText>
      </w:r>
      <w:r>
        <w:fldChar w:fldCharType="separate"/>
      </w:r>
      <w:r w:rsidR="00EB7246" w:rsidRPr="00EB7246">
        <w:rPr>
          <w:rFonts w:cs="Times New Roman"/>
          <w:kern w:val="0"/>
          <w:vertAlign w:val="superscript"/>
        </w:rPr>
        <w:t>[32,33]</w:t>
      </w:r>
      <w:r>
        <w:fldChar w:fldCharType="end"/>
      </w:r>
      <w:r w:rsidRPr="007C7241">
        <w:rPr>
          <w:rFonts w:hint="eastAsia"/>
        </w:rPr>
        <w:t>。征地移民是清洁能源基地</w:t>
      </w:r>
      <w:r>
        <w:rPr>
          <w:rFonts w:hint="eastAsia"/>
        </w:rPr>
        <w:t>顺利</w:t>
      </w:r>
      <w:r w:rsidRPr="007C7241">
        <w:rPr>
          <w:rFonts w:hint="eastAsia"/>
        </w:rPr>
        <w:t>实施的</w:t>
      </w:r>
      <w:r>
        <w:rPr>
          <w:rFonts w:hint="eastAsia"/>
        </w:rPr>
        <w:t>前提</w:t>
      </w:r>
      <w:r w:rsidRPr="007C7241">
        <w:rPr>
          <w:rFonts w:hint="eastAsia"/>
        </w:rPr>
        <w:t>条件</w:t>
      </w:r>
      <w:r>
        <w:fldChar w:fldCharType="begin"/>
      </w:r>
      <w:r w:rsidR="00EB7246">
        <w:instrText xml:space="preserve"> ADDIN ZOTERO_ITEM CSL_CITATION {"citationID":"Ch6hMezF","properties":{"formattedCitation":"\\super [36]\\nosupersub{}","plainCitation":"[36]","noteIndex":0},"citationItems":[{"id":3781,"uris":["http://zotero.org/users/13172592/items/FCEXP5AE"],"itemData":{"id":3781,"type":"article-journal","abstract":"This article examines the role of multilateral social and environmental safeguards in land acquisition for renewable energy (RE) development in Southeast Asia. We assessed the development of two large-scale wind projects in Indonesia and the Philippines through a qualitative comparative case study analysis. We find that the influence of safeguards is the product of two factors: the timing of multilateral funds in project development and the relative ease through which developers can acquire land through non-safeguard-compliant pathways. Our findings highlight the continued importance of land use policy and planning in mediating the social and environmental impacts of RE infrastructure.","call-number":"3","container-title":"Journal of Planning Education and Research","DOI":"10.1177/0739456X221147859","ISSN":"0739-456X","issue":"4","language":"en","note":"publisher: SAGE Publications Inc","page":"2056-2067","source":"2.8","title":"Land acquisition governance and its implications for renewable energy development in Indonesia and the Philippines","volume":"44","author":[{"family":"Kennedy","given":"Sean F."},{"family":"Qayyum","given":"Faizaan"}],"issued":{"date-parts":[["2024",12,1]]}}}],"schema":"https://github.com/citation-style-language/schema/raw/master/csl-citation.json"} </w:instrText>
      </w:r>
      <w:r>
        <w:fldChar w:fldCharType="separate"/>
      </w:r>
      <w:r w:rsidR="00EB7246" w:rsidRPr="00EB7246">
        <w:rPr>
          <w:rFonts w:cs="Times New Roman"/>
          <w:kern w:val="0"/>
          <w:vertAlign w:val="superscript"/>
        </w:rPr>
        <w:t>[36]</w:t>
      </w:r>
      <w:r>
        <w:fldChar w:fldCharType="end"/>
      </w:r>
      <w:r>
        <w:rPr>
          <w:rFonts w:hint="eastAsia"/>
        </w:rPr>
        <w:t>。顺利的</w:t>
      </w:r>
      <w:r w:rsidRPr="007C7241">
        <w:rPr>
          <w:rFonts w:hint="eastAsia"/>
        </w:rPr>
        <w:t>土地获取与移民安置</w:t>
      </w:r>
      <w:r>
        <w:t>能够减少社会矛盾，获得项目区域居民的理解与支持，保障施工进度</w:t>
      </w:r>
      <w:r>
        <w:fldChar w:fldCharType="begin"/>
      </w:r>
      <w:r w:rsidR="00EB7246">
        <w:instrText xml:space="preserve"> ADDIN ZOTERO_ITEM CSL_CITATION {"citationID":"iek8RT0K","properties":{"formattedCitation":"\\super [37]\\nosupersub{}","plainCitation":"[37]","noteIndex":0},"citationItems":[{"id":3779,"uris":["http://zotero.org/users/13172592/items/R3CZC9BE"],"itemData":{"id":3779,"type":"article-journal","abstract":"In Kenya, as well as in other parts of the global South, the drive to expand electricity production through large-scale renewable energy projects such as wind, solar and geothermal have been widely documented, along with land-related contestations emerging from within the affected communities. However, cases where local people consent to cede land to land investors have not yet received sufficient scholarly attention. Focusing on the Kipeto wind energy project in Kenya, this paper presents a counterpoint to the theoretical postulate of ‘accumulation by dispossession’ – to show how accumulation was possible without community dispossession of land. Grounded in empirical research, the paper argues, first, that land acquisition for wind energy development does not necessarily lead to dispossession if affected populations are compensated fairly, for example with better housing, jobs, money, and importantly are allowed to continue accessing land to sustain livelihoods. Second, the achievability of Kipeto wind energy project is largely due to the company's strategic approach to land consultation and negotiation with communities, which leads to wider social acceptance of the wind energy project. Nevertheless, some landowners have expressed their dissatisfaction concerning the financial compensation mechanisms. Thus, there is need for a longitudinal study to ascertain the extent to which the project developer and landowners keep to their promises as well as to understand the long-term impacts of land deals.","call-number":"2","container-title":"Energy Research &amp; Social Science","DOI":"10.1016/j.erss.2024.103530","ISSN":"2214-6296","journalAbbreviation":"Energy Research &amp; Social Science","page":"103530","source":"6.9","title":"Land acquisition, renewable energy development, and livelihood transformation in rural Kenya: The case of the Kipeto wind energy project","title-short":"Land acquisition, renewable energy development, and livelihood transformation in rural Kenya","volume":"112","author":[{"family":"Ndi","given":"Frankline A."}],"issued":{"date-parts":[["2024",6,1]]}}}],"schema":"https://github.com/citation-style-language/schema/raw/master/csl-citation.json"} </w:instrText>
      </w:r>
      <w:r>
        <w:fldChar w:fldCharType="separate"/>
      </w:r>
      <w:r w:rsidR="00EB7246" w:rsidRPr="00EB7246">
        <w:rPr>
          <w:rFonts w:cs="Times New Roman"/>
          <w:kern w:val="0"/>
          <w:vertAlign w:val="superscript"/>
        </w:rPr>
        <w:t>[37]</w:t>
      </w:r>
      <w:r>
        <w:fldChar w:fldCharType="end"/>
      </w:r>
      <w:r w:rsidRPr="007C7241">
        <w:rPr>
          <w:rFonts w:hint="eastAsia"/>
        </w:rPr>
        <w:t>。</w:t>
      </w:r>
      <w:r>
        <w:rPr>
          <w:rFonts w:hint="eastAsia"/>
        </w:rPr>
        <w:t>完善的</w:t>
      </w:r>
      <w:r w:rsidRPr="00873BC4">
        <w:rPr>
          <w:rStyle w:val="a3"/>
          <w:b w:val="0"/>
          <w:bCs w:val="0"/>
        </w:rPr>
        <w:t>配套基础设施</w:t>
      </w:r>
      <w:r>
        <w:t>是</w:t>
      </w:r>
      <w:r w:rsidRPr="007C7241">
        <w:rPr>
          <w:rFonts w:hint="eastAsia"/>
        </w:rPr>
        <w:t>清洁能源基地</w:t>
      </w:r>
      <w:r>
        <w:t>实施的重要支撑</w:t>
      </w:r>
      <w:r>
        <w:rPr>
          <w:rFonts w:hint="eastAsia"/>
        </w:rPr>
        <w:t>，例如便利的</w:t>
      </w:r>
      <w:r>
        <w:t>交通运输网络</w:t>
      </w:r>
      <w:r>
        <w:rPr>
          <w:rFonts w:hint="eastAsia"/>
        </w:rPr>
        <w:t>与</w:t>
      </w:r>
      <w:r>
        <w:t>通信设施</w:t>
      </w:r>
      <w:r>
        <w:rPr>
          <w:rFonts w:hint="eastAsia"/>
        </w:rPr>
        <w:t>能够提升施工</w:t>
      </w:r>
      <w:r w:rsidRPr="007C7241">
        <w:rPr>
          <w:rFonts w:hint="eastAsia"/>
        </w:rPr>
        <w:t>组织效率</w:t>
      </w:r>
      <w:r>
        <w:fldChar w:fldCharType="begin"/>
      </w:r>
      <w:r w:rsidR="00EB7246">
        <w:instrText xml:space="preserve"> ADDIN ZOTERO_ITEM CSL_CITATION {"citationID":"m7OIro3x","properties":{"formattedCitation":"\\super [32]\\nosupersub{}","plainCitation":"[32]","noteIndex":0},"citationItems":[{"id":739,"uris":["http://zotero.org/users/13172592/items/M3QTEVZQ"],"itemData":{"id":739,"type":"article-journal","abstract":"In the context of global carbon reduction, many countries have established carbon–neutral commitments. With abundant wind–solar–hydro–geothermal resources, the development of renewable energy in the Qinghai–Tibet Plateau can meet the demand for carbon neutrality. Accordingly, this study aims to carry out an innovative and systematic assessment of renewable energy, considering the new pattern of multiple renewable energies (wind, solar, hydro, and geothermal energy) centralized co-development. A propagable analysis is conducted, based on two hypotheses, namely, considering resource conditions and taking plateau-specific practical constraints and energy storage into account. Resource concentration and synergy are further analyzed by a novel indicator and multiple scenarios are initiated to reduce the subjectivity, while various distance thresholds for substations with varying voltage levels are innovatively defined to optimize the assessment accuracy. Taking the Lhasa River Basin as the study area, results show that areas with suitable resources for two, three, and four types of renewable energy centralized co-development account for 41.3%, 32.7%, and 5.8% of the total area, respectively. After constraints considered, eligible areas for wind, photovoltaic, geothermal, and hydro power decline sharply to 6.0%, 22.3%, 13.5%, and 13.1% of the entire basin, with potentials of 4.91, 12.68, 10.77, and 0.97 GW. Under the highly suitable scenario, the proportions plummet to 0.2%, 1.6%, 0.6%, and 0.4%, with potentials of 0.12, 0.99, 0.29, and 0.02 GW, reflecting a high sensitivity to plateau-specific practical constraints. Wind power potential is the most sensitive to construction difficulty and investment reward among these resources, whereas hydropower potential has the strongest response to ecological protection. Results also show that more than a quarter of the renewable energy centrally developable areas have energy synergies, indicating the applicability of renewable energy centralized co-development.","call-number":"1","container-title":"Energy Conversion and Management","DOI":"10.1016/j.enconman.2022.115879","ISSN":"01968904","journalAbbreviation":"Energy Conversion and Management","language":"en","note":"rate: 5","page":"115879","source":"10.4","title":"Systematic potential analysis on renewable energy centralized co-development at high altitude: A case study in Qinghai-Tibet plateau","title-short":"Systematic potential analysis on renewable energy centralized co-development at high altitude","volume":"267","author":[{"family":"Qiu","given":"Lihua"},{"family":"He","given":"Li"},{"family":"Lu","given":"Hongwei"},{"family":"Liang","given":"Dongzhe"}],"issued":{"date-parts":[["2022",9]]}}}],"schema":"https://github.com/citation-style-language/schema/raw/master/csl-citation.json"} </w:instrText>
      </w:r>
      <w:r>
        <w:fldChar w:fldCharType="separate"/>
      </w:r>
      <w:r w:rsidR="00EB7246" w:rsidRPr="00EB7246">
        <w:rPr>
          <w:rFonts w:cs="Times New Roman"/>
          <w:kern w:val="0"/>
          <w:vertAlign w:val="superscript"/>
        </w:rPr>
        <w:t>[32]</w:t>
      </w:r>
      <w:r>
        <w:fldChar w:fldCharType="end"/>
      </w:r>
      <w:r>
        <w:t>。</w:t>
      </w:r>
      <w:r>
        <w:rPr>
          <w:rFonts w:hint="eastAsia"/>
        </w:rPr>
        <w:t>基于此，提出假设</w:t>
      </w:r>
      <w:r>
        <w:rPr>
          <w:rFonts w:hint="eastAsia"/>
        </w:rPr>
        <w:t>8</w:t>
      </w:r>
      <w:r>
        <w:rPr>
          <w:rFonts w:hint="eastAsia"/>
        </w:rPr>
        <w:t>（</w:t>
      </w:r>
      <w:r>
        <w:rPr>
          <w:rFonts w:hint="eastAsia"/>
        </w:rPr>
        <w:t>H8</w:t>
      </w:r>
      <w:r>
        <w:rPr>
          <w:rFonts w:hint="eastAsia"/>
        </w:rPr>
        <w:t>）：</w:t>
      </w:r>
    </w:p>
    <w:p w14:paraId="235147AA" w14:textId="040DA069" w:rsidR="00873BC4" w:rsidRDefault="00873BC4" w:rsidP="00873BC4">
      <w:pPr>
        <w:ind w:firstLine="422"/>
      </w:pPr>
      <w:r w:rsidRPr="00873BC4">
        <w:rPr>
          <w:rFonts w:hint="eastAsia"/>
          <w:b/>
          <w:bCs/>
        </w:rPr>
        <w:t>H8</w:t>
      </w:r>
      <w:r w:rsidRPr="00873BC4">
        <w:rPr>
          <w:rFonts w:hint="eastAsia"/>
          <w:b/>
          <w:bCs/>
        </w:rPr>
        <w:t>：</w:t>
      </w:r>
      <w:r>
        <w:rPr>
          <w:rFonts w:hint="eastAsia"/>
        </w:rPr>
        <w:t>清洁能源基地适宜的外部条件能够提升项目群实施水平。</w:t>
      </w:r>
    </w:p>
    <w:p w14:paraId="3509895D" w14:textId="2C56251F" w:rsidR="00873BC4" w:rsidRDefault="00873BC4" w:rsidP="00873BC4">
      <w:pPr>
        <w:ind w:firstLine="420"/>
      </w:pPr>
      <w:r>
        <w:rPr>
          <w:rFonts w:hint="eastAsia"/>
        </w:rPr>
        <w:t>人力、材料、设备、信息、技术、知识等资源的及时供给与合理配置是清洁能源基地实施的基础</w:t>
      </w:r>
      <w:r>
        <w:fldChar w:fldCharType="begin"/>
      </w:r>
      <w:r w:rsidR="00E17813">
        <w:instrText xml:space="preserve"> ADDIN ZOTERO_ITEM CSL_CITATION {"citationID":"9zkNAs49","properties":{"formattedCitation":"\\super [3,55]\\nosupersub{}","plainCitation":"[3,55]","noteIndex":0},"citationItems":[{"id":3663,"uris":["http://zotero.org/users/13172592/items/KBFEHVJI"],"itemData":{"id":3663,"type":"article-journal","abstract":"Renewable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megaprojects","author":[{"family":"Wang","given":"Dedong"},{"family":"Zhao","given":"Xiaoru"}],"issued":{"date-parts":[["2024",3,17]]}}}],"schema":"https://github.com/citation-style-language/schema/raw/master/csl-citation.json"} </w:instrText>
      </w:r>
      <w:r>
        <w:fldChar w:fldCharType="separate"/>
      </w:r>
      <w:r w:rsidR="00E17813" w:rsidRPr="00E17813">
        <w:rPr>
          <w:rFonts w:cs="Times New Roman"/>
          <w:kern w:val="0"/>
          <w:vertAlign w:val="superscript"/>
        </w:rPr>
        <w:t>[3,55]</w:t>
      </w:r>
      <w:r>
        <w:fldChar w:fldCharType="end"/>
      </w:r>
      <w:r>
        <w:rPr>
          <w:rFonts w:hint="eastAsia"/>
        </w:rPr>
        <w:t>。</w:t>
      </w:r>
      <w:r w:rsidRPr="00351E0B">
        <w:rPr>
          <w:rFonts w:hint="eastAsia"/>
        </w:rPr>
        <w:t>资源及时供应能够确保设计、采购和施工</w:t>
      </w:r>
      <w:r>
        <w:rPr>
          <w:rFonts w:hint="eastAsia"/>
        </w:rPr>
        <w:t>环节</w:t>
      </w:r>
      <w:r w:rsidRPr="00351E0B">
        <w:rPr>
          <w:rFonts w:hint="eastAsia"/>
        </w:rPr>
        <w:t>按计划推进，避免因资源短缺造成</w:t>
      </w:r>
      <w:r>
        <w:rPr>
          <w:rFonts w:hint="eastAsia"/>
        </w:rPr>
        <w:t>工期延误</w:t>
      </w:r>
      <w:r w:rsidRPr="005C1F7F">
        <w:fldChar w:fldCharType="begin"/>
      </w:r>
      <w:r w:rsidR="00E17813">
        <w:instrText xml:space="preserve"> ADDIN ZOTERO_ITEM CSL_CITATION {"citationID":"1rbrFD6d","properties":{"formattedCitation":"\\super [3,61]\\nosupersub{}","plainCitation":"[3,61]","noteIndex":0},"citationItems":[{"id":3773,"uris":["http://zotero.org/users/13172592/items/8JFUZWNV"],"itemData":{"id":3773,"type":"article-journal","abstract":"Global awareness and commitment, in regards to climate change, access to water and renewable energy deployment has risen in the last decade. However, many countries are still locked in unsustainable practices, specifically in regards to energy, this results in damaging consequences not just for the country but the world. Case in point of the Dominican Republic (DR), an island with an immense renewable energy potential, a growing economy and the financial aid of many international entities. Regardless of all this, “the business as usual” decision for the energy strategies is based on fossil foil. As a result, thousands of people are still without energy, the infrastructure itself is unreliable, and the cost of fossil fuel is 6–8% of the country’s GDP. The country also suffers from blackouts, the expensive tariff and unstable energy grid. Therefore, this paper discusses and critically evaluates critical success factors (CSF) for implementing renewable energy strategies in the DR. For this purpose, an extensive literature review was done, along with 25 interviews with the key actors in the renewable energy market of the DR, that were analysed using content analysis and ISM method. These methods provided insight into 6 CSF. These CFS aid the stakeholder’s in the creation and growth of the RE market in the DR.","call-number":"1","container-title":"Renewable Energy","DOI":"10.1016/j.renene.2019.12.053","ISSN":"0960-1481","journalAbbreviation":"Renewable Energy","language":"en","page":"329-335","source":"9","title":"Evaluating critical success factors for implementing renewable energy strategies in the Dominican Republic","volume":"149","author":[{"family":"Donastorg","given":"Angelines"},{"family":"Renukappa","given":"Suresh"},{"family":"Suresh","given":"Subashini"}],"issued":{"date-parts":[["2020",4,1]]}}},{"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K."}],"issued":{"date-parts":[["2014",10,1]]}}}],"schema":"https://github.com/citation-style-language/schema/raw/master/csl-citation.json"} </w:instrText>
      </w:r>
      <w:r w:rsidRPr="005C1F7F">
        <w:fldChar w:fldCharType="separate"/>
      </w:r>
      <w:r w:rsidR="00E17813" w:rsidRPr="00E17813">
        <w:rPr>
          <w:rFonts w:cs="Times New Roman"/>
          <w:kern w:val="0"/>
          <w:vertAlign w:val="superscript"/>
        </w:rPr>
        <w:t>[3,61]</w:t>
      </w:r>
      <w:r w:rsidRPr="005C1F7F">
        <w:fldChar w:fldCharType="end"/>
      </w:r>
      <w:r w:rsidRPr="00351E0B">
        <w:rPr>
          <w:rFonts w:hint="eastAsia"/>
        </w:rPr>
        <w:t>。</w:t>
      </w:r>
      <w:r>
        <w:rPr>
          <w:rFonts w:hint="eastAsia"/>
        </w:rPr>
        <w:t>资源的</w:t>
      </w:r>
      <w:r w:rsidRPr="00351E0B">
        <w:rPr>
          <w:rFonts w:hint="eastAsia"/>
        </w:rPr>
        <w:t>敏捷调度</w:t>
      </w:r>
      <w:r>
        <w:rPr>
          <w:rFonts w:hint="eastAsia"/>
        </w:rPr>
        <w:t>能够</w:t>
      </w:r>
      <w:r w:rsidRPr="00351E0B">
        <w:rPr>
          <w:rFonts w:hint="eastAsia"/>
        </w:rPr>
        <w:t>快速响应</w:t>
      </w:r>
      <w:r>
        <w:rPr>
          <w:rFonts w:hint="eastAsia"/>
        </w:rPr>
        <w:t>清洁能源基地开发环境的动态变化</w:t>
      </w:r>
      <w:r w:rsidRPr="00351E0B">
        <w:rPr>
          <w:rFonts w:hint="eastAsia"/>
        </w:rPr>
        <w:t>，</w:t>
      </w:r>
      <w:r>
        <w:rPr>
          <w:rFonts w:hint="eastAsia"/>
        </w:rPr>
        <w:t>及时辨识并应对风险，保证清洁能源基地实施的进度与质量</w:t>
      </w:r>
      <w:r>
        <w:fldChar w:fldCharType="begin"/>
      </w:r>
      <w:r w:rsidR="00E17813">
        <w:instrText xml:space="preserve"> ADDIN ZOTERO_ITEM CSL_CITATION {"citationID":"a2gf3nvtap2","properties":{"formattedCitation":"\\super [55,83]\\nosupersub{}","plainCitation":"[55,83]","noteIndex":0},"citationItems":[{"id":2358,"uris":["http://zotero.org/users/13172592/items/E9Z93RH2"],"itemData":{"id":2358,"type":"article-journal","call-number":"4","container-title":"Journal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megaprojects","author":[{"family":"Wang","given":"Dedong"},{"family":"Zhao","given":"Xiaoru"}],"issued":{"date-parts":[["2024",3,17]]}}},{"id":2359,"uris":["http://zotero.org/users/13172592/items/H5TTPQC4"],"itemData":{"id":2359,"type":"article-journal","abstract":"Purpose – Currently, many studies have shown an increasing interest in owner-dynamic capabilities (ODCs). Existing studies mainly focus on the dynamic capability basis and capability development within the owner organization, whereas they rarely analyze the capability mobilization within the network of participants in megaprojects. Therefore, this study aims to explain the interaction and evolution of the mobilization strategies of ODCs and the cooperative strategies of other participants.","container-title":"Engineering, Construction and Architectural Management","DOI":"10.1108/ECAM-04-2023-0323","ISSN":"0969-9988","issue":"3","journalAbbreviation":"ECAM","language":"en","license":"https://www.emerald.com/insight/site-policies","page":"1478-1498","source":"DOI.org (Crossref)","title":"How to mobilize owner-dynamic capabilities in megaprojects? A tripartite evolutionary game approach","title-short":"How to mobilize owner-dynamic capabilities in megaprojects?","volume":"32","author":[{"family":"Tian","given":"Zidan"},{"family":"He","given":"Qinghua"},{"family":"Wang","given":"Ting"}],"issued":{"date-parts":[["2023"]]}}}],"schema":"https://github.com/citation-style-language/schema/raw/master/csl-citation.json"} </w:instrText>
      </w:r>
      <w:r>
        <w:fldChar w:fldCharType="separate"/>
      </w:r>
      <w:r w:rsidR="00E17813" w:rsidRPr="00E17813">
        <w:rPr>
          <w:rFonts w:cs="Times New Roman"/>
          <w:kern w:val="0"/>
          <w:vertAlign w:val="superscript"/>
        </w:rPr>
        <w:t>[55,83]</w:t>
      </w:r>
      <w:r>
        <w:fldChar w:fldCharType="end"/>
      </w:r>
      <w:r w:rsidRPr="00351E0B">
        <w:rPr>
          <w:rFonts w:hint="eastAsia"/>
        </w:rPr>
        <w:t>。设计</w:t>
      </w:r>
      <w:r>
        <w:rPr>
          <w:rFonts w:hint="eastAsia"/>
        </w:rPr>
        <w:t>、</w:t>
      </w:r>
      <w:r w:rsidRPr="00351E0B">
        <w:rPr>
          <w:rFonts w:hint="eastAsia"/>
        </w:rPr>
        <w:t>采购</w:t>
      </w:r>
      <w:r>
        <w:rPr>
          <w:rFonts w:hint="eastAsia"/>
        </w:rPr>
        <w:t>、</w:t>
      </w:r>
      <w:r w:rsidRPr="00351E0B">
        <w:rPr>
          <w:rFonts w:hint="eastAsia"/>
        </w:rPr>
        <w:t>施工</w:t>
      </w:r>
      <w:r>
        <w:rPr>
          <w:rFonts w:hint="eastAsia"/>
        </w:rPr>
        <w:t>、运营环节间的</w:t>
      </w:r>
      <w:r w:rsidRPr="00351E0B">
        <w:rPr>
          <w:rFonts w:hint="eastAsia"/>
        </w:rPr>
        <w:t>信息</w:t>
      </w:r>
      <w:r>
        <w:rPr>
          <w:rFonts w:hint="eastAsia"/>
        </w:rPr>
        <w:t>及时共享则有利于实现各环节间的顺畅衔接</w:t>
      </w:r>
      <w:r>
        <w:fldChar w:fldCharType="begin"/>
      </w:r>
      <w:r w:rsidR="00E17813">
        <w:instrText xml:space="preserve"> ADDIN ZOTERO_ITEM CSL_CITATION {"citationID":"a66vvi5jje","properties":{"formattedCitation":"\\super [73,84]\\nosupersub{}","plainCitation":"[73,84]","noteIndex":0},"citationItems":[{"id":3242,"uris":["http://zotero.org/users/13172592/items/IS5FB2RH"],"itemData":{"id":3242,"type":"article-journal","abstract":"Trust and power are considered to be two necessary mechanisms for promoting cooperation among construction partners. In this paper, trust is regarded as a mediator between power and cooperative performance. A model of the relationship between trust and power is developed and tested using the results of an empirical study based on a sample of Chinese contractors. The results show that an owner's expert power can inﬂuence a contractor's cognition- and affect-based trust in the owner and that coercive power has little direct impact on the formation of trust. However, coercive power is found to moderate the relationship between expert power and cognition-based trust, in that the relationship is more positive when the level of coercive power is lower. Moreover, affect-based trust has a signiﬁcantly greater positive inﬂuence on cooperative performance than cognition-based trust. These ﬁndings are interpreted in light of Chinese culture, and provide some suggestions for how owners can exercise power to foster cooperation with their contractors.","call-number":"1","container-title":"International Journal of Project Management","DOI":"10.1016/j.ijproman.2012.10.008","ISSN":"02637863","issue":"4","journalAbbreviation":"International Journal of Project Management","language":"en","license":"https://www.elsevier.com/tdm/userlicense/1.0/","page":"522-531","source":"7.4","title":"The influence of owner power in fostering contractor cooperation: Evidence from China","title-short":"The influence of owner power in fostering contractor cooperation","volume":"31","author":[{"family":"Lu","given":"Shaokai"},{"family":"Hao","given":"Gang"}],"issued":{"date-parts":[["2013",5]]}}},{"id":1641,"uris":["http://zotero.org/users/13172592/items/93NZ4BEB"],"itemData":{"id":1641,"type":"article-journal","abstract":"The combination of the economic pressures, maturity and limitations of project management and the dynamic nature of the construction industry clients’ requirements has triggered the need for the adoption and implementation of programme management as a de facto means of aligning, coordinating and managing a portfolio of construction projects to deliver beneﬁts that would not be achievable if the projects were managed independently. Despite the beneﬁts achievable in the practice of programme management, the awareness and understanding of its practice in the construction industry remains vague as a result of a lack of clarity and inconsistencies associated with its deﬁnitions. To fully understand the core essence of programme management, it is imperative that its quintessential deﬁnition, practice and context are clearly understood and documented. This research is based on a pragmatic synthesis of literature review and industrial questionnaire survey which establishes the relationship, similarities and diﬀerences between programme management and project management and subsequently draws comparisons of the practices relevant to programmes between programme and non-programme organisations. The research further highlights the implications of unawareness and lack of understanding that can aﬀect the eﬀective implementation and practice of programme management in the UK construction environment.","call-number":"1","container-title":"International Journal of Project Management","DOI":"10.1016/j.ijproman.2009.02.005","ISSN":"02637863","issue":"7","journalAbbreviation":"International Journal of Project Management","language":"en","license":"https://www.elsevier.com/tdm/userlicense/1.0/","page":"703-716","source":"8","title":"Construction programme management theory and practice: Contextual and pragmatic approach","title-short":"Construction programme management theory and practice","volume":"27","author":[{"family":"Shehu","given":"Zayyana"},{"family":"Akintoye","given":"Akintola"}],"issued":{"date-parts":[["2009",10]]}}}],"schema":"https://github.com/citation-style-language/schema/raw/master/csl-citation.json"} </w:instrText>
      </w:r>
      <w:r>
        <w:fldChar w:fldCharType="separate"/>
      </w:r>
      <w:r w:rsidR="00E17813" w:rsidRPr="00E17813">
        <w:rPr>
          <w:rFonts w:cs="Times New Roman"/>
          <w:kern w:val="0"/>
          <w:vertAlign w:val="superscript"/>
        </w:rPr>
        <w:t>[73,84]</w:t>
      </w:r>
      <w:r>
        <w:fldChar w:fldCharType="end"/>
      </w:r>
      <w:r w:rsidRPr="00351E0B">
        <w:rPr>
          <w:rFonts w:hint="eastAsia"/>
        </w:rPr>
        <w:t>。</w:t>
      </w:r>
      <w:r>
        <w:rPr>
          <w:rFonts w:hint="eastAsia"/>
        </w:rPr>
        <w:t>获取</w:t>
      </w:r>
      <w:r w:rsidRPr="00351E0B">
        <w:rPr>
          <w:rFonts w:hint="eastAsia"/>
        </w:rPr>
        <w:t>外部技术支持</w:t>
      </w:r>
      <w:r>
        <w:rPr>
          <w:rFonts w:hint="eastAsia"/>
        </w:rPr>
        <w:t>能够协助解决清洁能源基地实施过程中遇到的技术与管理难题，从而提高实施水平</w:t>
      </w:r>
      <w:r>
        <w:fldChar w:fldCharType="begin"/>
      </w:r>
      <w:r w:rsidR="00EB7246">
        <w:instrText xml:space="preserve"> ADDIN ZOTERO_ITEM CSL_CITATION {"citationID":"5eHwsq2Q","properties":{"formattedCitation":"\\super [38]\\nosupersub{}","plainCitation":"[38]","noteIndex":0},"citationItems":[{"id":3050,"uris":["http://zotero.org/users/13172592/items/GRM9JMJ9"],"itemData":{"id":3050,"type":"article-journal","abstract":"With increasing worldwide energy demand, many energy-related issues are growing, including global warming, energy sustainability, and environmental pollution. These challenges force nations to actively endorse renewable energy development policies. As a result, numerous renewable energy projects are executed around the globe, which are confronting various hurdles, causing failure for many of the current projects. This study, therefore, aims to suggest that community participation in planning and decisionmaking is an imperative mediator through which government support (GS) and organizational innovativeness (OI) can positively affect renewable project success. Data was collected through a survey from 650 respondents of the renewable energy projects in Pakistan, and hypotheses were proved by employing structural equation modeling (SEM). The ﬁndings show that GS and OI have a signiﬁcant positive impact on the CP and project success. Moreover, CP was realized to partially mediates these relationships. It is expected that the ﬁndings present guidelines for the government authorities so that they endeavor and make better policies for involving the community as a mediator in project planning and decision making for renewable energy projects.","call-number":"1","container-title":"Energy","DOI":"10.1016/j.energy.2021.122172","ISSN":"03605442","journalAbbreviation":"Energy","language":"en","page":"122172","source":"9","title":"The influence of government support, organizational innovativeness and community participation in renewable energy project success: A case of Pakistan","title-short":"The influence of government support, organizational innovativeness and community participation in renewable energy project success","volume":"239","author":[{"family":"Hussain","given":"Shahid"},{"family":"Xuetong","given":"Wang"},{"family":"Maqbool","given":"Rashid"},{"family":"Hussain","given":"Mustansar"},{"family":"Shahnawaz","given":"Muhammad"}],"issued":{"date-parts":[["2022",1]]}}}],"schema":"https://github.com/citation-style-language/schema/raw/master/csl-citation.json"} </w:instrText>
      </w:r>
      <w:r>
        <w:fldChar w:fldCharType="separate"/>
      </w:r>
      <w:r w:rsidR="00EB7246" w:rsidRPr="00EB7246">
        <w:rPr>
          <w:rFonts w:cs="Times New Roman"/>
          <w:kern w:val="0"/>
          <w:vertAlign w:val="superscript"/>
        </w:rPr>
        <w:t>[38]</w:t>
      </w:r>
      <w:r>
        <w:fldChar w:fldCharType="end"/>
      </w:r>
      <w:r>
        <w:rPr>
          <w:rFonts w:hint="eastAsia"/>
        </w:rPr>
        <w:t>。此外，清洁能源基地各子项目间经验与知识的共享，能够推动总体实施水平的持续提升</w:t>
      </w:r>
      <w:r>
        <w:fldChar w:fldCharType="begin"/>
      </w:r>
      <w:r w:rsidR="00E17813">
        <w:instrText xml:space="preserve"> ADDIN ZOTERO_ITEM CSL_CITATION {"citationID":"a2c4frkffv4","properties":{"formattedCitation":"\\super [73]\\nosupersub{}","plainCitation":"[73]","noteIndex":0},"citationItems":[{"id":1641,"uris":["http://zotero.org/users/13172592/items/93NZ4BEB"],"itemData":{"id":1641,"type":"article-journal","abstract":"The combination of the economic pressures, maturity and limitations of project management and the dynamic nature of the construction industry clients’ requirements has triggered the need for the adoption and implementation of programme management as a de facto means of aligning, coordinating and managing a portfolio of construction projects to deliver beneﬁts that would not be achievable if the projects were managed independently. Despite the beneﬁts achievable in the practice of programme management, the awareness and understanding of its practice in the construction industry remains vague as a result of a lack of clarity and inconsistencies associated with its deﬁnitions. To fully understand the core essence of programme management, it is imperative that its quintessential deﬁnition, practice and context are clearly understood and documented. This research is based on a pragmatic synthesis of literature review and industrial questionnaire survey which establishes the relationship, similarities and diﬀerences between programme management and project management and subsequently draws comparisons of the practices relevant to programmes between programme and non-programme organisations. The research further highlights the implications of unawareness and lack of understanding that can aﬀect the eﬀective implementation and practice of programme management in the UK construction environment.","call-number":"1","container-title":"International Journal of Project Management","DOI":"10.1016/j.ijproman.2009.02.005","ISSN":"02637863","issue":"7","journalAbbreviation":"International Journal of Project Management","language":"en","license":"https://www.elsevier.com/tdm/userlicense/1.0/","page":"703-716","source":"8","title":"Construction programme management theory and practice: Contextual and pragmatic approach","title-short":"Construction programme management theory and practice","volume":"27","author":[{"family":"Shehu","given":"Zayyana"},{"family":"Akintoye","given":"Akintola"}],"issued":{"date-parts":[["2009",10]]}}}],"schema":"https://github.com/citation-style-language/schema/raw/master/csl-citation.json"} </w:instrText>
      </w:r>
      <w:r>
        <w:fldChar w:fldCharType="separate"/>
      </w:r>
      <w:r w:rsidR="00E17813" w:rsidRPr="00E17813">
        <w:rPr>
          <w:rFonts w:cs="Times New Roman"/>
          <w:kern w:val="0"/>
          <w:vertAlign w:val="superscript"/>
        </w:rPr>
        <w:t>[73]</w:t>
      </w:r>
      <w:r>
        <w:fldChar w:fldCharType="end"/>
      </w:r>
      <w:r>
        <w:rPr>
          <w:rFonts w:hint="eastAsia"/>
        </w:rPr>
        <w:t>。基于此，提出假设</w:t>
      </w:r>
      <w:r>
        <w:rPr>
          <w:rFonts w:hint="eastAsia"/>
        </w:rPr>
        <w:t>9</w:t>
      </w:r>
      <w:r>
        <w:rPr>
          <w:rFonts w:hint="eastAsia"/>
        </w:rPr>
        <w:t>（</w:t>
      </w:r>
      <w:r>
        <w:rPr>
          <w:rFonts w:hint="eastAsia"/>
        </w:rPr>
        <w:t>H9</w:t>
      </w:r>
      <w:r>
        <w:rPr>
          <w:rFonts w:hint="eastAsia"/>
        </w:rPr>
        <w:t>）：</w:t>
      </w:r>
    </w:p>
    <w:p w14:paraId="49E7785F" w14:textId="77777777" w:rsidR="00873BC4" w:rsidRPr="00531A78" w:rsidRDefault="00873BC4" w:rsidP="00873BC4">
      <w:pPr>
        <w:ind w:firstLine="422"/>
      </w:pPr>
      <w:r w:rsidRPr="00873BC4">
        <w:rPr>
          <w:rFonts w:hint="eastAsia"/>
          <w:b/>
          <w:bCs/>
        </w:rPr>
        <w:t>H9</w:t>
      </w:r>
      <w:r w:rsidRPr="00873BC4">
        <w:rPr>
          <w:rFonts w:hint="eastAsia"/>
          <w:b/>
          <w:bCs/>
        </w:rPr>
        <w:t>：</w:t>
      </w:r>
      <w:r>
        <w:rPr>
          <w:rFonts w:hint="eastAsia"/>
        </w:rPr>
        <w:t>清洁能源基地合理的资源配置能够提升项目群实施水平。</w:t>
      </w:r>
    </w:p>
    <w:p w14:paraId="5001A835" w14:textId="7E39664B" w:rsidR="00873BC4" w:rsidRDefault="00873BC4" w:rsidP="00873BC4">
      <w:pPr>
        <w:ind w:firstLine="420"/>
      </w:pPr>
      <w:r w:rsidRPr="007C7241">
        <w:rPr>
          <w:rFonts w:hint="eastAsia"/>
        </w:rPr>
        <w:t>清洁能源基地</w:t>
      </w:r>
      <w:r>
        <w:rPr>
          <w:rFonts w:hint="eastAsia"/>
        </w:rPr>
        <w:t>的顺利</w:t>
      </w:r>
      <w:r w:rsidRPr="007C7241">
        <w:rPr>
          <w:rFonts w:hint="eastAsia"/>
        </w:rPr>
        <w:t>实施</w:t>
      </w:r>
      <w:r>
        <w:rPr>
          <w:rFonts w:hint="eastAsia"/>
        </w:rPr>
        <w:t>需要利益相关方的协同合作</w:t>
      </w:r>
      <w:r>
        <w:fldChar w:fldCharType="begin"/>
      </w:r>
      <w:r w:rsidR="00E17813">
        <w:instrText xml:space="preserve"> ADDIN ZOTERO_ITEM CSL_CITATION {"citationID":"TDWkNQgw","properties":{"formattedCitation":"\\super [46]\\nosupersub{}","plainCitation":"[46]","noteIndex":0},"citationItems":[{"id":2584,"uris":["http://zotero.org/users/13172592/items/LUC3WH29","http://zotero.org/users/13172592/items/SB8X9A3C"],"itemData":{"id":2584,"type":"article-journal","archive_location":"WOS:000235671300002","call-number":"2","container-title":"Journal of Construction Engineering and Management","DOI":"10.1061/(ASCE)0733-9364(2006)132:3(217)","ISSN":"0733-9364","issue":"3","language":"en","page":"217-229","source":"5.1","title":"Partnering mechanism in construction: An empirical study on the Chinese construction industry","volume":"132","author":[{"family":"Tang","given":"WZ"},{"family":"Duffield","given":"CF"},{"family":"Young","given":"DM"}],"issued":{"date-parts":[["2006",3]]}}}],"schema":"https://github.com/citation-style-language/schema/raw/master/csl-citation.json"} </w:instrText>
      </w:r>
      <w:r>
        <w:fldChar w:fldCharType="separate"/>
      </w:r>
      <w:r w:rsidR="00E17813" w:rsidRPr="00E17813">
        <w:rPr>
          <w:rFonts w:cs="Times New Roman"/>
          <w:kern w:val="0"/>
          <w:vertAlign w:val="superscript"/>
        </w:rPr>
        <w:t>[46]</w:t>
      </w:r>
      <w:r>
        <w:fldChar w:fldCharType="end"/>
      </w:r>
      <w:r>
        <w:rPr>
          <w:rFonts w:hint="eastAsia"/>
        </w:rPr>
        <w:t>。利益相关方间构建良好的</w:t>
      </w:r>
      <w:r>
        <w:t>伙伴关系</w:t>
      </w:r>
      <w:r>
        <w:rPr>
          <w:rFonts w:hint="eastAsia"/>
        </w:rPr>
        <w:t>能够促进各方间信息交流与反馈，提高沟通与协作效率，既能够促使设计方案满足</w:t>
      </w:r>
      <w:r>
        <w:t>各方</w:t>
      </w:r>
      <w:r>
        <w:rPr>
          <w:rFonts w:hint="eastAsia"/>
        </w:rPr>
        <w:t>功能需求，也有助于推动设计方案根据各方反馈不断优化</w:t>
      </w:r>
      <w:r>
        <w:fldChar w:fldCharType="begin"/>
      </w:r>
      <w:r w:rsidR="00E17813">
        <w:instrText xml:space="preserve"> ADDIN ZOTERO_ITEM CSL_CITATION {"citationID":"aq5cctbccr","properties":{"formattedCitation":"\\super [78]\\nosupersub{}","plainCitation":"[78]","noteIndex":0},"citationItems":[{"id":4096,"uris":["http://zotero.org/users/13172592/items/BLPYXAW5","http://zotero.org/users/13172592/items/QRNWAFXT"],"itemData":{"id":4096,"type":"article-journal","abstract":"Hydropower, as a renewable energy resource, has become an important way to ﬁt for Chinese long-term energy policy of energy transformation. Engineering–procurement–construction (EPC) has been increasingly adopted for improving hydropower project delivery efﬁciency in the utilization of water resources and generation of clean energy, where design plays a critical role in project success. Existing studies advocate the need to use partnering for better solutions to designs in EPC hydropower projects. However, there is a lack of a theoretical framework to systematically address design-related issues considering different participants’ interactions. This study coherently examined the causal relationships among partnering, design management, design capability, and EPC hydropower project performance by establishing and validating a conceptual model, with the support of data collected from a large-scale EPC hydropower project. Path analysis reveals that partnering can directly promote design management and design capability and exert an effect on design capability through enhancing design management, thereby achieving better hydropower project outcomes. This study</w:instrText>
      </w:r>
      <w:r w:rsidR="00E17813">
        <w:rPr>
          <w:rFonts w:hint="eastAsia"/>
        </w:rPr>
        <w:instrText>’</w:instrText>
      </w:r>
      <w:r w:rsidR="00E17813">
        <w:instrText xml:space="preserve">s contribution lies in that it theoretically builds the links between intraand inter-organizational design-related activities by systematically mapping EPC hydropower project performance on partnering, design management, and design capability. These ﬁndings also suggest broad practical strategies for participants to optimally integrate their complementary resources into designs to achieve superior hydropower project performance.","call-number":"3","container-title":"Water","DOI":"10.3390/w13233410","ISSN":"2073-4441","issue":"23","journalAbbreviation":"Water","language":"en","license":"https://creativecommons.org/licenses/by/4.0/","page":"3410","source":"3","title":"Improving design by partnering in engineering–procurement–construction (EPC) hydropower projects: A case study of a large-scale hydropower project in China","title-short":"Improving design by partnering in engineering–procurement–construction (EPC) hydropower projects","volume":"13","author":[{"family":"Liu","given":"Yang"},{"family":"Tang","given":"Wenzhe"},{"family":"Duffield","given":"Colin F."},{"family":"Hui","given":"Felix Kin Peng"},{"family":"Zhang","given":"Lihai"},{"family":"Zhang","given":"Xuteng"},{"family":"Kang","given":"Yanling"}],"issued":{"date-parts":[["2021",12,2]]}}}],"schema":"https://github.com/citation-style-language/schema/raw/master/csl-citation.json"} </w:instrText>
      </w:r>
      <w:r>
        <w:fldChar w:fldCharType="separate"/>
      </w:r>
      <w:r w:rsidR="00E17813" w:rsidRPr="00E17813">
        <w:rPr>
          <w:rFonts w:cs="Times New Roman"/>
          <w:kern w:val="0"/>
          <w:vertAlign w:val="superscript"/>
        </w:rPr>
        <w:t>[78]</w:t>
      </w:r>
      <w:r>
        <w:fldChar w:fldCharType="end"/>
      </w:r>
      <w:r>
        <w:rPr>
          <w:rFonts w:hint="eastAsia"/>
        </w:rPr>
        <w:t>。</w:t>
      </w:r>
      <w:r>
        <w:t>在采购环节，良好的伙伴关系有助于实现供应链</w:t>
      </w:r>
      <w:r>
        <w:rPr>
          <w:rFonts w:hint="eastAsia"/>
        </w:rPr>
        <w:t>一体化管理</w:t>
      </w:r>
      <w:r>
        <w:t>，提升设备与材料的交付效率和成本控制水平</w:t>
      </w:r>
      <w:r>
        <w:fldChar w:fldCharType="begin"/>
      </w:r>
      <w:r w:rsidR="00E17813">
        <w:instrText xml:space="preserve"> ADDIN ZOTERO_ITEM CSL_CITATION {"citationID":"aolq309pfo","properties":{"formattedCitation":"\\super [85,86]\\nosupersub{}","plainCitation":"[85,86]","noteIndex":0},"citationItems":[{"id":4114,"uris":["http://zotero.org/users/13172592/items/6URNWYTI"],"itemData":{"id":4114,"type":"article-journal","abstract":"The purpose of this paper is to explore the challenges facing companies that operate within complex supply networks and the strategies they use to manage such complex supply networks.,The paper uses mixed methods by combining in-depth case studies with an executive forum with those of senior industry stakeholders. The two in-depth supply network case studies were carried out through multiple interviews with focal (or ‘developer’) firms that supply energy through offshore wind power and key suppliers such as wind turbine manufacturers.,The findings show the challenges the offshore wind power industry faces because of complex supply networks, including attempts by several actors to exert their power and control. Despite the networks facing similar complexities and challenges, two distinctly different strategies for orchestrating and governing supply networks are uncovered: one strategy resembles an interventionist strategy, while the other is based on delegation.,Based on the findings, the authors identify and develop a classification of complex supply network divided into intervention and delegation strategies, thereby adding to existing research on ways to manage complex supply networks.,The authors identify strategies for focal firms for managing in complex supply networks, based on control and intervention or coordination and delegation.,Existing research on supply network strategies has largely focused on non-complex contexts. This paper draws from complex adaptive systems and organisational behaviour perspectives to contribute original insights into supply network strategies in complex supply networks.","archive_location":"world","container-title":"Supply Chain Management: An International Journal","DOI":"10.1108/SCM-11-2018-0410","ISSN":"1359-8546","issue":"6","language":"en","note":"publisher: Emerald Publishing Limited","page":"872-886","source":"www.emerald.com","title":"Strategies for complex supply networks: Findings from the offshore wind power industry","title-short":"Strategies for complex supply networks","volume":"24","author":[{"family":"Johnsen","given":"Thomas E."},{"family":"Mikkelsen","given":"Ole Stegmann"},{"family":"Wong","given":"Chee Yew"}],"issued":{"date-parts":[["2019",10</w:instrText>
      </w:r>
      <w:r w:rsidR="00E17813">
        <w:rPr>
          <w:rFonts w:hint="eastAsia"/>
        </w:rPr>
        <w:instrText>,11]]}},"label":"page"},{"id":4111,"uris":["http://zotero.org/users/13172592/items/5DNEFWUW"],"itemData":{"id":4111,"type":"thesis","event-place":"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基于供应链一体化的国际工程</w:instrText>
      </w:r>
      <w:r w:rsidR="00E17813">
        <w:rPr>
          <w:rFonts w:hint="eastAsia"/>
        </w:rPr>
        <w:instrText>EPC</w:instrText>
      </w:r>
      <w:r w:rsidR="00E17813">
        <w:rPr>
          <w:rFonts w:hint="eastAsia"/>
        </w:rPr>
        <w:instrText>项目采购管理研究</w:instrText>
      </w:r>
      <w:r w:rsidR="00E17813">
        <w:rPr>
          <w:rFonts w:hint="eastAsia"/>
        </w:rPr>
        <w:instrText>","author":[{"literal":"</w:instrText>
      </w:r>
      <w:r w:rsidR="00E17813">
        <w:rPr>
          <w:rFonts w:hint="eastAsia"/>
        </w:rPr>
        <w:instrText>王姝力</w:instrText>
      </w:r>
      <w:r w:rsidR="00E17813">
        <w:rPr>
          <w:rFonts w:hint="eastAsia"/>
        </w:rPr>
        <w:instrText>"}</w:instrText>
      </w:r>
      <w:r w:rsidR="00E17813">
        <w:instrText xml:space="preserve">],"issued":{"date-parts":[["2016"]]}},"label":"page"}],"schema":"https://github.com/citation-style-language/schema/raw/master/csl-citation.json"} </w:instrText>
      </w:r>
      <w:r>
        <w:fldChar w:fldCharType="separate"/>
      </w:r>
      <w:r w:rsidR="00E17813" w:rsidRPr="00E17813">
        <w:rPr>
          <w:rFonts w:cs="Times New Roman"/>
          <w:kern w:val="0"/>
          <w:vertAlign w:val="superscript"/>
        </w:rPr>
        <w:t>[85</w:t>
      </w:r>
      <w:r w:rsidR="00A60991">
        <w:rPr>
          <w:rFonts w:cs="Times New Roman" w:hint="eastAsia"/>
          <w:kern w:val="0"/>
          <w:vertAlign w:val="superscript"/>
        </w:rPr>
        <w:t>-</w:t>
      </w:r>
      <w:r w:rsidR="00E17813" w:rsidRPr="00E17813">
        <w:rPr>
          <w:rFonts w:cs="Times New Roman"/>
          <w:kern w:val="0"/>
          <w:vertAlign w:val="superscript"/>
        </w:rPr>
        <w:t>86]</w:t>
      </w:r>
      <w:r>
        <w:fldChar w:fldCharType="end"/>
      </w:r>
      <w:r>
        <w:t>。在施工环节，伙伴关系</w:t>
      </w:r>
      <w:r>
        <w:rPr>
          <w:rFonts w:hint="eastAsia"/>
        </w:rPr>
        <w:t>一方面有利于与当地居民构建相互信任、理解的合作关系，从而顺利推进征地移民工作</w:t>
      </w:r>
      <w:r w:rsidRPr="003769D0">
        <w:rPr>
          <w:highlight w:val="yellow"/>
        </w:rPr>
        <w:fldChar w:fldCharType="begin"/>
      </w:r>
      <w:r w:rsidR="00EB7246">
        <w:rPr>
          <w:highlight w:val="yellow"/>
        </w:rPr>
        <w:instrText xml:space="preserve"> ADDIN ZOTERO_ITEM CSL_CITATION {"citationID":"a1gup0e65gm","properties":{"formattedCitation":"\\super [4,38]\\nosupersub{}","plainCitation":"[4,38]","noteIndex":0},"citationItems":[{"id":3050,"uris":["http://zotero.org/users/13172592/items/GRM9JMJ9"],"itemData":{"id":3050,"type":"article-journal","abstract":"With increasing worldwide energy demand, many energy-related issues are growing, including global warming, energy sustainability, and environmental pollution. These challenges force nations to actively endorse renewable energy development policies. As a result, numerous renewable energy projects are executed around the globe, which are confronting various hurdles, causing failure for many of the current projects. This study, therefore, aims to suggest that community participation in planning and decisionmaking is an imperative mediator through which government support (GS) and organizational innovativeness (OI) can positively affect renewable project success. Data was collected through a survey from 650 respondents of the renewable energy projects in Pakistan, and hypotheses were proved by employing structural equation modeling (SEM). The ﬁndings show that GS and OI have a signiﬁcant positive impact on the CP and project success. Moreover, CP was realized to partially mediates these relationships. It is expected that the ﬁndings present guidelines for the government authorities so that they endeavor and make better policies for involving the community as a mediator in project planning and decision making for renewable energy projects.","call-number":"1","container-title":"Energy","DOI":"10.1016/j.energy.2021.122172","ISSN":"03605442","journalAbbreviation":"Energy","language":"en","page":"122172","source":"9","title":"The influence of government support, organizational innovativeness and community participation in renewable energy project success: A case of Pakistan","title-short":"The influence of government support, organizational innovativeness and community participation in renewable energy project success","volume":"239","author":[{"family":"Hussain","given":"Shahid"},{"family":"Xuetong","given":"Wang"},{"family":"Maqbool","given":"Rashid"},{"family":"Hussain","given":"Mustansar"},{"family":"Shahnawaz","given":"Muhammad"}],"issued":{"date-parts":[["2022",1]]}}},{"id":3701,"uris":["http://zotero.org/users/13172592/items/DIB9DINA"],"itemData":{"id":3701,"type":"article-journal","abstract":"The future of electriﬁcation of Africa lies within off-grid generation via renewable energy (RE). Although many RE projects have started across the Sub-Sahara, especially public projects are seldom successful. This study engages directly (ethnographically) with the local communities beneﬁtting or expected to beneﬁt from the projects, the implementing organizations and government.","call-number":"1","container-title":"Renewable Energy","DOI":"10.1016/j.renene.2016.10.037","ISSN":"09601481","journalAbbreviation":"Renewable Energy","language":"en","page":"234-240","source":"9","title":"The empirical reality &amp; sustainable management failures of renewable energy projects in Sub-Saharan Africa (part 1 of 2)","volume":"102","author":[{"family":"Ikejemba","given":"Eugene C.X."},{"family":"Mpuan","given":"Peter B."},{"family":"Schuur","given":"Peter C."},{"family":"Van Hillegersberg","given":"Jos"}],"issued":{"date-parts":[["2017",3]]}}}],"schema":"https://github.com/citation-style-language/schema/raw/master/csl-citation.json"} </w:instrText>
      </w:r>
      <w:r w:rsidRPr="003769D0">
        <w:rPr>
          <w:highlight w:val="yellow"/>
        </w:rPr>
        <w:fldChar w:fldCharType="separate"/>
      </w:r>
      <w:r w:rsidR="00EB7246" w:rsidRPr="00EB7246">
        <w:rPr>
          <w:rFonts w:cs="Times New Roman"/>
          <w:kern w:val="0"/>
          <w:vertAlign w:val="superscript"/>
        </w:rPr>
        <w:t>[4,38]</w:t>
      </w:r>
      <w:r w:rsidRPr="003769D0">
        <w:rPr>
          <w:highlight w:val="yellow"/>
        </w:rPr>
        <w:fldChar w:fldCharType="end"/>
      </w:r>
      <w:r>
        <w:rPr>
          <w:rFonts w:hint="eastAsia"/>
        </w:rPr>
        <w:t>；另一方面则能够提升</w:t>
      </w:r>
      <w:r w:rsidRPr="007C7241">
        <w:rPr>
          <w:rFonts w:hint="eastAsia"/>
        </w:rPr>
        <w:t>清洁能源基地</w:t>
      </w:r>
      <w:r>
        <w:rPr>
          <w:rFonts w:hint="eastAsia"/>
        </w:rPr>
        <w:t>各子项目的一体化施工</w:t>
      </w:r>
      <w:r>
        <w:t>组织</w:t>
      </w:r>
      <w:r>
        <w:rPr>
          <w:rFonts w:hint="eastAsia"/>
        </w:rPr>
        <w:t>设计水平</w:t>
      </w:r>
      <w:r>
        <w:t>，</w:t>
      </w:r>
      <w:r>
        <w:rPr>
          <w:rFonts w:hint="eastAsia"/>
        </w:rPr>
        <w:t>减少施工冲突，以提升</w:t>
      </w:r>
      <w:r>
        <w:t>进度、质量与安全</w:t>
      </w:r>
      <w:r>
        <w:rPr>
          <w:rFonts w:hint="eastAsia"/>
        </w:rPr>
        <w:t>管理水平</w:t>
      </w:r>
      <w:r>
        <w:fldChar w:fldCharType="begin"/>
      </w:r>
      <w:r w:rsidR="00E17813">
        <w:instrText xml:space="preserve"> ADDIN ZOTERO_ITEM CSL_CITATION {"citationID":"alhto23bk5","properties":{"formattedCitation":"\\super [77,87]\\nosupersub{}","plainCitation":"[77,87]","noteIndex":0},"citationItems":[{"id":168,"uris":["http://zotero.org/users/13172592/items/YXXHHZPX"],"itemData":{"id":168,"type":"article-journal","abstract":"The engineer–procure–construct (EPC) approach has been increasingly adopted in international markets, in which contractors need to have adequate capabilities in effectively dealing with a wide range of risks in a complex environment that consists of various stakeholders. Many researchers have embraced the strategy of partnering to integrate diverse project delivery activities by meeting the needs of all project participants. However, limited research has addressed the cause–effect relationships among partnering, risk management, and organizational capability on how performance improvements can be generated from them on a holistic view. This study systematically investigates the causal relationships among these themes by establishing and testing a conceptual model. With the support of data collected from Chinese contractors with experience in delivering EPC projects by questionnaire, interview, and a case study, the results provide empirical evidences on contractors' partnering application degree, strength, and weakness of organizational capabilities, overall picture of risk management, and project performance level, which form a sound basis for contractors' decision making during project implementation. This study further reveals that partnering can not only directly facilitate organizational capability and risk management but also exert its inﬂuence on risk management through enhanced organizational capability, thereby improving project performance. The above insights suggest research and practical emphases on combining risk management with partnering principles to assist in both intra- and inter-organizational activities, and contractors' appropriate linking with involved stakeholders to obtain necessary resources and effectively transfer them for successfully delivering international EPC projects.","container-title":"International Journal of Project Management","DOI":"10.1016/j.ijproman.2015.09.003","ISSN":"02637863","issue":"1","journalAbbreviation":"International Journal of Project Management","language":"en","page":"30-43","source":"DOI.org (Crossref)","title":"Enhancing engineer–procure–construct project performance by partnering in international markets: Perspective from Chinese construction companies","title-short":"Enhancing engineer–procure–construct project performance by partnering in international markets","volume":"34","author":[{"family":"Du","given":"Lei"},{"family":"Tang","given":"Wenzhe"},{"family":"Liu","given":"Chunna"},{"family":"Wang","given":"Shuli"},{"family":"Wang","given":"Tengfei"},{"family":"Shen","given":"Wenxin"},{"family":"Huang","given":"Min"},{"family":"Zhou","given":"Yongzhi"}],"issued":{"date-parts":[["2016",1]]}}},{"id":2561,"uris":["http://zotero.org/users/13172592/items/QQSV7RKS"],"itemData":{"id":2561,"type":"article-journal","abstract":"The engineering-procurement-construction (EPC) method is gaining more acceptance worldwide as a project delivery strategy due to the construction efficiencies gained through making one organization responsible for integration of the processes of design, procurement, and construction. Such EPC projects are not without their difficulties-for example, the time pressures frequently brought by overlapping design, procurement, and construction increase uncertainty and complexity in managing the multiple interfaces between different interacting stakeholders. This paper aims to quantitatively and systematically examine how trust, openness, and communication interrelate to improve interface management performance in international EPC projects. A conceptual model is developed and tested with data collected from a questionnaire survey and interviews. The path analysis demonstrates that trust not only can be directly conducive to interface management but also has a positive impact on interface management through enhanced interorganizational openness and communication. Social network analysis visualizes contractors' industrial relations and reveals different impacts of stakeholders in trust and interface networks of international EPC contractors. This study advances previous research by developing a systematic framework on the basis of trust for understanding and promoting interface management. Understanding the in-depth underlying interrelations of trust, openness, and communication can contribute to improving alignment between stakeholders and to appropriately applying interface management in practice. (C) 2017 American Society of Civil Engineers.","archive_location":"WOS:000416654400003","call-number":"2","container-title":"Journal of Construction Engineering and Management","DOI":"10.1061/(ASCE)CO.1943-7862.0001351","ISSN":"0733-9364","issue":"9","language":"en","page":"04017061","source":"5.1","title":"Enhancing trust-based interface management in international engineering-procurement-construction projects","volume":"143","author":[{"family":"Shen","given":"WX"},{"family":"Tang","given":"WZ"},{"family":"Wang","given":"SL"},{"family":"Duffield","given":"CF"},{"family":"Hui","given":"FKP"},{"family":"You","given":"RC"}],"issued":{"date-parts":[["2017"]]}}}],"schema":"https://github.com/citation-style-language/schema/raw/master/csl-citation.json"} </w:instrText>
      </w:r>
      <w:r>
        <w:fldChar w:fldCharType="separate"/>
      </w:r>
      <w:r w:rsidR="00E17813" w:rsidRPr="00E17813">
        <w:rPr>
          <w:rFonts w:cs="Times New Roman"/>
          <w:kern w:val="0"/>
          <w:vertAlign w:val="superscript"/>
        </w:rPr>
        <w:t>[77,87]</w:t>
      </w:r>
      <w:r>
        <w:fldChar w:fldCharType="end"/>
      </w:r>
      <w:r>
        <w:t>。</w:t>
      </w:r>
      <w:r>
        <w:rPr>
          <w:rFonts w:hint="eastAsia"/>
        </w:rPr>
        <w:t>基于此，提出假设</w:t>
      </w:r>
      <w:r>
        <w:rPr>
          <w:rFonts w:hint="eastAsia"/>
        </w:rPr>
        <w:t>10</w:t>
      </w:r>
      <w:r>
        <w:rPr>
          <w:rFonts w:hint="eastAsia"/>
        </w:rPr>
        <w:t>（</w:t>
      </w:r>
      <w:r>
        <w:rPr>
          <w:rFonts w:hint="eastAsia"/>
        </w:rPr>
        <w:t>H10</w:t>
      </w:r>
      <w:r>
        <w:rPr>
          <w:rFonts w:hint="eastAsia"/>
        </w:rPr>
        <w:t>）：</w:t>
      </w:r>
    </w:p>
    <w:p w14:paraId="6A9ECEF8" w14:textId="77777777" w:rsidR="00873BC4" w:rsidRPr="006D2BF0" w:rsidRDefault="00873BC4" w:rsidP="00873BC4">
      <w:pPr>
        <w:ind w:firstLine="422"/>
      </w:pPr>
      <w:r w:rsidRPr="00873BC4">
        <w:rPr>
          <w:rFonts w:hint="eastAsia"/>
          <w:b/>
          <w:bCs/>
        </w:rPr>
        <w:t>H10</w:t>
      </w:r>
      <w:r w:rsidRPr="00873BC4">
        <w:rPr>
          <w:rFonts w:hint="eastAsia"/>
          <w:b/>
          <w:bCs/>
        </w:rPr>
        <w:t>：</w:t>
      </w:r>
      <w:r>
        <w:rPr>
          <w:rFonts w:hint="eastAsia"/>
        </w:rPr>
        <w:t>清洁能源基地各方间良好的伙伴关系能够提升项目群实施水平。</w:t>
      </w:r>
    </w:p>
    <w:p w14:paraId="10DB0D8C" w14:textId="33F68FC1" w:rsidR="00873BC4" w:rsidRDefault="00873BC4" w:rsidP="00873BC4">
      <w:pPr>
        <w:pStyle w:val="3"/>
      </w:pPr>
      <w:bookmarkStart w:id="2" w:name="_Toc198492778"/>
      <w:r>
        <w:rPr>
          <w:rFonts w:hint="eastAsia"/>
        </w:rPr>
        <w:t>项目群运营</w:t>
      </w:r>
      <w:bookmarkEnd w:id="2"/>
    </w:p>
    <w:p w14:paraId="2D80EB75" w14:textId="4AAF5BDF" w:rsidR="00873BC4" w:rsidRDefault="00873BC4" w:rsidP="00C82022">
      <w:pPr>
        <w:ind w:firstLine="420"/>
        <w:rPr>
          <w:b/>
          <w:bCs/>
        </w:rPr>
      </w:pPr>
      <w:r w:rsidRPr="00270FBE">
        <w:rPr>
          <w:rFonts w:hint="eastAsia"/>
        </w:rPr>
        <w:t>项目群运营</w:t>
      </w:r>
      <w:r>
        <w:rPr>
          <w:rFonts w:hint="eastAsia"/>
        </w:rPr>
        <w:t>关注清洁能源基地</w:t>
      </w:r>
      <w:r w:rsidRPr="00270FBE">
        <w:rPr>
          <w:rFonts w:hint="eastAsia"/>
        </w:rPr>
        <w:t>的安全稳定运行与多能互补，</w:t>
      </w:r>
      <w:r>
        <w:rPr>
          <w:rFonts w:hint="eastAsia"/>
        </w:rPr>
        <w:t>旨在反映</w:t>
      </w:r>
      <w:r w:rsidRPr="00270FBE">
        <w:rPr>
          <w:rFonts w:hint="eastAsia"/>
        </w:rPr>
        <w:t>运营期的系统调度能力与收益保障水平。</w:t>
      </w:r>
    </w:p>
    <w:p w14:paraId="33470991" w14:textId="1C2AF41A" w:rsidR="00873BC4" w:rsidRDefault="00873BC4" w:rsidP="00873BC4">
      <w:pPr>
        <w:ind w:firstLine="420"/>
      </w:pPr>
      <w:r>
        <w:rPr>
          <w:rFonts w:hint="eastAsia"/>
        </w:rPr>
        <w:t>业主直接参与清洁能源基地运营，其项目群管理能力与清洁能源基地运营水平密切相关。首先，业主通过推动利益相关方间的沟通协作，可以确保各方在多能互补、并网运行及市场交易等环节紧密协作</w:t>
      </w:r>
      <w:r>
        <w:fldChar w:fldCharType="begin"/>
      </w:r>
      <w:r w:rsidR="00E17813">
        <w:instrText xml:space="preserve"> ADDIN ZOTERO_ITEM CSL_CITATION {"citationID":"a974dpdsg1","properties":{"formattedCitation":"\\super [82]\\nosupersub{}","plainCitation":"[82]","noteIndex":0},"citationItems":[{"id":2567,"uris":["http://zotero.org/users/13172592/items/ZTQJ2U5I"],"itemData":{"id":2567,"type":"article-journal","abstract":"Hydropower development involves managing a network of diverse stakeholders. Owners play a critical part in effectively cooperating and establishing inter-organizational linking with stakeholders to achieve multiple project objectives. According to the data which is from the construction industry of hydropower in China, the research aims to investigate the causal relationships between cooperation with stakeholders and inter-organizational linking systematically, together with their impacts on the owners' social capital by developing and testing a conceptual model. Path analysis confirms that cooperation with stakeholders cannot only directly improve owners' social capital but also exert its influence on social capital through enhancement of inter-organizational linking, thereby improving project performance and winning external supports for owners' long-term development. Social network analysis shows that, from the perspective of owners, project stakeholders are clearly grouped into four clusters related to project feasibility, implementation, procurement and resettlement of migrants. These clusters reflect stakeholder's different roles and connections with each other in hydropower development. Understanding the above in-depth underlying relationships is fundamental for improving multi-organizational dynamics research to a state of the art, and help project participants to appropriately adopt cooperative strategies for maximizing the effectiveness of each stakeholder's resources. (C) 2018 Elsevier Ltd. All rights reserved.","archive_location":"WOS:000449892900028","call-number":"1","container-title":"Renewable Energy","DOI":"10.1016/j.renene.2018.07.137","ISSN":"0960-1481","language":"en","page":"326-334","source":"8.7","title":"Understanding the social network of stakeholders in hydropower project development: An owners' view","volume":"132","author":[{"family":"Wang","given":"SL"},{"family":"Shen","given":"WX"},{"family":"Tang","given":"WZ"},{"family":"Wang","given":"YH"},{"family":"Duffield","given":"CF"},{"family":"Hui","given":"FKP"}],"issued":{"date-parts":[["2019",3]]}}}],"schema":"https://github.com/citation-style-language/schema/raw/master/csl-citation.json"} </w:instrText>
      </w:r>
      <w:r>
        <w:fldChar w:fldCharType="separate"/>
      </w:r>
      <w:r w:rsidR="00E17813" w:rsidRPr="00E17813">
        <w:rPr>
          <w:rFonts w:cs="Times New Roman"/>
          <w:kern w:val="0"/>
          <w:vertAlign w:val="superscript"/>
        </w:rPr>
        <w:t>[82]</w:t>
      </w:r>
      <w:r>
        <w:fldChar w:fldCharType="end"/>
      </w:r>
      <w:r>
        <w:rPr>
          <w:rFonts w:hint="eastAsia"/>
        </w:rPr>
        <w:t>。其次，业主通过应用物联网、大数据和人工智能等信息技术手段，可以实现对水风光储项目群实时运行状态的精准监测和调控</w:t>
      </w:r>
      <w:r>
        <w:fldChar w:fldCharType="begin"/>
      </w:r>
      <w:r w:rsidR="00E17813">
        <w:instrText xml:space="preserve"> ADDIN ZOTERO_ITEM CSL_CITATION {"citationID":"a8kpt7hp9b","properties":{"formattedCitation":"\\super [88]\\nosupersub{}","plainCitation":"[88]","noteIndex":0},"citationItems":[{"id":4131,"uris":["http://zotero.org/users/13172592/items/LMK8RV7L"],"itemData":{"id":4131,"type":"article-journal","abstract":"The global energy sector is currently undergoing a transformative shift mainly driven by the ongoing and increasing demand for clean, sustainable, and reliable energy solutions. However, integrating renewable energy sources (RES), such as wind, solar, and hydropower, introduces major challenges due to the intermittent and variable nature of RES, affecting grid stability and reliability. Hybrid energy storage systems (HESS), which combine multiple energy storage devices (ESDs), present a promising solution by leveraging the complementary strengths of each technology involved. This comprehensive review examines recent advancements in grid-connected HESS, focusing on their components, design considerations, control strategies, and applications. It provides a detailed analysis of technological progress in various ESDs and the critical role of power conversion, control, energy management, and cooling systems in optimizing HESS performance. Highlighting case studies of some notable and successful HESS implementations across the globe, we illustrate practical applications and identify the benefits and challenges encountered. By addressing these challenges, HESS can significantly enhance the efficiency and reliability of RES, supporting the shift towards a sustainable and resilient energy infrastructure. The paper concludes by identifying future research directions, highlighting the development of intelligent control systems, sustainable materials, and efficient recycling processes to ensure the widespread adoption and long-term viability of HESS.","container-title":"Sustainable Energy Research","DOI":"10.1186/s40807-024-00120-4","ISSN":"2731-9237","issue":"1","journalAbbreviation":"Sustainable Energy res.","language":"en","license":"2024 This is a U.S. Government work and not under copyright protection in the US; foreign copyright protection may apply","note":"number: 1\npublisher: SpringerOpen","page":"1-23","source":"link.springer.com","title":"Advancements in hybrid energy storage systems for enhancing renewable energy-to-grid integration","volume":"11","author":[{"family":"Adeyinka","given":"Adekanmi Miracle"},{"family":"Esan","given":"Oladapo Christopher"},{"family":"Ijaola","given":"Ahmed Olanrewaju"},{"family":"Farayibi","given":"Peter Kayode"}],"issued":{"date-parts":[["2024",12]]}}}],"schema":"https://github.com/citation-style-language/schema/raw/master/csl-citation.json"} </w:instrText>
      </w:r>
      <w:r>
        <w:fldChar w:fldCharType="separate"/>
      </w:r>
      <w:r w:rsidR="00E17813" w:rsidRPr="00E17813">
        <w:rPr>
          <w:rFonts w:cs="Times New Roman"/>
          <w:kern w:val="0"/>
          <w:vertAlign w:val="superscript"/>
        </w:rPr>
        <w:t>[88]</w:t>
      </w:r>
      <w:r>
        <w:fldChar w:fldCharType="end"/>
      </w:r>
      <w:r>
        <w:rPr>
          <w:rFonts w:hint="eastAsia"/>
        </w:rPr>
        <w:t>。清洁能源基地运营面临政策环境变动、清洁能源出力不稳定、负荷波动等不确定性，业主的动态管理能力能够及时感知其动态变化，并对运行机制、电力市场交易策略做出调整</w:t>
      </w:r>
      <w:r>
        <w:fldChar w:fldCharType="begin"/>
      </w:r>
      <w:r w:rsidR="00E17813">
        <w:instrText xml:space="preserve"> ADDIN ZOTERO_ITEM CSL_CITATION {"citationID":"aga5nh38jb","properties":{"formattedCitation":"\\super [47,83]\\nosupersub{}","plainCitation":"[47,83]","noteIndex":0},"citationItems":[{"id":2359,"uris":["http://zotero.org/users/13172592/items/H5TTPQC4"],"itemData":{"id":2359,"type":"article-journal","abstract":"Purpose – Currently, many studies have shown an increasing interest in owner-dynamic capabilities (ODCs). Existing studies mainly focus on the dynamic capability basis and capability development within the owner organization, whereas they rarely analyze the capability mobilization within the network of participants in megaprojects. Therefore, this study aims to explain the interaction and evolution of the mobilization strategies of ODCs and the cooperative strategies of other participants.","container-title":"Engineering, Construction and Architectural Management","DOI":"10.1108/ECAM-04-2023-0323","ISSN":"0969-9988","issue":"3","journalAbbreviation":"ECAM","language":"en","license":"https://www.emerald.com/insight/site-policies","page":"1478-1498","source":"DOI.org (Crossref)","title":"How to mobilize owner-dynamic capabilities in megaprojects? A tripartite evolutionary game approach","title-short":"How to mobilize owner-dynamic capabilities in megaprojects?","volume":"32","author":[{"family":"Tian","given":"Zidan"},{"family":"He","given":"Qinghua"},{"family":"Wang","given":"Ting"}],"issued":{"date-parts":[["2023"]]}}},{"id":2700,"uris":["http://zotero.org/users/13172592/items/UYEBYSJ7"],"itemData":{"id":2700,"type":"article-journal","abstract":"AbstractExisting studies tend to agree that there are links between owners’ capabilities and\nproject performance. However, limited research has systematically addressed the relationships\namong the multiple facets of organizational capabilities and project ...","archive_location":"world","call-number":"2","container-title":"Journal of Construction Engineering and Management","DOI":"10.1061/(ASCE)CO.1943-7862.0000694","ISSN":"1943-7862","issue":"9","language":"en","license":"© 2013 American Society of Civil Engineers","note":"publisher: American Society of Civil Engineers","page":"1168-1178","source":"4.1","title":"Relationship between owners’ capabilities and project performance on development of hydropower projects in China","volume":"139","author":[{"family":"Wang","given":"Shuli"},{"family":"Tang","given":"Wenzhe"},{"family":"Li","given":"Yuxuan"}],"issued":{"date-parts":[["2013",9,1]]}}}],"schema":"https://github.com/citation-style-language/schema/raw/master/csl-citation.json"} </w:instrText>
      </w:r>
      <w:r>
        <w:fldChar w:fldCharType="separate"/>
      </w:r>
      <w:r w:rsidR="00E17813" w:rsidRPr="00E17813">
        <w:rPr>
          <w:rFonts w:cs="Times New Roman"/>
          <w:kern w:val="0"/>
          <w:vertAlign w:val="superscript"/>
        </w:rPr>
        <w:t>[47,83]</w:t>
      </w:r>
      <w:r>
        <w:fldChar w:fldCharType="end"/>
      </w:r>
      <w:r>
        <w:rPr>
          <w:rFonts w:hint="eastAsia"/>
        </w:rPr>
        <w:t>；此外，也有助于</w:t>
      </w:r>
      <w:r>
        <w:t>引入</w:t>
      </w:r>
      <w:r>
        <w:rPr>
          <w:rFonts w:hint="eastAsia"/>
        </w:rPr>
        <w:t>前沿技术，开展技术创新，以提升清洁能源基地运营的稳定性、安全性与抗风险能力</w:t>
      </w:r>
      <w:r>
        <w:fldChar w:fldCharType="begin"/>
      </w:r>
      <w:r w:rsidR="00E17813">
        <w:instrText xml:space="preserve"> ADDIN ZOTERO_ITEM CSL_CITATION {"citationID":"aur4h0e17q","properties":{"formattedCitation":"\\super [53,89]\\nosupersub{}","plainCitation":"[53,89]","noteIndex":0},"citationItems":[{"id":3803,"uris":["http://zotero.org/users/13172592/items/YTLSDMGW"],"i</w:instrText>
      </w:r>
      <w:r w:rsidR="00E17813">
        <w:rPr>
          <w:rFonts w:hint="eastAsia"/>
        </w:rPr>
        <w:instrText>temData":{"id":3803,"type":"thesis","event-place":"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价值共创视角下水利水电工程设计管理研究</w:instrText>
      </w:r>
      <w:r w:rsidR="00E17813">
        <w:rPr>
          <w:rFonts w:hint="eastAsia"/>
        </w:rPr>
        <w:instrText>","author":[{"family":"</w:instrText>
      </w:r>
      <w:r w:rsidR="00E17813">
        <w:rPr>
          <w:rFonts w:hint="eastAsia"/>
        </w:rPr>
        <w:instrText>刘</w:instrText>
      </w:r>
      <w:r w:rsidR="00E17813">
        <w:rPr>
          <w:rFonts w:hint="eastAsia"/>
        </w:rPr>
        <w:instrText>","given":"</w:instrText>
      </w:r>
      <w:r w:rsidR="00E17813">
        <w:rPr>
          <w:rFonts w:hint="eastAsia"/>
        </w:rPr>
        <w:instrText>扬</w:instrText>
      </w:r>
      <w:r w:rsidR="00E17813">
        <w:rPr>
          <w:rFonts w:hint="eastAsia"/>
        </w:rPr>
        <w:instrText>"}],"issued":{"date-parts":[["2023"]]}}},{"id":3640,"uris":["http://zotero.org/users/13172592/items/SEDG4LIJ"],"itemData":{"id":3640,"type":"thesis","event-place":"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工程建设企业创新机理研究</w:instrText>
      </w:r>
      <w:r w:rsidR="00E17813">
        <w:rPr>
          <w:rFonts w:hint="eastAsia"/>
        </w:rPr>
        <w:instrText>","author":[{"family":"</w:instrText>
      </w:r>
      <w:r w:rsidR="00E17813">
        <w:rPr>
          <w:rFonts w:hint="eastAsia"/>
        </w:rPr>
        <w:instrText>张</w:instrText>
      </w:r>
      <w:r w:rsidR="00E17813">
        <w:rPr>
          <w:rFonts w:hint="eastAsia"/>
        </w:rPr>
        <w:instrText>","given":"</w:instrText>
      </w:r>
      <w:r w:rsidR="00E17813">
        <w:rPr>
          <w:rFonts w:hint="eastAsia"/>
        </w:rPr>
        <w:instrText>旭腾</w:instrText>
      </w:r>
      <w:r w:rsidR="00E17813">
        <w:rPr>
          <w:rFonts w:hint="eastAsia"/>
        </w:rPr>
        <w:instrText>"}],"issued":{"date-parts":[["2022"]]}}}],"schema":"https://github.com/citation-s</w:instrText>
      </w:r>
      <w:r w:rsidR="00E17813">
        <w:instrText xml:space="preserve">tyle-language/schema/raw/master/csl-citation.json"} </w:instrText>
      </w:r>
      <w:r>
        <w:fldChar w:fldCharType="separate"/>
      </w:r>
      <w:r w:rsidR="00E17813" w:rsidRPr="00E17813">
        <w:rPr>
          <w:rFonts w:cs="Times New Roman"/>
          <w:kern w:val="0"/>
          <w:vertAlign w:val="superscript"/>
        </w:rPr>
        <w:t>[53,89]</w:t>
      </w:r>
      <w:r>
        <w:fldChar w:fldCharType="end"/>
      </w:r>
      <w:r>
        <w:rPr>
          <w:rFonts w:hint="eastAsia"/>
        </w:rPr>
        <w:t>。基于此，提出假设</w:t>
      </w:r>
      <w:r>
        <w:rPr>
          <w:rFonts w:hint="eastAsia"/>
        </w:rPr>
        <w:t>11</w:t>
      </w:r>
      <w:r>
        <w:rPr>
          <w:rFonts w:hint="eastAsia"/>
        </w:rPr>
        <w:t>（</w:t>
      </w:r>
      <w:r>
        <w:rPr>
          <w:rFonts w:hint="eastAsia"/>
        </w:rPr>
        <w:t>H11</w:t>
      </w:r>
      <w:r>
        <w:rPr>
          <w:rFonts w:hint="eastAsia"/>
        </w:rPr>
        <w:t>）：</w:t>
      </w:r>
    </w:p>
    <w:p w14:paraId="4746DA57" w14:textId="77777777" w:rsidR="00873BC4" w:rsidRPr="00140912" w:rsidRDefault="00873BC4" w:rsidP="00873BC4">
      <w:pPr>
        <w:ind w:firstLine="422"/>
      </w:pPr>
      <w:r w:rsidRPr="00873BC4">
        <w:rPr>
          <w:rFonts w:hint="eastAsia"/>
          <w:b/>
          <w:bCs/>
        </w:rPr>
        <w:t>H11</w:t>
      </w:r>
      <w:r w:rsidRPr="00873BC4">
        <w:rPr>
          <w:rFonts w:hint="eastAsia"/>
          <w:b/>
          <w:bCs/>
        </w:rPr>
        <w:t>：</w:t>
      </w:r>
      <w:r>
        <w:rPr>
          <w:rFonts w:hint="eastAsia"/>
        </w:rPr>
        <w:t>清洁能源基地良好的业主项目群管理能力能够提升项目群运营水平。</w:t>
      </w:r>
    </w:p>
    <w:p w14:paraId="04330D35" w14:textId="4FCC1CE9" w:rsidR="00873BC4" w:rsidRDefault="00873BC4" w:rsidP="00873BC4">
      <w:pPr>
        <w:ind w:firstLine="420"/>
      </w:pPr>
      <w:r>
        <w:t>人力、材料、资金和设备的及时供应是</w:t>
      </w:r>
      <w:r>
        <w:rPr>
          <w:rFonts w:hint="eastAsia"/>
        </w:rPr>
        <w:t>电站</w:t>
      </w:r>
      <w:r>
        <w:t>安全稳定运行的基本保障</w:t>
      </w:r>
      <w:r>
        <w:rPr>
          <w:rFonts w:hint="eastAsia"/>
        </w:rPr>
        <w:t>。例如，专业的运营与检修人员能够保障</w:t>
      </w:r>
      <w:r>
        <w:t>电站</w:t>
      </w:r>
      <w:r>
        <w:rPr>
          <w:rFonts w:hint="eastAsia"/>
        </w:rPr>
        <w:t>的</w:t>
      </w:r>
      <w:r>
        <w:t>日常运维，高质量的设备有助于提升系统可靠性。</w:t>
      </w:r>
      <w:r>
        <w:rPr>
          <w:rFonts w:hint="eastAsia"/>
        </w:rPr>
        <w:t>及时供应高质量的水轮机、</w:t>
      </w:r>
      <w:r w:rsidRPr="003525D8">
        <w:rPr>
          <w:rFonts w:hint="eastAsia"/>
        </w:rPr>
        <w:t>光伏组件、风机</w:t>
      </w:r>
      <w:r>
        <w:rPr>
          <w:rFonts w:hint="eastAsia"/>
        </w:rPr>
        <w:t>等设备，也是多能互补系统建立的基础。</w:t>
      </w:r>
      <w:r w:rsidRPr="00680A25">
        <w:rPr>
          <w:rFonts w:hint="eastAsia"/>
        </w:rPr>
        <w:t>运营过程中</w:t>
      </w:r>
      <w:r>
        <w:rPr>
          <w:rFonts w:hint="eastAsia"/>
        </w:rPr>
        <w:t>，</w:t>
      </w:r>
      <w:r w:rsidRPr="00680A25">
        <w:rPr>
          <w:rFonts w:hint="eastAsia"/>
        </w:rPr>
        <w:t>及时获取</w:t>
      </w:r>
      <w:r>
        <w:rPr>
          <w:rFonts w:hint="eastAsia"/>
        </w:rPr>
        <w:t>并共享</w:t>
      </w:r>
      <w:r w:rsidRPr="00680A25">
        <w:rPr>
          <w:rFonts w:hint="eastAsia"/>
        </w:rPr>
        <w:t>负荷信息及各电站出力信息</w:t>
      </w:r>
      <w:r>
        <w:rPr>
          <w:rFonts w:hint="eastAsia"/>
        </w:rPr>
        <w:t>，对优化调度策略、实现源网荷储一体化至关重要</w:t>
      </w:r>
      <w:r>
        <w:fldChar w:fldCharType="begin"/>
      </w:r>
      <w:r w:rsidR="00E17813">
        <w:instrText xml:space="preserve"> ADDIN ZOTERO_ITEM CSL_CITATION {"citationID":"vbU4Y8mQ","properties":{"formattedCitation":"\\super [90]\\nosupersub{}","plainCitation":"[90]","noteIndex":0},"citationItems":[{"id":3336,"uris":["http://zotero.org/users/13172592/items/MVH4U9UB"],"itemData":{"id":3336,"type":"article-journal","abstract":"In the past two decades, clean energy such as hydro, wind, and solar power has achieved signiﬁcant development under the “green recovery” global goal, and it may become the key method for countries to realize a low-carbon energy system. Here, the development of renewable energy power generation, the typical hydro-wind-photovoltaic complementary practical project, is summarized, and some key problems in complementary systems such as the description and prediction of the power generation law in large-scale stations, risk management, and coordinated operation are analyzed. In terms of these problems, this paper systematically summarizes the research methods and characteristics of a hydro-wind-solar hybrid system and expounds upon the technical realization process from the prediction and description of wind and solar power station cluster output, the risks brought about by large-scale renewable energy grid-connected operation, and the long-term and short-term coordination modeling and resolution thoughts on the hydro-wind-solar hybrid system in cluster mode. Finally, based on the aforementioned analysis, the existing research gaps are discussed from the standpoints of generation forecast, risk management, and cluster scheduling, and the future work outlook is presented accordingly. A hybrid system that combines hydro, wind, and solar energy is emerging as a way to make up for each other’s shortcomings and will be a fruitful area of study in the future.","call-number":"4","container-title":"Energies","DOI":"10.3390/en15228747","ISSN":"1996-1073","issue":"22","journalAbbreviation":"Energies","language":"en","license":"https://creativecommons.org/licenses/by/4.0/","page":"8747","source":"3","title":"Power generation scheduling for a hydro-wind-solar hybrid system: A systematic survey and prospect","title-short":"Power generation scheduling for a hydro-wind-solar hybrid system","volume":"15","author":[{"family":"Chen","given":"Chaoyang"},{"family":"Liu","given":"Hualing"},{"family":"Xiao","given":"Yong"},{"family":"Zhu","given":"Fagen"},{"family":"Ding","given":"Li"},{"family":"Yang","given":"Fuwen"}],"issued":{"date-parts":[["2022",11,21]]}}}],"schema":"https://github.com/citation-style-language/schema/raw/master/csl-citation.json"} </w:instrText>
      </w:r>
      <w:r>
        <w:fldChar w:fldCharType="separate"/>
      </w:r>
      <w:r w:rsidR="00E17813" w:rsidRPr="00E17813">
        <w:rPr>
          <w:rFonts w:cs="Times New Roman"/>
          <w:kern w:val="0"/>
          <w:vertAlign w:val="superscript"/>
        </w:rPr>
        <w:t>[90]</w:t>
      </w:r>
      <w:r>
        <w:fldChar w:fldCharType="end"/>
      </w:r>
      <w:r w:rsidRPr="00680A25">
        <w:rPr>
          <w:rFonts w:hint="eastAsia"/>
        </w:rPr>
        <w:t>。</w:t>
      </w:r>
      <w:r>
        <w:rPr>
          <w:rFonts w:hint="eastAsia"/>
        </w:rPr>
        <w:t>风、光出力的不稳定性是目前清洁能源基地运行、并网所面临的重大挑战</w:t>
      </w:r>
      <w:r>
        <w:fldChar w:fldCharType="begin"/>
      </w:r>
      <w:r w:rsidR="00E17813">
        <w:instrText xml:space="preserve"> ADDIN ZOTERO_ITEM CSL_CITATION {"citationID":"a268m3f6u7q","properties":{"formattedCitation":"\\super [91]\\nosupersub{}","plainCitation":"[91]","noteIndex":0},"citationItems":[{"id":2208,"uris":["http://zotero.org/users/13172592/items/MJALXRQ9"],"itemDa</w:instrText>
      </w:r>
      <w:r w:rsidR="00E17813">
        <w:rPr>
          <w:rFonts w:hint="eastAsia"/>
        </w:rPr>
        <w:instrText>ta":{"id":2208,"type":"article-journal","abstract":"</w:instrText>
      </w:r>
      <w:r w:rsidR="00E17813">
        <w:rPr>
          <w:rFonts w:hint="eastAsia"/>
        </w:rPr>
        <w:instrText>高比例可再生能源并网将改变电力系统的形态</w:instrText>
      </w:r>
      <w:r w:rsidR="00E17813">
        <w:rPr>
          <w:rFonts w:hint="eastAsia"/>
        </w:rPr>
        <w:instrText>,</w:instrText>
      </w:r>
      <w:r w:rsidR="00E17813">
        <w:rPr>
          <w:rFonts w:hint="eastAsia"/>
        </w:rPr>
        <w:instrText>为电力系统稳定控制、调度运行和规划决策等领域带来重大变革。文中基于不同可再生能源渗透率水平下系统的发展特点</w:instrText>
      </w:r>
      <w:r w:rsidR="00E17813">
        <w:rPr>
          <w:rFonts w:hint="eastAsia"/>
        </w:rPr>
        <w:instrText>,</w:instrText>
      </w:r>
      <w:r w:rsidR="00E17813">
        <w:rPr>
          <w:rFonts w:hint="eastAsia"/>
        </w:rPr>
        <w:instrText>将未来电力系统迈向高比例可再生能源的过程分为三大阶段并总结了各个阶段的特征。结合这一领域的研究成果</w:instrText>
      </w:r>
      <w:r w:rsidR="00E17813">
        <w:rPr>
          <w:rFonts w:hint="eastAsia"/>
        </w:rPr>
        <w:instrText>,</w:instrText>
      </w:r>
      <w:r w:rsidR="00E17813">
        <w:rPr>
          <w:rFonts w:hint="eastAsia"/>
        </w:rPr>
        <w:instrText>全面解析了高比例可再生能源电力系统发展过程中将出现的挑战</w:instrText>
      </w:r>
      <w:r w:rsidR="00E17813">
        <w:rPr>
          <w:rFonts w:hint="eastAsia"/>
        </w:rPr>
        <w:instrText>,</w:instrText>
      </w:r>
      <w:r w:rsidR="00E17813">
        <w:rPr>
          <w:rFonts w:hint="eastAsia"/>
        </w:rPr>
        <w:instrText>分析了电力系统消纳高比例可再生能源的一系列技术解决方案</w:instrText>
      </w:r>
      <w:r w:rsidR="00E17813">
        <w:rPr>
          <w:rFonts w:hint="eastAsia"/>
        </w:rPr>
        <w:instrText>,</w:instrText>
      </w:r>
      <w:r w:rsidR="00E17813">
        <w:rPr>
          <w:rFonts w:hint="eastAsia"/>
        </w:rPr>
        <w:instrText>对各项技术的基本原理、经济成本与发展前景进行了分析和比较。研究表明</w:instrText>
      </w:r>
      <w:r w:rsidR="00E17813">
        <w:rPr>
          <w:rFonts w:hint="eastAsia"/>
        </w:rPr>
        <w:instrText>,</w:instrText>
      </w:r>
      <w:r w:rsidR="00E17813">
        <w:rPr>
          <w:rFonts w:hint="eastAsia"/>
        </w:rPr>
        <w:instrText>高比例可再生能源并网将面临一系列技术挑战</w:instrText>
      </w:r>
      <w:r w:rsidR="00E17813">
        <w:rPr>
          <w:rFonts w:hint="eastAsia"/>
        </w:rPr>
        <w:instrText>,</w:instrText>
      </w:r>
      <w:r w:rsidR="00E17813">
        <w:rPr>
          <w:rFonts w:hint="eastAsia"/>
        </w:rPr>
        <w:instrText>而每项关键技术仅能解决其中一部分问题。这些技术在未来高比例可再生能源电力系统中的应用不仅取决于其技术有效性</w:instrText>
      </w:r>
      <w:r w:rsidR="00E17813">
        <w:rPr>
          <w:rFonts w:hint="eastAsia"/>
        </w:rPr>
        <w:instrText>,</w:instrText>
      </w:r>
      <w:r w:rsidR="00E17813">
        <w:rPr>
          <w:rFonts w:hint="eastAsia"/>
        </w:rPr>
        <w:instrText>还取决于其经济性以及与其他技术的互补性。中国未来实现高比例可再生能源电力系统的形态与发展路径取决于各项关键技术的相对发展步伐及其耦合影响。</w:instrText>
      </w:r>
      <w:r w:rsidR="00E17813">
        <w:rPr>
          <w:rFonts w:hint="eastAsia"/>
        </w:rPr>
        <w:instrText>","archive_location":"CNKI","container-title":"</w:instrText>
      </w:r>
      <w:r w:rsidR="00E17813">
        <w:rPr>
          <w:rFonts w:hint="eastAsia"/>
        </w:rPr>
        <w:instrText>电力系统自动化</w:instrText>
      </w:r>
      <w:r w:rsidR="00E17813">
        <w:rPr>
          <w:rFonts w:hint="eastAsia"/>
        </w:rPr>
        <w:instrText>","issue":"9","note":"ISBN: 1000-1026","page":"171-191","title":"</w:instrText>
      </w:r>
      <w:r w:rsidR="00E17813">
        <w:rPr>
          <w:rFonts w:hint="eastAsia"/>
        </w:rPr>
        <w:instrText>高比例可再生能源电力系统关键技术及发展挑战</w:instrText>
      </w:r>
      <w:r w:rsidR="00E17813">
        <w:rPr>
          <w:rFonts w:hint="eastAsia"/>
        </w:rPr>
        <w:instrText>","volume":"45","author":[{"family":"</w:instrText>
      </w:r>
      <w:r w:rsidR="00E17813">
        <w:rPr>
          <w:rFonts w:hint="eastAsia"/>
        </w:rPr>
        <w:instrText>卓振宇</w:instrText>
      </w:r>
      <w:r w:rsidR="00E17813">
        <w:rPr>
          <w:rFonts w:hint="eastAsia"/>
        </w:rPr>
        <w:instrText>","given":""},{"family":"</w:instrText>
      </w:r>
      <w:r w:rsidR="00E17813">
        <w:rPr>
          <w:rFonts w:hint="eastAsia"/>
        </w:rPr>
        <w:instrText>张宁</w:instrText>
      </w:r>
      <w:r w:rsidR="00E17813">
        <w:rPr>
          <w:rFonts w:hint="eastAsia"/>
        </w:rPr>
        <w:instrText>","given":""},{"family":"</w:instrText>
      </w:r>
      <w:r w:rsidR="00E17813">
        <w:rPr>
          <w:rFonts w:hint="eastAsia"/>
        </w:rPr>
        <w:instrText>谢小荣</w:instrText>
      </w:r>
      <w:r w:rsidR="00E17813">
        <w:rPr>
          <w:rFonts w:hint="eastAsia"/>
        </w:rPr>
        <w:instrText>","given":""},{"family":"</w:instrText>
      </w:r>
      <w:r w:rsidR="00E17813">
        <w:rPr>
          <w:rFonts w:hint="eastAsia"/>
        </w:rPr>
        <w:instrText>李浩志</w:instrText>
      </w:r>
      <w:r w:rsidR="00E17813">
        <w:rPr>
          <w:rFonts w:hint="eastAsia"/>
        </w:rPr>
        <w:instrText>","given":""},{"family":"</w:instrText>
      </w:r>
      <w:r w:rsidR="00E17813">
        <w:rPr>
          <w:rFonts w:hint="eastAsia"/>
        </w:rPr>
        <w:instrText>康重庆</w:instrText>
      </w:r>
      <w:r w:rsidR="00E17813">
        <w:rPr>
          <w:rFonts w:hint="eastAsia"/>
        </w:rPr>
        <w:instrText>","given":""}],"issued":{"date-parts":[["2021"]]}}}],"schema":</w:instrText>
      </w:r>
      <w:r w:rsidR="00E17813">
        <w:instrText xml:space="preserve">"https://github.com/citation-style-language/schema/raw/master/csl-citation.json"} </w:instrText>
      </w:r>
      <w:r>
        <w:fldChar w:fldCharType="separate"/>
      </w:r>
      <w:r w:rsidR="00E17813" w:rsidRPr="00E17813">
        <w:rPr>
          <w:rFonts w:cs="Times New Roman"/>
          <w:kern w:val="0"/>
          <w:vertAlign w:val="superscript"/>
        </w:rPr>
        <w:t>[91]</w:t>
      </w:r>
      <w:r>
        <w:fldChar w:fldCharType="end"/>
      </w:r>
      <w:r>
        <w:rPr>
          <w:rFonts w:hint="eastAsia"/>
        </w:rPr>
        <w:t>。</w:t>
      </w:r>
      <w:r>
        <w:t>通过引入外部</w:t>
      </w:r>
      <w:r>
        <w:rPr>
          <w:rFonts w:hint="eastAsia"/>
        </w:rPr>
        <w:t>专家，</w:t>
      </w:r>
      <w:r>
        <w:t>对多能互补及智慧电网建设</w:t>
      </w:r>
      <w:r>
        <w:rPr>
          <w:rFonts w:hint="eastAsia"/>
        </w:rPr>
        <w:t>提供</w:t>
      </w:r>
      <w:r>
        <w:t>技术支持</w:t>
      </w:r>
      <w:r>
        <w:rPr>
          <w:rFonts w:hint="eastAsia"/>
        </w:rPr>
        <w:t>，有助于实现</w:t>
      </w:r>
      <w:r>
        <w:t>清洁能源基地</w:t>
      </w:r>
      <w:r>
        <w:rPr>
          <w:rFonts w:hint="eastAsia"/>
        </w:rPr>
        <w:t>的</w:t>
      </w:r>
      <w:r>
        <w:t>智能化运营</w:t>
      </w:r>
      <w:r>
        <w:fldChar w:fldCharType="begin"/>
      </w:r>
      <w:r w:rsidR="00EB7246">
        <w:instrText xml:space="preserve"> ADDIN ZOTERO_ITEM CSL_CITATION {"citationID":"fLTglKCq","properties":{"formattedCitation":"\\super [38]\\nosupersub{}","plainCitation":"[38]","noteIndex":0},"citationItems":[{"id":3050,"uris":["http://zotero.org/users/13172592/items/GRM9JMJ9"],"itemData":{"id":3050,"type":"article-journal","abstract":"With increasing worldwide energy demand, many energy-related issues are growing, including global warming, energy sustainability, and environmental pollution. These challenges force nations to actively endorse renewable energy development policies. As a result, numerous renewable energy projects are executed around the globe, which are confronting various hurdles, causing failure for many of the current projects. This study, therefore, aims to suggest that community participation in planning and decisionmaking is an imperative mediator through which government support (GS) and organizational innovativeness (OI) can positively affect renewable project success. Data was collected through a survey from 650 respondents of the renewable energy projects in Pakistan, and hypotheses were proved by employing structural equation modeling (SEM). The ﬁndings show that GS and OI have a signiﬁcant positive impact on the CP and project success. Moreover, CP was realized to partially mediates these relationships. It is expected that the ﬁndings present guidelines for the government authorities so that they endeavor and make better policies for involving the community as a mediator in project planning and decision making for renewable energy projects.","call-number":"1","container-title":"Energy","DOI":"10.1016/j.energy.2021.122172","ISSN":"03605442","journalAbbreviation":"Energy","language":"en","page":"122172","source":"9","title":"The influence of government support, organizational innovativeness and community participation in renewable energy project success: A case of Pakistan","title-short":"The influence of government support, organizational innovativeness and community participation in renewable energy project success","volume":"239","author":[{"family":"Hussain","given":"Shahid"},{"family":"Xuetong","given":"Wang"},{"family":"Maqbool","given":"Rashid"},{"family":"Hussain","given":"Mustansar"},{"family":"Shahnawaz","given":"Muhammad"}],"issued":{"date-parts":[["2022",1]]}}}],"schema":"https://github.com/citation-style-language/schema/raw/master/csl-citation.json"} </w:instrText>
      </w:r>
      <w:r>
        <w:fldChar w:fldCharType="separate"/>
      </w:r>
      <w:r w:rsidR="00EB7246" w:rsidRPr="00EB7246">
        <w:rPr>
          <w:rFonts w:cs="Times New Roman"/>
          <w:kern w:val="0"/>
          <w:vertAlign w:val="superscript"/>
        </w:rPr>
        <w:t>[38]</w:t>
      </w:r>
      <w:r>
        <w:fldChar w:fldCharType="end"/>
      </w:r>
      <w:r>
        <w:rPr>
          <w:rFonts w:hint="eastAsia"/>
        </w:rPr>
        <w:t>。基于此，提出假设</w:t>
      </w:r>
      <w:r>
        <w:rPr>
          <w:rFonts w:hint="eastAsia"/>
        </w:rPr>
        <w:t>12</w:t>
      </w:r>
      <w:r>
        <w:rPr>
          <w:rFonts w:hint="eastAsia"/>
        </w:rPr>
        <w:t>（</w:t>
      </w:r>
      <w:r>
        <w:rPr>
          <w:rFonts w:hint="eastAsia"/>
        </w:rPr>
        <w:t>H12</w:t>
      </w:r>
      <w:r>
        <w:rPr>
          <w:rFonts w:hint="eastAsia"/>
        </w:rPr>
        <w:t>）：</w:t>
      </w:r>
    </w:p>
    <w:p w14:paraId="358E5650" w14:textId="77777777" w:rsidR="00873BC4" w:rsidRPr="006D2BF0" w:rsidRDefault="00873BC4" w:rsidP="00873BC4">
      <w:pPr>
        <w:ind w:firstLine="422"/>
      </w:pPr>
      <w:r w:rsidRPr="00873BC4">
        <w:rPr>
          <w:rFonts w:hint="eastAsia"/>
          <w:b/>
          <w:bCs/>
        </w:rPr>
        <w:t>H12</w:t>
      </w:r>
      <w:r w:rsidRPr="00873BC4">
        <w:rPr>
          <w:rFonts w:hint="eastAsia"/>
          <w:b/>
          <w:bCs/>
        </w:rPr>
        <w:t>：</w:t>
      </w:r>
      <w:r>
        <w:rPr>
          <w:rFonts w:hint="eastAsia"/>
        </w:rPr>
        <w:t>清洁能源基地合理的资源配置能够提升项目群运营水平。</w:t>
      </w:r>
    </w:p>
    <w:p w14:paraId="30920D69" w14:textId="43373D7B" w:rsidR="00873BC4" w:rsidRDefault="00873BC4" w:rsidP="00873BC4">
      <w:pPr>
        <w:ind w:firstLine="420"/>
      </w:pPr>
      <w:r>
        <w:t>清洁能源基地的运营涉及</w:t>
      </w:r>
      <w:r>
        <w:rPr>
          <w:rFonts w:hint="eastAsia"/>
        </w:rPr>
        <w:t>各子项目的运行单位、</w:t>
      </w:r>
      <w:r>
        <w:t>政府部门、电网公司、用电户等多个利益相关方</w:t>
      </w:r>
      <w:r>
        <w:fldChar w:fldCharType="begin"/>
      </w:r>
      <w:r w:rsidR="00E17813">
        <w:instrText xml:space="preserve"> ADDIN ZOTERO_ITEM CSL_CITATION {"citationID":"a56hleo5gj","properties":{"formattedCitation":"\\super [82,92]\\nosupersub{}","plainCitation":"[82,92]","noteIndex":0},"citationItems":[{"id":4120,"uris":["http://zotero.org/users/13172592/items/7D9MT7KX"],"itemData":{"id":4120,"type":"article-journal","abstract":"Public opposition is one of the main political, and less predictable, risks of large-scale energy infrastructure projects. External stakeholder management has become indispensable to the governance of risk in such projects. We integrate insights on public engagement from policy and planning studies with the field of project management to contribute to the governance of risk. We present Q methodology as a congruent method for stakeholder analysis that allows for anticipation of unforeseen stakeholder issues or concerns and to kick-off a participatory procedure with external stakeholders. We present an illustration of Q methodology results of a Dutch shale gas exploration project. If used in the stakeholder management process, this method can help reveal perspectives beneficial for both the governance of risks and the identification of opportunities to create socially valued, successful projects.","call-number":"1","container-title":"International Journal of Project Management","DOI":"10.1016/j.ijproman.2016.01.003","ISSN":"0263-7863","issue":"7","journalAbbreviation":"International Journal of Project Management","language":"en","page":"1347-1359","source":"7.4","title":"Stakeholder engagement in large-scale energy infrastructure projects: Revealing perspectives using Q methodology","title-short":"Stakeholder engagement in large-scale energy infrastructure projects","volume":"34","author":[{"family":"Cuppen","given":"Eefje"},{"family":"Bosch-Rekveldt","given":"Marian G. C."},{"family":"Pikaar","given":"Ewout"},{"family":"Mehos","given":"Donna C."}],"issued":{"date-parts":[["2016",10,1]]}}},{"id":2567,"uris":["http://zotero.org/users/13172592/items/ZTQJ2U5I"],"itemData":{"id":2567,"type":"article-journal","abstract":"Hydropower development involves managing a network of diverse stakeholders. Owners play a critical part in effectively cooperating and establishing inter-organizational linking with stakeholders to achieve multiple project objectives. According to the data which is from the construction industry of hydropower in China, the research aims to investigate the causal relationships between cooperation with stakeholders and inter-organizational linking systematically, together with their impacts on the owners' social capital by developing and testing a conceptual model. Path analysis confirms that cooperation with stakeholders cannot only directly improve owners' social capital but also exert its influence on social capital through enhancement of inter-organizational linking, thereby improving project performance and winning external supports for owners' long-term development. Social network analysis shows that, from the perspective of owners, project stakeholders are clearly grouped into four clusters related to project feasibility, implementation, procurement and resettlement of migrants. These clusters reflect stakeholder's different roles and connections with each other in hydropower development. Understanding the above in-depth underlying relationships is fundamental for improving multi-organizational dynamics research to a state of the art, and help project participants to appropriately adopt cooperative strategies for maximizing the effectiveness of each stakeholder's resources. (C) 2018 Elsevier Ltd. All rights reserved.","archive_location":"WOS:000449892900028","call-number":"1","container-title":"Renewable Energy","DOI":"10.1016/j.renene.2018.07.137","ISSN":"0960-1481","language":"en","page":"326-334","source":"8.7","title":"Understanding the social network of stakeholders in hydropower project development: An owners' view","volume":"132","author":[{"family":"Wang","given":"SL"},{"family":"Shen","given":"WX"},{"family":"Tang","given":"WZ"},{"family":"Wang","given":"YH"},{"family":"Duffield","given":"CF"},{"family":"Hui","given":"FKP"}],"issued":{"date-parts":[["2019",3]]}}}],"schema":"https://github.com/citation-style-language/schema/raw/master/csl-citation.json"} </w:instrText>
      </w:r>
      <w:r>
        <w:fldChar w:fldCharType="separate"/>
      </w:r>
      <w:r w:rsidR="00E17813" w:rsidRPr="00E17813">
        <w:rPr>
          <w:rFonts w:cs="Times New Roman"/>
          <w:kern w:val="0"/>
          <w:vertAlign w:val="superscript"/>
        </w:rPr>
        <w:t>[82,92]</w:t>
      </w:r>
      <w:r>
        <w:fldChar w:fldCharType="end"/>
      </w:r>
      <w:r>
        <w:t>。建立</w:t>
      </w:r>
      <w:r>
        <w:rPr>
          <w:rFonts w:hint="eastAsia"/>
        </w:rPr>
        <w:t>各方间</w:t>
      </w:r>
      <w:r>
        <w:t>良好的伙伴关系，</w:t>
      </w:r>
      <w:r>
        <w:rPr>
          <w:rFonts w:hint="eastAsia"/>
        </w:rPr>
        <w:t>有助于各方间高效协作</w:t>
      </w:r>
      <w:r>
        <w:t>，</w:t>
      </w:r>
      <w:r>
        <w:rPr>
          <w:rFonts w:hint="eastAsia"/>
        </w:rPr>
        <w:t>从而</w:t>
      </w:r>
      <w:r>
        <w:t>提升基地的整体运营效果。</w:t>
      </w:r>
      <w:r>
        <w:rPr>
          <w:rFonts w:hint="eastAsia"/>
        </w:rPr>
        <w:t>首先，</w:t>
      </w:r>
      <w:r>
        <w:t>信任是建立良好合作关系的基础</w:t>
      </w:r>
      <w:r>
        <w:rPr>
          <w:rFonts w:hint="eastAsia"/>
        </w:rPr>
        <w:t>，各</w:t>
      </w:r>
      <w:r>
        <w:t>方</w:t>
      </w:r>
      <w:r>
        <w:rPr>
          <w:rFonts w:hint="eastAsia"/>
        </w:rPr>
        <w:t>间建立良好的伙伴关系，能够提升沟通效率，统一发电目标，保障电站的发电能力</w:t>
      </w:r>
      <w:r>
        <w:fldChar w:fldCharType="begin"/>
      </w:r>
      <w:r w:rsidR="00E17813">
        <w:instrText xml:space="preserve"> ADDIN ZOTERO_ITEM CSL_CITATION {"citationID":"a37am2pinn","properties":{"formattedCitation":"\\super [93,94]\\nosupersub{}","plainCitation":"[93,94]","noteIndex":0},"citationItems":[{"id":4128,"uris":["http://zotero.org/users/13172592/items/T36CMHGA"],"itemData":{"id":4128,"type":"paper-conference","abstract":"Operations management processes are embedded throughout and across business and society, becoming attention-seeking when there is a malfunction or breakdown. Over time they have become increasingly sophisticated and essential to economic success through value chains,...","container-title":"Advances in Manufacturing Processes, Intelligent Methods and Systems in Production Engineering","DOI":"10.1007/978-3-030-90532-3_54","event-place":"Switzerland","event-title":"Global Congress on Manufacturing and Management","ISBN":"978-3-030-90532-3","language":"en","note":"ISSN: 2367-3389","page":"714-728","publisher":"Springer, Cham","publisher-place":"Switzerland","source":"link.springer.com","title":"Operations management processes in the continuous production of renewable energy: The basic social process of proficient amalgamating","title-short":"Operations management processes in the continuous production of renewable energy","URL":"https://link.springer.com/chapter/10.1007/978-3-030-90532-3_54","volume":"335","author":[{"family":"Green","given":"Jan"},{"family":"Mcmillan","given":"Alison"}],"accessed":{"date-parts":[["2025",1,30]]},"issued":{"date-parts":[["2022"]]}},"label":"page"},{"id":4126,"uris":["http://zotero.org/users/13172592/items/CLPMUEZB"],"itemData":{"id":4126,"type":"article-journal","abstract":"Managing the consumer’s knowledge is a factor that is difficult to measure and not easy to achieve, but it is the basis for building trust in energy sources, including alternative ones. Social and ecological attitudes, as well as the economic situation, force consumers to acquire knowledge and shape their views and knowledge about household energy management. The aim of this article was to analyze the level of knowledge of household managers and determine the level of trust in alternative energy sources. To achieve this goal, previous research and reports were analyzed, and a proprietary quantitative and qualitative research was carried out. In connection with the conducted research, it was found that a very important factor is trust, influencing the perception of energy sources, and the knowledge gained allows for proper management of household energy, thus reducing costs. Research has shown that the trust of people managing energy in households is influenced by trust in renewable energy sources, which consists of knowledge, i.e., the level of social awareness and the willingness to acquire and expand one’s knowledge in this field. In all of the countries surveyed, the degree of trust is adequate, but it is directly proportional to the amount of knowledge and readiness to learn new things in this field.","call-number":"4","container-title":"Energies","DOI":"10.3390/en15041566","ISSN":"1996-1073","issue":"4","language":"en","license":"http://creativecommons.org/licenses/by/3.0/","note":"number: 4\npublisher: Multidisciplinary Digital Publishing Institute","page":"1566","source":"3","title":"Trust in renewable energy as part of energy-saving knowledge","volume":"15","author":[{"family":"Żywiołek","given":"Justyna"},{"family":"Rosak-Szyrocka","given":"Joanna"},{"family":"Khan","given":"Muhammad Asghar"},{"family":"Sharif","given":"Arshian"}],"issued":{"date-parts":[["2022",1]]}},"label":"page"}],"schema":"https://github.com/citation-style-language/schema/raw/master/csl-citation.json"} </w:instrText>
      </w:r>
      <w:r>
        <w:fldChar w:fldCharType="separate"/>
      </w:r>
      <w:r w:rsidR="00E17813" w:rsidRPr="00E17813">
        <w:rPr>
          <w:rFonts w:cs="Times New Roman"/>
          <w:kern w:val="0"/>
          <w:vertAlign w:val="superscript"/>
        </w:rPr>
        <w:t>[93</w:t>
      </w:r>
      <w:r w:rsidR="00CA2FF6">
        <w:rPr>
          <w:rFonts w:cs="Times New Roman" w:hint="eastAsia"/>
          <w:kern w:val="0"/>
          <w:vertAlign w:val="superscript"/>
        </w:rPr>
        <w:t>-</w:t>
      </w:r>
      <w:r w:rsidR="00E17813" w:rsidRPr="00E17813">
        <w:rPr>
          <w:rFonts w:cs="Times New Roman"/>
          <w:kern w:val="0"/>
          <w:vertAlign w:val="superscript"/>
        </w:rPr>
        <w:t>94]</w:t>
      </w:r>
      <w:r>
        <w:fldChar w:fldCharType="end"/>
      </w:r>
      <w:r>
        <w:rPr>
          <w:rFonts w:hint="eastAsia"/>
        </w:rPr>
        <w:t>。其次，良好的伙伴关系</w:t>
      </w:r>
      <w:r>
        <w:rPr>
          <w:rFonts w:hint="eastAsia"/>
        </w:rPr>
        <w:lastRenderedPageBreak/>
        <w:t>能够推动各电站运行单位进行高效沟通，从而提高各电站对基地统一调度的反馈速度，有助于</w:t>
      </w:r>
      <w:r>
        <w:t>实现水、风、光、储项目群之间的多能互补</w:t>
      </w:r>
      <w:r>
        <w:fldChar w:fldCharType="begin"/>
      </w:r>
      <w:r w:rsidR="00E17813">
        <w:instrText xml:space="preserve"> ADDIN ZOTERO_ITEM CSL_CITATION {"citationID":"afce3r3mpe","properties":{"formattedCitation":"\\super [90]\\nosupersub{}","plainCitation":"[90]","noteIndex":0},"citationItems":[{"id":3336,"uris":["http://zotero.org/users/13172592/items/MVH4U9UB"],"itemData":{"id":3336,"type":"article-journal","abstract":"In the past two decades, clean energy such as hydro, wind, and solar power has achieved signiﬁcant development under the “green recovery” global goal, and it may become the key method for countries to realize a low-carbon energy system. Here, the development of renewable energy power generation, the typical hydro-wind-photovoltaic complementary practical project, is summarized, and some key problems in complementary systems such as the description and prediction of the power generation law in large-scale stations, risk management, and coordinated operation are analyzed. In terms of these problems, this paper systematically summarizes the research methods and characteristics of a hydro-wind-solar hybrid system and expounds upon the technical realization process from the prediction and description of wind and solar power station cluster output, the risks brought about by large-scale renewable energy grid-connected operation, and the long-term and short-term coordination modeling and resolution thoughts on the hydro-wind-solar hybrid system in cluster mode. Finally, based on the aforementioned analysis, the existing research gaps are discussed from the standpoints of generation forecast, risk management, and cluster scheduling, and the future work outlook is presented accordingly. A hybrid system that combines hydro, wind, and solar energy is emerging as a way to make up for each other’s shortcomings and will be a fruitful area of study in the future.","call-number":"4","container-title":"Energies","DOI":"10.3390/en15228747","ISSN":"1996-1073","issue":"22","journalAbbreviation":"Energies","language":"en","license":"https://creativecommons.org/licenses/by/4.0/","page":"8747","source":"3","title":"Power generation scheduling for a hydro-wind-solar hybrid system: A systematic survey and prospect","title-short":"Power generation scheduling for a hydro-wind-solar hybrid system","volume":"15","author":[{"family":"Chen","given":"Chaoyang"},{"family":"Liu","given":"Hualing"},{"family":"Xiao","given":"Yong"},{"family":"Zhu","given":"Fagen"},{"family":"Ding","given":"Li"},{"family":"Yang","given":"Fuwen"}],"issued":{"date-parts":[["2022",11,21]]}}}],"schema":"https://github.com/citation-style-language/schema/raw/master/csl-citation.json"} </w:instrText>
      </w:r>
      <w:r>
        <w:fldChar w:fldCharType="separate"/>
      </w:r>
      <w:r w:rsidR="00E17813" w:rsidRPr="00E17813">
        <w:rPr>
          <w:rFonts w:cs="Times New Roman"/>
          <w:kern w:val="0"/>
          <w:vertAlign w:val="superscript"/>
        </w:rPr>
        <w:t>[90]</w:t>
      </w:r>
      <w:r>
        <w:fldChar w:fldCharType="end"/>
      </w:r>
      <w:r>
        <w:t>。</w:t>
      </w:r>
      <w:r>
        <w:rPr>
          <w:rFonts w:hint="eastAsia"/>
        </w:rPr>
        <w:t>第三，各方协作也有助于</w:t>
      </w:r>
      <w:r>
        <w:t>建立</w:t>
      </w:r>
      <w:r>
        <w:rPr>
          <w:rFonts w:hint="eastAsia"/>
        </w:rPr>
        <w:t>一体化的信息管理</w:t>
      </w:r>
      <w:r>
        <w:t>平台，</w:t>
      </w:r>
      <w:r>
        <w:rPr>
          <w:rFonts w:hint="eastAsia"/>
        </w:rPr>
        <w:t>以实现</w:t>
      </w:r>
      <w:r>
        <w:t>清洁能源基地运行策略</w:t>
      </w:r>
      <w:r>
        <w:rPr>
          <w:rFonts w:hint="eastAsia"/>
        </w:rPr>
        <w:t>的</w:t>
      </w:r>
      <w:r>
        <w:t>动态调整</w:t>
      </w:r>
      <w:r>
        <w:fldChar w:fldCharType="begin"/>
      </w:r>
      <w:r w:rsidR="00EB7246">
        <w:instrText xml:space="preserve"> ADDIN ZOTERO_ITEM CSL_CITATION {"citationID":"att27h4qv1","properties":{"formattedCitation":"\\super [42]\\nosupersub{}","plainCitation":"[42]","noteIndex":0},"citationItems":[{"id":3782,"uris":["http://zotero.org/users/13172592/items/ZSPGCAZW"],"itemData":{"id":3782,"type":"article-journal","abstract":"Renewable energy technology innovation (RETI) has become a key factor in mitigating climate change and promoting sustainable development of the world economy, but there is no literature on the effect of information and communication technology (ICT) on RETI and its impact mechanism. This paper measures RETI using panel data for 70 countries from 2005 to 2019 based on the combination of diffusion and depreciation effects of technological innovation and systematically examines the direct and mediating mechanisms of ICT's effect on RETI. The results show that ICT significantly contributes to RETI and even holds after addressing endogeneity, replacing the explanatory or explanatory variables, excluding extreme values, and excluding the effects of the financial crisis. The results of the transmission mechanism analysis indicate that ICT affects RETI through human capital accumulation, financial development, and information disclosure, meaning that human capital, financial development, and information disclosure are important mediating transmission mechanisms. The results of heterogeneity analysis note significant economic organizational heterogeneity and innovation environment heterogeneity of ICT to RETI. Specifically, in IEA and OECD member nations as well as in the high renewable energy consumption and high R&amp;D investment groups, the contribution effect of ICT on RETI is more significant.","call-number":"1","container-title":"Renewable Energy","DOI":"10.1016/j.renene.2022.10.015","ISSN":"0960-1481","journalAbbreviation":"Renewable Energy","language":"en","page":"546-557","source":"9","title":"How does information and communication technology affect renewable energy technology innovation? International evidence","title-short":"How does information and communication technology affect renewable energy technology innovation?","volume":"200","author":[{"family":"Lee","given":"Chien-Chiang"},{"family":"He","given":"Zhi-Wen"},{"family":"Xiao","given":"Fu"}],"issued":{"date-parts":[["2022",11,1]]}}}],"schema":"https://github.com/citation-style-language/schema/raw/master/csl-citation.json"} </w:instrText>
      </w:r>
      <w:r>
        <w:fldChar w:fldCharType="separate"/>
      </w:r>
      <w:r w:rsidR="00EB7246" w:rsidRPr="00EB7246">
        <w:rPr>
          <w:rFonts w:cs="Times New Roman"/>
          <w:kern w:val="0"/>
          <w:vertAlign w:val="superscript"/>
        </w:rPr>
        <w:t>[42]</w:t>
      </w:r>
      <w:r>
        <w:fldChar w:fldCharType="end"/>
      </w:r>
      <w:r>
        <w:rPr>
          <w:rFonts w:hint="eastAsia"/>
        </w:rPr>
        <w:t>。最后</w:t>
      </w:r>
      <w:r>
        <w:t>，</w:t>
      </w:r>
      <w:r>
        <w:rPr>
          <w:rFonts w:hint="eastAsia"/>
        </w:rPr>
        <w:t>与</w:t>
      </w:r>
      <w:r>
        <w:t>电网公司</w:t>
      </w:r>
      <w:r>
        <w:rPr>
          <w:rFonts w:hint="eastAsia"/>
        </w:rPr>
        <w:t>构建良好的伙伴关系有利于充分了解当地的电网设施，保障输送通道条件，以支撑清洁能源基地</w:t>
      </w:r>
      <w:r>
        <w:t>并网</w:t>
      </w:r>
      <w:r>
        <w:fldChar w:fldCharType="begin"/>
      </w:r>
      <w:r w:rsidR="00E17813">
        <w:instrText xml:space="preserve"> ADDIN ZOTERO_ITEM CSL_CITATION {"citationID":"ap750npk8c","properties":{"formattedCitation":"\\super [95,96]\\nosupersub{}","plainCitation":"[95,96]","noteIndex":0},"citationItems":[{"id":3314,"uris":["http://zotero.org/users/13172592/items/VWQTYXM5"],"i</w:instrText>
      </w:r>
      <w:r w:rsidR="00E17813">
        <w:rPr>
          <w:rFonts w:hint="eastAsia"/>
        </w:rPr>
        <w:instrText>temData":{"id":3314,"type":"article-journal","abstract":"</w:instrText>
      </w:r>
      <w:r w:rsidR="00E17813">
        <w:rPr>
          <w:rFonts w:hint="eastAsia"/>
        </w:rPr>
        <w:instrText>未来高比例可再生能源的时空分布特性将给电力系统规划带来前所未有的挑战</w:instrText>
      </w:r>
      <w:r w:rsidR="00E17813">
        <w:rPr>
          <w:rFonts w:hint="eastAsia"/>
        </w:rPr>
        <w:instrText>,</w:instrText>
      </w:r>
      <w:r w:rsidR="00E17813">
        <w:rPr>
          <w:rFonts w:hint="eastAsia"/>
        </w:rPr>
        <w:instrText>电力系统基本形态与运行特性将发生根本性变化。文中在调研国内外研究现状的基础上</w:instrText>
      </w:r>
      <w:r w:rsidR="00E17813">
        <w:rPr>
          <w:rFonts w:hint="eastAsia"/>
        </w:rPr>
        <w:instrText>,</w:instrText>
      </w:r>
      <w:r w:rsidR="00E17813">
        <w:rPr>
          <w:rFonts w:hint="eastAsia"/>
        </w:rPr>
        <w:instrText>阐述了高比例可再生能源并网的输电网规划面临的科学问题</w:instrText>
      </w:r>
      <w:r w:rsidR="00E17813">
        <w:rPr>
          <w:rFonts w:hint="eastAsia"/>
        </w:rPr>
        <w:instrText>,</w:instrText>
      </w:r>
      <w:r w:rsidR="00E17813">
        <w:rPr>
          <w:rFonts w:hint="eastAsia"/>
        </w:rPr>
        <w:instrText>分别从网源协同规划、输电网柔性规划、与配电网协同的输电网规划、输电规划方案综合评价与决策方法四个方面</w:instrText>
      </w:r>
      <w:r w:rsidR="00E17813">
        <w:rPr>
          <w:rFonts w:hint="eastAsia"/>
        </w:rPr>
        <w:instrText>,</w:instrText>
      </w:r>
      <w:r w:rsidR="00E17813">
        <w:rPr>
          <w:rFonts w:hint="eastAsia"/>
        </w:rPr>
        <w:instrText>提出了考虑高比例可再生能源并网的输电网规划的研究思路与框架。最后</w:instrText>
      </w:r>
      <w:r w:rsidR="00E17813">
        <w:rPr>
          <w:rFonts w:hint="eastAsia"/>
        </w:rPr>
        <w:instrText>,</w:instrText>
      </w:r>
      <w:r w:rsidR="00E17813">
        <w:rPr>
          <w:rFonts w:hint="eastAsia"/>
        </w:rPr>
        <w:instrText>对未来高比例可再生能源并网的输电网规划进行了展望与总结。</w:instrText>
      </w:r>
      <w:r w:rsidR="00E17813">
        <w:rPr>
          <w:rFonts w:hint="eastAsia"/>
        </w:rPr>
        <w:instrText>","container-title":"</w:instrText>
      </w:r>
      <w:r w:rsidR="00E17813">
        <w:rPr>
          <w:rFonts w:hint="eastAsia"/>
        </w:rPr>
        <w:instrText>电力系统自动化</w:instrText>
      </w:r>
      <w:r w:rsidR="00E17813">
        <w:rPr>
          <w:rFonts w:hint="eastAsia"/>
        </w:rPr>
        <w:instrText>","ISSN":"1000-1026","issue":"9","language":"zh-CN","page":"19-27","source":"CNKI","title":"</w:instrText>
      </w:r>
      <w:r w:rsidR="00E17813">
        <w:rPr>
          <w:rFonts w:hint="eastAsia"/>
        </w:rPr>
        <w:instrText>考虑高比例可再生能源的交直流输电网规划挑战与展望</w:instrText>
      </w:r>
      <w:r w:rsidR="00E17813">
        <w:rPr>
          <w:rFonts w:hint="eastAsia"/>
        </w:rPr>
        <w:instrText>","volume":"41","author":[{"family":"</w:instrText>
      </w:r>
      <w:r w:rsidR="00E17813">
        <w:rPr>
          <w:rFonts w:hint="eastAsia"/>
        </w:rPr>
        <w:instrText>程</w:instrText>
      </w:r>
      <w:r w:rsidR="00E17813">
        <w:rPr>
          <w:rFonts w:hint="eastAsia"/>
        </w:rPr>
        <w:instrText>","given":"</w:instrText>
      </w:r>
      <w:r w:rsidR="00E17813">
        <w:rPr>
          <w:rFonts w:hint="eastAsia"/>
        </w:rPr>
        <w:instrText>浩忠</w:instrText>
      </w:r>
      <w:r w:rsidR="00E17813">
        <w:rPr>
          <w:rFonts w:hint="eastAsia"/>
        </w:rPr>
        <w:instrText>"},{"family":"</w:instrText>
      </w:r>
      <w:r w:rsidR="00E17813">
        <w:rPr>
          <w:rFonts w:hint="eastAsia"/>
        </w:rPr>
        <w:instrText>李</w:instrText>
      </w:r>
      <w:r w:rsidR="00E17813">
        <w:rPr>
          <w:rFonts w:hint="eastAsia"/>
        </w:rPr>
        <w:instrText>","given":"</w:instrText>
      </w:r>
      <w:r w:rsidR="00E17813">
        <w:rPr>
          <w:rFonts w:hint="eastAsia"/>
        </w:rPr>
        <w:instrText>隽</w:instrText>
      </w:r>
      <w:r w:rsidR="00E17813">
        <w:rPr>
          <w:rFonts w:hint="eastAsia"/>
        </w:rPr>
        <w:instrText>"},{"family":"</w:instrText>
      </w:r>
      <w:r w:rsidR="00E17813">
        <w:rPr>
          <w:rFonts w:hint="eastAsia"/>
        </w:rPr>
        <w:instrText>吴</w:instrText>
      </w:r>
      <w:r w:rsidR="00E17813">
        <w:rPr>
          <w:rFonts w:hint="eastAsia"/>
        </w:rPr>
        <w:instrText>","given":"</w:instrText>
      </w:r>
      <w:r w:rsidR="00E17813">
        <w:rPr>
          <w:rFonts w:hint="eastAsia"/>
        </w:rPr>
        <w:instrText>耀武</w:instrText>
      </w:r>
      <w:r w:rsidR="00E17813">
        <w:rPr>
          <w:rFonts w:hint="eastAsia"/>
        </w:rPr>
        <w:instrText>"},{"family":"</w:instrText>
      </w:r>
      <w:r w:rsidR="00E17813">
        <w:rPr>
          <w:rFonts w:hint="eastAsia"/>
        </w:rPr>
        <w:instrText>陈</w:instrText>
      </w:r>
      <w:r w:rsidR="00E17813">
        <w:rPr>
          <w:rFonts w:hint="eastAsia"/>
        </w:rPr>
        <w:instrText>","given":"</w:instrText>
      </w:r>
      <w:r w:rsidR="00E17813">
        <w:rPr>
          <w:rFonts w:hint="eastAsia"/>
        </w:rPr>
        <w:instrText>皓勇</w:instrText>
      </w:r>
      <w:r w:rsidR="00E17813">
        <w:rPr>
          <w:rFonts w:hint="eastAsia"/>
        </w:rPr>
        <w:instrText>"},{"family":"</w:instrText>
      </w:r>
      <w:r w:rsidR="00E17813">
        <w:rPr>
          <w:rFonts w:hint="eastAsia"/>
        </w:rPr>
        <w:instrText>张</w:instrText>
      </w:r>
      <w:r w:rsidR="00E17813">
        <w:rPr>
          <w:rFonts w:hint="eastAsia"/>
        </w:rPr>
        <w:instrText>","given":"</w:instrText>
      </w:r>
      <w:r w:rsidR="00E17813">
        <w:rPr>
          <w:rFonts w:hint="eastAsia"/>
        </w:rPr>
        <w:instrText>宁</w:instrText>
      </w:r>
      <w:r w:rsidR="00E17813">
        <w:rPr>
          <w:rFonts w:hint="eastAsia"/>
        </w:rPr>
        <w:instrText>"},{"family":"</w:instrText>
      </w:r>
      <w:r w:rsidR="00E17813">
        <w:rPr>
          <w:rFonts w:hint="eastAsia"/>
        </w:rPr>
        <w:instrText>柳</w:instrText>
      </w:r>
      <w:r w:rsidR="00E17813">
        <w:rPr>
          <w:rFonts w:hint="eastAsia"/>
        </w:rPr>
        <w:instrText>","given":"</w:instrText>
      </w:r>
      <w:r w:rsidR="00E17813">
        <w:rPr>
          <w:rFonts w:hint="eastAsia"/>
        </w:rPr>
        <w:instrText>璐</w:instrText>
      </w:r>
      <w:r w:rsidR="00E17813">
        <w:rPr>
          <w:rFonts w:hint="eastAsia"/>
        </w:rPr>
        <w:instrText>"}],"issued":{"date-parts":[["2017"]]}}},{"id":1950,"uris":["http://zotero.org/users/13172592/items/43GH3IKE"],"itemData":{"id":1950,"type":"article-journal","abstract":"</w:instrText>
      </w:r>
      <w:r w:rsidR="00E17813">
        <w:rPr>
          <w:rFonts w:hint="eastAsia"/>
        </w:rPr>
        <w:instrText>深入推进电网企业主辅分离是中国新一轮电力体制改革的一项重要内容。基于电网企业主辅业纵向一体化的特征事实</w:instrText>
      </w:r>
      <w:r w:rsidR="00E17813">
        <w:rPr>
          <w:rFonts w:hint="eastAsia"/>
        </w:rPr>
        <w:instrText>,</w:instrText>
      </w:r>
      <w:r w:rsidR="00E17813">
        <w:rPr>
          <w:rFonts w:hint="eastAsia"/>
        </w:rPr>
        <w:instrText>本文构建理论模型论证了电网企业主辅分离与成本效率的关系</w:instrText>
      </w:r>
      <w:r w:rsidR="00E17813">
        <w:rPr>
          <w:rFonts w:hint="eastAsia"/>
        </w:rPr>
        <w:instrText>,</w:instrText>
      </w:r>
      <w:r w:rsidR="00E17813">
        <w:rPr>
          <w:rFonts w:hint="eastAsia"/>
        </w:rPr>
        <w:instrText>并尝试利用</w:instrText>
      </w:r>
      <w:r w:rsidR="00E17813">
        <w:rPr>
          <w:rFonts w:hint="eastAsia"/>
        </w:rPr>
        <w:instrText>16</w:instrText>
      </w:r>
      <w:r w:rsidR="00E17813">
        <w:rPr>
          <w:rFonts w:hint="eastAsia"/>
        </w:rPr>
        <w:instrText>家世界主要电网企业</w:instrText>
      </w:r>
      <w:r w:rsidR="00E17813">
        <w:rPr>
          <w:rFonts w:hint="eastAsia"/>
        </w:rPr>
        <w:instrText>2008</w:instrText>
      </w:r>
      <w:r w:rsidR="00E17813">
        <w:rPr>
          <w:rFonts w:hint="eastAsia"/>
        </w:rPr>
        <w:instrText>—</w:instrText>
      </w:r>
      <w:r w:rsidR="00E17813">
        <w:rPr>
          <w:rFonts w:hint="eastAsia"/>
        </w:rPr>
        <w:instrText>2018</w:instrText>
      </w:r>
      <w:r w:rsidR="00E17813">
        <w:rPr>
          <w:rFonts w:hint="eastAsia"/>
        </w:rPr>
        <w:instrText>年数据进行实证检验。研究表明</w:instrText>
      </w:r>
      <w:r w:rsidR="00E17813">
        <w:rPr>
          <w:rFonts w:hint="eastAsia"/>
        </w:rPr>
        <w:instrText>:(1)</w:instrText>
      </w:r>
      <w:r w:rsidR="00E17813">
        <w:rPr>
          <w:rFonts w:hint="eastAsia"/>
        </w:rPr>
        <w:instrText>电网企业将主业垄断势力延伸至相关竞争性辅业领域</w:instrText>
      </w:r>
      <w:r w:rsidR="00E17813">
        <w:rPr>
          <w:rFonts w:hint="eastAsia"/>
        </w:rPr>
        <w:instrText>,</w:instrText>
      </w:r>
      <w:r w:rsidR="00E17813">
        <w:rPr>
          <w:rFonts w:hint="eastAsia"/>
        </w:rPr>
        <w:instrText>实施多种纵向一体化策略行为损害了公平竞争机制</w:instrText>
      </w:r>
      <w:r w:rsidR="00E17813">
        <w:rPr>
          <w:rFonts w:hint="eastAsia"/>
        </w:rPr>
        <w:instrText>,</w:instrText>
      </w:r>
      <w:r w:rsidR="00E17813">
        <w:rPr>
          <w:rFonts w:hint="eastAsia"/>
        </w:rPr>
        <w:instrText>降低了企业成本效率。</w:instrText>
      </w:r>
      <w:r w:rsidR="00E17813">
        <w:rPr>
          <w:rFonts w:hint="eastAsia"/>
        </w:rPr>
        <w:instrText>(2)</w:instrText>
      </w:r>
      <w:r w:rsidR="00E17813">
        <w:rPr>
          <w:rFonts w:hint="eastAsia"/>
        </w:rPr>
        <w:instrText>在现有输配电定价模式下</w:instrText>
      </w:r>
      <w:r w:rsidR="00E17813">
        <w:rPr>
          <w:rFonts w:hint="eastAsia"/>
        </w:rPr>
        <w:instrText>,</w:instrText>
      </w:r>
      <w:r w:rsidR="00E17813">
        <w:rPr>
          <w:rFonts w:hint="eastAsia"/>
        </w:rPr>
        <w:instrText>电网企业主辅一体化不仅会使得自然垄断环节产生</w:instrText>
      </w:r>
      <w:r w:rsidR="00E17813">
        <w:rPr>
          <w:rFonts w:hint="eastAsia"/>
        </w:rPr>
        <w:instrText>A-J</w:instrText>
      </w:r>
      <w:r w:rsidR="00E17813">
        <w:rPr>
          <w:rFonts w:hint="eastAsia"/>
        </w:rPr>
        <w:instrText>效应</w:instrText>
      </w:r>
      <w:r w:rsidR="00E17813">
        <w:rPr>
          <w:rFonts w:hint="eastAsia"/>
        </w:rPr>
        <w:instrText>,</w:instrText>
      </w:r>
      <w:r w:rsidR="00E17813">
        <w:rPr>
          <w:rFonts w:hint="eastAsia"/>
        </w:rPr>
        <w:instrText>而且在竞争性辅业领域还会形成要素扭曲效应。从数值模拟结果看</w:instrText>
      </w:r>
      <w:r w:rsidR="00E17813">
        <w:rPr>
          <w:rFonts w:hint="eastAsia"/>
        </w:rPr>
        <w:instrText>,</w:instrText>
      </w:r>
      <w:r w:rsidR="00E17813">
        <w:rPr>
          <w:rFonts w:hint="eastAsia"/>
        </w:rPr>
        <w:instrText>主辅分离将缓解要素边际扭曲程度。</w:instrText>
      </w:r>
      <w:r w:rsidR="00E17813">
        <w:rPr>
          <w:rFonts w:hint="eastAsia"/>
        </w:rPr>
        <w:instrText>(3)</w:instrText>
      </w:r>
      <w:r w:rsidR="00E17813">
        <w:rPr>
          <w:rFonts w:hint="eastAsia"/>
        </w:rPr>
        <w:instrText>从实证结果看</w:instrText>
      </w:r>
      <w:r w:rsidR="00E17813">
        <w:rPr>
          <w:rFonts w:hint="eastAsia"/>
        </w:rPr>
        <w:instrText>,</w:instrText>
      </w:r>
      <w:r w:rsidR="00E17813">
        <w:rPr>
          <w:rFonts w:hint="eastAsia"/>
        </w:rPr>
        <w:instrText>国家电网有限公司和中国南方电网公司分别以</w:instrText>
      </w:r>
      <w:r w:rsidR="00E17813">
        <w:rPr>
          <w:rFonts w:hint="eastAsia"/>
        </w:rPr>
        <w:instrText>0.61</w:instrText>
      </w:r>
      <w:r w:rsidR="00E17813">
        <w:rPr>
          <w:rFonts w:hint="eastAsia"/>
        </w:rPr>
        <w:instrText>和</w:instrText>
      </w:r>
      <w:r w:rsidR="00E17813">
        <w:rPr>
          <w:rFonts w:hint="eastAsia"/>
        </w:rPr>
        <w:instrText>0.44</w:instrText>
      </w:r>
      <w:r w:rsidR="00E17813">
        <w:rPr>
          <w:rFonts w:hint="eastAsia"/>
        </w:rPr>
        <w:instrText>的成本效率值</w:instrText>
      </w:r>
      <w:r w:rsidR="00E17813">
        <w:rPr>
          <w:rFonts w:hint="eastAsia"/>
        </w:rPr>
        <w:instrText>,</w:instrText>
      </w:r>
      <w:r w:rsidR="00E17813">
        <w:rPr>
          <w:rFonts w:hint="eastAsia"/>
        </w:rPr>
        <w:instrText>位列样本企业第</w:instrText>
      </w:r>
      <w:r w:rsidR="00E17813">
        <w:rPr>
          <w:rFonts w:hint="eastAsia"/>
        </w:rPr>
        <w:instrText>11</w:instrText>
      </w:r>
      <w:r w:rsidR="00E17813">
        <w:rPr>
          <w:rFonts w:hint="eastAsia"/>
        </w:rPr>
        <w:instrText>位和第</w:instrText>
      </w:r>
      <w:r w:rsidR="00E17813">
        <w:rPr>
          <w:rFonts w:hint="eastAsia"/>
        </w:rPr>
        <w:instrText>15</w:instrText>
      </w:r>
      <w:r w:rsidR="00E17813">
        <w:rPr>
          <w:rFonts w:hint="eastAsia"/>
        </w:rPr>
        <w:instrText>位</w:instrText>
      </w:r>
      <w:r w:rsidR="00E17813">
        <w:rPr>
          <w:rFonts w:hint="eastAsia"/>
        </w:rPr>
        <w:instrText>,</w:instrText>
      </w:r>
      <w:r w:rsidR="00E17813">
        <w:rPr>
          <w:rFonts w:hint="eastAsia"/>
        </w:rPr>
        <w:instrText>与其他主辅分离程度较高</w:instrText>
      </w:r>
      <w:r w:rsidR="00E17813">
        <w:rPr>
          <w:rFonts w:hint="eastAsia"/>
        </w:rPr>
        <w:instrText>(</w:instrText>
      </w:r>
      <w:r w:rsidR="00E17813">
        <w:rPr>
          <w:rFonts w:hint="eastAsia"/>
        </w:rPr>
        <w:instrText>成本效率较高</w:instrText>
      </w:r>
      <w:r w:rsidR="00E17813">
        <w:rPr>
          <w:rFonts w:hint="eastAsia"/>
        </w:rPr>
        <w:instrText>)</w:instrText>
      </w:r>
      <w:r w:rsidR="00E17813">
        <w:rPr>
          <w:rFonts w:hint="eastAsia"/>
        </w:rPr>
        <w:instrText>的电网企业相比</w:instrText>
      </w:r>
      <w:r w:rsidR="00E17813">
        <w:rPr>
          <w:rFonts w:hint="eastAsia"/>
        </w:rPr>
        <w:instrText>,</w:instrText>
      </w:r>
      <w:r w:rsidR="00E17813">
        <w:rPr>
          <w:rFonts w:hint="eastAsia"/>
        </w:rPr>
        <w:instrText>存在较大的效率提升空间</w:instrText>
      </w:r>
      <w:r w:rsidR="00E17813">
        <w:rPr>
          <w:rFonts w:hint="eastAsia"/>
        </w:rPr>
        <w:instrText>,</w:instrText>
      </w:r>
      <w:r w:rsidR="00E17813">
        <w:rPr>
          <w:rFonts w:hint="eastAsia"/>
        </w:rPr>
        <w:instrText>并验证了提出的理论假说。本文认为政府应多维度推进电网企业主辅分离改革</w:instrText>
      </w:r>
      <w:r w:rsidR="00E17813">
        <w:rPr>
          <w:rFonts w:hint="eastAsia"/>
        </w:rPr>
        <w:instrText>,</w:instrText>
      </w:r>
      <w:r w:rsidR="00E17813">
        <w:rPr>
          <w:rFonts w:hint="eastAsia"/>
        </w:rPr>
        <w:instrText>形成有效竞争格局和可持续的降本增效机制。同时</w:instrText>
      </w:r>
      <w:r w:rsidR="00E17813">
        <w:rPr>
          <w:rFonts w:hint="eastAsia"/>
        </w:rPr>
        <w:instrText>,</w:instrText>
      </w:r>
      <w:r w:rsidR="00E17813">
        <w:rPr>
          <w:rFonts w:hint="eastAsia"/>
        </w:rPr>
        <w:instrText>研究结论将为分析电网企业纵向一体化反竞争效应和成本效率测算提供理论和实证依据</w:instrText>
      </w:r>
      <w:r w:rsidR="00E17813">
        <w:rPr>
          <w:rFonts w:hint="eastAsia"/>
        </w:rPr>
        <w:instrText>,</w:instrText>
      </w:r>
      <w:r w:rsidR="00E17813">
        <w:rPr>
          <w:rFonts w:hint="eastAsia"/>
        </w:rPr>
        <w:instrText>并为政府有关部门推进电网企业主辅分离改革</w:instrText>
      </w:r>
      <w:r w:rsidR="00E17813">
        <w:rPr>
          <w:rFonts w:hint="eastAsia"/>
        </w:rPr>
        <w:instrText>,</w:instrText>
      </w:r>
      <w:r w:rsidR="00E17813">
        <w:rPr>
          <w:rFonts w:hint="eastAsia"/>
        </w:rPr>
        <w:instrText>做强做优做大电网企业主业</w:instrText>
      </w:r>
      <w:r w:rsidR="00E17813">
        <w:rPr>
          <w:rFonts w:hint="eastAsia"/>
        </w:rPr>
        <w:instrText>,</w:instrText>
      </w:r>
      <w:r w:rsidR="00E17813">
        <w:rPr>
          <w:rFonts w:hint="eastAsia"/>
        </w:rPr>
        <w:instrText>同时促进电力行业竞争性环节市场化改革提供决策参考。</w:instrText>
      </w:r>
      <w:r w:rsidR="00E17813">
        <w:rPr>
          <w:rFonts w:hint="eastAsia"/>
        </w:rPr>
        <w:instrText>","container-title":"</w:instrText>
      </w:r>
      <w:r w:rsidR="00E17813">
        <w:rPr>
          <w:rFonts w:hint="eastAsia"/>
        </w:rPr>
        <w:instrText>中国工业经济</w:instrText>
      </w:r>
      <w:r w:rsidR="00E17813">
        <w:rPr>
          <w:rFonts w:hint="eastAsia"/>
        </w:rPr>
        <w:instrText>","DOI":"10.19581/j.cnki.ciejournal.2021.03.011","ISSN":"1006-480X","issue":"3","page":"42-60","title":"</w:instrText>
      </w:r>
      <w:r w:rsidR="00E17813">
        <w:rPr>
          <w:rFonts w:hint="eastAsia"/>
        </w:rPr>
        <w:instrText>电网企业纵向一体化、成本效率与主辅分离改革</w:instrText>
      </w:r>
      <w:r w:rsidR="00E17813">
        <w:rPr>
          <w:rFonts w:hint="eastAsia"/>
        </w:rPr>
        <w:instrText>","author":[{"family":"</w:instrText>
      </w:r>
      <w:r w:rsidR="00E17813">
        <w:rPr>
          <w:rFonts w:hint="eastAsia"/>
        </w:rPr>
        <w:instrText>王俊豪</w:instrText>
      </w:r>
      <w:r w:rsidR="00E17813">
        <w:rPr>
          <w:rFonts w:hint="eastAsia"/>
        </w:rPr>
        <w:instrText>","given":""},{"family":"</w:instrText>
      </w:r>
      <w:r w:rsidR="00E17813">
        <w:rPr>
          <w:rFonts w:hint="eastAsia"/>
        </w:rPr>
        <w:instrText>金暄暄</w:instrText>
      </w:r>
      <w:r w:rsidR="00E17813">
        <w:rPr>
          <w:rFonts w:hint="eastAsia"/>
        </w:rPr>
        <w:instrText>","given":""},{"family":"</w:instrText>
      </w:r>
      <w:r w:rsidR="00E17813">
        <w:rPr>
          <w:rFonts w:hint="eastAsia"/>
        </w:rPr>
        <w:instrText>刘相锋</w:instrText>
      </w:r>
      <w:r w:rsidR="00E17813">
        <w:rPr>
          <w:rFonts w:hint="eastAsia"/>
        </w:rPr>
        <w:instrText xml:space="preserve">","given":""}],"issued":{"date-parts":[["2021"]]}}}],"schema":"https://github.com/citation-style-language/schema/raw/master/csl-citation.json"} </w:instrText>
      </w:r>
      <w:r>
        <w:fldChar w:fldCharType="separate"/>
      </w:r>
      <w:r w:rsidR="00E17813" w:rsidRPr="00E17813">
        <w:rPr>
          <w:rFonts w:cs="Times New Roman"/>
          <w:kern w:val="0"/>
          <w:vertAlign w:val="superscript"/>
        </w:rPr>
        <w:t>[95</w:t>
      </w:r>
      <w:r w:rsidR="00CA2FF6">
        <w:rPr>
          <w:rFonts w:cs="Times New Roman" w:hint="eastAsia"/>
          <w:kern w:val="0"/>
          <w:vertAlign w:val="superscript"/>
        </w:rPr>
        <w:t>-</w:t>
      </w:r>
      <w:r w:rsidR="00E17813" w:rsidRPr="00E17813">
        <w:rPr>
          <w:rFonts w:cs="Times New Roman"/>
          <w:kern w:val="0"/>
          <w:vertAlign w:val="superscript"/>
        </w:rPr>
        <w:t>96]</w:t>
      </w:r>
      <w:r>
        <w:fldChar w:fldCharType="end"/>
      </w:r>
      <w:r>
        <w:t>。</w:t>
      </w:r>
      <w:r>
        <w:rPr>
          <w:rFonts w:hint="eastAsia"/>
        </w:rPr>
        <w:t>基于此，提出假设</w:t>
      </w:r>
      <w:r>
        <w:rPr>
          <w:rFonts w:hint="eastAsia"/>
        </w:rPr>
        <w:t>13</w:t>
      </w:r>
      <w:r>
        <w:rPr>
          <w:rFonts w:hint="eastAsia"/>
        </w:rPr>
        <w:t>（</w:t>
      </w:r>
      <w:r>
        <w:rPr>
          <w:rFonts w:hint="eastAsia"/>
        </w:rPr>
        <w:t>H13</w:t>
      </w:r>
      <w:r>
        <w:rPr>
          <w:rFonts w:hint="eastAsia"/>
        </w:rPr>
        <w:t>）：</w:t>
      </w:r>
    </w:p>
    <w:p w14:paraId="6E194085" w14:textId="77777777" w:rsidR="00873BC4" w:rsidRPr="006D2BF0" w:rsidRDefault="00873BC4" w:rsidP="00873BC4">
      <w:pPr>
        <w:ind w:firstLine="422"/>
      </w:pPr>
      <w:r w:rsidRPr="00873BC4">
        <w:rPr>
          <w:rFonts w:hint="eastAsia"/>
          <w:b/>
          <w:bCs/>
        </w:rPr>
        <w:t>H13</w:t>
      </w:r>
      <w:r w:rsidRPr="00873BC4">
        <w:rPr>
          <w:rFonts w:hint="eastAsia"/>
          <w:b/>
          <w:bCs/>
        </w:rPr>
        <w:t>：</w:t>
      </w:r>
      <w:r>
        <w:rPr>
          <w:rFonts w:hint="eastAsia"/>
        </w:rPr>
        <w:t>清洁能源基地各方间良好的伙伴关系能够提升项目群运营水平。</w:t>
      </w:r>
    </w:p>
    <w:p w14:paraId="575074E7" w14:textId="5FB5E1BB" w:rsidR="00873BC4" w:rsidRDefault="00873BC4" w:rsidP="00873BC4">
      <w:pPr>
        <w:pStyle w:val="3"/>
      </w:pPr>
      <w:bookmarkStart w:id="3" w:name="_Toc198492779"/>
      <w:r>
        <w:rPr>
          <w:rFonts w:hint="eastAsia"/>
        </w:rPr>
        <w:t>项目群绩效</w:t>
      </w:r>
      <w:bookmarkEnd w:id="3"/>
    </w:p>
    <w:p w14:paraId="20EFABFD" w14:textId="2D1A01E5" w:rsidR="00873BC4" w:rsidRDefault="00873BC4" w:rsidP="00873BC4">
      <w:pPr>
        <w:ind w:firstLine="420"/>
      </w:pPr>
      <w:r w:rsidRPr="00160883">
        <w:rPr>
          <w:rFonts w:hint="eastAsia"/>
        </w:rPr>
        <w:t>项目群绩效能够反映项目群价值，为项目群管理</w:t>
      </w:r>
      <w:r>
        <w:rPr>
          <w:rFonts w:hint="eastAsia"/>
        </w:rPr>
        <w:t>及其优化</w:t>
      </w:r>
      <w:r w:rsidRPr="00160883">
        <w:rPr>
          <w:rFonts w:hint="eastAsia"/>
        </w:rPr>
        <w:t>提供明确目标</w:t>
      </w:r>
      <w:r>
        <w:fldChar w:fldCharType="begin"/>
      </w:r>
      <w:r w:rsidR="00E17813">
        <w:instrText xml:space="preserve"> ADDIN ZOTERO_ITEM CSL_CITATION {"citationID":"UVzBrtDE","properties":{"formattedCitation":"\\super [19,64]\\nosupersub{}","plainCitation":"[19,64]","noteIndex":0},"citationItems":[{"id":1845,"uris":["http://zotero.org/users/13172592/items/5BSA373E"],"itemData":{"id":1845,"type":"article-journal","abstract":"The emergence of construction megaprojects has become a global phenomenon over the last two decades as a result of rapid urbanization. Program management has been increasingly promoted as a vital approach for ensuring megaproject success through the coordinated management of the dispensed execution of a program at the organizational level. Nevertheless, practicing this method in construction megaprojects is a continual improvement process that requires relevant guidelines and tools. This study proposes an innovative tool to evaluate a structured program organization in conjunction with the fuzzy synthetic evaluation method. Based on determinants of program organization identified from a Delphi survey previously conducted by authors regarding the Shanghai Expo construction, combined with results of further Delphi surveys for the same project, the use of this new evaluation approach in the case project is illustrated stepby-step. With this tool, clients can better utilize the program management approach in their organizational design and improvement, and the organizational effectiveness for delivering megaprojects can be improved constantly. DOI: 10.1061/(ASCE)ME.1943-5479.0000432. © 2016 American Society of Civil Engineers.","call-number":"1","container-title":"Journal of Management in Engineering","DOI":"10.1061/(ASCE)ME.1943-5479.0000432","ISSN":"0742-597X, 1943-5479","issue":"4","journalAbbreviation":"J. Manage. Eng.","language":"en","page":"05016007","source":"7.4","title":"Developing a program organization performance index for delivering construction megaprojects in China: Fuzzy synthetic evaluation analysis","title-short":"Developing a Program Organization Performance Index for Delivering Construction Megaprojects in China","volume":"32","author":[{"family":"Hu","given":"Yi"},{"family":"Chan","given":"Albert P. C."},{"family":"Le","given":"Yun"},{"family":"Xu","given":"Yelin"},{"family":"Shan","given":"Ming"}],"issued":{"date-parts":[["2016",7]]}},"label":"page"},{"id":1851,"uris":["http://zotero.org/users/13172592/items/BJPXB6VR"],"itemData":{"id":1851,"type":"article-journal","abstract":"In recent years, the construction sector has been increasingly inclined toward using systematic program management approaches. Despite acknowledging the crucial impact of PgMO on program management success, the existing literature lacks sufﬁcient research on the areas where this ofﬁce can provide support for success in the construction sector. This article aims to identify the critical success factors and PgMO areas that contribute to program success in the construction sector. To address the research questions and goals, standardized interviews were conducted with 49 PgMO members from 14 organizations implementing construction programs. Based on the literature and statistical analysis, ten critical success factors (CSFs) for construction programs were identiﬁed. However, the signiﬁcance of these CSFs may vary depending on the context of the construction sector. Furthermore, statistical analysis revealed ﬁve areas where PgMO can support program success: maintaining program governance, program initiation, program planning and budgeting, stakeholder and relationship management, and requirements and knowledge management resulting from program implementation. Managers are advised to take action in all the identiﬁed areas of PgMO to increase the likelihood of achieving program success. They should also pay attention to weaker areas and strengthen them as part of best practices.","call-number":"3","container-title":"Buildings","DOI":"10.3390/buildings13051336","ISSN":"2075-5309","issue":"5","journalAbbreviation":"Buildings","language":"en","license":"https://creativecommons.org/licenses/by/4.0/","page":"1336","source":"3.8","title":"Factors and areas of PgMO supporting the success of the program management in the construction sector","volume":"13","author":[{"family":"Trzeciak","given":"Mateusz"}],"issued":{"date-parts":[["2023",5,20]]}},"label":"page"}],"schema":"https://github.com/citation-style-language/schema/raw/master/csl-citation.json"} </w:instrText>
      </w:r>
      <w:r>
        <w:fldChar w:fldCharType="separate"/>
      </w:r>
      <w:r w:rsidR="00E17813" w:rsidRPr="00E17813">
        <w:rPr>
          <w:rFonts w:cs="Times New Roman"/>
          <w:kern w:val="0"/>
          <w:vertAlign w:val="superscript"/>
        </w:rPr>
        <w:t>[19,64]</w:t>
      </w:r>
      <w:r>
        <w:fldChar w:fldCharType="end"/>
      </w:r>
      <w:r>
        <w:rPr>
          <w:rFonts w:hint="eastAsia"/>
        </w:rPr>
        <w:t>。良好的</w:t>
      </w:r>
      <w:r>
        <w:t>清洁能源基地实施水平</w:t>
      </w:r>
      <w:r>
        <w:rPr>
          <w:rFonts w:hint="eastAsia"/>
        </w:rPr>
        <w:t>是</w:t>
      </w:r>
      <w:r>
        <w:t>清洁能源基地</w:t>
      </w:r>
      <w:r>
        <w:rPr>
          <w:rFonts w:hint="eastAsia"/>
        </w:rPr>
        <w:t>绩效的重要保障</w:t>
      </w:r>
      <w:r>
        <w:fldChar w:fldCharType="begin"/>
      </w:r>
      <w:r w:rsidR="00E17813">
        <w:instrText xml:space="preserve"> ADDIN ZOTERO_ITEM CSL_CITATION {"citationID":"a1fdk0n5ccp","properties":{"formattedCitation":"\\super [75]\\nosupersub{}","plainCitation":"[75]","noteIndex":0},"citationItems":[{"id":2995,"uris":["http://zotero.org/users/13172592/items/W9LENCGE"],"itemDa</w:instrText>
      </w:r>
      <w:r w:rsidR="00E17813">
        <w:rPr>
          <w:rFonts w:hint="eastAsia"/>
        </w:rPr>
        <w:instrText>ta":{"id":2995,"type":"thesis","event-place":"</w:instrText>
      </w:r>
      <w:r w:rsidR="00E17813">
        <w:rPr>
          <w:rFonts w:hint="eastAsia"/>
        </w:rPr>
        <w:instrText>北京</w:instrText>
      </w:r>
      <w:r w:rsidR="00E17813">
        <w:rPr>
          <w:rFonts w:hint="eastAsia"/>
        </w:rPr>
        <w:instrText>","language":"en-US","publisher":"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清洁能源项目风险管理研究</w:instrText>
      </w:r>
      <w:r w:rsidR="00E17813">
        <w:rPr>
          <w:rFonts w:hint="eastAsia"/>
        </w:rPr>
        <w:instrText>","author":[{"family":"</w:instrText>
      </w:r>
      <w:r w:rsidR="00E17813">
        <w:rPr>
          <w:rFonts w:hint="eastAsia"/>
        </w:rPr>
        <w:instrText>娄长圣</w:instrText>
      </w:r>
      <w:r w:rsidR="00E17813">
        <w:rPr>
          <w:rFonts w:hint="eastAsia"/>
        </w:rPr>
        <w:instrText>","given":""}],"issued":{"date-parts":[["2024"]]}}}],"schema":"https://github.com/citation-style-</w:instrText>
      </w:r>
      <w:r w:rsidR="00E17813">
        <w:instrText xml:space="preserve">language/schema/raw/master/csl-citation.json"} </w:instrText>
      </w:r>
      <w:r>
        <w:fldChar w:fldCharType="separate"/>
      </w:r>
      <w:r w:rsidR="00E17813" w:rsidRPr="00E17813">
        <w:rPr>
          <w:rFonts w:cs="Times New Roman"/>
          <w:kern w:val="0"/>
          <w:vertAlign w:val="superscript"/>
        </w:rPr>
        <w:t>[75]</w:t>
      </w:r>
      <w:r>
        <w:fldChar w:fldCharType="end"/>
      </w:r>
      <w:r>
        <w:rPr>
          <w:rFonts w:hint="eastAsia"/>
        </w:rPr>
        <w:t>。确保</w:t>
      </w:r>
      <w:r>
        <w:t>设计方案</w:t>
      </w:r>
      <w:r>
        <w:rPr>
          <w:rFonts w:hint="eastAsia"/>
        </w:rPr>
        <w:t>的经济技术可行性，并保证材料、设备及时供应，能够降低施工风险，确保</w:t>
      </w:r>
      <w:r>
        <w:t>清洁能源基地</w:t>
      </w:r>
      <w:r>
        <w:rPr>
          <w:rFonts w:hint="eastAsia"/>
        </w:rPr>
        <w:t>开发进度</w:t>
      </w:r>
      <w:r>
        <w:fldChar w:fldCharType="begin"/>
      </w:r>
      <w:r w:rsidR="00E17813">
        <w:instrText xml:space="preserve"> ADDIN ZOTERO_ITEM CSL_CITATION {"citationID":"a1mjss236tm","properties":{"formattedCitation":"\\super [97]\\nosupersub{}","plainCitation":"[97]","noteIndex":0},"citationItems":[{"id":3275,"uris":["http://zotero.org/users/13172592/items/REEB4WCA"],"itemData":{"id":3275,"type":"article-journal","abstract":"Design management is one of the most important construction project stages. Identifying the factors that impact a project’s performance is crucial for the overall success of construction projects. This research contributes to the body of knowledge by examining value engineering elements that might affect design management performance to keep the project team focused on those issues to achieve successful design management performance. As an integrated aspect of lean construction, this would result in a successful project with minimal waste of time, cost, or rework. Based on the assumptions made, these value engineering components were prioritized by their significance. To the best of the authors’ knowledge, this study is the first to quantitatively examine the impact of value engineering parameters on design management performance. After a detailed analysis of the literature and consultation with value engineering experts and design professionals, 22 value engineering design management factors were identified and then grouped into the three categories of designers’ conditions, owner and stakeholders’ conditions, and value engineering conditions. A questionnaire was designed and distributed to construction industry professionals to rank the factors on a five-point Likert scale. One hundred and fifty complete responses were received. The structural equation model (SEM) and the collected data were used to study the relationship and association between these value engineering factors and design management performance. After performing a thorough analysis of the results, the top-ranked group was found to be the owner and stakeholders’ conditions, followed by the group of value engineering conditions and design conditions, respectively. The results of this study will help design professionals consider the value engineering factors during the design stage of a project according to their importance, as suggested by this research. DOI: 10.1061/(ASCE)ME.1943-5479.0001026. © 2022 American Society of Civil Engineers.","call-number":"1","container-title":"Journal of Management in Engineering","DOI":"10.1061/(ASCE)ME.1943-5479.0001026","ISSN":"0742-597X, 1943-5479","issue":"3","journalAbbreviation":"J. Manage. Eng.","language":"en","page":"04022012","source":"5.3","title":"Value engineering factors with an impact on design management performance of construction projects","volume":"38","author":[{"family":"Gunduz","given":"Murat"},{"family":"Aly","given":"Aly A."},{"family":"El Mekkawy","given":"Tarek"}],"issued":{"date-parts":[["2022",5]]}}}],"schema":"https://github.com/citation-style-language/schema/raw/master/csl-citation.json"} </w:instrText>
      </w:r>
      <w:r>
        <w:fldChar w:fldCharType="separate"/>
      </w:r>
      <w:r w:rsidR="00E17813" w:rsidRPr="00E17813">
        <w:rPr>
          <w:rFonts w:cs="Times New Roman"/>
          <w:kern w:val="0"/>
          <w:vertAlign w:val="superscript"/>
        </w:rPr>
        <w:t>[97]</w:t>
      </w:r>
      <w:r>
        <w:fldChar w:fldCharType="end"/>
      </w:r>
      <w:r>
        <w:t>。</w:t>
      </w:r>
      <w:r>
        <w:rPr>
          <w:rFonts w:hint="eastAsia"/>
        </w:rPr>
        <w:t>高效、规范的施工管理则有助于</w:t>
      </w:r>
      <w:r>
        <w:t>减少安全事故的发生，进而提升职业健康与安全水平</w:t>
      </w:r>
      <w:r>
        <w:fldChar w:fldCharType="begin"/>
      </w:r>
      <w:r w:rsidR="00E17813">
        <w:instrText xml:space="preserve"> ADDIN ZOTERO_ITEM CSL_CITATION {"citationID":"a2k941qsvhr","properties":{"formattedCitation":"\\super [98]\\nosupersub{}","plainCitation":"[98]","noteIndex":0},"citationItems":[{"id":4047,"uris":["http://zotero.org/users/13172592/items/SP9872GS"],"itemData":{"id":4047,"type":"article-journal","abstract":"The costs resulting from injuries and equipment damage, combined with the associated ﬁnancial loss resulting from schedule disruptions, insurance hikes, and workers compensation, impact the proﬁtability of any construction operation. These costs may be minimized or avoided through focused safety eﬀorts on construction job sites. The main purpose of this study is to determine the correlation between management commitment to safety and the frequency of construction-related injuries and illnesses. To achieve this purpose, a survey was developed and sent to a random sample of the top ﬁve hundred US construction companies. Survey results point to a clear statistical correlation between management commitment to safety and injury and illness rates.","call-number":"1","container-title":"International Journal of Project Management","DOI":"10.1016/j.ijproman.2005.07.005","ISSN":"02637863","issue":"2","journalAbbreviation":"International Journal of Project Management","language":"en","license":"https://www.elsevier.com/tdm/userlicense/1.0/","page":"167-174","source":"7.4","title":"An investigation of management’s commitment to construction safety","volume":"24","author":[{"family":"Abudayyeh","given":"Osama"},{"family":"Fredericks","given":"Tycho K."},{"family":"Butt","given":"Steven E."},{"family":"Shaar","given":"Areen"}],"issued":{"date-parts":[["2006",2]]}}}],"schema":"https://github.com/citation-style-language/schema/raw/master/csl-citation.json"} </w:instrText>
      </w:r>
      <w:r>
        <w:fldChar w:fldCharType="separate"/>
      </w:r>
      <w:r w:rsidR="00E17813" w:rsidRPr="00E17813">
        <w:rPr>
          <w:rFonts w:cs="Times New Roman"/>
          <w:kern w:val="0"/>
          <w:vertAlign w:val="superscript"/>
        </w:rPr>
        <w:t>[98]</w:t>
      </w:r>
      <w:r>
        <w:fldChar w:fldCharType="end"/>
      </w:r>
      <w:r>
        <w:t>。</w:t>
      </w:r>
      <w:r>
        <w:rPr>
          <w:rFonts w:hint="eastAsia"/>
        </w:rPr>
        <w:t>优选供应商，提高供应链效率，制定高性价比的采购方案，则有利于控制成本，进而</w:t>
      </w:r>
      <w:r>
        <w:t>提升清洁能源基地的经济效益</w:t>
      </w:r>
      <w:r>
        <w:fldChar w:fldCharType="begin"/>
      </w:r>
      <w:r w:rsidR="00E17813">
        <w:instrText xml:space="preserve"> ADDIN ZOTERO_ITEM CSL_CITATION {"citationID":"a1v3buueh35","properties":{"formattedCitation":"\\super [99]\\nosupersub{}","plainCitation":"[99]","noteIndex":0},"citationItems":[{"id":3674,"uris":["http://zotero.org/users/13172592/items/YJD2B468"],"itemData":{"id":3674,"type":"article-journal","abstract":"Cost control in the wind power construction project is essential under the trend of developing wind power in China. In order to carry out cost control effectively, structural interpretation model(ISM) is used to identify and analyze the major factors that affect the implementation of cost control and the hierarchy relationships between each other. In this way, the surface causes, the middle causes and the underlying causes that affect the cost control in the wind power construction project have been found, which provides decision theory for the smooth implementation of cost control in China's current wind power construction projects.","collection-title":"International Conference on Applied Physics and Industrial Engineering 2012","container-title":"Physics Procedia","DOI":"10.1016/j.phpro.2012.02.086","ISSN":"1875-3892","journalAbbreviation":"Physics Procedia","language":"en","page":"587-590","source":"ScienceDirect","title":"The ISM analysis on influence factors of cost control in the wind power construction project","volume":"24","author":[{"family":"Yunna","given":"Wu"},{"family":"Qing","given":"Bian"},{"family":"Ping","given":"Lin"}],"issued":{"date-parts":[["2012",1,1]]}}}],"schema":"https://github.com/citation-style-language/schema/raw/master/csl-citation.json"} </w:instrText>
      </w:r>
      <w:r>
        <w:fldChar w:fldCharType="separate"/>
      </w:r>
      <w:r w:rsidR="00E17813" w:rsidRPr="00E17813">
        <w:rPr>
          <w:rFonts w:cs="Times New Roman"/>
          <w:kern w:val="0"/>
          <w:vertAlign w:val="superscript"/>
        </w:rPr>
        <w:t>[99]</w:t>
      </w:r>
      <w:r>
        <w:fldChar w:fldCharType="end"/>
      </w:r>
      <w:r>
        <w:rPr>
          <w:rFonts w:hint="eastAsia"/>
        </w:rPr>
        <w:t>。持续优化设计方案，并进行</w:t>
      </w:r>
      <w:r w:rsidRPr="00E479B4">
        <w:rPr>
          <w:rFonts w:hint="eastAsia"/>
        </w:rPr>
        <w:t>施工工艺</w:t>
      </w:r>
      <w:r>
        <w:rPr>
          <w:rFonts w:hint="eastAsia"/>
        </w:rPr>
        <w:t>创新，也有助于提升资源利用效率，并减少</w:t>
      </w:r>
      <w:r>
        <w:t>清洁能源基地</w:t>
      </w:r>
      <w:r>
        <w:rPr>
          <w:rFonts w:hint="eastAsia"/>
        </w:rPr>
        <w:t>开发对环境的负面影响</w:t>
      </w:r>
      <w:r>
        <w:fldChar w:fldCharType="begin"/>
      </w:r>
      <w:r w:rsidR="00E17813">
        <w:instrText xml:space="preserve"> ADDIN ZOTERO_ITEM CSL_CITATION {"citationID":"a2dg7dm252h","properties":{"formattedCitation":"\\super [53,54]\\nosupersub{}","plainCitation":"[53,54]","noteIndex":0},"citationItems":[{"id":3803,"uris":["http://zotero.org/users/13172592/items/YTLSDMGW"],"</w:instrText>
      </w:r>
      <w:r w:rsidR="00E17813">
        <w:rPr>
          <w:rFonts w:hint="eastAsia"/>
        </w:rPr>
        <w:instrText>itemData":{"id":3803,"type":"thesis","event-place":"</w:instrText>
      </w:r>
      <w:r w:rsidR="00E17813">
        <w:rPr>
          <w:rFonts w:hint="eastAsia"/>
        </w:rPr>
        <w:instrText>北京</w:instrText>
      </w:r>
      <w:r w:rsidR="00E17813">
        <w:rPr>
          <w:rFonts w:hint="eastAsia"/>
        </w:rPr>
        <w:instrText>","publisher":"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价值共创视角下水利水电工程设计管理研究</w:instrText>
      </w:r>
      <w:r w:rsidR="00E17813">
        <w:rPr>
          <w:rFonts w:hint="eastAsia"/>
        </w:rPr>
        <w:instrText>","author":[{"family":"</w:instrText>
      </w:r>
      <w:r w:rsidR="00E17813">
        <w:rPr>
          <w:rFonts w:hint="eastAsia"/>
        </w:rPr>
        <w:instrText>刘</w:instrText>
      </w:r>
      <w:r w:rsidR="00E17813">
        <w:rPr>
          <w:rFonts w:hint="eastAsia"/>
        </w:rPr>
        <w:instrText>","given":"</w:instrText>
      </w:r>
      <w:r w:rsidR="00E17813">
        <w:rPr>
          <w:rFonts w:hint="eastAsia"/>
        </w:rPr>
        <w:instrText>扬</w:instrText>
      </w:r>
      <w:r w:rsidR="00E17813">
        <w:rPr>
          <w:rFonts w:hint="eastAsia"/>
        </w:rPr>
        <w:instrText>"}],"issued":{"date-parts":[["2023"]]}}},{"id":2996,"uris":["http://zotero.org/users/13172592/items/9VHB8M2S"],"itemData":{"id":2996,"type":"thesis","event-place":"</w:instrText>
      </w:r>
      <w:r w:rsidR="00E17813">
        <w:rPr>
          <w:rFonts w:hint="eastAsia"/>
        </w:rPr>
        <w:instrText>北京</w:instrText>
      </w:r>
      <w:r w:rsidR="00E17813">
        <w:rPr>
          <w:rFonts w:hint="eastAsia"/>
        </w:rPr>
        <w:instrText>","language":"en-US","publisher":"</w:instrText>
      </w:r>
      <w:r w:rsidR="00E17813">
        <w:rPr>
          <w:rFonts w:hint="eastAsia"/>
        </w:rPr>
        <w:instrText>清华大学</w:instrText>
      </w:r>
      <w:r w:rsidR="00E17813">
        <w:rPr>
          <w:rFonts w:hint="eastAsia"/>
        </w:rPr>
        <w:instrText>","publisher-place":"</w:instrText>
      </w:r>
      <w:r w:rsidR="00E17813">
        <w:rPr>
          <w:rFonts w:hint="eastAsia"/>
        </w:rPr>
        <w:instrText>北京</w:instrText>
      </w:r>
      <w:r w:rsidR="00E17813">
        <w:rPr>
          <w:rFonts w:hint="eastAsia"/>
        </w:rPr>
        <w:instrText>","title":"</w:instrText>
      </w:r>
      <w:r w:rsidR="00E17813">
        <w:rPr>
          <w:rFonts w:hint="eastAsia"/>
        </w:rPr>
        <w:instrText>清洁能源工程科技创新机理研究</w:instrText>
      </w:r>
      <w:r w:rsidR="00E17813">
        <w:rPr>
          <w:rFonts w:hint="eastAsia"/>
        </w:rPr>
        <w:instrText>","author":[{"family":"</w:instrText>
      </w:r>
      <w:r w:rsidR="00E17813">
        <w:rPr>
          <w:rFonts w:hint="eastAsia"/>
        </w:rPr>
        <w:instrText>张亚坤</w:instrText>
      </w:r>
      <w:r w:rsidR="00E17813">
        <w:rPr>
          <w:rFonts w:hint="eastAsia"/>
        </w:rPr>
        <w:instrText>","given":""}],"issued":{"date-parts":[["2024"]]}}}],"schema":"https:/</w:instrText>
      </w:r>
      <w:r w:rsidR="00E17813">
        <w:instrText xml:space="preserve">/github.com/citation-style-language/schema/raw/master/csl-citation.json"} </w:instrText>
      </w:r>
      <w:r>
        <w:fldChar w:fldCharType="separate"/>
      </w:r>
      <w:r w:rsidR="00E17813" w:rsidRPr="00E17813">
        <w:rPr>
          <w:rFonts w:cs="Times New Roman"/>
          <w:kern w:val="0"/>
          <w:vertAlign w:val="superscript"/>
        </w:rPr>
        <w:t>[53</w:t>
      </w:r>
      <w:r w:rsidR="00CA2FF6">
        <w:rPr>
          <w:rFonts w:cs="Times New Roman" w:hint="eastAsia"/>
          <w:kern w:val="0"/>
          <w:vertAlign w:val="superscript"/>
        </w:rPr>
        <w:t>-</w:t>
      </w:r>
      <w:r w:rsidR="00E17813" w:rsidRPr="00E17813">
        <w:rPr>
          <w:rFonts w:cs="Times New Roman"/>
          <w:kern w:val="0"/>
          <w:vertAlign w:val="superscript"/>
        </w:rPr>
        <w:t>54]</w:t>
      </w:r>
      <w:r>
        <w:fldChar w:fldCharType="end"/>
      </w:r>
      <w:r>
        <w:rPr>
          <w:rFonts w:hint="eastAsia"/>
        </w:rPr>
        <w:t>。基于此，提出假设</w:t>
      </w:r>
      <w:r>
        <w:rPr>
          <w:rFonts w:hint="eastAsia"/>
        </w:rPr>
        <w:t>14</w:t>
      </w:r>
      <w:r>
        <w:rPr>
          <w:rFonts w:hint="eastAsia"/>
        </w:rPr>
        <w:t>（</w:t>
      </w:r>
      <w:r>
        <w:rPr>
          <w:rFonts w:hint="eastAsia"/>
        </w:rPr>
        <w:t>H14</w:t>
      </w:r>
      <w:r>
        <w:rPr>
          <w:rFonts w:hint="eastAsia"/>
        </w:rPr>
        <w:t>）：</w:t>
      </w:r>
    </w:p>
    <w:p w14:paraId="25A5CDFF" w14:textId="77777777" w:rsidR="00873BC4" w:rsidRPr="00140912" w:rsidRDefault="00873BC4" w:rsidP="00873BC4">
      <w:pPr>
        <w:ind w:firstLine="422"/>
      </w:pPr>
      <w:r w:rsidRPr="00873BC4">
        <w:rPr>
          <w:rFonts w:hint="eastAsia"/>
          <w:b/>
          <w:bCs/>
        </w:rPr>
        <w:t>H14</w:t>
      </w:r>
      <w:r w:rsidRPr="00873BC4">
        <w:rPr>
          <w:rFonts w:hint="eastAsia"/>
          <w:b/>
          <w:bCs/>
        </w:rPr>
        <w:t>：</w:t>
      </w:r>
      <w:r>
        <w:rPr>
          <w:rFonts w:hint="eastAsia"/>
        </w:rPr>
        <w:t>清洁能源基地良好的实施水平能够提升</w:t>
      </w:r>
      <w:r>
        <w:rPr>
          <w:rFonts w:hint="eastAsia"/>
        </w:rPr>
        <w:t>项目群绩效。</w:t>
      </w:r>
    </w:p>
    <w:p w14:paraId="64DC753E" w14:textId="53C66E97" w:rsidR="00873BC4" w:rsidRDefault="00873BC4" w:rsidP="00873BC4">
      <w:pPr>
        <w:ind w:firstLine="420"/>
      </w:pPr>
      <w:r w:rsidRPr="00E479B4">
        <w:rPr>
          <w:rFonts w:hint="eastAsia"/>
        </w:rPr>
        <w:t>清洁能源基地的运营水平是清洁能源基地</w:t>
      </w:r>
      <w:r>
        <w:rPr>
          <w:rFonts w:hint="eastAsia"/>
        </w:rPr>
        <w:t>创造</w:t>
      </w:r>
      <w:r w:rsidRPr="00E479B4">
        <w:rPr>
          <w:rFonts w:hint="eastAsia"/>
        </w:rPr>
        <w:t>价值</w:t>
      </w:r>
      <w:r>
        <w:rPr>
          <w:rFonts w:hint="eastAsia"/>
        </w:rPr>
        <w:t>并实现</w:t>
      </w:r>
      <w:r w:rsidRPr="00E479B4">
        <w:rPr>
          <w:rFonts w:hint="eastAsia"/>
        </w:rPr>
        <w:t>绩效提升的关键因素。</w:t>
      </w:r>
      <w:r>
        <w:rPr>
          <w:rFonts w:hint="eastAsia"/>
        </w:rPr>
        <w:t>其中，</w:t>
      </w:r>
      <w:r>
        <w:t>顺利并网发电是清洁能源基地进入电力市场并获取收益的前提条件。安全稳定运行</w:t>
      </w:r>
      <w:r>
        <w:rPr>
          <w:rFonts w:hint="eastAsia"/>
        </w:rPr>
        <w:t>一方面保障电厂运维作业人员的安全，另一方面维持</w:t>
      </w:r>
      <w:r>
        <w:t>电网的</w:t>
      </w:r>
      <w:r>
        <w:rPr>
          <w:rFonts w:hint="eastAsia"/>
        </w:rPr>
        <w:t>可靠、稳定运行</w:t>
      </w:r>
      <w:r>
        <w:t>，</w:t>
      </w:r>
      <w:r>
        <w:rPr>
          <w:rFonts w:hint="eastAsia"/>
        </w:rPr>
        <w:t>以</w:t>
      </w:r>
      <w:r>
        <w:t>满足社会</w:t>
      </w:r>
      <w:r>
        <w:rPr>
          <w:rFonts w:hint="eastAsia"/>
        </w:rPr>
        <w:t>的电力</w:t>
      </w:r>
      <w:r>
        <w:t>需求，提升社会效益</w:t>
      </w:r>
      <w:r>
        <w:fldChar w:fldCharType="begin"/>
      </w:r>
      <w:r w:rsidR="00E17813">
        <w:instrText xml:space="preserve"> ADDIN ZOTERO_ITEM CSL_CITATION {"citationID":"a27crsrkpgh","properties":{"formattedCitation":"\\super [100]\\nosupersub{}","plainCitation":"[100]","noteIndex":0},"citationItems":[{"id":4139,"uris":["http://zotero.org/users/13172592/items/MYMC6A5U"],"itemData":{"id":4139,"type":"article-journal","container-title":"Technological Forecasting &amp; Social Change","issue":"2016","language":"en","page":"102-110","source":"Zotero","title":"Social and political impacts of renewable energy: Literature review","volume":"108","author":[{"family":"Sheikh","given":"Nasir J"},{"family":"Kocaoglu","given":"Dundar F"},{"family":"Lutzenhiser","given":"Loren"}],"issued":{"date-parts":[["2016"]]}}}],"schema":"https://github.com/citation-style-language/schema/raw/master/csl-citation.json"} </w:instrText>
      </w:r>
      <w:r>
        <w:fldChar w:fldCharType="separate"/>
      </w:r>
      <w:r w:rsidR="00E17813" w:rsidRPr="00E17813">
        <w:rPr>
          <w:rFonts w:cs="Times New Roman"/>
          <w:kern w:val="0"/>
          <w:vertAlign w:val="superscript"/>
        </w:rPr>
        <w:t>[100]</w:t>
      </w:r>
      <w:r>
        <w:fldChar w:fldCharType="end"/>
      </w:r>
      <w:r>
        <w:t>。</w:t>
      </w:r>
      <w:r>
        <w:rPr>
          <w:rFonts w:hint="eastAsia"/>
        </w:rPr>
        <w:t>应用数字化技术实现</w:t>
      </w:r>
      <w:r w:rsidRPr="00E479B4">
        <w:rPr>
          <w:rFonts w:hint="eastAsia"/>
        </w:rPr>
        <w:t>清洁能源基地</w:t>
      </w:r>
      <w:r>
        <w:rPr>
          <w:rFonts w:hint="eastAsia"/>
        </w:rPr>
        <w:t>的智慧调度与运营，有利于实现多能互补，及时响应负荷需求，降低弃风、弃光、弃水，以提升能源利用效率，促进清洁能源消纳</w:t>
      </w:r>
      <w:r>
        <w:fldChar w:fldCharType="begin"/>
      </w:r>
      <w:r w:rsidR="00EB7246">
        <w:instrText xml:space="preserve"> ADDIN ZOTERO_ITEM CSL_CITATION {"citationID":"am38tb0cv6","properties":{"formattedCitation":"\\super [40,42]\\nosupersub{}","plainCitation":"[40,42]","noteIndex":0},"citationItems":[{"id":3782,"uris":["http://zotero.org/users/13172592/items/ZSPGCAZW"],"itemData":{"id":3782,"type":"article-journal","abstract":"Renewable energy technology innovation (RETI) has become a key factor in mitigating climate change and promoting sustainable development of the world economy, but there is no literature on the effect of information and communication technology (ICT) on RETI and its impact mechanism. This paper measures RETI using panel data for 70 countries from 2005 to 2019 based on the combination of diffusion and depreciation effects of technological innovation and systematically examines the direct and mediating mechanisms of ICT's effect on RETI. The results show that ICT significantly contributes to RETI and even holds after addressing endogeneity, replacing the explanatory or explanatory variables, excluding extreme values, and excluding the effects of the financial crisis. The results of the transmission mechanism analysis indicate that ICT affects RETI through human capital accumulation, financial development, and information disclosure, meaning that human capital, financial development, and information disclosure are important mediating transmission mechanisms. The results of heterogeneity analysis note significant economic organizational heterogeneity and innovation environment heterogeneity of ICT to RETI. Specifically, in IEA and OECD member nations as well as in the high renewable energy consumption and high R&amp;D investment groups, the contribution effect of ICT on RETI is more significant.","call-number":"1","container-title":"Renewable Energy","DOI":"10.1016/j.renene.2022.10.015","ISSN":"0960-1481","journalAbbreviation":"Renewable Energy","language":"en","page":"546-557","source":"9","title":"How does information and communication technology affect renewable energy technology innovation? International evidence","title-short":"How does information and communication technology affect renewable energy technology innovation?","volume":"200","author":[{"family":"Lee","given":"Chien-Chiang"},{"family":"He","given":"Zhi-Wen"},{"family":"Xiao","given":"Fu"}],</w:instrText>
      </w:r>
      <w:r w:rsidR="00EB7246">
        <w:rPr>
          <w:rFonts w:hint="eastAsia"/>
        </w:rPr>
        <w:instrText>"issued":{"date-parts":[["2022",11,1]]}}},{"id":3304,"uris":["http://zotero.org/users/13172592/items/SM667CBB"],"itemData":{"id":3304,"type":"article-journal","abstract":"</w:instrText>
      </w:r>
      <w:r w:rsidR="00EB7246">
        <w:rPr>
          <w:rFonts w:hint="eastAsia"/>
        </w:rPr>
        <w:instrText>大力推动可再生能源发展是应对当前能源危机和环境问题的重要手段</w:instrText>
      </w:r>
      <w:r w:rsidR="00EB7246">
        <w:rPr>
          <w:rFonts w:hint="eastAsia"/>
        </w:rPr>
        <w:instrText>,</w:instrText>
      </w:r>
      <w:r w:rsidR="00EB7246">
        <w:rPr>
          <w:rFonts w:hint="eastAsia"/>
        </w:rPr>
        <w:instrText>全球许多国家和地区陆续提出未来向</w:instrText>
      </w:r>
      <w:r w:rsidR="00EB7246">
        <w:rPr>
          <w:rFonts w:hint="eastAsia"/>
        </w:rPr>
        <w:instrText>100%</w:instrText>
      </w:r>
      <w:r w:rsidR="00EB7246">
        <w:rPr>
          <w:rFonts w:hint="eastAsia"/>
        </w:rPr>
        <w:instrText>可再生能源电力系统</w:instrText>
      </w:r>
      <w:r w:rsidR="00EB7246">
        <w:rPr>
          <w:rFonts w:hint="eastAsia"/>
        </w:rPr>
        <w:instrText>(100%renewableenergypower systems,100%REPS)</w:instrText>
      </w:r>
      <w:r w:rsidR="00EB7246">
        <w:rPr>
          <w:rFonts w:hint="eastAsia"/>
        </w:rPr>
        <w:instrText>转型的设想</w:instrText>
      </w:r>
      <w:r w:rsidR="00EB7246">
        <w:rPr>
          <w:rFonts w:hint="eastAsia"/>
        </w:rPr>
        <w:instrText>,</w:instrText>
      </w:r>
      <w:r w:rsidR="00EB7246">
        <w:rPr>
          <w:rFonts w:hint="eastAsia"/>
        </w:rPr>
        <w:instrText>相关学术研究成果在近年来也持续大量涌现。为全面综述该领域的国内外研究现状和发展趋势</w:instrText>
      </w:r>
      <w:r w:rsidR="00EB7246">
        <w:rPr>
          <w:rFonts w:hint="eastAsia"/>
        </w:rPr>
        <w:instrText>,</w:instrText>
      </w:r>
      <w:r w:rsidR="00EB7246">
        <w:rPr>
          <w:rFonts w:hint="eastAsia"/>
        </w:rPr>
        <w:instrText>对进一步开展该领域相关研究工作提供参考和借鉴</w:instrText>
      </w:r>
      <w:r w:rsidR="00EB7246">
        <w:rPr>
          <w:rFonts w:hint="eastAsia"/>
        </w:rPr>
        <w:instrText>,</w:instrText>
      </w:r>
      <w:r w:rsidR="00EB7246">
        <w:rPr>
          <w:rFonts w:hint="eastAsia"/>
        </w:rPr>
        <w:instrText>该文阐述</w:instrText>
      </w:r>
      <w:r w:rsidR="00EB7246">
        <w:rPr>
          <w:rFonts w:hint="eastAsia"/>
        </w:rPr>
        <w:instrText>100%REPS</w:instrText>
      </w:r>
      <w:r w:rsidR="00EB7246">
        <w:rPr>
          <w:rFonts w:hint="eastAsia"/>
        </w:rPr>
        <w:instrText>的基本概念及其与碳中和电力系统、纯清洁能源电力系统的联系和区别</w:instrText>
      </w:r>
      <w:r w:rsidR="00EB7246">
        <w:rPr>
          <w:rFonts w:hint="eastAsia"/>
        </w:rPr>
        <w:instrText>,</w:instrText>
      </w:r>
      <w:r w:rsidR="00EB7246">
        <w:rPr>
          <w:rFonts w:hint="eastAsia"/>
        </w:rPr>
        <w:instrText>从技术、经济、政策</w:instrText>
      </w:r>
      <w:r w:rsidR="00EB7246">
        <w:rPr>
          <w:rFonts w:hint="eastAsia"/>
        </w:rPr>
        <w:instrText>3</w:instrText>
      </w:r>
      <w:r w:rsidR="00EB7246">
        <w:rPr>
          <w:rFonts w:hint="eastAsia"/>
        </w:rPr>
        <w:instrText>方面分析构建</w:instrText>
      </w:r>
      <w:r w:rsidR="00EB7246">
        <w:rPr>
          <w:rFonts w:hint="eastAsia"/>
        </w:rPr>
        <w:instrText>100%REPS</w:instrText>
      </w:r>
      <w:r w:rsidR="00EB7246">
        <w:rPr>
          <w:rFonts w:hint="eastAsia"/>
        </w:rPr>
        <w:instrText>将面临的主要挑战。在此基础上</w:instrText>
      </w:r>
      <w:r w:rsidR="00EB7246">
        <w:rPr>
          <w:rFonts w:hint="eastAsia"/>
        </w:rPr>
        <w:instrText>,</w:instrText>
      </w:r>
      <w:r w:rsidR="00EB7246">
        <w:rPr>
          <w:rFonts w:hint="eastAsia"/>
        </w:rPr>
        <w:instrText>从电源规划、网架规划、无功配置、稳定性分析与控制、运行调度、电能质量优化</w:instrText>
      </w:r>
      <w:r w:rsidR="00EB7246">
        <w:rPr>
          <w:rFonts w:hint="eastAsia"/>
        </w:rPr>
        <w:instrText>6</w:instrText>
      </w:r>
      <w:r w:rsidR="00EB7246">
        <w:rPr>
          <w:rFonts w:hint="eastAsia"/>
        </w:rPr>
        <w:instrText>个环节</w:instrText>
      </w:r>
      <w:r w:rsidR="00EB7246">
        <w:rPr>
          <w:rFonts w:hint="eastAsia"/>
        </w:rPr>
        <w:instrText>,</w:instrText>
      </w:r>
      <w:r w:rsidR="00EB7246">
        <w:rPr>
          <w:rFonts w:hint="eastAsia"/>
        </w:rPr>
        <w:instrText>综述当前相关研究成果</w:instrText>
      </w:r>
      <w:r w:rsidR="00EB7246">
        <w:rPr>
          <w:rFonts w:hint="eastAsia"/>
        </w:rPr>
        <w:instrText>,</w:instrText>
      </w:r>
      <w:r w:rsidR="00EB7246">
        <w:rPr>
          <w:rFonts w:hint="eastAsia"/>
        </w:rPr>
        <w:instrText>拟定应对这些挑战的潜在研究方向</w:instrText>
      </w:r>
      <w:r w:rsidR="00EB7246">
        <w:rPr>
          <w:rFonts w:hint="eastAsia"/>
        </w:rPr>
        <w:instrText>,</w:instrText>
      </w:r>
      <w:r w:rsidR="00EB7246">
        <w:rPr>
          <w:rFonts w:hint="eastAsia"/>
        </w:rPr>
        <w:instrText>分析其中需要重点关注的难点问题</w:instrText>
      </w:r>
      <w:r w:rsidR="00EB7246">
        <w:rPr>
          <w:rFonts w:hint="eastAsia"/>
        </w:rPr>
        <w:instrText>,</w:instrText>
      </w:r>
      <w:r w:rsidR="00EB7246">
        <w:rPr>
          <w:rFonts w:hint="eastAsia"/>
        </w:rPr>
        <w:instrText>进而提出一套面向</w:instrText>
      </w:r>
      <w:r w:rsidR="00EB7246">
        <w:rPr>
          <w:rFonts w:hint="eastAsia"/>
        </w:rPr>
        <w:instrText>100%REPS</w:instrText>
      </w:r>
      <w:r w:rsidR="00EB7246">
        <w:rPr>
          <w:rFonts w:hint="eastAsia"/>
        </w:rPr>
        <w:instrText>的研究框架。最后</w:instrText>
      </w:r>
      <w:r w:rsidR="00EB7246">
        <w:rPr>
          <w:rFonts w:hint="eastAsia"/>
        </w:rPr>
        <w:instrText>,</w:instrText>
      </w:r>
      <w:r w:rsidR="00EB7246">
        <w:rPr>
          <w:rFonts w:hint="eastAsia"/>
        </w:rPr>
        <w:instrText>对未来</w:instrText>
      </w:r>
      <w:r w:rsidR="00EB7246">
        <w:rPr>
          <w:rFonts w:hint="eastAsia"/>
        </w:rPr>
        <w:instrText>100%REPS</w:instrText>
      </w:r>
      <w:r w:rsidR="00EB7246">
        <w:rPr>
          <w:rFonts w:hint="eastAsia"/>
        </w:rPr>
        <w:instrText>的应用实践与探索进行总结和展望。</w:instrText>
      </w:r>
      <w:r w:rsidR="00EB7246">
        <w:rPr>
          <w:rFonts w:hint="eastAsia"/>
        </w:rPr>
        <w:instrText>","container-title":"</w:instrText>
      </w:r>
      <w:r w:rsidR="00EB7246">
        <w:rPr>
          <w:rFonts w:hint="eastAsia"/>
        </w:rPr>
        <w:instrText>中国电机工程学报</w:instrText>
      </w:r>
      <w:r w:rsidR="00EB7246">
        <w:rPr>
          <w:rFonts w:hint="eastAsia"/>
        </w:rPr>
        <w:instrText>","DOI":"10.13334/j.0258-8013.pcsee.192031","ISSN":"0258-8013","issue":"6","language":"zh-CN","page":"1843-1856","source":"CNKI","title":"</w:instrText>
      </w:r>
      <w:r w:rsidR="00EB7246">
        <w:rPr>
          <w:rFonts w:hint="eastAsia"/>
        </w:rPr>
        <w:instrText>构建</w:instrText>
      </w:r>
      <w:r w:rsidR="00EB7246">
        <w:rPr>
          <w:rFonts w:hint="eastAsia"/>
        </w:rPr>
        <w:instrText>100%</w:instrText>
      </w:r>
      <w:r w:rsidR="00EB7246">
        <w:rPr>
          <w:rFonts w:hint="eastAsia"/>
        </w:rPr>
        <w:instrText>可再生能源电力系统述评与展望</w:instrText>
      </w:r>
      <w:r w:rsidR="00EB7246">
        <w:rPr>
          <w:rFonts w:hint="eastAsia"/>
        </w:rPr>
        <w:instrText>","volume":"40","author":[{"family":"</w:instrText>
      </w:r>
      <w:r w:rsidR="00EB7246">
        <w:rPr>
          <w:rFonts w:hint="eastAsia"/>
        </w:rPr>
        <w:instrText>文</w:instrText>
      </w:r>
      <w:r w:rsidR="00EB7246">
        <w:rPr>
          <w:rFonts w:hint="eastAsia"/>
        </w:rPr>
        <w:instrText>","given":"</w:instrText>
      </w:r>
      <w:r w:rsidR="00EB7246">
        <w:rPr>
          <w:rFonts w:hint="eastAsia"/>
        </w:rPr>
        <w:instrText>云峰</w:instrText>
      </w:r>
      <w:r w:rsidR="00EB7246">
        <w:rPr>
          <w:rFonts w:hint="eastAsia"/>
        </w:rPr>
        <w:instrText>"},{"family":"</w:instrText>
      </w:r>
      <w:r w:rsidR="00EB7246">
        <w:rPr>
          <w:rFonts w:hint="eastAsia"/>
        </w:rPr>
        <w:instrText>杨</w:instrText>
      </w:r>
      <w:r w:rsidR="00EB7246">
        <w:rPr>
          <w:rFonts w:hint="eastAsia"/>
        </w:rPr>
        <w:instrText>","given":"</w:instrText>
      </w:r>
      <w:r w:rsidR="00EB7246">
        <w:rPr>
          <w:rFonts w:hint="eastAsia"/>
        </w:rPr>
        <w:instrText>伟峰</w:instrText>
      </w:r>
      <w:r w:rsidR="00EB7246">
        <w:rPr>
          <w:rFonts w:hint="eastAsia"/>
        </w:rPr>
        <w:instrText>"},{"family":"</w:instrText>
      </w:r>
      <w:r w:rsidR="00EB7246">
        <w:rPr>
          <w:rFonts w:hint="eastAsia"/>
        </w:rPr>
        <w:instrText>汪</w:instrText>
      </w:r>
      <w:r w:rsidR="00EB7246">
        <w:rPr>
          <w:rFonts w:hint="eastAsia"/>
        </w:rPr>
        <w:instrText>","given":"</w:instrText>
      </w:r>
      <w:r w:rsidR="00EB7246">
        <w:rPr>
          <w:rFonts w:hint="eastAsia"/>
        </w:rPr>
        <w:instrText>荣华</w:instrText>
      </w:r>
      <w:r w:rsidR="00EB7246">
        <w:rPr>
          <w:rFonts w:hint="eastAsia"/>
        </w:rPr>
        <w:instrText>"},{"family":"</w:instrText>
      </w:r>
      <w:r w:rsidR="00EB7246">
        <w:rPr>
          <w:rFonts w:hint="eastAsia"/>
        </w:rPr>
        <w:instrText>胥</w:instrText>
      </w:r>
      <w:r w:rsidR="00EB7246">
        <w:rPr>
          <w:rFonts w:hint="eastAsia"/>
        </w:rPr>
        <w:instrText>","given":"</w:instrText>
      </w:r>
      <w:r w:rsidR="00EB7246">
        <w:rPr>
          <w:rFonts w:hint="eastAsia"/>
        </w:rPr>
        <w:instrText>威汀</w:instrText>
      </w:r>
      <w:r w:rsidR="00EB7246">
        <w:rPr>
          <w:rFonts w:hint="eastAsia"/>
        </w:rPr>
        <w:instrText>"},{"family":"</w:instrText>
      </w:r>
      <w:r w:rsidR="00EB7246">
        <w:rPr>
          <w:rFonts w:hint="eastAsia"/>
        </w:rPr>
        <w:instrText>叶</w:instrText>
      </w:r>
      <w:r w:rsidR="00EB7246">
        <w:rPr>
          <w:rFonts w:hint="eastAsia"/>
        </w:rPr>
        <w:instrText>","given":"</w:instrText>
      </w:r>
      <w:r w:rsidR="00EB7246">
        <w:rPr>
          <w:rFonts w:hint="eastAsia"/>
        </w:rPr>
        <w:instrText>希</w:instrText>
      </w:r>
      <w:r w:rsidR="00EB7246">
        <w:rPr>
          <w:rFonts w:hint="eastAsia"/>
        </w:rPr>
        <w:instrText>"},{"family":"</w:instrText>
      </w:r>
      <w:r w:rsidR="00EB7246">
        <w:rPr>
          <w:rFonts w:hint="eastAsia"/>
        </w:rPr>
        <w:instrText>李</w:instrText>
      </w:r>
      <w:r w:rsidR="00EB7246">
        <w:rPr>
          <w:rFonts w:hint="eastAsia"/>
        </w:rPr>
        <w:instrText>","given":"</w:instrText>
      </w:r>
      <w:r w:rsidR="00EB7246">
        <w:rPr>
          <w:rFonts w:hint="eastAsia"/>
        </w:rPr>
        <w:instrText>婷</w:instrText>
      </w:r>
      <w:r w:rsidR="00EB7246">
        <w:rPr>
          <w:rFonts w:hint="eastAsia"/>
        </w:rPr>
        <w:instrText>"}],"issued":{"date-parts":[["2020"]]}}}],"schema":"https://github.com/citation-</w:instrText>
      </w:r>
      <w:r w:rsidR="00EB7246">
        <w:instrText xml:space="preserve">style-language/schema/raw/master/csl-citation.json"} </w:instrText>
      </w:r>
      <w:r>
        <w:fldChar w:fldCharType="separate"/>
      </w:r>
      <w:r w:rsidR="00EB7246" w:rsidRPr="00EB7246">
        <w:rPr>
          <w:rFonts w:cs="Times New Roman"/>
          <w:kern w:val="0"/>
          <w:vertAlign w:val="superscript"/>
        </w:rPr>
        <w:t>[40,42]</w:t>
      </w:r>
      <w:r>
        <w:fldChar w:fldCharType="end"/>
      </w:r>
      <w:r>
        <w:rPr>
          <w:rFonts w:hint="eastAsia"/>
        </w:rPr>
        <w:t>。</w:t>
      </w:r>
      <w:r>
        <w:t>这不仅减少了碳排放和环境负荷，</w:t>
      </w:r>
      <w:r>
        <w:rPr>
          <w:rFonts w:hint="eastAsia"/>
        </w:rPr>
        <w:t>也</w:t>
      </w:r>
      <w:r>
        <w:t>增强了清洁能源基地参与电力市场的灵活性与竞争力，进一步提升其经济效益</w:t>
      </w:r>
      <w:r>
        <w:fldChar w:fldCharType="begin"/>
      </w:r>
      <w:r w:rsidR="00E17813">
        <w:instrText xml:space="preserve"> ADDIN ZOTERO_ITEM CSL_CITATION {"citationID":"a20hlk5baqu","properties":{"formattedCitation":"\\super [101,102]\\nosupersub{}","plainCitation":"[101,102]","noteIndex":0},"citationItems":[{"id":4140,"uris":["http://zotero.org/users/13172592/items/R2HQX7HM"],"itemData":{"id":4140,"type":"article-journal","abstract":"Achieving solutions to environmental problems that we face today requires long-term potential actions for sustainable development. In this regard, ren…","container-title":"Renewable and Sustainable Energy Reviews","DOI":"10.1016/S1364-0321(99)00011-8","ISSN":"1364-0321","issue":"2","language":"en","note":"publisher: Pergamon","page":"157-175","source":"www.sciencedirect.com","title":"Renewable energy and sustainable development: A crucial review","title-short":"Renewable energy and sustainable development","volume":"4","author":[{"family":"Dincer","given":"Ibrahim"}],"issued":{"date-parts":[["2000",6,1]]}}},{"id":719,"uris":["http://zotero.org/users/13172592/items/XSI9X2FH"],"itemData":{"id":719,"type":"article-journal","abstract":"Research on climate change impacts on renewable energy is becoming increasingly relevant due to the vulnerability of the sector and to the continual development of methodologies and availability of data. Public and private decision-making needs specific research. However, many gaps still exist in certain geographical regions and technologies. Providing economic estimates with a value chain perspective are also missing from most papers. This paper addresses the most relevant studies that project quantitative estimates of climate change impacts on solar, wind, hydro and other renewable generation technologies. Summary tables of impacts and projections are provided so that researchers, governments and the private sector may have an accurate view of the state-ofthe-art on this topic.","container-title":"Renewable and Sustainable Energy Reviews","DOI":"10.1016/j.rser.2019.109415","ISSN":"13640321","journalAbbreviation":"Renewable and Sustainable Energy Reviews","language":"en","page":"109415","source":"DOI.org (Crossref)","title":"Climate change impacts on renewable energy generation: A review of quantitative projections","volume":"116","author":[{"family":"Solaun","given":"Kepa"},{"family":"Cerdá","given":"Emilio"}],"issued":{"date-parts":[["2019",12]]}}}],"schema":"https://github.com/citation-style-language/schema/raw/master/csl-citation.json"} </w:instrText>
      </w:r>
      <w:r>
        <w:fldChar w:fldCharType="separate"/>
      </w:r>
      <w:r w:rsidR="00E17813" w:rsidRPr="00E17813">
        <w:rPr>
          <w:rFonts w:cs="Times New Roman"/>
          <w:kern w:val="0"/>
          <w:vertAlign w:val="superscript"/>
        </w:rPr>
        <w:t>[101</w:t>
      </w:r>
      <w:r w:rsidR="00CA2FF6">
        <w:rPr>
          <w:rFonts w:cs="Times New Roman" w:hint="eastAsia"/>
          <w:kern w:val="0"/>
          <w:vertAlign w:val="superscript"/>
        </w:rPr>
        <w:t>-</w:t>
      </w:r>
      <w:r w:rsidR="00E17813" w:rsidRPr="00E17813">
        <w:rPr>
          <w:rFonts w:cs="Times New Roman"/>
          <w:kern w:val="0"/>
          <w:vertAlign w:val="superscript"/>
        </w:rPr>
        <w:t>102]</w:t>
      </w:r>
      <w:r>
        <w:fldChar w:fldCharType="end"/>
      </w:r>
      <w:r>
        <w:t>。</w:t>
      </w:r>
      <w:r>
        <w:rPr>
          <w:rFonts w:hint="eastAsia"/>
        </w:rPr>
        <w:t>基于此，提出假设</w:t>
      </w:r>
      <w:r>
        <w:rPr>
          <w:rFonts w:hint="eastAsia"/>
        </w:rPr>
        <w:t>15</w:t>
      </w:r>
      <w:r>
        <w:rPr>
          <w:rFonts w:hint="eastAsia"/>
        </w:rPr>
        <w:t>（</w:t>
      </w:r>
      <w:r>
        <w:rPr>
          <w:rFonts w:hint="eastAsia"/>
        </w:rPr>
        <w:t>H15</w:t>
      </w:r>
      <w:r>
        <w:rPr>
          <w:rFonts w:hint="eastAsia"/>
        </w:rPr>
        <w:t>）：</w:t>
      </w:r>
    </w:p>
    <w:p w14:paraId="788AC1E8" w14:textId="77777777" w:rsidR="00873BC4" w:rsidRPr="00140912" w:rsidRDefault="00873BC4" w:rsidP="00873BC4">
      <w:pPr>
        <w:ind w:firstLine="422"/>
      </w:pPr>
      <w:r w:rsidRPr="00873BC4">
        <w:rPr>
          <w:rFonts w:hint="eastAsia"/>
          <w:b/>
          <w:bCs/>
        </w:rPr>
        <w:t>H15</w:t>
      </w:r>
      <w:r w:rsidRPr="00873BC4">
        <w:rPr>
          <w:rFonts w:hint="eastAsia"/>
          <w:b/>
          <w:bCs/>
        </w:rPr>
        <w:t>：</w:t>
      </w:r>
      <w:r>
        <w:rPr>
          <w:rFonts w:hint="eastAsia"/>
        </w:rPr>
        <w:t>清洁能源基地良好的运营水平能够提升项目群绩效。</w:t>
      </w:r>
    </w:p>
    <w:p w14:paraId="1DB3EE72" w14:textId="2988BE1D" w:rsidR="00BC1DF7" w:rsidRPr="009672E3" w:rsidRDefault="00BC1DF7" w:rsidP="00C82022">
      <w:pPr>
        <w:ind w:firstLine="420"/>
      </w:pPr>
      <w:r>
        <w:rPr>
          <w:rFonts w:cs="Times New Roman" w:hint="eastAsia"/>
        </w:rPr>
        <w:t>综上</w:t>
      </w:r>
      <w:r w:rsidRPr="00B50037">
        <w:rPr>
          <w:rFonts w:ascii="宋体" w:hAnsi="宋体" w:cs="Times New Roman"/>
        </w:rPr>
        <w:t>，</w:t>
      </w:r>
      <w:r w:rsidR="009672E3">
        <w:rPr>
          <w:rFonts w:ascii="宋体" w:hAnsi="宋体" w:cs="Times New Roman" w:hint="eastAsia"/>
        </w:rPr>
        <w:t>本研究</w:t>
      </w:r>
      <w:r w:rsidRPr="00B50037">
        <w:rPr>
          <w:rFonts w:ascii="宋体" w:hAnsi="宋体" w:cs="Times New Roman"/>
        </w:rPr>
        <w:t>构建</w:t>
      </w:r>
      <w:r>
        <w:rPr>
          <w:rFonts w:ascii="宋体" w:hAnsi="宋体" w:cs="Times New Roman" w:hint="eastAsia"/>
        </w:rPr>
        <w:t>了</w:t>
      </w:r>
      <w:r w:rsidR="00873BC4">
        <w:rPr>
          <w:rFonts w:hint="eastAsia"/>
        </w:rPr>
        <w:t>清洁能源基地一体化</w:t>
      </w:r>
      <w:r>
        <w:rPr>
          <w:rFonts w:hint="eastAsia"/>
        </w:rPr>
        <w:t>管理模型，如</w:t>
      </w:r>
      <w:r>
        <w:fldChar w:fldCharType="begin"/>
      </w:r>
      <w:r>
        <w:instrText xml:space="preserve"> </w:instrText>
      </w:r>
      <w:r>
        <w:rPr>
          <w:rFonts w:hint="eastAsia"/>
        </w:rPr>
        <w:instrText>REF _Ref174310397 \h</w:instrText>
      </w:r>
      <w:r>
        <w:instrText xml:space="preserve"> </w:instrText>
      </w:r>
      <w:r>
        <w:fldChar w:fldCharType="separate"/>
      </w:r>
      <w:r w:rsidR="000F2689">
        <w:rPr>
          <w:rFonts w:hint="eastAsia"/>
        </w:rPr>
        <w:t>图</w:t>
      </w:r>
      <w:r w:rsidR="000F2689">
        <w:rPr>
          <w:rFonts w:hint="eastAsia"/>
        </w:rPr>
        <w:t xml:space="preserve"> </w:t>
      </w:r>
      <w:r w:rsidR="000F2689">
        <w:rPr>
          <w:noProof/>
        </w:rPr>
        <w:t>1</w:t>
      </w:r>
      <w:r>
        <w:fldChar w:fldCharType="end"/>
      </w:r>
      <w:r>
        <w:rPr>
          <w:rFonts w:hint="eastAsia"/>
        </w:rPr>
        <w:t>所示</w:t>
      </w:r>
      <w:r w:rsidR="00E913EF">
        <w:rPr>
          <w:rFonts w:hint="eastAsia"/>
        </w:rPr>
        <w:t>。为验证该模型，还需通过调研</w:t>
      </w:r>
      <w:r w:rsidR="009672E3" w:rsidRPr="009672E3">
        <w:rPr>
          <w:rFonts w:hint="eastAsia"/>
        </w:rPr>
        <w:t>回答</w:t>
      </w:r>
      <w:r w:rsidR="00E913EF">
        <w:rPr>
          <w:rFonts w:hint="eastAsia"/>
        </w:rPr>
        <w:t>以下</w:t>
      </w:r>
      <w:r w:rsidR="009672E3" w:rsidRPr="009672E3">
        <w:rPr>
          <w:rFonts w:hint="eastAsia"/>
        </w:rPr>
        <w:t>问题：</w:t>
      </w:r>
      <w:r w:rsidR="009672E3" w:rsidRPr="009672E3">
        <w:rPr>
          <w:rFonts w:hint="eastAsia"/>
        </w:rPr>
        <w:t>1</w:t>
      </w:r>
      <w:r w:rsidR="009672E3" w:rsidRPr="009672E3">
        <w:rPr>
          <w:rFonts w:hint="eastAsia"/>
        </w:rPr>
        <w:t>）</w:t>
      </w:r>
      <w:r w:rsidR="00873BC4" w:rsidRPr="00873BC4">
        <w:rPr>
          <w:rFonts w:hint="eastAsia"/>
        </w:rPr>
        <w:t>清洁能源基地外部条件、管理制度、业主项目群管理能力、资源配置、伙伴关系、项目群实施、项目群运营与项目群绩效等关键因素如何定量测量</w:t>
      </w:r>
      <w:r w:rsidR="009672E3" w:rsidRPr="009672E3">
        <w:rPr>
          <w:rFonts w:hint="eastAsia"/>
        </w:rPr>
        <w:t>；</w:t>
      </w:r>
      <w:r w:rsidR="009672E3" w:rsidRPr="009672E3">
        <w:rPr>
          <w:rFonts w:hint="eastAsia"/>
        </w:rPr>
        <w:t>2</w:t>
      </w:r>
      <w:r w:rsidR="009672E3" w:rsidRPr="009672E3">
        <w:rPr>
          <w:rFonts w:hint="eastAsia"/>
        </w:rPr>
        <w:t>）</w:t>
      </w:r>
      <w:r w:rsidR="00873BC4" w:rsidRPr="00362C08">
        <w:rPr>
          <w:rFonts w:ascii="Times" w:hAnsi="Times" w:hint="eastAsia"/>
        </w:rPr>
        <w:t>清洁能源基地一体化管理实际表现如何</w:t>
      </w:r>
      <w:r w:rsidR="009672E3" w:rsidRPr="009672E3">
        <w:rPr>
          <w:rFonts w:hint="eastAsia"/>
        </w:rPr>
        <w:t>；</w:t>
      </w:r>
      <w:r w:rsidR="009672E3" w:rsidRPr="009672E3">
        <w:rPr>
          <w:rFonts w:hint="eastAsia"/>
        </w:rPr>
        <w:t>3</w:t>
      </w:r>
      <w:r w:rsidR="009672E3" w:rsidRPr="009672E3">
        <w:rPr>
          <w:rFonts w:hint="eastAsia"/>
        </w:rPr>
        <w:t>）</w:t>
      </w:r>
      <w:r w:rsidR="00873BC4" w:rsidRPr="00362C08">
        <w:rPr>
          <w:rFonts w:ascii="Times" w:hAnsi="Times" w:hint="eastAsia"/>
        </w:rPr>
        <w:t>清洁能源基地一体化管理理论模型中的各项假设是否成立</w:t>
      </w:r>
      <w:r w:rsidR="00873BC4">
        <w:rPr>
          <w:rFonts w:ascii="Times" w:hAnsi="Times" w:hint="eastAsia"/>
        </w:rPr>
        <w:t>；</w:t>
      </w:r>
      <w:r w:rsidR="00873BC4">
        <w:rPr>
          <w:rFonts w:ascii="Times" w:hAnsi="Times" w:hint="eastAsia"/>
        </w:rPr>
        <w:t>4</w:t>
      </w:r>
      <w:r w:rsidR="00873BC4">
        <w:rPr>
          <w:rFonts w:ascii="Times" w:hAnsi="Times" w:hint="eastAsia"/>
        </w:rPr>
        <w:t>）</w:t>
      </w:r>
      <w:r w:rsidR="00873BC4" w:rsidRPr="00362C08">
        <w:rPr>
          <w:rFonts w:ascii="Times" w:hAnsi="Times" w:hint="eastAsia"/>
        </w:rPr>
        <w:t>基于理论模型，应该从哪些方面提升清洁能源基地的一体化管理水平</w:t>
      </w:r>
      <w:r w:rsidR="00873BC4">
        <w:rPr>
          <w:rFonts w:ascii="Times" w:hAnsi="Times" w:hint="eastAsia"/>
        </w:rPr>
        <w:t>？</w:t>
      </w:r>
    </w:p>
    <w:p w14:paraId="1ACF3CF2" w14:textId="77777777" w:rsidR="00BC1DF7" w:rsidRDefault="00BC1DF7" w:rsidP="00BC1DF7">
      <w:pPr>
        <w:keepNext/>
        <w:ind w:firstLineChars="0" w:firstLine="0"/>
        <w:sectPr w:rsidR="00BC1DF7" w:rsidSect="00373C80">
          <w:type w:val="continuous"/>
          <w:pgSz w:w="11906" w:h="16838"/>
          <w:pgMar w:top="1440" w:right="1106" w:bottom="1440" w:left="1106" w:header="851" w:footer="992" w:gutter="0"/>
          <w:cols w:num="2" w:space="425"/>
          <w:titlePg/>
          <w:docGrid w:type="linesAndChars" w:linePitch="312"/>
        </w:sectPr>
      </w:pPr>
    </w:p>
    <w:p w14:paraId="1B61C5DD" w14:textId="655526E1" w:rsidR="00BC1DF7" w:rsidRDefault="00CA2FF6" w:rsidP="00373C80">
      <w:pPr>
        <w:keepNext/>
        <w:ind w:firstLineChars="0" w:firstLine="0"/>
        <w:jc w:val="center"/>
      </w:pPr>
      <w:r>
        <w:rPr>
          <w:noProof/>
        </w:rPr>
        <w:drawing>
          <wp:inline distT="0" distB="0" distL="0" distR="0" wp14:anchorId="51156C49" wp14:editId="75113E63">
            <wp:extent cx="4081579" cy="1939290"/>
            <wp:effectExtent l="0" t="0" r="0" b="3810"/>
            <wp:docPr id="671528025"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4098313" cy="1947241"/>
                    </a:xfrm>
                    <a:prstGeom prst="rect">
                      <a:avLst/>
                    </a:prstGeom>
                    <a:noFill/>
                    <a:ln>
                      <a:noFill/>
                    </a:ln>
                  </pic:spPr>
                </pic:pic>
              </a:graphicData>
            </a:graphic>
          </wp:inline>
        </w:drawing>
      </w:r>
    </w:p>
    <w:p w14:paraId="2183DBD8" w14:textId="5AC4BA4D" w:rsidR="00BC1DF7" w:rsidRPr="00BC1DF7" w:rsidRDefault="00BC1DF7" w:rsidP="00D61895">
      <w:pPr>
        <w:pStyle w:val="afa"/>
        <w:spacing w:afterLines="50" w:after="156"/>
      </w:pPr>
      <w:bookmarkStart w:id="4" w:name="_Ref174310397"/>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0F2689">
        <w:rPr>
          <w:noProof/>
        </w:rPr>
        <w:t>1</w:t>
      </w:r>
      <w:r>
        <w:fldChar w:fldCharType="end"/>
      </w:r>
      <w:bookmarkEnd w:id="4"/>
      <w:r>
        <w:rPr>
          <w:rFonts w:hint="eastAsia"/>
        </w:rPr>
        <w:t xml:space="preserve"> </w:t>
      </w:r>
      <w:r w:rsidR="00873BC4">
        <w:rPr>
          <w:rFonts w:hint="eastAsia"/>
        </w:rPr>
        <w:t>清洁能源基地一体化管理理论模型</w:t>
      </w:r>
    </w:p>
    <w:p w14:paraId="758770C7" w14:textId="77777777" w:rsidR="00BC1DF7" w:rsidRDefault="00BC1DF7" w:rsidP="00BC1DF7">
      <w:pPr>
        <w:ind w:firstLineChars="95" w:firstLine="199"/>
        <w:sectPr w:rsidR="00BC1DF7" w:rsidSect="00BC1DF7">
          <w:type w:val="continuous"/>
          <w:pgSz w:w="11906" w:h="16838"/>
          <w:pgMar w:top="1440" w:right="1106" w:bottom="1440" w:left="1106" w:header="851" w:footer="992" w:gutter="0"/>
          <w:cols w:space="720"/>
          <w:titlePg/>
          <w:docGrid w:type="linesAndChars" w:linePitch="312"/>
        </w:sectPr>
      </w:pPr>
    </w:p>
    <w:p w14:paraId="6DF41965" w14:textId="0BBC838A" w:rsidR="008B5337" w:rsidRDefault="00A03939" w:rsidP="00A03939">
      <w:pPr>
        <w:pStyle w:val="1"/>
      </w:pPr>
      <w:r>
        <w:rPr>
          <w:rFonts w:hint="eastAsia"/>
        </w:rPr>
        <w:t>研究方法</w:t>
      </w:r>
    </w:p>
    <w:p w14:paraId="61C5B49C" w14:textId="77777777" w:rsidR="00A03939" w:rsidRPr="00A03939" w:rsidRDefault="00A03939" w:rsidP="00A03939">
      <w:pPr>
        <w:pStyle w:val="2"/>
      </w:pPr>
      <w:r w:rsidRPr="00A03939">
        <w:rPr>
          <w:rFonts w:hint="eastAsia"/>
        </w:rPr>
        <w:t>数据收集方法</w:t>
      </w:r>
    </w:p>
    <w:p w14:paraId="5DE0D3E7" w14:textId="58EFBF31" w:rsidR="002F3722" w:rsidRDefault="002F3722" w:rsidP="000E38EB">
      <w:pPr>
        <w:ind w:firstLine="440"/>
      </w:pPr>
      <w:r w:rsidRPr="00F3245C">
        <w:rPr>
          <w:rStyle w:val="fontstyle11"/>
        </w:rPr>
        <w:t>本研究采用</w:t>
      </w:r>
      <w:r w:rsidRPr="00F13A68">
        <w:t>问卷调查</w:t>
      </w:r>
      <w:r w:rsidR="00CA2FF6">
        <w:rPr>
          <w:rFonts w:hint="eastAsia"/>
        </w:rPr>
        <w:t>与</w:t>
      </w:r>
      <w:r w:rsidRPr="00F13A68">
        <w:t>半结构化访谈</w:t>
      </w:r>
      <w:r>
        <w:rPr>
          <w:rFonts w:hint="eastAsia"/>
        </w:rPr>
        <w:t>相结合的</w:t>
      </w:r>
      <w:r w:rsidRPr="00F3245C">
        <w:rPr>
          <w:rStyle w:val="fontstyle11"/>
        </w:rPr>
        <w:t>混合研究</w:t>
      </w:r>
      <w:r w:rsidRPr="00F13A68">
        <w:t>方法，收集定量与定性数据，提升调研结果与分析的深度、广度与可靠性。</w:t>
      </w:r>
      <w:r w:rsidRPr="002F3722">
        <w:rPr>
          <w:rFonts w:hint="eastAsia"/>
        </w:rPr>
        <w:t>本研究选取了在建或运营阶段的清洁能源基地发放问卷</w:t>
      </w:r>
      <w:r>
        <w:rPr>
          <w:rFonts w:hint="eastAsia"/>
        </w:rPr>
        <w:t>，涵盖</w:t>
      </w:r>
      <w:r>
        <w:rPr>
          <w:rFonts w:hint="eastAsia"/>
        </w:rPr>
        <w:t>38</w:t>
      </w:r>
      <w:r>
        <w:rPr>
          <w:rFonts w:hint="eastAsia"/>
        </w:rPr>
        <w:t>项清洁能源工程</w:t>
      </w:r>
      <w:r w:rsidRPr="00DB0574">
        <w:rPr>
          <w:rFonts w:hint="eastAsia"/>
        </w:rPr>
        <w:t>，其中</w:t>
      </w:r>
      <w:r w:rsidRPr="00DB0574">
        <w:rPr>
          <w:rFonts w:hint="eastAsia"/>
        </w:rPr>
        <w:t>37</w:t>
      </w:r>
      <w:r w:rsidRPr="00DB0574">
        <w:rPr>
          <w:rFonts w:hint="eastAsia"/>
        </w:rPr>
        <w:t>项为国内工程，</w:t>
      </w:r>
      <w:r w:rsidRPr="00DB0574">
        <w:rPr>
          <w:rFonts w:hint="eastAsia"/>
        </w:rPr>
        <w:t>1</w:t>
      </w:r>
      <w:r w:rsidRPr="00DB0574">
        <w:rPr>
          <w:rFonts w:hint="eastAsia"/>
        </w:rPr>
        <w:t>项为国际工程。</w:t>
      </w:r>
      <w:r w:rsidRPr="00295F11">
        <w:rPr>
          <w:rFonts w:hint="eastAsia"/>
        </w:rPr>
        <w:t>国内项目分布于</w:t>
      </w:r>
      <w:r w:rsidRPr="00295F11">
        <w:rPr>
          <w:rFonts w:hint="eastAsia"/>
        </w:rPr>
        <w:t>14</w:t>
      </w:r>
      <w:r w:rsidRPr="00295F11">
        <w:rPr>
          <w:rFonts w:hint="eastAsia"/>
        </w:rPr>
        <w:t>个省份或自治区，覆盖了松辽、冀北、雅砻江、金沙江等我国</w:t>
      </w:r>
      <w:r>
        <w:rPr>
          <w:rFonts w:hint="eastAsia"/>
        </w:rPr>
        <w:t>重</w:t>
      </w:r>
      <w:r w:rsidRPr="00295F11">
        <w:rPr>
          <w:rFonts w:hint="eastAsia"/>
        </w:rPr>
        <w:t>要清洁能源基地建设区域</w:t>
      </w:r>
      <w:r>
        <w:rPr>
          <w:rFonts w:hint="eastAsia"/>
        </w:rPr>
        <w:t>。</w:t>
      </w:r>
    </w:p>
    <w:p w14:paraId="47B99987" w14:textId="70A146C2" w:rsidR="00A03939" w:rsidRPr="002F3722" w:rsidRDefault="002F3722" w:rsidP="005B30B1">
      <w:pPr>
        <w:ind w:firstLine="420"/>
        <w:rPr>
          <w:color w:val="EE0000"/>
        </w:rPr>
      </w:pPr>
      <w:r w:rsidRPr="002F3722">
        <w:rPr>
          <w:rFonts w:hint="eastAsia"/>
        </w:rPr>
        <w:t>调研对象选取具有丰富的相关项目管理或技术经验的从业者</w:t>
      </w:r>
      <w:r>
        <w:rPr>
          <w:rFonts w:hint="eastAsia"/>
        </w:rPr>
        <w:t>。</w:t>
      </w:r>
      <w:r w:rsidR="00457AB1" w:rsidRPr="00541135">
        <w:rPr>
          <w:rFonts w:hint="eastAsia"/>
        </w:rPr>
        <w:t>调研对象</w:t>
      </w:r>
      <w:r w:rsidR="00457AB1">
        <w:rPr>
          <w:rFonts w:hint="eastAsia"/>
        </w:rPr>
        <w:t>中</w:t>
      </w:r>
      <w:r w:rsidR="00457AB1" w:rsidRPr="00E0244D">
        <w:rPr>
          <w:rFonts w:hint="eastAsia"/>
        </w:rPr>
        <w:t>建设单位</w:t>
      </w:r>
      <w:r w:rsidR="00457AB1">
        <w:rPr>
          <w:rFonts w:hint="eastAsia"/>
        </w:rPr>
        <w:t>、</w:t>
      </w:r>
      <w:r w:rsidR="00457AB1" w:rsidRPr="00E0244D">
        <w:rPr>
          <w:rFonts w:hint="eastAsia"/>
        </w:rPr>
        <w:t>设计</w:t>
      </w:r>
      <w:r w:rsidR="00457AB1">
        <w:rPr>
          <w:rFonts w:hint="eastAsia"/>
        </w:rPr>
        <w:t>、</w:t>
      </w:r>
      <w:r w:rsidR="00457AB1" w:rsidRPr="00E0244D">
        <w:rPr>
          <w:rFonts w:hint="eastAsia"/>
        </w:rPr>
        <w:t>施工</w:t>
      </w:r>
      <w:r w:rsidR="00457AB1">
        <w:rPr>
          <w:rFonts w:hint="eastAsia"/>
        </w:rPr>
        <w:t>、</w:t>
      </w:r>
      <w:r w:rsidR="00457AB1" w:rsidRPr="00E0244D">
        <w:rPr>
          <w:rFonts w:hint="eastAsia"/>
        </w:rPr>
        <w:t>监理</w:t>
      </w:r>
      <w:r w:rsidR="00457AB1">
        <w:rPr>
          <w:rFonts w:hint="eastAsia"/>
        </w:rPr>
        <w:t>和</w:t>
      </w:r>
      <w:r w:rsidR="00457AB1" w:rsidRPr="00E0244D">
        <w:rPr>
          <w:rFonts w:hint="eastAsia"/>
        </w:rPr>
        <w:t>运行单位</w:t>
      </w:r>
      <w:r w:rsidR="00457AB1">
        <w:rPr>
          <w:rFonts w:hint="eastAsia"/>
        </w:rPr>
        <w:t>分别占比</w:t>
      </w:r>
      <w:r w:rsidR="00457AB1" w:rsidRPr="006E02AB">
        <w:t>18.43%</w:t>
      </w:r>
      <w:r w:rsidR="00457AB1">
        <w:rPr>
          <w:rFonts w:hint="eastAsia"/>
        </w:rPr>
        <w:t>、</w:t>
      </w:r>
      <w:r w:rsidR="00457AB1" w:rsidRPr="006E02AB">
        <w:t>47.10%</w:t>
      </w:r>
      <w:r w:rsidR="00457AB1">
        <w:rPr>
          <w:rFonts w:hint="eastAsia"/>
        </w:rPr>
        <w:t>、</w:t>
      </w:r>
      <w:r w:rsidR="00457AB1" w:rsidRPr="006E02AB">
        <w:t>7.85%</w:t>
      </w:r>
      <w:r w:rsidR="00457AB1">
        <w:rPr>
          <w:rFonts w:hint="eastAsia"/>
        </w:rPr>
        <w:t>、</w:t>
      </w:r>
      <w:r w:rsidR="00457AB1" w:rsidRPr="006E02AB">
        <w:lastRenderedPageBreak/>
        <w:t>11.95%</w:t>
      </w:r>
      <w:r w:rsidR="00457AB1">
        <w:rPr>
          <w:rFonts w:hint="eastAsia"/>
        </w:rPr>
        <w:t>和</w:t>
      </w:r>
      <w:r w:rsidR="00457AB1" w:rsidRPr="006E02AB">
        <w:t>11.60%</w:t>
      </w:r>
      <w:r w:rsidR="00457AB1">
        <w:rPr>
          <w:rFonts w:hint="eastAsia"/>
        </w:rPr>
        <w:t>，涉及清洁能源基地的主要利益相关方。调研</w:t>
      </w:r>
      <w:r w:rsidR="00457AB1">
        <w:t>共收集问卷</w:t>
      </w:r>
      <w:r w:rsidR="00457AB1">
        <w:t>354</w:t>
      </w:r>
      <w:r w:rsidR="00457AB1">
        <w:t>份</w:t>
      </w:r>
      <w:r w:rsidR="00457AB1">
        <w:rPr>
          <w:rFonts w:hint="eastAsia"/>
        </w:rPr>
        <w:t>，</w:t>
      </w:r>
      <w:r w:rsidR="00457AB1">
        <w:t>有效问卷</w:t>
      </w:r>
      <w:r w:rsidR="00457AB1">
        <w:t>293</w:t>
      </w:r>
      <w:r w:rsidR="00457AB1">
        <w:t>份</w:t>
      </w:r>
      <w:r w:rsidR="00457AB1">
        <w:rPr>
          <w:rFonts w:hint="eastAsia"/>
        </w:rPr>
        <w:t>，</w:t>
      </w:r>
      <w:r w:rsidR="00457AB1" w:rsidRPr="00457AB1">
        <w:rPr>
          <w:rFonts w:hint="eastAsia"/>
        </w:rPr>
        <w:t>调研对象学历占比及从业年数分布如</w:t>
      </w:r>
      <w:r w:rsidR="00457AB1" w:rsidRPr="00457AB1">
        <w:fldChar w:fldCharType="begin"/>
      </w:r>
      <w:r w:rsidR="00457AB1" w:rsidRPr="00457AB1">
        <w:instrText xml:space="preserve"> </w:instrText>
      </w:r>
      <w:r w:rsidR="00457AB1" w:rsidRPr="00457AB1">
        <w:rPr>
          <w:rFonts w:hint="eastAsia"/>
        </w:rPr>
        <w:instrText>REF _Ref174545393 \h</w:instrText>
      </w:r>
      <w:r w:rsidR="00457AB1" w:rsidRPr="00457AB1">
        <w:instrText xml:space="preserve"> </w:instrText>
      </w:r>
      <w:r w:rsidR="00457AB1" w:rsidRPr="00457AB1">
        <w:fldChar w:fldCharType="separate"/>
      </w:r>
      <w:r w:rsidR="000F2689" w:rsidRPr="00457AB1">
        <w:rPr>
          <w:rFonts w:hint="eastAsia"/>
        </w:rPr>
        <w:t>图</w:t>
      </w:r>
      <w:r w:rsidR="000F2689" w:rsidRPr="00457AB1">
        <w:rPr>
          <w:rFonts w:hint="eastAsia"/>
        </w:rPr>
        <w:t xml:space="preserve"> </w:t>
      </w:r>
      <w:r w:rsidR="000F2689">
        <w:rPr>
          <w:noProof/>
        </w:rPr>
        <w:t>2</w:t>
      </w:r>
      <w:r w:rsidR="00457AB1" w:rsidRPr="00457AB1">
        <w:fldChar w:fldCharType="end"/>
      </w:r>
      <w:r w:rsidR="00457AB1" w:rsidRPr="00457AB1">
        <w:rPr>
          <w:rFonts w:hint="eastAsia"/>
        </w:rPr>
        <w:t>所示</w:t>
      </w:r>
      <w:r w:rsidRPr="00295F11">
        <w:rPr>
          <w:rFonts w:hint="eastAsia"/>
        </w:rPr>
        <w:t>。</w:t>
      </w:r>
    </w:p>
    <w:tbl>
      <w:tblPr>
        <w:tblStyle w:val="af2"/>
        <w:tblW w:w="0" w:type="auto"/>
        <w:tblInd w:w="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2127"/>
        <w:gridCol w:w="2422"/>
      </w:tblGrid>
      <w:tr w:rsidR="0027782D" w:rsidRPr="00457AB1" w14:paraId="40DD1973" w14:textId="77777777" w:rsidTr="0027782D">
        <w:tc>
          <w:tcPr>
            <w:tcW w:w="2127" w:type="dxa"/>
            <w:vAlign w:val="bottom"/>
          </w:tcPr>
          <w:p w14:paraId="2604D805" w14:textId="7B9D5497" w:rsidR="005B30B1" w:rsidRPr="00457AB1" w:rsidRDefault="00457AB1" w:rsidP="005B30B1">
            <w:pPr>
              <w:keepNext/>
              <w:spacing w:line="240" w:lineRule="atLeast"/>
              <w:ind w:firstLineChars="0" w:firstLine="0"/>
              <w:jc w:val="center"/>
              <w:rPr>
                <w:rFonts w:eastAsiaTheme="minorEastAsia"/>
              </w:rPr>
            </w:pPr>
            <w:r>
              <w:rPr>
                <w:noProof/>
              </w:rPr>
              <w:drawing>
                <wp:inline distT="0" distB="0" distL="0" distR="0" wp14:anchorId="5DC32BE0" wp14:editId="1A8A42C2">
                  <wp:extent cx="1412875" cy="1165860"/>
                  <wp:effectExtent l="0" t="0" r="0" b="0"/>
                  <wp:docPr id="763614768" name="图表 1">
                    <a:extLst xmlns:a="http://schemas.openxmlformats.org/drawingml/2006/main">
                      <a:ext uri="{FF2B5EF4-FFF2-40B4-BE49-F238E27FC236}">
                        <a16:creationId xmlns:a16="http://schemas.microsoft.com/office/drawing/2014/main" id="{A71AED99-4C94-9199-CED6-4B49E5069A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14:paraId="22DFF03D" w14:textId="01049F0E" w:rsidR="005B30B1" w:rsidRPr="00457AB1" w:rsidRDefault="005B30B1" w:rsidP="005B30B1">
            <w:pPr>
              <w:keepNext/>
              <w:spacing w:line="240" w:lineRule="atLeast"/>
              <w:ind w:firstLineChars="0" w:firstLine="0"/>
              <w:jc w:val="center"/>
              <w:rPr>
                <w:rFonts w:eastAsiaTheme="minorEastAsia"/>
              </w:rPr>
            </w:pPr>
            <w:r w:rsidRPr="00457AB1">
              <w:rPr>
                <w:rFonts w:eastAsiaTheme="minorEastAsia" w:hint="eastAsia"/>
                <w:sz w:val="18"/>
              </w:rPr>
              <w:t>(</w:t>
            </w:r>
            <w:r w:rsidRPr="00457AB1">
              <w:rPr>
                <w:rFonts w:eastAsiaTheme="minorEastAsia"/>
                <w:sz w:val="18"/>
              </w:rPr>
              <w:t>a)</w:t>
            </w:r>
            <w:r w:rsidRPr="00457AB1">
              <w:rPr>
                <w:rFonts w:eastAsiaTheme="minorEastAsia" w:hint="eastAsia"/>
                <w:sz w:val="18"/>
              </w:rPr>
              <w:t>学历占比</w:t>
            </w:r>
          </w:p>
        </w:tc>
        <w:tc>
          <w:tcPr>
            <w:tcW w:w="2422" w:type="dxa"/>
            <w:vAlign w:val="bottom"/>
          </w:tcPr>
          <w:p w14:paraId="04102563" w14:textId="50E0D50B" w:rsidR="005B30B1" w:rsidRPr="00457AB1" w:rsidRDefault="0027782D" w:rsidP="005B30B1">
            <w:pPr>
              <w:keepNext/>
              <w:spacing w:line="240" w:lineRule="atLeast"/>
              <w:ind w:firstLineChars="0" w:firstLine="0"/>
              <w:jc w:val="center"/>
              <w:rPr>
                <w:rFonts w:eastAsiaTheme="minorEastAsia"/>
              </w:rPr>
            </w:pPr>
            <w:r>
              <w:rPr>
                <w:noProof/>
              </w:rPr>
              <w:drawing>
                <wp:inline distT="0" distB="0" distL="0" distR="0" wp14:anchorId="5C59DAD7" wp14:editId="256D3201">
                  <wp:extent cx="1561465" cy="1383677"/>
                  <wp:effectExtent l="0" t="0" r="635" b="6985"/>
                  <wp:docPr id="604022630" name="图表 1">
                    <a:extLst xmlns:a="http://schemas.openxmlformats.org/drawingml/2006/main">
                      <a:ext uri="{FF2B5EF4-FFF2-40B4-BE49-F238E27FC236}">
                        <a16:creationId xmlns:a16="http://schemas.microsoft.com/office/drawing/2014/main" id="{597AF581-5129-7131-4B56-869DB8FE74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14:paraId="7A76F68B" w14:textId="78304018" w:rsidR="005B30B1" w:rsidRPr="00457AB1" w:rsidRDefault="005B30B1" w:rsidP="005B30B1">
            <w:pPr>
              <w:keepNext/>
              <w:spacing w:line="240" w:lineRule="atLeast"/>
              <w:ind w:firstLineChars="0" w:firstLine="0"/>
              <w:jc w:val="center"/>
              <w:rPr>
                <w:rFonts w:eastAsiaTheme="minorEastAsia"/>
              </w:rPr>
            </w:pPr>
            <w:r w:rsidRPr="00457AB1">
              <w:rPr>
                <w:rFonts w:eastAsiaTheme="minorEastAsia" w:hint="eastAsia"/>
                <w:sz w:val="18"/>
              </w:rPr>
              <w:t>(</w:t>
            </w:r>
            <w:r w:rsidRPr="00457AB1">
              <w:rPr>
                <w:rFonts w:eastAsiaTheme="minorEastAsia"/>
                <w:sz w:val="18"/>
              </w:rPr>
              <w:t xml:space="preserve">b) </w:t>
            </w:r>
            <w:r w:rsidRPr="00457AB1">
              <w:rPr>
                <w:rFonts w:eastAsiaTheme="minorEastAsia" w:hint="eastAsia"/>
                <w:sz w:val="18"/>
              </w:rPr>
              <w:t>从业年数分布</w:t>
            </w:r>
          </w:p>
        </w:tc>
      </w:tr>
    </w:tbl>
    <w:p w14:paraId="0FA9442F" w14:textId="20D49340" w:rsidR="00DF0667" w:rsidRPr="00457AB1" w:rsidRDefault="00DF0667" w:rsidP="00A3108F">
      <w:pPr>
        <w:pStyle w:val="afa"/>
        <w:spacing w:afterLines="50" w:after="156"/>
      </w:pPr>
      <w:bookmarkStart w:id="5" w:name="_Ref174545393"/>
      <w:r w:rsidRPr="00457AB1">
        <w:rPr>
          <w:rFonts w:hint="eastAsia"/>
        </w:rPr>
        <w:t>图</w:t>
      </w:r>
      <w:r w:rsidRPr="00457AB1">
        <w:rPr>
          <w:rFonts w:hint="eastAsia"/>
        </w:rPr>
        <w:t xml:space="preserve"> </w:t>
      </w:r>
      <w:r w:rsidRPr="00457AB1">
        <w:fldChar w:fldCharType="begin"/>
      </w:r>
      <w:r w:rsidRPr="00457AB1">
        <w:instrText xml:space="preserve"> </w:instrText>
      </w:r>
      <w:r w:rsidRPr="00457AB1">
        <w:rPr>
          <w:rFonts w:hint="eastAsia"/>
        </w:rPr>
        <w:instrText xml:space="preserve">SEQ </w:instrText>
      </w:r>
      <w:r w:rsidRPr="00457AB1">
        <w:rPr>
          <w:rFonts w:hint="eastAsia"/>
        </w:rPr>
        <w:instrText>图</w:instrText>
      </w:r>
      <w:r w:rsidRPr="00457AB1">
        <w:rPr>
          <w:rFonts w:hint="eastAsia"/>
        </w:rPr>
        <w:instrText xml:space="preserve"> \* ARABIC</w:instrText>
      </w:r>
      <w:r w:rsidRPr="00457AB1">
        <w:instrText xml:space="preserve"> </w:instrText>
      </w:r>
      <w:r w:rsidRPr="00457AB1">
        <w:fldChar w:fldCharType="separate"/>
      </w:r>
      <w:r w:rsidR="000F2689">
        <w:rPr>
          <w:noProof/>
        </w:rPr>
        <w:t>2</w:t>
      </w:r>
      <w:r w:rsidRPr="00457AB1">
        <w:fldChar w:fldCharType="end"/>
      </w:r>
      <w:bookmarkEnd w:id="5"/>
      <w:r w:rsidRPr="00457AB1">
        <w:rPr>
          <w:rFonts w:hint="eastAsia"/>
        </w:rPr>
        <w:t xml:space="preserve"> </w:t>
      </w:r>
      <w:r w:rsidRPr="00457AB1">
        <w:rPr>
          <w:rFonts w:hint="eastAsia"/>
        </w:rPr>
        <w:t>调研对象学历占比及从业年</w:t>
      </w:r>
      <w:r w:rsidR="00C116D0" w:rsidRPr="00457AB1">
        <w:rPr>
          <w:rFonts w:hint="eastAsia"/>
        </w:rPr>
        <w:t>数</w:t>
      </w:r>
      <w:r w:rsidRPr="00457AB1">
        <w:rPr>
          <w:rFonts w:hint="eastAsia"/>
        </w:rPr>
        <w:t>分布</w:t>
      </w:r>
    </w:p>
    <w:p w14:paraId="39076CEC" w14:textId="1E9DFF5D" w:rsidR="005B30B1" w:rsidRPr="00457AB1" w:rsidRDefault="005B30B1" w:rsidP="006D6E88">
      <w:pPr>
        <w:ind w:firstLine="420"/>
      </w:pPr>
      <w:r w:rsidRPr="00457AB1">
        <w:rPr>
          <w:rFonts w:hint="eastAsia"/>
        </w:rPr>
        <w:t>其次，本研究实地考察并访谈了来自</w:t>
      </w:r>
      <w:r w:rsidR="00457AB1" w:rsidRPr="00457AB1">
        <w:rPr>
          <w:rFonts w:hint="eastAsia"/>
        </w:rPr>
        <w:t>中国华能集团有限公司</w:t>
      </w:r>
      <w:r w:rsidRPr="00457AB1">
        <w:rPr>
          <w:rFonts w:hint="eastAsia"/>
        </w:rPr>
        <w:t>的</w:t>
      </w:r>
      <w:r w:rsidR="00457AB1" w:rsidRPr="00457AB1">
        <w:rPr>
          <w:rFonts w:hint="eastAsia"/>
        </w:rPr>
        <w:t>技术</w:t>
      </w:r>
      <w:r w:rsidRPr="00457AB1">
        <w:rPr>
          <w:rFonts w:hint="eastAsia"/>
        </w:rPr>
        <w:t>专家</w:t>
      </w:r>
      <w:r w:rsidR="00457AB1" w:rsidRPr="00457AB1">
        <w:rPr>
          <w:rFonts w:hint="eastAsia"/>
        </w:rPr>
        <w:t>与管理人员</w:t>
      </w:r>
      <w:r w:rsidRPr="00457AB1">
        <w:rPr>
          <w:rFonts w:hint="eastAsia"/>
        </w:rPr>
        <w:t>。访谈主题包括</w:t>
      </w:r>
      <w:r w:rsidR="00457AB1" w:rsidRPr="00457AB1">
        <w:rPr>
          <w:rFonts w:hint="eastAsia"/>
        </w:rPr>
        <w:t>清洁能源基地开发一体化管理、外部条件、业主能力、制度体系建设、</w:t>
      </w:r>
      <w:r w:rsidRPr="00457AB1">
        <w:rPr>
          <w:rFonts w:hint="eastAsia"/>
        </w:rPr>
        <w:t>参建各方伙伴关系、资源配置、</w:t>
      </w:r>
      <w:r w:rsidR="00457AB1" w:rsidRPr="00457AB1">
        <w:rPr>
          <w:rFonts w:hint="eastAsia"/>
        </w:rPr>
        <w:t>项目群实施、项目群运营与项目群绩效</w:t>
      </w:r>
      <w:r w:rsidRPr="00457AB1">
        <w:rPr>
          <w:rFonts w:hint="eastAsia"/>
        </w:rPr>
        <w:t>。</w:t>
      </w:r>
    </w:p>
    <w:p w14:paraId="1AACFDD1" w14:textId="0D7B3FDE" w:rsidR="00D8551B" w:rsidRPr="004D5E44" w:rsidRDefault="00D8551B" w:rsidP="00D8551B">
      <w:pPr>
        <w:pStyle w:val="2"/>
      </w:pPr>
      <w:r>
        <w:rPr>
          <w:rFonts w:hint="eastAsia"/>
        </w:rPr>
        <w:t>文本分析</w:t>
      </w:r>
      <w:r w:rsidR="00513E21">
        <w:rPr>
          <w:rFonts w:hint="eastAsia"/>
        </w:rPr>
        <w:t>方法</w:t>
      </w:r>
    </w:p>
    <w:p w14:paraId="5D74AC2C" w14:textId="4EEF0D47" w:rsidR="0027782D" w:rsidRDefault="0027782D" w:rsidP="0027782D">
      <w:pPr>
        <w:ind w:firstLine="420"/>
      </w:pPr>
      <w:r w:rsidRPr="002065E2">
        <w:rPr>
          <w:rFonts w:hint="eastAsia"/>
        </w:rPr>
        <w:t>本研究对调研过程中获取的访谈记录进行词频分析，并利用词云图对统计结果进行可视化展示，以直观呈现利益相关方</w:t>
      </w:r>
      <w:r>
        <w:rPr>
          <w:rFonts w:hint="eastAsia"/>
        </w:rPr>
        <w:t>对</w:t>
      </w:r>
      <w:r w:rsidRPr="002065E2">
        <w:rPr>
          <w:rFonts w:hint="eastAsia"/>
        </w:rPr>
        <w:t>清洁能源基地管理</w:t>
      </w:r>
      <w:r>
        <w:rPr>
          <w:rFonts w:hint="eastAsia"/>
        </w:rPr>
        <w:t>的关注点</w:t>
      </w:r>
      <w:r>
        <w:fldChar w:fldCharType="begin"/>
      </w:r>
      <w:r w:rsidR="00E17813">
        <w:instrText xml:space="preserve"> ADDIN ZOTERO_ITEM CSL_CITATION {"citationID":"a2cv6ig4dpl","properties":{"formattedCitation":"\\super [103]\\nosupersub{}","plainCitation":"[103]","noteIndex":0},"citationItems":[{"id":4242,"uris":["http://zotero.org/users/13172592/items/2XPNDUPM"],"itemData":{"id":4242,"type":"article-journal","abstract":"In this paper we present a set of four user studies aimed at exploring the visual design space of what we call keyword summaries: lists of words with associated quantitative values used to help people derive an intuition of what information a given document collection (or part of it) may contain. We seek to systematically study how different visual representations may affect people's performance in extracting information out of keyword summaries. To this purpose, we first create a design space of possible visual representations and compare the possible solutions in this design space through a variety of representative tasks and performance metrics. Other researchers have, in the past, studied some aspects of effectiveness with word clouds, however, the existing literature is somewhat scattered and do not seem to address the problem in a sufficiently systematic and holistic manner. The results of our studies showed a strong dependency on the tasks users are performing. In this paper we present details of our methodology, the results, as well as, guidelines on how to design effective keyword summaries based in our discoveries.","call-number":"1","container-title":"IEEE Transactions on Visualization and Computer Graphics","DOI":"10.1109/TVCG.2017.2746018","ISSN":"1941-0506","issue":"1","language":"en","note":"event-title: IEEE Transactions on Visualization and Computer Graphics\nTLDR: A set of four user studies aimed at exploring the visual design space of what the authors call keyword summaries: lists of words with associated quantitative values used to help people derive an intuition of what information a given document collection may contain.","page":"657-666","source":"4.7","title":"Taking word clouds apart: An empirical investigation of the design space for keyword summaries","title-short":"Taking word clouds apart","volume":"24","author":[{"family":"Felix","given":"Cristian"},{"family":"Franconeri","given":"Steven"},{"family":"Bertini","given":"Enrico"}],"issued":{"date-parts":[["2018",1]]}}}],"schema":"https://github.com/citation-style-language/schema/raw/master/csl-citation.json"} </w:instrText>
      </w:r>
      <w:r>
        <w:fldChar w:fldCharType="separate"/>
      </w:r>
      <w:r w:rsidR="00E17813" w:rsidRPr="00E17813">
        <w:rPr>
          <w:rFonts w:cs="Times New Roman"/>
          <w:kern w:val="0"/>
          <w:vertAlign w:val="superscript"/>
        </w:rPr>
        <w:t>[103]</w:t>
      </w:r>
      <w:r>
        <w:fldChar w:fldCharType="end"/>
      </w:r>
      <w:r>
        <w:rPr>
          <w:rFonts w:hint="eastAsia"/>
        </w:rPr>
        <w:t>。本研究运用</w:t>
      </w:r>
      <w:r>
        <w:rPr>
          <w:rFonts w:hint="eastAsia"/>
        </w:rPr>
        <w:t>Python</w:t>
      </w:r>
      <w:r>
        <w:rPr>
          <w:rFonts w:hint="eastAsia"/>
        </w:rPr>
        <w:t>生成词云图。</w:t>
      </w:r>
    </w:p>
    <w:p w14:paraId="22D75173" w14:textId="7EE4576A" w:rsidR="0027782D" w:rsidRDefault="0027782D" w:rsidP="0027782D">
      <w:pPr>
        <w:ind w:firstLine="420"/>
      </w:pPr>
      <w:r>
        <w:rPr>
          <w:rFonts w:hint="eastAsia"/>
        </w:rPr>
        <w:t>本研究进一步采用</w:t>
      </w:r>
      <w:r w:rsidRPr="00847F3D">
        <w:rPr>
          <w:rFonts w:hint="eastAsia"/>
        </w:rPr>
        <w:t>隐含狄利克雷分布</w:t>
      </w:r>
      <w:r w:rsidRPr="00772723">
        <w:rPr>
          <w:rFonts w:hint="eastAsia"/>
        </w:rPr>
        <w:t>（</w:t>
      </w:r>
      <w:r w:rsidRPr="00772723">
        <w:rPr>
          <w:rFonts w:hint="eastAsia"/>
        </w:rPr>
        <w:t>Latent Dirichlet Allocation</w:t>
      </w:r>
      <w:r>
        <w:rPr>
          <w:rFonts w:hint="eastAsia"/>
        </w:rPr>
        <w:t>，</w:t>
      </w:r>
      <w:r>
        <w:rPr>
          <w:rFonts w:hint="eastAsia"/>
        </w:rPr>
        <w:t>LDA</w:t>
      </w:r>
      <w:r w:rsidRPr="00772723">
        <w:rPr>
          <w:rFonts w:hint="eastAsia"/>
        </w:rPr>
        <w:t>）</w:t>
      </w:r>
      <w:r>
        <w:rPr>
          <w:rFonts w:hint="eastAsia"/>
        </w:rPr>
        <w:t>主题模型分析</w:t>
      </w:r>
      <w:r w:rsidRPr="00905B07">
        <w:rPr>
          <w:rFonts w:cs="Times New Roman" w:hint="eastAsia"/>
        </w:rPr>
        <w:t>一篇文档在</w:t>
      </w:r>
      <w:r w:rsidRPr="00905B07">
        <w:rPr>
          <w:rFonts w:cs="Times New Roman" w:hint="eastAsia"/>
        </w:rPr>
        <w:t>L</w:t>
      </w:r>
      <w:r w:rsidRPr="00905B07">
        <w:rPr>
          <w:rFonts w:cs="Times New Roman"/>
        </w:rPr>
        <w:t>DA</w:t>
      </w:r>
      <w:r w:rsidRPr="00905B07">
        <w:rPr>
          <w:rFonts w:cs="Times New Roman" w:hint="eastAsia"/>
        </w:rPr>
        <w:t>主题模型中的生成过程如下</w:t>
      </w:r>
      <w:r>
        <w:rPr>
          <w:rFonts w:cs="Times New Roman"/>
        </w:rPr>
        <w:fldChar w:fldCharType="begin"/>
      </w:r>
      <w:r w:rsidR="00E17813">
        <w:rPr>
          <w:rFonts w:cs="Times New Roman"/>
        </w:rPr>
        <w:instrText xml:space="preserve"> ADDIN ZOTERO_ITEM CSL_CITATION {"citationID":"a15cuuvv0an","properties":{"formattedCitation":"\\super [104]\\nosupersub{}","plainCitation":"[104]","noteIndex":0},"citationItems":[{"id":4240,"uris":["http://zotero.org/users/13172592/items/SAPZFQUW"],"itemData":{"id":4240,"type":"article-journal","abstract":"One of the core problems of modern statistics is to approximate difficult-to-compute probability densities. This problem is especially important in Bayesian statistics, which frames all inference about unknown quantities as a calculation involving the posterior density. In this article, we review variational inference (VI), a method from machine learning that approximates probability densities through optimization. VI has been used in many applications and tends to be faster than classical methods, such as Markov chain Monte Carlo sampling. The idea behind VI is to first posit a family of densities and then to find a member of that family which is close to the target density. Closeness is measured by Kullback–Leibler divergence. We review the ideas behind mean-field variational inference, discuss the special case of VI applied to exponential family models, present a full example with a Bayesian mixture of Gaussians, and derive a variant that uses stochastic optimization to scale up to massive data. We discuss modern research in VI and highlight important open problems. VI is powerful, but it is not yet well understood. Our hope in writing this article is to catalyze statistical research on this class of algorithms. Supplementary materials for this article are available online.","call-number":"1","container-title":"Journal of the American Statistical Association","DOI":"10.1080/01621459.2017.1285773","ISSN":"0162-1459","issue":"518","language":"en","note":"publisher: ASA Website\n_eprint: https://doi.org/10.1080/01621459.2017.1285773\nTLDR: Variational inference (VI), a method from machine learning that approximates probability densities through optimization, is reviewed and a variant that uses stochastic optimization to scale up to massive data is derived.","page":"859-877","source":"3","title":"Variational inference: A review for statisticians","title-short":"Variational inference","volume":"112","author":[{"family":"Blei","given":"David M."},{"family":"Kucukelbir","given":"Alp"},{"family":"McAuliffe","given":"Jon D."}],"issued":{"date-parts":[["2017",4,3]]}}}],"schema":"https://github.com/citation-style-language/schema/raw/master/csl-citation.json"} </w:instrText>
      </w:r>
      <w:r>
        <w:rPr>
          <w:rFonts w:cs="Times New Roman"/>
        </w:rPr>
        <w:fldChar w:fldCharType="separate"/>
      </w:r>
      <w:r w:rsidR="00E17813" w:rsidRPr="00E17813">
        <w:rPr>
          <w:rFonts w:cs="Times New Roman"/>
          <w:kern w:val="0"/>
          <w:vertAlign w:val="superscript"/>
        </w:rPr>
        <w:t>[104]</w:t>
      </w:r>
      <w:r>
        <w:rPr>
          <w:rFonts w:cs="Times New Roman"/>
        </w:rPr>
        <w:fldChar w:fldCharType="end"/>
      </w:r>
      <w:r w:rsidRPr="00905B07">
        <w:rPr>
          <w:rFonts w:cs="Times New Roman" w:hint="eastAsia"/>
        </w:rPr>
        <w:t>：根据</w:t>
      </w:r>
      <w:r w:rsidRPr="00905B07">
        <w:rPr>
          <w:rFonts w:cs="Times New Roman" w:hint="eastAsia"/>
        </w:rPr>
        <w:t>Dirichlet</w:t>
      </w:r>
      <w:r w:rsidRPr="00905B07">
        <w:rPr>
          <w:rFonts w:cs="Times New Roman" w:hint="eastAsia"/>
        </w:rPr>
        <w:t>分布的超参数</w:t>
      </w:r>
      <m:oMath>
        <m:r>
          <w:rPr>
            <w:rFonts w:ascii="Cambria Math" w:hAnsi="Cambria Math" w:cs="Times New Roman"/>
          </w:rPr>
          <m:t>α</m:t>
        </m:r>
      </m:oMath>
      <w:r w:rsidRPr="00905B07">
        <w:rPr>
          <w:rFonts w:cs="Times New Roman" w:hint="eastAsia"/>
        </w:rPr>
        <w:t>，</w:t>
      </w:r>
      <w:r>
        <w:rPr>
          <w:rFonts w:cs="Times New Roman" w:hint="eastAsia"/>
        </w:rPr>
        <w:t>得到</w:t>
      </w:r>
      <w:r w:rsidRPr="00905B07">
        <w:rPr>
          <w:rFonts w:cs="Times New Roman" w:hint="eastAsia"/>
        </w:rPr>
        <w:t>文档</w:t>
      </w:r>
      <m:oMath>
        <m:r>
          <w:rPr>
            <w:rFonts w:ascii="Cambria Math" w:hAnsi="Cambria Math" w:cs="Times New Roman"/>
          </w:rPr>
          <m:t>d</m:t>
        </m:r>
      </m:oMath>
      <w:r w:rsidRPr="00905B07">
        <w:rPr>
          <w:rFonts w:cs="Times New Roman" w:hint="eastAsia"/>
        </w:rPr>
        <w:t>的主题分布</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d</m:t>
            </m:r>
          </m:sub>
        </m:sSub>
      </m:oMath>
      <w:r w:rsidRPr="00905B07">
        <w:rPr>
          <w:rFonts w:cs="Times New Roman" w:hint="eastAsia"/>
        </w:rPr>
        <w:t>，主题的分布概率越高越能代表该文档的内容；</w:t>
      </w:r>
      <w:r>
        <w:rPr>
          <w:rFonts w:cs="Times New Roman" w:hint="eastAsia"/>
        </w:rPr>
        <w:t>从</w:t>
      </w:r>
      <w:r w:rsidRPr="00905B07">
        <w:rPr>
          <w:rFonts w:cs="Times New Roman" w:hint="eastAsia"/>
        </w:rPr>
        <w:t>主题分布</w:t>
      </w:r>
      <m:oMath>
        <m:sSub>
          <m:sSubPr>
            <m:ctrlPr>
              <w:rPr>
                <w:rFonts w:ascii="Cambria Math" w:hAnsi="Cambria Math" w:cs="Times New Roman"/>
                <w:i/>
              </w:rPr>
            </m:ctrlPr>
          </m:sSubPr>
          <m:e>
            <m:r>
              <w:rPr>
                <w:rFonts w:ascii="Cambria Math" w:hAnsi="Cambria Math" w:cs="Times New Roman"/>
              </w:rPr>
              <m:t>θ</m:t>
            </m:r>
          </m:e>
          <m:sub>
            <m:r>
              <w:rPr>
                <w:rFonts w:ascii="Cambria Math" w:hAnsi="Cambria Math" w:cs="Times New Roman"/>
              </w:rPr>
              <m:t>d</m:t>
            </m:r>
          </m:sub>
        </m:sSub>
      </m:oMath>
      <w:r>
        <w:rPr>
          <w:rFonts w:cs="Times New Roman" w:hint="eastAsia"/>
        </w:rPr>
        <w:t>中取样生成文档</w:t>
      </w:r>
      <m:oMath>
        <m:r>
          <w:rPr>
            <w:rFonts w:ascii="Cambria Math" w:hAnsi="Cambria Math" w:cs="Times New Roman"/>
          </w:rPr>
          <m:t>d</m:t>
        </m:r>
      </m:oMath>
      <w:r>
        <w:rPr>
          <w:rFonts w:cs="Times New Roman" w:hint="eastAsia"/>
        </w:rPr>
        <w:t>第</w:t>
      </w:r>
      <m:oMath>
        <m:r>
          <w:rPr>
            <w:rFonts w:ascii="Cambria Math" w:hAnsi="Cambria Math" w:cs="Times New Roman"/>
          </w:rPr>
          <m:t>n</m:t>
        </m:r>
      </m:oMath>
      <w:r>
        <w:rPr>
          <w:rFonts w:cs="Times New Roman" w:hint="eastAsia"/>
        </w:rPr>
        <w:t>个词的主题</w:t>
      </w:r>
      <m:oMath>
        <m:r>
          <w:rPr>
            <w:rFonts w:ascii="Cambria Math" w:hAnsi="Cambria Math" w:cs="Times New Roman"/>
          </w:rPr>
          <m:t>Z</m:t>
        </m:r>
        <m:r>
          <m:rPr>
            <m:sty m:val="p"/>
          </m:rPr>
          <w:rPr>
            <w:rFonts w:ascii="Cambria Math" w:hAnsi="Cambria Math" w:cs="Times New Roman"/>
          </w:rPr>
          <w:softHyphen/>
        </m:r>
        <m:sSub>
          <m:sSubPr>
            <m:ctrlPr>
              <w:rPr>
                <w:rFonts w:ascii="Cambria Math" w:hAnsi="Cambria Math" w:cs="Times New Roman"/>
                <w:i/>
              </w:rPr>
            </m:ctrlPr>
          </m:sSubPr>
          <m:e>
            <m:r>
              <m:rPr>
                <m:sty m:val="p"/>
              </m:rPr>
              <w:rPr>
                <w:rFonts w:ascii="Cambria Math" w:hAnsi="Cambria Math" w:cs="Times New Roman"/>
              </w:rPr>
              <w:softHyphen/>
            </m:r>
          </m:e>
          <m:sub>
            <m:r>
              <w:rPr>
                <w:rFonts w:ascii="Cambria Math" w:hAnsi="Cambria Math" w:cs="Times New Roman"/>
              </w:rPr>
              <m:t>d,n</m:t>
            </m:r>
          </m:sub>
        </m:sSub>
      </m:oMath>
      <w:r>
        <w:rPr>
          <w:rFonts w:cs="Times New Roman" w:hint="eastAsia"/>
        </w:rPr>
        <w:t>；</w:t>
      </w:r>
      <w:r w:rsidRPr="00905B07">
        <w:rPr>
          <w:rFonts w:cs="Times New Roman" w:hint="eastAsia"/>
        </w:rPr>
        <w:t>根据</w:t>
      </w:r>
      <w:r w:rsidRPr="00905B07">
        <w:rPr>
          <w:rFonts w:cs="Times New Roman" w:hint="eastAsia"/>
        </w:rPr>
        <w:t>Dirichlet</w:t>
      </w:r>
      <w:r w:rsidRPr="00905B07">
        <w:rPr>
          <w:rFonts w:cs="Times New Roman" w:hint="eastAsia"/>
        </w:rPr>
        <w:t>分布的超参数</w:t>
      </w:r>
      <m:oMath>
        <m:r>
          <w:rPr>
            <w:rFonts w:ascii="Cambria Math" w:hAnsi="Cambria Math" w:cs="Times New Roman"/>
          </w:rPr>
          <m:t>β</m:t>
        </m:r>
      </m:oMath>
      <w:r w:rsidRPr="00905B07">
        <w:rPr>
          <w:rFonts w:cs="Times New Roman" w:hint="eastAsia"/>
        </w:rPr>
        <w:t>，</w:t>
      </w:r>
      <w:r>
        <w:rPr>
          <w:rFonts w:cs="Times New Roman" w:hint="eastAsia"/>
        </w:rPr>
        <w:t>生成主题</w:t>
      </w:r>
      <m:oMath>
        <m:r>
          <w:rPr>
            <w:rFonts w:ascii="Cambria Math" w:hAnsi="Cambria Math" w:cs="Times New Roman"/>
          </w:rPr>
          <m:t>Z</m:t>
        </m:r>
        <m:r>
          <m:rPr>
            <m:sty m:val="p"/>
          </m:rPr>
          <w:rPr>
            <w:rFonts w:ascii="Cambria Math" w:hAnsi="Cambria Math" w:cs="Times New Roman"/>
          </w:rPr>
          <w:softHyphen/>
        </m:r>
        <m:sSub>
          <m:sSubPr>
            <m:ctrlPr>
              <w:rPr>
                <w:rFonts w:ascii="Cambria Math" w:hAnsi="Cambria Math" w:cs="Times New Roman"/>
                <w:i/>
              </w:rPr>
            </m:ctrlPr>
          </m:sSubPr>
          <m:e>
            <m:r>
              <m:rPr>
                <m:sty m:val="p"/>
              </m:rPr>
              <w:rPr>
                <w:rFonts w:ascii="Cambria Math" w:hAnsi="Cambria Math" w:cs="Times New Roman"/>
              </w:rPr>
              <w:softHyphen/>
            </m:r>
          </m:e>
          <m:sub>
            <m:r>
              <w:rPr>
                <w:rFonts w:ascii="Cambria Math" w:hAnsi="Cambria Math" w:cs="Times New Roman" w:hint="eastAsia"/>
              </w:rPr>
              <m:t>d</m:t>
            </m:r>
            <m:r>
              <w:rPr>
                <w:rFonts w:ascii="Cambria Math" w:hAnsi="Cambria Math" w:cs="Times New Roman"/>
              </w:rPr>
              <m:t>,n</m:t>
            </m:r>
          </m:sub>
        </m:sSub>
      </m:oMath>
      <w:r>
        <w:rPr>
          <w:rFonts w:cs="Times New Roman" w:hint="eastAsia"/>
        </w:rPr>
        <w:t>对应</w:t>
      </w:r>
      <w:r w:rsidRPr="00905B07">
        <w:rPr>
          <w:rFonts w:cs="Times New Roman" w:hint="eastAsia"/>
        </w:rPr>
        <w:t>的</w:t>
      </w:r>
      <w:r>
        <w:rPr>
          <w:rFonts w:cs="Times New Roman" w:hint="eastAsia"/>
        </w:rPr>
        <w:t>主题词</w:t>
      </w:r>
      <w:r w:rsidRPr="00905B07">
        <w:rPr>
          <w:rFonts w:cs="Times New Roman" w:hint="eastAsia"/>
        </w:rPr>
        <w:t>分布</w:t>
      </w:r>
      <m:oMath>
        <m:sSub>
          <m:sSubPr>
            <m:ctrlPr>
              <w:rPr>
                <w:rFonts w:ascii="Cambria Math" w:hAnsi="Cambria Math" w:cs="Times New Roman"/>
                <w:i/>
              </w:rPr>
            </m:ctrlPr>
          </m:sSubPr>
          <m:e>
            <m:r>
              <w:rPr>
                <w:rFonts w:ascii="Cambria Math" w:hAnsi="Cambria Math" w:cs="Times New Roman"/>
              </w:rPr>
              <m:t>φ</m:t>
            </m:r>
          </m:e>
          <m:sub>
            <m:r>
              <w:rPr>
                <w:rFonts w:ascii="Cambria Math" w:hAnsi="Cambria Math" w:cs="Times New Roman" w:hint="eastAsia"/>
              </w:rPr>
              <m:t>k</m:t>
            </m:r>
          </m:sub>
        </m:sSub>
      </m:oMath>
      <w:r w:rsidRPr="00905B07">
        <w:rPr>
          <w:rFonts w:cs="Times New Roman" w:hint="eastAsia"/>
        </w:rPr>
        <w:t>，主题词的分布概率越高</w:t>
      </w:r>
      <w:r>
        <w:rPr>
          <w:rFonts w:cs="Times New Roman" w:hint="eastAsia"/>
        </w:rPr>
        <w:t>代表</w:t>
      </w:r>
      <w:r w:rsidRPr="00905B07">
        <w:rPr>
          <w:rFonts w:cs="Times New Roman" w:hint="eastAsia"/>
        </w:rPr>
        <w:t>对该主题的贡献度越大；</w:t>
      </w:r>
      <w:r>
        <w:rPr>
          <w:rFonts w:cs="Times New Roman" w:hint="eastAsia"/>
        </w:rPr>
        <w:t>从主题词</w:t>
      </w:r>
      <w:r w:rsidRPr="00905B07">
        <w:rPr>
          <w:rFonts w:cs="Times New Roman" w:hint="eastAsia"/>
        </w:rPr>
        <w:t>分布</w:t>
      </w:r>
      <m:oMath>
        <m:sSub>
          <m:sSubPr>
            <m:ctrlPr>
              <w:rPr>
                <w:rFonts w:ascii="Cambria Math" w:hAnsi="Cambria Math" w:cs="Times New Roman"/>
                <w:i/>
              </w:rPr>
            </m:ctrlPr>
          </m:sSubPr>
          <m:e>
            <m:r>
              <w:rPr>
                <w:rFonts w:ascii="Cambria Math" w:hAnsi="Cambria Math" w:cs="Times New Roman"/>
              </w:rPr>
              <m:t>φ</m:t>
            </m:r>
          </m:e>
          <m:sub>
            <m:r>
              <w:rPr>
                <w:rFonts w:ascii="Cambria Math" w:hAnsi="Cambria Math" w:cs="Times New Roman"/>
              </w:rPr>
              <m:t>k</m:t>
            </m:r>
          </m:sub>
        </m:sSub>
      </m:oMath>
      <w:r>
        <w:rPr>
          <w:rFonts w:cs="Times New Roman" w:hint="eastAsia"/>
        </w:rPr>
        <w:t>中取样生成文档</w:t>
      </w:r>
      <m:oMath>
        <m:r>
          <w:rPr>
            <w:rFonts w:ascii="Cambria Math" w:hAnsi="Cambria Math" w:cs="Times New Roman"/>
          </w:rPr>
          <m:t>d</m:t>
        </m:r>
      </m:oMath>
      <w:r>
        <w:rPr>
          <w:rFonts w:cs="Times New Roman" w:hint="eastAsia"/>
        </w:rPr>
        <w:t>的第</w:t>
      </w:r>
      <m:oMath>
        <m:r>
          <w:rPr>
            <w:rFonts w:ascii="Cambria Math" w:hAnsi="Cambria Math" w:cs="Times New Roman"/>
          </w:rPr>
          <m:t>n</m:t>
        </m:r>
      </m:oMath>
      <w:r>
        <w:rPr>
          <w:rFonts w:cs="Times New Roman" w:hint="eastAsia"/>
        </w:rPr>
        <w:t>个词</w:t>
      </w:r>
      <m:oMath>
        <m:sSub>
          <m:sSubPr>
            <m:ctrlPr>
              <w:rPr>
                <w:rFonts w:ascii="Cambria Math" w:hAnsi="Cambria Math" w:cs="Times New Roman"/>
                <w:i/>
              </w:rPr>
            </m:ctrlPr>
          </m:sSubPr>
          <m:e>
            <m:r>
              <w:rPr>
                <w:rFonts w:ascii="Cambria Math" w:hAnsi="Cambria Math" w:cs="Times New Roman"/>
              </w:rPr>
              <m:t>W</m:t>
            </m:r>
          </m:e>
          <m:sub>
            <m:r>
              <w:rPr>
                <w:rFonts w:ascii="Cambria Math" w:hAnsi="Cambria Math" w:cs="Times New Roman"/>
              </w:rPr>
              <m:t>d,n</m:t>
            </m:r>
          </m:sub>
        </m:sSub>
      </m:oMath>
      <w:r>
        <w:rPr>
          <w:rFonts w:cs="Times New Roman" w:hint="eastAsia"/>
        </w:rPr>
        <w:t>；重复上述过程即可生成一篇文档</w:t>
      </w:r>
      <w:r w:rsidRPr="00905B07">
        <w:rPr>
          <w:rFonts w:cs="Times New Roman" w:hint="eastAsia"/>
        </w:rPr>
        <w:t>，从而产生文本（</w:t>
      </w:r>
      <w:r>
        <w:rPr>
          <w:rFonts w:cs="Times New Roman" w:hint="eastAsia"/>
        </w:rPr>
        <w:t>见</w:t>
      </w:r>
      <w:r>
        <w:rPr>
          <w:rFonts w:cs="Times New Roman"/>
        </w:rPr>
        <w:fldChar w:fldCharType="begin"/>
      </w:r>
      <w:r>
        <w:rPr>
          <w:rFonts w:cs="Times New Roman"/>
        </w:rPr>
        <w:instrText xml:space="preserve"> </w:instrText>
      </w:r>
      <w:r>
        <w:rPr>
          <w:rFonts w:cs="Times New Roman" w:hint="eastAsia"/>
        </w:rPr>
        <w:instrText>REF _Ref200084687 \h</w:instrText>
      </w:r>
      <w:r>
        <w:rPr>
          <w:rFonts w:cs="Times New Roman"/>
        </w:rPr>
        <w:instrText xml:space="preserve"> </w:instrText>
      </w:r>
      <w:r>
        <w:rPr>
          <w:rFonts w:cs="Times New Roman"/>
        </w:rPr>
      </w:r>
      <w:r>
        <w:rPr>
          <w:rFonts w:cs="Times New Roman"/>
        </w:rPr>
        <w:fldChar w:fldCharType="separate"/>
      </w:r>
      <w:r w:rsidR="000F2689" w:rsidRPr="00457AB1">
        <w:rPr>
          <w:rFonts w:hint="eastAsia"/>
        </w:rPr>
        <w:t>图</w:t>
      </w:r>
      <w:r w:rsidR="000F2689" w:rsidRPr="00457AB1">
        <w:rPr>
          <w:rFonts w:hint="eastAsia"/>
        </w:rPr>
        <w:t xml:space="preserve"> </w:t>
      </w:r>
      <w:r w:rsidR="000F2689">
        <w:rPr>
          <w:noProof/>
        </w:rPr>
        <w:t>3</w:t>
      </w:r>
      <w:r>
        <w:rPr>
          <w:rFonts w:cs="Times New Roman"/>
        </w:rPr>
        <w:fldChar w:fldCharType="end"/>
      </w:r>
      <w:r w:rsidRPr="00905B07">
        <w:rPr>
          <w:rFonts w:cs="Times New Roman" w:hint="eastAsia"/>
        </w:rPr>
        <w:t>）。</w:t>
      </w:r>
      <w:r>
        <w:rPr>
          <w:rFonts w:hint="eastAsia"/>
        </w:rPr>
        <w:t>困惑度（</w:t>
      </w:r>
      <w:r>
        <w:rPr>
          <w:rFonts w:hint="eastAsia"/>
        </w:rPr>
        <w:t>Perplexity</w:t>
      </w:r>
      <w:r>
        <w:rPr>
          <w:rFonts w:hint="eastAsia"/>
        </w:rPr>
        <w:t>）与一致性（</w:t>
      </w:r>
      <w:r>
        <w:rPr>
          <w:rFonts w:hint="eastAsia"/>
        </w:rPr>
        <w:t>Coherence</w:t>
      </w:r>
      <w:r>
        <w:rPr>
          <w:rFonts w:hint="eastAsia"/>
        </w:rPr>
        <w:t>）常用于衡量主题数量选取的合理性。困惑度越低，一致性越高代表主题个数选取越合适。本研究应用</w:t>
      </w:r>
      <w:r>
        <w:rPr>
          <w:rFonts w:hint="eastAsia"/>
        </w:rPr>
        <w:t>Python</w:t>
      </w:r>
      <w:r>
        <w:rPr>
          <w:rFonts w:hint="eastAsia"/>
        </w:rPr>
        <w:t>对访谈记录进行</w:t>
      </w:r>
      <w:r>
        <w:rPr>
          <w:rFonts w:hint="eastAsia"/>
        </w:rPr>
        <w:t>LDA</w:t>
      </w:r>
      <w:r>
        <w:rPr>
          <w:rFonts w:hint="eastAsia"/>
        </w:rPr>
        <w:t>主题模型分析，识别利益相关方对清洁能源基地管理的主要需求。</w:t>
      </w:r>
    </w:p>
    <w:p w14:paraId="395C5C07" w14:textId="77777777" w:rsidR="0027782D" w:rsidRDefault="0027782D" w:rsidP="0027782D">
      <w:pPr>
        <w:pStyle w:val="figure"/>
        <w:spacing w:before="156"/>
      </w:pPr>
      <w:r w:rsidRPr="004F5CD8">
        <w:drawing>
          <wp:inline distT="0" distB="0" distL="0" distR="0" wp14:anchorId="28BBE043" wp14:editId="1FED82CE">
            <wp:extent cx="1590711" cy="1451560"/>
            <wp:effectExtent l="0" t="0" r="0" b="0"/>
            <wp:docPr id="4662874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6287479" name=""/>
                    <pic:cNvPicPr/>
                  </pic:nvPicPr>
                  <pic:blipFill>
                    <a:blip r:embed="rId25"/>
                    <a:stretch>
                      <a:fillRect/>
                    </a:stretch>
                  </pic:blipFill>
                  <pic:spPr>
                    <a:xfrm>
                      <a:off x="0" y="0"/>
                      <a:ext cx="1619947" cy="1478239"/>
                    </a:xfrm>
                    <a:prstGeom prst="rect">
                      <a:avLst/>
                    </a:prstGeom>
                  </pic:spPr>
                </pic:pic>
              </a:graphicData>
            </a:graphic>
          </wp:inline>
        </w:drawing>
      </w:r>
    </w:p>
    <w:p w14:paraId="27435BAD" w14:textId="111B67C5" w:rsidR="0027782D" w:rsidRPr="00B75061" w:rsidRDefault="0027782D" w:rsidP="0027782D">
      <w:pPr>
        <w:pStyle w:val="afa"/>
        <w:spacing w:afterLines="50" w:after="156"/>
      </w:pPr>
      <w:bookmarkStart w:id="6" w:name="_Ref200084687"/>
      <w:bookmarkStart w:id="7" w:name="_Ref192964939"/>
      <w:bookmarkStart w:id="8" w:name="_Toc197177809"/>
      <w:r w:rsidRPr="00457AB1">
        <w:rPr>
          <w:rFonts w:hint="eastAsia"/>
        </w:rPr>
        <w:t>图</w:t>
      </w:r>
      <w:r w:rsidRPr="00457AB1">
        <w:rPr>
          <w:rFonts w:hint="eastAsia"/>
        </w:rPr>
        <w:t xml:space="preserve"> </w:t>
      </w:r>
      <w:r w:rsidRPr="00457AB1">
        <w:fldChar w:fldCharType="begin"/>
      </w:r>
      <w:r w:rsidRPr="00457AB1">
        <w:instrText xml:space="preserve"> </w:instrText>
      </w:r>
      <w:r w:rsidRPr="00457AB1">
        <w:rPr>
          <w:rFonts w:hint="eastAsia"/>
        </w:rPr>
        <w:instrText xml:space="preserve">SEQ </w:instrText>
      </w:r>
      <w:r w:rsidRPr="00457AB1">
        <w:rPr>
          <w:rFonts w:hint="eastAsia"/>
        </w:rPr>
        <w:instrText>图</w:instrText>
      </w:r>
      <w:r w:rsidRPr="00457AB1">
        <w:rPr>
          <w:rFonts w:hint="eastAsia"/>
        </w:rPr>
        <w:instrText xml:space="preserve"> \* ARABIC</w:instrText>
      </w:r>
      <w:r w:rsidRPr="00457AB1">
        <w:instrText xml:space="preserve"> </w:instrText>
      </w:r>
      <w:r w:rsidRPr="00457AB1">
        <w:fldChar w:fldCharType="separate"/>
      </w:r>
      <w:r w:rsidR="000F2689">
        <w:rPr>
          <w:noProof/>
        </w:rPr>
        <w:t>3</w:t>
      </w:r>
      <w:r w:rsidRPr="00457AB1">
        <w:fldChar w:fldCharType="end"/>
      </w:r>
      <w:bookmarkEnd w:id="6"/>
      <w:r>
        <w:rPr>
          <w:rFonts w:hint="eastAsia"/>
        </w:rPr>
        <w:t xml:space="preserve"> </w:t>
      </w:r>
      <w:r w:rsidRPr="00DB17E6">
        <w:rPr>
          <w:rFonts w:hint="eastAsia"/>
        </w:rPr>
        <w:t>LDA</w:t>
      </w:r>
      <w:r w:rsidRPr="00DB17E6">
        <w:rPr>
          <w:rFonts w:hint="eastAsia"/>
        </w:rPr>
        <w:t>主题模型文档生成过程</w:t>
      </w:r>
      <w:bookmarkEnd w:id="7"/>
      <w:bookmarkEnd w:id="8"/>
    </w:p>
    <w:p w14:paraId="27E4F263" w14:textId="5D4D2829" w:rsidR="000B2B64" w:rsidRDefault="004D5E44" w:rsidP="004D5E44">
      <w:pPr>
        <w:pStyle w:val="2"/>
      </w:pPr>
      <w:r>
        <w:rPr>
          <w:rFonts w:hint="eastAsia"/>
        </w:rPr>
        <w:t>结构方程模型</w:t>
      </w:r>
    </w:p>
    <w:p w14:paraId="48BEBCC3" w14:textId="6BB4A189" w:rsidR="00CC6409" w:rsidRDefault="00BB21A1" w:rsidP="006804EC">
      <w:pPr>
        <w:ind w:firstLine="420"/>
      </w:pPr>
      <w:r>
        <w:rPr>
          <w:rFonts w:hint="eastAsia"/>
        </w:rPr>
        <w:t>结构方程模型</w:t>
      </w:r>
      <w:r w:rsidRPr="00BB21A1">
        <w:rPr>
          <w:rFonts w:hint="eastAsia"/>
        </w:rPr>
        <w:t>（</w:t>
      </w:r>
      <w:r w:rsidRPr="00BB21A1">
        <w:rPr>
          <w:rFonts w:hint="eastAsia"/>
        </w:rPr>
        <w:t>Structural Equation Modeling</w:t>
      </w:r>
      <w:r w:rsidRPr="00BB21A1">
        <w:rPr>
          <w:rFonts w:hint="eastAsia"/>
        </w:rPr>
        <w:t>，</w:t>
      </w:r>
      <w:r w:rsidRPr="00BB21A1">
        <w:rPr>
          <w:rFonts w:hint="eastAsia"/>
        </w:rPr>
        <w:t>SEM</w:t>
      </w:r>
      <w:r w:rsidRPr="00BB21A1">
        <w:rPr>
          <w:rFonts w:hint="eastAsia"/>
        </w:rPr>
        <w:t>）</w:t>
      </w:r>
      <w:r w:rsidR="0027782D">
        <w:rPr>
          <w:rFonts w:hint="eastAsia"/>
        </w:rPr>
        <w:t>能够</w:t>
      </w:r>
      <w:r w:rsidR="0027782D">
        <w:t>同时估计</w:t>
      </w:r>
      <w:r w:rsidR="0027782D">
        <w:rPr>
          <w:rFonts w:hint="eastAsia"/>
        </w:rPr>
        <w:t>多个观测</w:t>
      </w:r>
      <w:r w:rsidR="0027782D">
        <w:t>变量之间的直接作用和间接影响</w:t>
      </w:r>
      <w:r w:rsidR="0027782D">
        <w:rPr>
          <w:rFonts w:hint="eastAsia"/>
        </w:rPr>
        <w:t>，且能够系统分析</w:t>
      </w:r>
      <w:r w:rsidR="0027782D">
        <w:t>观测</w:t>
      </w:r>
      <w:r w:rsidR="0027782D">
        <w:rPr>
          <w:rFonts w:hint="eastAsia"/>
        </w:rPr>
        <w:t>变量所反映的潜在变量</w:t>
      </w:r>
      <w:r w:rsidR="00E17813">
        <w:fldChar w:fldCharType="begin"/>
      </w:r>
      <w:r w:rsidR="00E17813">
        <w:instrText xml:space="preserve"> ADDIN ZOTERO_ITEM CSL_CITATION {"citationID":"a13pk0jpb6l","properties":{"unsorted":false,"formattedCitation":"\\super [106]\\nosupersub{}","plainCitation":"[106]","noteIndex":0},"citationItems":[{"id":2652,"uris":["http://zotero.org/users/13172592/items/SLIZ4XSQ"],"itemData":{"id":2652,"type":"book","event-place":"London","ISBN":"0-8039-5318-6","publisher":"Sage Publications","publisher-place":"London","title":"Structural equation modeling: Concepts, issues, and applications","author":[{"family":"Hoyle","given":"Rick H"}],"issued":{"date-parts":[["1995"]]}},"locator":null,"label":null,"suppress-author":null,"prefix":null,"suffix":null}],"schema":"https://github.com/citation-style-language/schema/raw/master/csl-citation.json"} </w:instrText>
      </w:r>
      <w:r w:rsidR="00E17813">
        <w:fldChar w:fldCharType="separate"/>
      </w:r>
      <w:r w:rsidR="00E17813" w:rsidRPr="00E17813">
        <w:rPr>
          <w:rFonts w:cs="Times New Roman"/>
          <w:kern w:val="0"/>
          <w:vertAlign w:val="superscript"/>
        </w:rPr>
        <w:t>[106]</w:t>
      </w:r>
      <w:r w:rsidR="00E17813">
        <w:fldChar w:fldCharType="end"/>
      </w:r>
      <w:r w:rsidR="0027782D">
        <w:rPr>
          <w:rFonts w:hint="eastAsia"/>
        </w:rPr>
        <w:t>。本研究运用结构方程模型中的偏最小二乘法（</w:t>
      </w:r>
      <w:r w:rsidR="0027782D">
        <w:rPr>
          <w:rFonts w:hint="eastAsia"/>
        </w:rPr>
        <w:t>Partial Least Squares Structural Equation Modeling</w:t>
      </w:r>
      <w:r w:rsidR="0027782D">
        <w:rPr>
          <w:rFonts w:hint="eastAsia"/>
        </w:rPr>
        <w:t>，</w:t>
      </w:r>
      <w:r w:rsidR="0027782D">
        <w:rPr>
          <w:rFonts w:hint="eastAsia"/>
        </w:rPr>
        <w:t>PLS-SEM</w:t>
      </w:r>
      <w:r w:rsidR="0027782D">
        <w:rPr>
          <w:rFonts w:hint="eastAsia"/>
        </w:rPr>
        <w:t>）</w:t>
      </w:r>
      <w:r w:rsidR="0027782D">
        <w:t>对问卷调研数据进行分析，以验证清洁能源基地一体化管理理论模型</w:t>
      </w:r>
      <w:r w:rsidR="0027782D">
        <w:rPr>
          <w:rFonts w:hint="eastAsia"/>
        </w:rPr>
        <w:t>。</w:t>
      </w:r>
      <w:r w:rsidR="0027782D">
        <w:rPr>
          <w:rFonts w:hint="eastAsia"/>
        </w:rPr>
        <w:t>PLS-SEM</w:t>
      </w:r>
      <w:r w:rsidR="0027782D">
        <w:t>基于协方差计算，适用于数据分布不均衡、潜变量之间关系复杂的研究场景，符合本研究的模型特征</w:t>
      </w:r>
      <w:r w:rsidR="0027782D">
        <w:fldChar w:fldCharType="begin"/>
      </w:r>
      <w:r w:rsidR="00E17813">
        <w:instrText xml:space="preserve"> ADDIN ZOTERO_ITEM CSL_CITATION {"citationID":"a60rl5434m","properties":{"formattedCitation":"\\super [107]\\nosupersub{}","plainCitation":"[107]","noteIndex":0},"citationItems":[{"id":2738,"uris":["http://zotero.org/users/13172592/items/IXKCVSNK"],"itemData":{"id":2738,"type":"article-journal","abstract":"Purpose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This paper provides an overview of previously and recently proposed metrics as well as rules of thumb for evaluating the research results based on the application of PLS-SEM. Findings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Methodological developments associated with PLS-SEM are rapidly emerging. The metrics reported in this paper are useful for current applications, but must always be up to date with the latest developments in the PLS-SEM method. Originality/value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solutions.","container-title":"European Business Review","DOI":"10.1108/EBR-11-2018-0203","ISSN":"0955-534X","issue":"1","language":"en","note":"publisher: Emerald Publishing Limited","page":"2-24","source":"4","title":"When to use and how to report the results of PLS-SEM","volume":"31","author":[{"family":"Hair","given":"Joseph F."},{"family":"Risher","given":"Jeffrey J."},{"family":"Sarstedt","given":"Marko"},{"family":"Ringle","given":"Christian M."}],"issued":{"date-parts":[["2019",1,1]]}}}],"schema":"https://github.com/citation-style-language/schema/raw/master/csl-citation.json"} </w:instrText>
      </w:r>
      <w:r w:rsidR="0027782D">
        <w:fldChar w:fldCharType="separate"/>
      </w:r>
      <w:r w:rsidR="00E17813" w:rsidRPr="00E17813">
        <w:rPr>
          <w:rFonts w:cs="Times New Roman"/>
          <w:kern w:val="0"/>
          <w:vertAlign w:val="superscript"/>
        </w:rPr>
        <w:t>[107]</w:t>
      </w:r>
      <w:r w:rsidR="0027782D">
        <w:fldChar w:fldCharType="end"/>
      </w:r>
      <w:r w:rsidR="0027782D">
        <w:rPr>
          <w:rFonts w:hint="eastAsia"/>
        </w:rPr>
        <w:t>。</w:t>
      </w:r>
    </w:p>
    <w:p w14:paraId="73DC28D2" w14:textId="5D25D168" w:rsidR="00BB21A1" w:rsidRDefault="00BB21A1" w:rsidP="00BB21A1">
      <w:pPr>
        <w:pStyle w:val="1"/>
      </w:pPr>
      <w:r>
        <w:rPr>
          <w:rFonts w:hint="eastAsia"/>
        </w:rPr>
        <w:t>调研结果与分析</w:t>
      </w:r>
    </w:p>
    <w:p w14:paraId="2DBCA5B9" w14:textId="6397DC8A" w:rsidR="00BB21A1" w:rsidRDefault="00BB6319" w:rsidP="00BB21A1">
      <w:pPr>
        <w:pStyle w:val="2"/>
      </w:pPr>
      <w:r w:rsidRPr="00BB6319">
        <w:rPr>
          <w:rFonts w:hint="eastAsia"/>
        </w:rPr>
        <w:t>清洁能源基地管理需求分析</w:t>
      </w:r>
    </w:p>
    <w:p w14:paraId="635AFAE0" w14:textId="3CC6B0BA" w:rsidR="00BB6319" w:rsidRDefault="00BB6319" w:rsidP="00BB6319">
      <w:pPr>
        <w:ind w:firstLine="420"/>
      </w:pPr>
      <w:r>
        <w:rPr>
          <w:rFonts w:hint="eastAsia"/>
        </w:rPr>
        <w:t>本研究在调研访谈中收集了利益相关方对清洁能源基地管理现状的看法与建议。本节首先对前述记录进行词频统计，以明确利益相关方对清洁能源基地管理的关注点。具体而言，受访者在回答中提及某关键词，则该关键词词频加一，词云图如</w:t>
      </w:r>
      <w:r>
        <w:fldChar w:fldCharType="begin"/>
      </w:r>
      <w:r>
        <w:instrText xml:space="preserve"> </w:instrText>
      </w:r>
      <w:r>
        <w:rPr>
          <w:rFonts w:hint="eastAsia"/>
        </w:rPr>
        <w:instrText>REF _Ref171446332</w:instrText>
      </w:r>
      <w:r>
        <w:instrText xml:space="preserve"> </w:instrText>
      </w:r>
      <w:r>
        <w:fldChar w:fldCharType="separate"/>
      </w:r>
      <w:r w:rsidR="000F2689" w:rsidRPr="001A6C69">
        <w:rPr>
          <w:rFonts w:hint="eastAsia"/>
        </w:rPr>
        <w:t>图</w:t>
      </w:r>
      <w:r w:rsidR="000F2689" w:rsidRPr="001A6C69">
        <w:rPr>
          <w:rFonts w:hint="eastAsia"/>
        </w:rPr>
        <w:t xml:space="preserve"> </w:t>
      </w:r>
      <w:r w:rsidR="000F2689">
        <w:rPr>
          <w:noProof/>
        </w:rPr>
        <w:t>4</w:t>
      </w:r>
      <w:r>
        <w:fldChar w:fldCharType="end"/>
      </w:r>
      <w:r>
        <w:rPr>
          <w:rFonts w:hint="eastAsia"/>
        </w:rPr>
        <w:t>所示。</w:t>
      </w:r>
    </w:p>
    <w:p w14:paraId="19EAB948" w14:textId="0410E179" w:rsidR="001A6C69" w:rsidRDefault="00BB6319" w:rsidP="00BB6319">
      <w:pPr>
        <w:ind w:firstLineChars="0" w:firstLine="0"/>
        <w:jc w:val="center"/>
      </w:pPr>
      <w:r w:rsidRPr="00A6350B">
        <w:rPr>
          <w:noProof/>
        </w:rPr>
        <w:drawing>
          <wp:inline distT="0" distB="0" distL="0" distR="0" wp14:anchorId="16A68B9E" wp14:editId="5240FEF3">
            <wp:extent cx="1680426" cy="1153713"/>
            <wp:effectExtent l="0" t="0" r="0" b="8890"/>
            <wp:docPr id="950342003"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0342003" name=""/>
                    <pic:cNvPicPr/>
                  </pic:nvPicPr>
                  <pic:blipFill rotWithShape="1">
                    <a:blip r:embed="rId26" cstate="hqprint">
                      <a:extLst>
                        <a:ext uri="{28A0092B-C50C-407E-A947-70E740481C1C}">
                          <a14:useLocalDpi xmlns:a14="http://schemas.microsoft.com/office/drawing/2010/main"/>
                        </a:ext>
                      </a:extLst>
                    </a:blip>
                    <a:srcRect b="2887"/>
                    <a:stretch>
                      <a:fillRect/>
                    </a:stretch>
                  </pic:blipFill>
                  <pic:spPr bwMode="auto">
                    <a:xfrm>
                      <a:off x="0" y="0"/>
                      <a:ext cx="1719014" cy="1180206"/>
                    </a:xfrm>
                    <a:prstGeom prst="rect">
                      <a:avLst/>
                    </a:prstGeom>
                    <a:ln>
                      <a:noFill/>
                    </a:ln>
                    <a:extLst>
                      <a:ext uri="{53640926-AAD7-44D8-BBD7-CCE9431645EC}">
                        <a14:shadowObscured xmlns:a14="http://schemas.microsoft.com/office/drawing/2010/main"/>
                      </a:ext>
                    </a:extLst>
                  </pic:spPr>
                </pic:pic>
              </a:graphicData>
            </a:graphic>
          </wp:inline>
        </w:drawing>
      </w:r>
    </w:p>
    <w:p w14:paraId="24B77F58" w14:textId="02FF36F9" w:rsidR="00BB21A1" w:rsidRDefault="001A6C69" w:rsidP="001A6C69">
      <w:pPr>
        <w:pStyle w:val="afa"/>
      </w:pPr>
      <w:bookmarkStart w:id="9" w:name="_Ref171446332"/>
      <w:r w:rsidRPr="001A6C69">
        <w:rPr>
          <w:rFonts w:hint="eastAsia"/>
        </w:rPr>
        <w:t>图</w:t>
      </w:r>
      <w:r w:rsidRPr="001A6C69">
        <w:rPr>
          <w:rFonts w:hint="eastAsia"/>
        </w:rPr>
        <w:t xml:space="preserve"> </w:t>
      </w:r>
      <w:r w:rsidRPr="001A6C69">
        <w:fldChar w:fldCharType="begin"/>
      </w:r>
      <w:r w:rsidRPr="001A6C69">
        <w:instrText xml:space="preserve"> </w:instrText>
      </w:r>
      <w:r w:rsidRPr="001A6C69">
        <w:rPr>
          <w:rFonts w:hint="eastAsia"/>
        </w:rPr>
        <w:instrText xml:space="preserve">SEQ </w:instrText>
      </w:r>
      <w:r w:rsidRPr="001A6C69">
        <w:rPr>
          <w:rFonts w:hint="eastAsia"/>
        </w:rPr>
        <w:instrText>图</w:instrText>
      </w:r>
      <w:r w:rsidRPr="001A6C69">
        <w:rPr>
          <w:rFonts w:hint="eastAsia"/>
        </w:rPr>
        <w:instrText xml:space="preserve"> \* ARABIC</w:instrText>
      </w:r>
      <w:r w:rsidRPr="001A6C69">
        <w:instrText xml:space="preserve"> </w:instrText>
      </w:r>
      <w:r w:rsidRPr="001A6C69">
        <w:fldChar w:fldCharType="separate"/>
      </w:r>
      <w:r w:rsidR="000F2689">
        <w:rPr>
          <w:noProof/>
        </w:rPr>
        <w:t>4</w:t>
      </w:r>
      <w:r w:rsidRPr="001A6C69">
        <w:fldChar w:fldCharType="end"/>
      </w:r>
      <w:bookmarkEnd w:id="9"/>
      <w:r w:rsidRPr="001A6C69">
        <w:rPr>
          <w:rFonts w:hint="eastAsia"/>
        </w:rPr>
        <w:t xml:space="preserve"> </w:t>
      </w:r>
      <w:r w:rsidR="00BB6319">
        <w:rPr>
          <w:rFonts w:hint="eastAsia"/>
        </w:rPr>
        <w:t>清洁能源基地管理访谈词云图</w:t>
      </w:r>
    </w:p>
    <w:p w14:paraId="6F7633C7" w14:textId="727133DC" w:rsidR="00BB6319" w:rsidRDefault="00BB6319" w:rsidP="00BB6319">
      <w:pPr>
        <w:ind w:firstLine="420"/>
      </w:pPr>
      <w:r>
        <w:fldChar w:fldCharType="begin"/>
      </w:r>
      <w:r>
        <w:instrText xml:space="preserve"> </w:instrText>
      </w:r>
      <w:r>
        <w:rPr>
          <w:rFonts w:hint="eastAsia"/>
        </w:rPr>
        <w:instrText>REF _Ref171446332</w:instrText>
      </w:r>
      <w:r>
        <w:instrText xml:space="preserve"> </w:instrText>
      </w:r>
      <w:r>
        <w:fldChar w:fldCharType="separate"/>
      </w:r>
      <w:r w:rsidR="000F2689" w:rsidRPr="001A6C69">
        <w:rPr>
          <w:rFonts w:hint="eastAsia"/>
        </w:rPr>
        <w:t>图</w:t>
      </w:r>
      <w:r w:rsidR="000F2689" w:rsidRPr="001A6C69">
        <w:rPr>
          <w:rFonts w:hint="eastAsia"/>
        </w:rPr>
        <w:t xml:space="preserve"> </w:t>
      </w:r>
      <w:r w:rsidR="000F2689">
        <w:rPr>
          <w:noProof/>
        </w:rPr>
        <w:t>4</w:t>
      </w:r>
      <w:r>
        <w:fldChar w:fldCharType="end"/>
      </w:r>
      <w:r>
        <w:rPr>
          <w:rFonts w:hint="eastAsia"/>
        </w:rPr>
        <w:t>中“电网”、“运营”、“调度”、“多能互补”、“一体化”、“建设”、“政府”、“系统”、“业主”与“新能源”词频较高，占据词云图中核心位置。利益相关方层面，上述结果表明电网公司、政府、业主在清洁能源基地开发中发挥了关键作用。管理模式层面，采用一体化管理，推进清洁能源基地内电站间多能互补系统的建设，对提高清洁能源基地开发效率与绩效至关重要。</w:t>
      </w:r>
    </w:p>
    <w:p w14:paraId="59C0415A" w14:textId="11064453" w:rsidR="00227A8F" w:rsidRDefault="00BB6319" w:rsidP="00FE59CF">
      <w:pPr>
        <w:ind w:firstLine="420"/>
      </w:pPr>
      <w:r>
        <w:rPr>
          <w:rFonts w:hint="eastAsia"/>
        </w:rPr>
        <w:lastRenderedPageBreak/>
        <w:t>本研究进一步应用</w:t>
      </w:r>
      <w:r>
        <w:rPr>
          <w:rFonts w:hint="eastAsia"/>
        </w:rPr>
        <w:t>LDA</w:t>
      </w:r>
      <w:r>
        <w:rPr>
          <w:rFonts w:hint="eastAsia"/>
        </w:rPr>
        <w:t>主题模型提取利益相关方对清洁能源基地管理的主要需求。</w:t>
      </w:r>
      <w:r w:rsidR="00227A8F">
        <w:fldChar w:fldCharType="begin"/>
      </w:r>
      <w:r w:rsidR="00227A8F">
        <w:instrText xml:space="preserve"> </w:instrText>
      </w:r>
      <w:r w:rsidR="00227A8F">
        <w:rPr>
          <w:rFonts w:hint="eastAsia"/>
        </w:rPr>
        <w:instrText>REF _Ref200093878 \h</w:instrText>
      </w:r>
      <w:r w:rsidR="00227A8F">
        <w:instrText xml:space="preserve"> </w:instrText>
      </w:r>
      <w:r w:rsidR="00227A8F">
        <w:fldChar w:fldCharType="separate"/>
      </w:r>
      <w:r w:rsidR="000F2689" w:rsidRPr="00227A8F">
        <w:rPr>
          <w:rFonts w:hint="eastAsia"/>
        </w:rPr>
        <w:t>图</w:t>
      </w:r>
      <w:r w:rsidR="000F2689" w:rsidRPr="00227A8F">
        <w:rPr>
          <w:rFonts w:hint="eastAsia"/>
        </w:rPr>
        <w:t xml:space="preserve"> </w:t>
      </w:r>
      <w:r w:rsidR="000F2689">
        <w:rPr>
          <w:noProof/>
        </w:rPr>
        <w:t>5</w:t>
      </w:r>
      <w:r w:rsidR="00227A8F">
        <w:fldChar w:fldCharType="end"/>
      </w:r>
      <w:r>
        <w:rPr>
          <w:rFonts w:hint="eastAsia"/>
        </w:rPr>
        <w:t>与</w:t>
      </w:r>
      <w:r w:rsidR="00227A8F">
        <w:fldChar w:fldCharType="begin"/>
      </w:r>
      <w:r w:rsidR="00227A8F">
        <w:instrText xml:space="preserve"> </w:instrText>
      </w:r>
      <w:r w:rsidR="00227A8F">
        <w:rPr>
          <w:rFonts w:hint="eastAsia"/>
        </w:rPr>
        <w:instrText>REF _Ref200093882 \h</w:instrText>
      </w:r>
      <w:r w:rsidR="00227A8F">
        <w:instrText xml:space="preserve"> </w:instrText>
      </w:r>
      <w:r w:rsidR="00227A8F">
        <w:fldChar w:fldCharType="separate"/>
      </w:r>
      <w:r w:rsidR="000F2689" w:rsidRPr="001A6C69">
        <w:rPr>
          <w:rFonts w:hint="eastAsia"/>
        </w:rPr>
        <w:t>图</w:t>
      </w:r>
      <w:r w:rsidR="000F2689" w:rsidRPr="001A6C69">
        <w:rPr>
          <w:rFonts w:hint="eastAsia"/>
        </w:rPr>
        <w:t xml:space="preserve"> </w:t>
      </w:r>
      <w:r w:rsidR="000F2689">
        <w:rPr>
          <w:noProof/>
        </w:rPr>
        <w:t>6</w:t>
      </w:r>
      <w:r w:rsidR="00227A8F">
        <w:fldChar w:fldCharType="end"/>
      </w:r>
      <w:r>
        <w:rPr>
          <w:rFonts w:hint="eastAsia"/>
        </w:rPr>
        <w:t>分别为</w:t>
      </w:r>
      <w:r>
        <w:rPr>
          <w:rFonts w:hint="eastAsia"/>
        </w:rPr>
        <w:t>LDA</w:t>
      </w:r>
      <w:r>
        <w:rPr>
          <w:rFonts w:hint="eastAsia"/>
        </w:rPr>
        <w:t>模型的困惑度与一致性随主题数的变化趋势。</w:t>
      </w:r>
      <w:r w:rsidR="00FE59CF">
        <w:rPr>
          <w:rFonts w:hint="eastAsia"/>
        </w:rPr>
        <w:t>当主题数等于</w:t>
      </w:r>
      <w:r w:rsidR="00FE59CF">
        <w:rPr>
          <w:rFonts w:hint="eastAsia"/>
        </w:rPr>
        <w:t>4</w:t>
      </w:r>
      <w:r w:rsidR="00FE59CF">
        <w:rPr>
          <w:rFonts w:hint="eastAsia"/>
        </w:rPr>
        <w:t>时，</w:t>
      </w:r>
      <w:r w:rsidR="00FE59CF">
        <w:rPr>
          <w:rFonts w:hint="eastAsia"/>
        </w:rPr>
        <w:t>LDA</w:t>
      </w:r>
      <w:r w:rsidR="00FE59CF">
        <w:rPr>
          <w:rFonts w:hint="eastAsia"/>
        </w:rPr>
        <w:t>模型困惑度处于较低水平，且一致性较高。因此，后文将取主题数为</w:t>
      </w:r>
      <w:r w:rsidR="00FE59CF">
        <w:rPr>
          <w:rFonts w:hint="eastAsia"/>
        </w:rPr>
        <w:t>4</w:t>
      </w:r>
      <w:r w:rsidR="00FE59CF">
        <w:rPr>
          <w:rFonts w:hint="eastAsia"/>
        </w:rPr>
        <w:t>，提取清洁能源基地的管理需求。</w:t>
      </w:r>
    </w:p>
    <w:p w14:paraId="3F97F868" w14:textId="77777777" w:rsidR="00227A8F" w:rsidRDefault="00227A8F" w:rsidP="00227A8F">
      <w:pPr>
        <w:pStyle w:val="figure"/>
        <w:keepNext w:val="0"/>
        <w:widowControl w:val="0"/>
        <w:spacing w:before="156"/>
      </w:pPr>
      <w:r>
        <w:drawing>
          <wp:inline distT="0" distB="0" distL="0" distR="0" wp14:anchorId="5306CB55" wp14:editId="6A0D6857">
            <wp:extent cx="1820849" cy="1497664"/>
            <wp:effectExtent l="0" t="0" r="8255" b="7620"/>
            <wp:docPr id="1547843231"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27" cstate="hqprint">
                      <a:extLst>
                        <a:ext uri="{28A0092B-C50C-407E-A947-70E740481C1C}">
                          <a14:useLocalDpi xmlns:a14="http://schemas.microsoft.com/office/drawing/2010/main"/>
                        </a:ext>
                      </a:extLst>
                    </a:blip>
                    <a:srcRect t="3670" b="3629"/>
                    <a:stretch/>
                  </pic:blipFill>
                  <pic:spPr bwMode="auto">
                    <a:xfrm>
                      <a:off x="0" y="0"/>
                      <a:ext cx="1841494" cy="1514645"/>
                    </a:xfrm>
                    <a:prstGeom prst="rect">
                      <a:avLst/>
                    </a:prstGeom>
                    <a:noFill/>
                    <a:ln>
                      <a:noFill/>
                    </a:ln>
                    <a:extLst>
                      <a:ext uri="{53640926-AAD7-44D8-BBD7-CCE9431645EC}">
                        <a14:shadowObscured xmlns:a14="http://schemas.microsoft.com/office/drawing/2010/main"/>
                      </a:ext>
                    </a:extLst>
                  </pic:spPr>
                </pic:pic>
              </a:graphicData>
            </a:graphic>
          </wp:inline>
        </w:drawing>
      </w:r>
    </w:p>
    <w:p w14:paraId="63108A7D" w14:textId="5DBFFDBE" w:rsidR="00BB6319" w:rsidRDefault="00227A8F" w:rsidP="00227A8F">
      <w:pPr>
        <w:pStyle w:val="figure"/>
        <w:keepNext w:val="0"/>
        <w:widowControl w:val="0"/>
        <w:spacing w:before="156"/>
      </w:pPr>
      <w:bookmarkStart w:id="10" w:name="_Ref200093878"/>
      <w:bookmarkStart w:id="11" w:name="_Toc197177811"/>
      <w:r w:rsidRPr="00227A8F">
        <w:rPr>
          <w:rFonts w:hint="eastAsia"/>
          <w:noProof w:val="0"/>
          <w:kern w:val="2"/>
          <w:sz w:val="21"/>
        </w:rPr>
        <w:t>图</w:t>
      </w:r>
      <w:r w:rsidRPr="00227A8F">
        <w:rPr>
          <w:rFonts w:hint="eastAsia"/>
          <w:noProof w:val="0"/>
          <w:kern w:val="2"/>
          <w:sz w:val="21"/>
        </w:rPr>
        <w:t xml:space="preserve"> </w:t>
      </w:r>
      <w:r w:rsidRPr="00227A8F">
        <w:rPr>
          <w:noProof w:val="0"/>
          <w:kern w:val="2"/>
          <w:sz w:val="21"/>
        </w:rPr>
        <w:fldChar w:fldCharType="begin"/>
      </w:r>
      <w:r w:rsidRPr="00227A8F">
        <w:rPr>
          <w:noProof w:val="0"/>
          <w:kern w:val="2"/>
          <w:sz w:val="21"/>
        </w:rPr>
        <w:instrText xml:space="preserve"> </w:instrText>
      </w:r>
      <w:r w:rsidRPr="00227A8F">
        <w:rPr>
          <w:rFonts w:hint="eastAsia"/>
          <w:noProof w:val="0"/>
          <w:kern w:val="2"/>
          <w:sz w:val="21"/>
        </w:rPr>
        <w:instrText xml:space="preserve">SEQ </w:instrText>
      </w:r>
      <w:r w:rsidRPr="00227A8F">
        <w:rPr>
          <w:rFonts w:hint="eastAsia"/>
          <w:noProof w:val="0"/>
          <w:kern w:val="2"/>
          <w:sz w:val="21"/>
        </w:rPr>
        <w:instrText>图</w:instrText>
      </w:r>
      <w:r w:rsidRPr="00227A8F">
        <w:rPr>
          <w:rFonts w:hint="eastAsia"/>
          <w:noProof w:val="0"/>
          <w:kern w:val="2"/>
          <w:sz w:val="21"/>
        </w:rPr>
        <w:instrText xml:space="preserve"> \* ARABIC</w:instrText>
      </w:r>
      <w:r w:rsidRPr="00227A8F">
        <w:rPr>
          <w:noProof w:val="0"/>
          <w:kern w:val="2"/>
          <w:sz w:val="21"/>
        </w:rPr>
        <w:instrText xml:space="preserve"> </w:instrText>
      </w:r>
      <w:r w:rsidRPr="00227A8F">
        <w:rPr>
          <w:noProof w:val="0"/>
          <w:kern w:val="2"/>
          <w:sz w:val="21"/>
        </w:rPr>
        <w:fldChar w:fldCharType="separate"/>
      </w:r>
      <w:r w:rsidR="000F2689">
        <w:rPr>
          <w:kern w:val="2"/>
          <w:sz w:val="21"/>
        </w:rPr>
        <w:t>5</w:t>
      </w:r>
      <w:r w:rsidRPr="00227A8F">
        <w:rPr>
          <w:noProof w:val="0"/>
          <w:kern w:val="2"/>
          <w:sz w:val="21"/>
        </w:rPr>
        <w:fldChar w:fldCharType="end"/>
      </w:r>
      <w:bookmarkEnd w:id="10"/>
      <w:r>
        <w:rPr>
          <w:rFonts w:hint="eastAsia"/>
          <w:noProof w:val="0"/>
          <w:kern w:val="2"/>
          <w:sz w:val="21"/>
        </w:rPr>
        <w:t xml:space="preserve"> </w:t>
      </w:r>
      <w:r w:rsidRPr="00227A8F">
        <w:rPr>
          <w:rFonts w:hint="eastAsia"/>
          <w:noProof w:val="0"/>
          <w:kern w:val="2"/>
          <w:sz w:val="21"/>
        </w:rPr>
        <w:t>困惑度</w:t>
      </w:r>
      <w:r w:rsidRPr="00227A8F">
        <w:rPr>
          <w:rFonts w:hint="eastAsia"/>
          <w:noProof w:val="0"/>
          <w:kern w:val="2"/>
          <w:sz w:val="21"/>
        </w:rPr>
        <w:t>-</w:t>
      </w:r>
      <w:r w:rsidRPr="00227A8F">
        <w:rPr>
          <w:rFonts w:hint="eastAsia"/>
          <w:noProof w:val="0"/>
          <w:kern w:val="2"/>
          <w:sz w:val="21"/>
        </w:rPr>
        <w:t>主题数折线图</w:t>
      </w:r>
      <w:bookmarkEnd w:id="11"/>
      <w:r w:rsidR="00BB6319">
        <w:drawing>
          <wp:inline distT="0" distB="0" distL="0" distR="0" wp14:anchorId="19A2E2E4" wp14:editId="5AF41C9C">
            <wp:extent cx="1804947" cy="1482849"/>
            <wp:effectExtent l="0" t="0" r="5080" b="3175"/>
            <wp:docPr id="1932247459"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rotWithShape="1">
                    <a:blip r:embed="rId28" cstate="hqprint">
                      <a:extLst>
                        <a:ext uri="{28A0092B-C50C-407E-A947-70E740481C1C}">
                          <a14:useLocalDpi xmlns:a14="http://schemas.microsoft.com/office/drawing/2010/main"/>
                        </a:ext>
                      </a:extLst>
                    </a:blip>
                    <a:srcRect t="3836" b="3627"/>
                    <a:stretch/>
                  </pic:blipFill>
                  <pic:spPr bwMode="auto">
                    <a:xfrm>
                      <a:off x="0" y="0"/>
                      <a:ext cx="1823278" cy="1497909"/>
                    </a:xfrm>
                    <a:prstGeom prst="rect">
                      <a:avLst/>
                    </a:prstGeom>
                    <a:noFill/>
                    <a:ln>
                      <a:noFill/>
                    </a:ln>
                    <a:extLst>
                      <a:ext uri="{53640926-AAD7-44D8-BBD7-CCE9431645EC}">
                        <a14:shadowObscured xmlns:a14="http://schemas.microsoft.com/office/drawing/2010/main"/>
                      </a:ext>
                    </a:extLst>
                  </pic:spPr>
                </pic:pic>
              </a:graphicData>
            </a:graphic>
          </wp:inline>
        </w:drawing>
      </w:r>
    </w:p>
    <w:p w14:paraId="1C9F7FF4" w14:textId="39C96A5D" w:rsidR="00BB6319" w:rsidRDefault="00227A8F" w:rsidP="00BB6319">
      <w:pPr>
        <w:ind w:firstLineChars="0" w:firstLine="0"/>
        <w:jc w:val="center"/>
      </w:pPr>
      <w:bookmarkStart w:id="12" w:name="_Ref200093882"/>
      <w:bookmarkStart w:id="13" w:name="_Toc197177812"/>
      <w:r w:rsidRPr="001A6C69">
        <w:rPr>
          <w:rFonts w:hint="eastAsia"/>
        </w:rPr>
        <w:t>图</w:t>
      </w:r>
      <w:r w:rsidRPr="001A6C69">
        <w:rPr>
          <w:rFonts w:hint="eastAsia"/>
        </w:rPr>
        <w:t xml:space="preserve"> </w:t>
      </w:r>
      <w:r w:rsidRPr="001A6C69">
        <w:fldChar w:fldCharType="begin"/>
      </w:r>
      <w:r w:rsidRPr="001A6C69">
        <w:instrText xml:space="preserve"> </w:instrText>
      </w:r>
      <w:r w:rsidRPr="001A6C69">
        <w:rPr>
          <w:rFonts w:hint="eastAsia"/>
        </w:rPr>
        <w:instrText xml:space="preserve">SEQ </w:instrText>
      </w:r>
      <w:r w:rsidRPr="001A6C69">
        <w:rPr>
          <w:rFonts w:hint="eastAsia"/>
        </w:rPr>
        <w:instrText>图</w:instrText>
      </w:r>
      <w:r w:rsidRPr="001A6C69">
        <w:rPr>
          <w:rFonts w:hint="eastAsia"/>
        </w:rPr>
        <w:instrText xml:space="preserve"> \* ARABIC</w:instrText>
      </w:r>
      <w:r w:rsidRPr="001A6C69">
        <w:instrText xml:space="preserve"> </w:instrText>
      </w:r>
      <w:r w:rsidRPr="001A6C69">
        <w:fldChar w:fldCharType="separate"/>
      </w:r>
      <w:r w:rsidR="000F2689">
        <w:rPr>
          <w:noProof/>
        </w:rPr>
        <w:t>6</w:t>
      </w:r>
      <w:r w:rsidRPr="001A6C69">
        <w:fldChar w:fldCharType="end"/>
      </w:r>
      <w:bookmarkEnd w:id="12"/>
      <w:r>
        <w:rPr>
          <w:rFonts w:hint="eastAsia"/>
        </w:rPr>
        <w:t xml:space="preserve"> </w:t>
      </w:r>
      <w:r w:rsidR="00BB6319">
        <w:rPr>
          <w:rFonts w:hint="eastAsia"/>
        </w:rPr>
        <w:t>一致性</w:t>
      </w:r>
      <w:r w:rsidR="00BB6319">
        <w:rPr>
          <w:rFonts w:hint="eastAsia"/>
        </w:rPr>
        <w:t>-</w:t>
      </w:r>
      <w:r w:rsidR="00BB6319" w:rsidRPr="007F5961">
        <w:rPr>
          <w:rFonts w:hint="eastAsia"/>
        </w:rPr>
        <w:t>主题数折线图</w:t>
      </w:r>
      <w:bookmarkEnd w:id="13"/>
    </w:p>
    <w:p w14:paraId="2DF13DAB" w14:textId="28AAAC9F" w:rsidR="00BB6319" w:rsidRDefault="00BB6319" w:rsidP="00776E20">
      <w:pPr>
        <w:spacing w:beforeLines="50" w:before="156"/>
        <w:ind w:firstLine="420"/>
      </w:pPr>
      <w:r w:rsidRPr="00A6350B">
        <w:rPr>
          <w:rFonts w:hint="eastAsia"/>
        </w:rPr>
        <w:t>本研究</w:t>
      </w:r>
      <w:r>
        <w:rPr>
          <w:rFonts w:hint="eastAsia"/>
        </w:rPr>
        <w:t>计算了</w:t>
      </w:r>
      <w:r w:rsidRPr="00A6350B">
        <w:rPr>
          <w:rFonts w:hint="eastAsia"/>
        </w:rPr>
        <w:t>各主题下关键词的分布概率</w:t>
      </w:r>
      <w:r>
        <w:rPr>
          <w:rFonts w:hint="eastAsia"/>
        </w:rPr>
        <w:t>，选取</w:t>
      </w:r>
      <w:r w:rsidRPr="00A6350B">
        <w:rPr>
          <w:rFonts w:hint="eastAsia"/>
        </w:rPr>
        <w:t>概率</w:t>
      </w:r>
      <w:r>
        <w:rPr>
          <w:rFonts w:hint="eastAsia"/>
        </w:rPr>
        <w:t>排名前十的词语为主题的关键词，结果</w:t>
      </w:r>
      <w:r w:rsidRPr="00A6350B">
        <w:rPr>
          <w:rFonts w:hint="eastAsia"/>
        </w:rPr>
        <w:t>如</w:t>
      </w:r>
      <w:r w:rsidR="00227A8F">
        <w:fldChar w:fldCharType="begin"/>
      </w:r>
      <w:r w:rsidR="00227A8F">
        <w:instrText xml:space="preserve"> </w:instrText>
      </w:r>
      <w:r w:rsidR="00227A8F">
        <w:rPr>
          <w:rFonts w:hint="eastAsia"/>
        </w:rPr>
        <w:instrText>REF _Ref200093924 \h</w:instrText>
      </w:r>
      <w:r w:rsidR="00227A8F">
        <w:instrText xml:space="preserve"> </w:instrText>
      </w:r>
      <w:r w:rsidR="00227A8F">
        <w:fldChar w:fldCharType="separate"/>
      </w:r>
      <w:r w:rsidR="000F2689">
        <w:rPr>
          <w:rFonts w:hint="eastAsia"/>
        </w:rPr>
        <w:t>表</w:t>
      </w:r>
      <w:r w:rsidR="000F2689" w:rsidRPr="00227A8F">
        <w:rPr>
          <w:rFonts w:hint="eastAsia"/>
        </w:rPr>
        <w:t xml:space="preserve"> </w:t>
      </w:r>
      <w:r w:rsidR="000F2689">
        <w:rPr>
          <w:noProof/>
        </w:rPr>
        <w:t>1</w:t>
      </w:r>
      <w:r w:rsidR="00227A8F">
        <w:fldChar w:fldCharType="end"/>
      </w:r>
      <w:r w:rsidRPr="00A6350B">
        <w:rPr>
          <w:rFonts w:hint="eastAsia"/>
        </w:rPr>
        <w:t>所示。</w:t>
      </w:r>
    </w:p>
    <w:p w14:paraId="1AD793FA" w14:textId="6BAF7F1F" w:rsidR="00BB6319" w:rsidRPr="00A6350B" w:rsidRDefault="00227A8F" w:rsidP="00227A8F">
      <w:pPr>
        <w:pStyle w:val="-0"/>
      </w:pPr>
      <w:bookmarkStart w:id="14" w:name="_Ref200093924"/>
      <w:bookmarkStart w:id="15" w:name="_Toc193354242"/>
      <w:r>
        <w:rPr>
          <w:rFonts w:hint="eastAsia"/>
        </w:rPr>
        <w:t>表</w:t>
      </w:r>
      <w:r w:rsidRPr="00227A8F">
        <w:rPr>
          <w:rFonts w:cstheme="minorBidi" w:hint="eastAsia"/>
          <w:kern w:val="2"/>
          <w:sz w:val="21"/>
          <w:szCs w:val="22"/>
        </w:rPr>
        <w:t xml:space="preserve"> </w:t>
      </w:r>
      <w:r w:rsidRPr="00227A8F">
        <w:rPr>
          <w:rFonts w:cstheme="minorBidi"/>
          <w:kern w:val="2"/>
          <w:sz w:val="21"/>
          <w:szCs w:val="22"/>
        </w:rPr>
        <w:fldChar w:fldCharType="begin"/>
      </w:r>
      <w:r w:rsidRPr="00227A8F">
        <w:rPr>
          <w:rFonts w:cstheme="minorBidi"/>
          <w:kern w:val="2"/>
          <w:sz w:val="21"/>
          <w:szCs w:val="22"/>
        </w:rPr>
        <w:instrText xml:space="preserve"> </w:instrText>
      </w:r>
      <w:r w:rsidRPr="00227A8F">
        <w:rPr>
          <w:rFonts w:cstheme="minorBidi" w:hint="eastAsia"/>
          <w:kern w:val="2"/>
          <w:sz w:val="21"/>
          <w:szCs w:val="22"/>
        </w:rPr>
        <w:instrText xml:space="preserve">SEQ </w:instrText>
      </w:r>
      <w:r w:rsidRPr="00227A8F">
        <w:rPr>
          <w:rFonts w:cstheme="minorBidi" w:hint="eastAsia"/>
          <w:kern w:val="2"/>
          <w:sz w:val="21"/>
          <w:szCs w:val="22"/>
        </w:rPr>
        <w:instrText>表</w:instrText>
      </w:r>
      <w:r w:rsidRPr="00227A8F">
        <w:rPr>
          <w:rFonts w:cstheme="minorBidi" w:hint="eastAsia"/>
          <w:kern w:val="2"/>
          <w:sz w:val="21"/>
          <w:szCs w:val="22"/>
        </w:rPr>
        <w:instrText xml:space="preserve"> \* ARABIC</w:instrText>
      </w:r>
      <w:r w:rsidRPr="00227A8F">
        <w:rPr>
          <w:rFonts w:cstheme="minorBidi"/>
          <w:kern w:val="2"/>
          <w:sz w:val="21"/>
          <w:szCs w:val="22"/>
        </w:rPr>
        <w:instrText xml:space="preserve"> </w:instrText>
      </w:r>
      <w:r w:rsidRPr="00227A8F">
        <w:rPr>
          <w:rFonts w:cstheme="minorBidi"/>
          <w:kern w:val="2"/>
          <w:sz w:val="21"/>
          <w:szCs w:val="22"/>
        </w:rPr>
        <w:fldChar w:fldCharType="separate"/>
      </w:r>
      <w:r w:rsidR="000F2689">
        <w:rPr>
          <w:rFonts w:cstheme="minorBidi"/>
          <w:noProof/>
          <w:kern w:val="2"/>
          <w:sz w:val="21"/>
          <w:szCs w:val="22"/>
        </w:rPr>
        <w:t>1</w:t>
      </w:r>
      <w:r w:rsidRPr="00227A8F">
        <w:rPr>
          <w:rFonts w:cstheme="minorBidi"/>
          <w:kern w:val="2"/>
          <w:sz w:val="21"/>
          <w:szCs w:val="22"/>
        </w:rPr>
        <w:fldChar w:fldCharType="end"/>
      </w:r>
      <w:bookmarkEnd w:id="14"/>
      <w:r w:rsidRPr="00227A8F">
        <w:rPr>
          <w:rFonts w:cstheme="minorBidi" w:hint="eastAsia"/>
          <w:kern w:val="2"/>
          <w:sz w:val="21"/>
          <w:szCs w:val="22"/>
        </w:rPr>
        <w:t xml:space="preserve"> </w:t>
      </w:r>
      <w:r w:rsidR="00BB6319" w:rsidRPr="00227A8F">
        <w:rPr>
          <w:rFonts w:cstheme="minorBidi" w:hint="eastAsia"/>
          <w:kern w:val="2"/>
          <w:sz w:val="21"/>
          <w:szCs w:val="22"/>
        </w:rPr>
        <w:t>LDA</w:t>
      </w:r>
      <w:r w:rsidR="00BB6319" w:rsidRPr="00227A8F">
        <w:rPr>
          <w:rFonts w:cstheme="minorBidi" w:hint="eastAsia"/>
          <w:kern w:val="2"/>
          <w:sz w:val="21"/>
          <w:szCs w:val="22"/>
        </w:rPr>
        <w:t>主题模型分析结果</w:t>
      </w:r>
      <w:bookmarkEnd w:id="15"/>
    </w:p>
    <w:tbl>
      <w:tblPr>
        <w:tblStyle w:val="af2"/>
        <w:tblW w:w="0" w:type="auto"/>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976"/>
        <w:gridCol w:w="3658"/>
      </w:tblGrid>
      <w:tr w:rsidR="00227A8F" w:rsidRPr="002B43B9" w14:paraId="090911BD" w14:textId="77777777" w:rsidTr="00227A8F">
        <w:trPr>
          <w:trHeight w:val="57"/>
        </w:trPr>
        <w:tc>
          <w:tcPr>
            <w:tcW w:w="0" w:type="auto"/>
            <w:tcBorders>
              <w:top w:val="single" w:sz="12" w:space="0" w:color="auto"/>
              <w:bottom w:val="single" w:sz="8" w:space="0" w:color="auto"/>
            </w:tcBorders>
            <w:vAlign w:val="center"/>
          </w:tcPr>
          <w:p w14:paraId="58FA63E3" w14:textId="77777777" w:rsidR="00227A8F" w:rsidRPr="002B43B9" w:rsidRDefault="00227A8F" w:rsidP="00776E20">
            <w:pPr>
              <w:ind w:firstLineChars="0" w:firstLine="0"/>
              <w:jc w:val="center"/>
              <w:rPr>
                <w:b/>
                <w:bCs/>
                <w:szCs w:val="21"/>
              </w:rPr>
            </w:pPr>
            <w:r w:rsidRPr="002B43B9">
              <w:rPr>
                <w:rFonts w:hint="eastAsia"/>
                <w:b/>
                <w:bCs/>
                <w:szCs w:val="21"/>
              </w:rPr>
              <w:t>主题</w:t>
            </w:r>
          </w:p>
        </w:tc>
        <w:tc>
          <w:tcPr>
            <w:tcW w:w="0" w:type="auto"/>
            <w:tcBorders>
              <w:top w:val="single" w:sz="12" w:space="0" w:color="auto"/>
              <w:bottom w:val="single" w:sz="8" w:space="0" w:color="auto"/>
            </w:tcBorders>
            <w:vAlign w:val="center"/>
          </w:tcPr>
          <w:p w14:paraId="18D6F1DB" w14:textId="77777777" w:rsidR="00227A8F" w:rsidRPr="002B43B9" w:rsidRDefault="00227A8F" w:rsidP="00776E20">
            <w:pPr>
              <w:ind w:firstLineChars="0" w:firstLine="0"/>
              <w:jc w:val="center"/>
              <w:rPr>
                <w:b/>
                <w:bCs/>
                <w:szCs w:val="21"/>
              </w:rPr>
            </w:pPr>
            <w:r w:rsidRPr="002B43B9">
              <w:rPr>
                <w:rFonts w:hint="eastAsia"/>
                <w:b/>
                <w:bCs/>
                <w:szCs w:val="21"/>
              </w:rPr>
              <w:t>关键词</w:t>
            </w:r>
          </w:p>
        </w:tc>
      </w:tr>
      <w:tr w:rsidR="00227A8F" w:rsidRPr="002B43B9" w14:paraId="2A1A4992" w14:textId="77777777" w:rsidTr="00227A8F">
        <w:trPr>
          <w:trHeight w:val="57"/>
        </w:trPr>
        <w:tc>
          <w:tcPr>
            <w:tcW w:w="0" w:type="auto"/>
            <w:tcBorders>
              <w:top w:val="single" w:sz="8" w:space="0" w:color="auto"/>
            </w:tcBorders>
          </w:tcPr>
          <w:p w14:paraId="08E1B362" w14:textId="77777777" w:rsidR="00227A8F" w:rsidRPr="002B43B9" w:rsidRDefault="00227A8F" w:rsidP="00776E20">
            <w:pPr>
              <w:pStyle w:val="table"/>
              <w:spacing w:before="0" w:after="0"/>
              <w:rPr>
                <w:sz w:val="21"/>
                <w:szCs w:val="21"/>
              </w:rPr>
            </w:pPr>
            <w:r w:rsidRPr="002B43B9">
              <w:rPr>
                <w:rFonts w:hint="eastAsia"/>
                <w:sz w:val="21"/>
                <w:szCs w:val="21"/>
              </w:rPr>
              <w:t>实施</w:t>
            </w:r>
            <w:r w:rsidRPr="002B43B9">
              <w:rPr>
                <w:sz w:val="21"/>
                <w:szCs w:val="21"/>
              </w:rPr>
              <w:t>一体化管理</w:t>
            </w:r>
          </w:p>
        </w:tc>
        <w:tc>
          <w:tcPr>
            <w:tcW w:w="0" w:type="auto"/>
            <w:tcBorders>
              <w:top w:val="single" w:sz="8" w:space="0" w:color="auto"/>
            </w:tcBorders>
          </w:tcPr>
          <w:p w14:paraId="55AB5CF7" w14:textId="77777777" w:rsidR="00227A8F" w:rsidRPr="002B43B9" w:rsidRDefault="00227A8F" w:rsidP="00776E20">
            <w:pPr>
              <w:pStyle w:val="table"/>
              <w:spacing w:before="0" w:after="0"/>
              <w:jc w:val="both"/>
              <w:rPr>
                <w:sz w:val="21"/>
                <w:szCs w:val="21"/>
              </w:rPr>
            </w:pPr>
            <w:r w:rsidRPr="002B43B9">
              <w:rPr>
                <w:rFonts w:hint="eastAsia"/>
                <w:sz w:val="21"/>
                <w:szCs w:val="21"/>
              </w:rPr>
              <w:t>建设、一体化、基地、政府、发展、水风光、地区、加快、能源、重点</w:t>
            </w:r>
          </w:p>
        </w:tc>
      </w:tr>
      <w:tr w:rsidR="00227A8F" w:rsidRPr="002B43B9" w14:paraId="3EA41CE5" w14:textId="77777777" w:rsidTr="00227A8F">
        <w:trPr>
          <w:trHeight w:val="57"/>
        </w:trPr>
        <w:tc>
          <w:tcPr>
            <w:tcW w:w="0" w:type="auto"/>
          </w:tcPr>
          <w:p w14:paraId="0AB71A83" w14:textId="77777777" w:rsidR="00227A8F" w:rsidRPr="002B43B9" w:rsidRDefault="00227A8F" w:rsidP="00776E20">
            <w:pPr>
              <w:pStyle w:val="table"/>
              <w:spacing w:before="0" w:after="0"/>
              <w:rPr>
                <w:sz w:val="21"/>
                <w:szCs w:val="21"/>
              </w:rPr>
            </w:pPr>
            <w:r w:rsidRPr="002B43B9">
              <w:rPr>
                <w:rFonts w:hint="eastAsia"/>
                <w:sz w:val="21"/>
                <w:szCs w:val="21"/>
              </w:rPr>
              <w:t>关注外部需求</w:t>
            </w:r>
          </w:p>
        </w:tc>
        <w:tc>
          <w:tcPr>
            <w:tcW w:w="0" w:type="auto"/>
          </w:tcPr>
          <w:p w14:paraId="2D80BB74" w14:textId="77777777" w:rsidR="00227A8F" w:rsidRPr="002B43B9" w:rsidRDefault="00227A8F" w:rsidP="00776E20">
            <w:pPr>
              <w:pStyle w:val="table"/>
              <w:spacing w:before="0" w:after="0"/>
              <w:jc w:val="both"/>
              <w:rPr>
                <w:sz w:val="21"/>
                <w:szCs w:val="21"/>
              </w:rPr>
            </w:pPr>
            <w:r w:rsidRPr="002B43B9">
              <w:rPr>
                <w:sz w:val="21"/>
                <w:szCs w:val="21"/>
              </w:rPr>
              <w:t>社会效益、经济效益、要求、绿色、行业、政府、农村、发展、清洁能源、建设</w:t>
            </w:r>
          </w:p>
        </w:tc>
      </w:tr>
      <w:tr w:rsidR="00227A8F" w:rsidRPr="002B43B9" w14:paraId="5868393E" w14:textId="77777777" w:rsidTr="00227A8F">
        <w:trPr>
          <w:trHeight w:val="57"/>
        </w:trPr>
        <w:tc>
          <w:tcPr>
            <w:tcW w:w="0" w:type="auto"/>
          </w:tcPr>
          <w:p w14:paraId="3504D781" w14:textId="77777777" w:rsidR="00227A8F" w:rsidRPr="002B43B9" w:rsidRDefault="00227A8F" w:rsidP="00776E20">
            <w:pPr>
              <w:pStyle w:val="table"/>
              <w:spacing w:before="0" w:after="0"/>
              <w:rPr>
                <w:sz w:val="21"/>
                <w:szCs w:val="21"/>
              </w:rPr>
            </w:pPr>
            <w:r w:rsidRPr="002B43B9">
              <w:rPr>
                <w:rFonts w:hint="eastAsia"/>
                <w:sz w:val="21"/>
                <w:szCs w:val="21"/>
              </w:rPr>
              <w:t>健全</w:t>
            </w:r>
            <w:r w:rsidRPr="002B43B9">
              <w:rPr>
                <w:sz w:val="21"/>
                <w:szCs w:val="21"/>
              </w:rPr>
              <w:t>管理</w:t>
            </w:r>
            <w:r w:rsidRPr="002B43B9">
              <w:rPr>
                <w:rFonts w:hint="eastAsia"/>
                <w:sz w:val="21"/>
                <w:szCs w:val="21"/>
              </w:rPr>
              <w:t>体系</w:t>
            </w:r>
          </w:p>
        </w:tc>
        <w:tc>
          <w:tcPr>
            <w:tcW w:w="0" w:type="auto"/>
          </w:tcPr>
          <w:p w14:paraId="15CC4463" w14:textId="77777777" w:rsidR="00227A8F" w:rsidRPr="002B43B9" w:rsidRDefault="00227A8F" w:rsidP="00776E20">
            <w:pPr>
              <w:pStyle w:val="table"/>
              <w:spacing w:before="0" w:after="0"/>
              <w:jc w:val="both"/>
              <w:rPr>
                <w:sz w:val="21"/>
                <w:szCs w:val="21"/>
              </w:rPr>
            </w:pPr>
            <w:r w:rsidRPr="002B43B9">
              <w:rPr>
                <w:sz w:val="21"/>
                <w:szCs w:val="21"/>
              </w:rPr>
              <w:t>制度、建立、体系、管控、加强、发展、运营、帮助、力度、业主</w:t>
            </w:r>
          </w:p>
        </w:tc>
      </w:tr>
      <w:tr w:rsidR="00227A8F" w:rsidRPr="002B43B9" w14:paraId="4997D24A" w14:textId="77777777" w:rsidTr="00227A8F">
        <w:trPr>
          <w:trHeight w:val="57"/>
        </w:trPr>
        <w:tc>
          <w:tcPr>
            <w:tcW w:w="0" w:type="auto"/>
          </w:tcPr>
          <w:p w14:paraId="21F10DB9" w14:textId="77777777" w:rsidR="00227A8F" w:rsidRPr="002B43B9" w:rsidRDefault="00227A8F" w:rsidP="00776E20">
            <w:pPr>
              <w:pStyle w:val="table"/>
              <w:spacing w:before="0" w:after="0"/>
              <w:rPr>
                <w:sz w:val="21"/>
                <w:szCs w:val="21"/>
              </w:rPr>
            </w:pPr>
            <w:r w:rsidRPr="002B43B9">
              <w:rPr>
                <w:rFonts w:hint="eastAsia"/>
                <w:sz w:val="21"/>
                <w:szCs w:val="21"/>
              </w:rPr>
              <w:t>攻克技术瓶颈</w:t>
            </w:r>
          </w:p>
        </w:tc>
        <w:tc>
          <w:tcPr>
            <w:tcW w:w="0" w:type="auto"/>
          </w:tcPr>
          <w:p w14:paraId="37A82B74" w14:textId="77777777" w:rsidR="00227A8F" w:rsidRPr="002B43B9" w:rsidRDefault="00227A8F" w:rsidP="00776E20">
            <w:pPr>
              <w:pStyle w:val="table"/>
              <w:spacing w:before="0" w:after="0"/>
              <w:jc w:val="both"/>
              <w:rPr>
                <w:sz w:val="21"/>
                <w:szCs w:val="21"/>
              </w:rPr>
            </w:pPr>
            <w:r w:rsidRPr="002B43B9">
              <w:rPr>
                <w:sz w:val="21"/>
                <w:szCs w:val="21"/>
              </w:rPr>
              <w:t>环节、行业、电网、工程、负责、人才、经验、施工、负责人、搭建</w:t>
            </w:r>
          </w:p>
        </w:tc>
      </w:tr>
    </w:tbl>
    <w:p w14:paraId="606B2FDB" w14:textId="77777777" w:rsidR="00BB6319" w:rsidRDefault="00BB6319" w:rsidP="00776E20">
      <w:pPr>
        <w:spacing w:beforeLines="50" w:before="156"/>
        <w:ind w:firstLine="420"/>
      </w:pPr>
      <w:r w:rsidRPr="00E12A9A">
        <w:rPr>
          <w:rFonts w:hint="eastAsia"/>
        </w:rPr>
        <w:t>根据</w:t>
      </w:r>
      <w:r w:rsidRPr="00E12A9A">
        <w:rPr>
          <w:rFonts w:hint="eastAsia"/>
        </w:rPr>
        <w:t>LDA</w:t>
      </w:r>
      <w:r w:rsidRPr="00E12A9A">
        <w:rPr>
          <w:rFonts w:hint="eastAsia"/>
        </w:rPr>
        <w:t>主题模型分析结果，利益相关方对清洁能源基地管理的需求可归纳为四个方面：实施一体化管理、关注外部需求、健全管理体系以及攻克技术瓶颈。具体论述如下：</w:t>
      </w:r>
    </w:p>
    <w:p w14:paraId="0B17CFA2" w14:textId="5DF6845D" w:rsidR="00BB6319" w:rsidRDefault="00BB6319" w:rsidP="00BB6319">
      <w:pPr>
        <w:ind w:firstLine="420"/>
      </w:pPr>
      <w:r>
        <w:rPr>
          <w:rFonts w:hint="eastAsia"/>
        </w:rPr>
        <w:t>（</w:t>
      </w:r>
      <w:r>
        <w:rPr>
          <w:rFonts w:hint="eastAsia"/>
        </w:rPr>
        <w:t>1</w:t>
      </w:r>
      <w:r>
        <w:rPr>
          <w:rFonts w:hint="eastAsia"/>
        </w:rPr>
        <w:t>）实施一体化管理：清洁能源基地涉及水电、风电、光伏、储能等多种能源工程建设，</w:t>
      </w:r>
      <w:r w:rsidRPr="005E39AF">
        <w:rPr>
          <w:rFonts w:hint="eastAsia"/>
        </w:rPr>
        <w:t>需</w:t>
      </w:r>
      <w:r w:rsidRPr="00B632E3">
        <w:rPr>
          <w:rFonts w:hint="eastAsia"/>
        </w:rPr>
        <w:t>实现</w:t>
      </w:r>
      <w:r>
        <w:rPr>
          <w:rFonts w:hint="eastAsia"/>
        </w:rPr>
        <w:t>各项目间</w:t>
      </w:r>
      <w:r w:rsidRPr="00B632E3">
        <w:rPr>
          <w:rFonts w:hint="eastAsia"/>
        </w:rPr>
        <w:t>的</w:t>
      </w:r>
      <w:r>
        <w:rPr>
          <w:rFonts w:hint="eastAsia"/>
        </w:rPr>
        <w:t>统筹管理与协同开发</w:t>
      </w:r>
      <w:r w:rsidRPr="00030EFC">
        <w:rPr>
          <w:rFonts w:hint="eastAsia"/>
        </w:rPr>
        <w:t>。</w:t>
      </w:r>
      <w:r>
        <w:rPr>
          <w:rFonts w:hint="eastAsia"/>
        </w:rPr>
        <w:t>此外，一体化管理也</w:t>
      </w:r>
      <w:r w:rsidRPr="00B632E3">
        <w:rPr>
          <w:rFonts w:hint="eastAsia"/>
        </w:rPr>
        <w:t>需建立建设单位、政府与当地</w:t>
      </w:r>
      <w:r>
        <w:rPr>
          <w:rFonts w:hint="eastAsia"/>
        </w:rPr>
        <w:t>居民等相关方</w:t>
      </w:r>
      <w:r w:rsidRPr="00B632E3">
        <w:rPr>
          <w:rFonts w:hint="eastAsia"/>
        </w:rPr>
        <w:t>间的合作</w:t>
      </w:r>
      <w:r>
        <w:rPr>
          <w:rFonts w:hint="eastAsia"/>
        </w:rPr>
        <w:t>关系。</w:t>
      </w:r>
    </w:p>
    <w:p w14:paraId="2B8542FC" w14:textId="5540D35A" w:rsidR="00BB6319" w:rsidRDefault="00BB6319" w:rsidP="00BB6319">
      <w:pPr>
        <w:ind w:firstLine="420"/>
      </w:pPr>
      <w:r>
        <w:rPr>
          <w:rFonts w:hint="eastAsia"/>
        </w:rPr>
        <w:t>（</w:t>
      </w:r>
      <w:r>
        <w:rPr>
          <w:rFonts w:hint="eastAsia"/>
        </w:rPr>
        <w:t>2</w:t>
      </w:r>
      <w:r>
        <w:rPr>
          <w:rFonts w:hint="eastAsia"/>
        </w:rPr>
        <w:t>）</w:t>
      </w:r>
      <w:r w:rsidRPr="00030EFC">
        <w:rPr>
          <w:rFonts w:hint="eastAsia"/>
        </w:rPr>
        <w:t>关注外部需求</w:t>
      </w:r>
      <w:r>
        <w:rPr>
          <w:rFonts w:hint="eastAsia"/>
        </w:rPr>
        <w:t>：</w:t>
      </w:r>
      <w:r w:rsidRPr="00B632E3">
        <w:rPr>
          <w:rFonts w:hint="eastAsia"/>
        </w:rPr>
        <w:t>清洁能源基地开发受到政策、市场及社会需求的共同驱动，其目标不仅限于满足能源产业自身的发展，还需兼顾社会、经济及环境效益</w:t>
      </w:r>
      <w:r>
        <w:rPr>
          <w:rFonts w:hint="eastAsia"/>
        </w:rPr>
        <w:t>。</w:t>
      </w:r>
    </w:p>
    <w:p w14:paraId="32677BD0" w14:textId="32F90F4B" w:rsidR="00BB6319" w:rsidRDefault="00BB6319" w:rsidP="00BB6319">
      <w:pPr>
        <w:ind w:firstLine="420"/>
      </w:pPr>
      <w:r>
        <w:rPr>
          <w:rFonts w:hint="eastAsia"/>
        </w:rPr>
        <w:t>（</w:t>
      </w:r>
      <w:r>
        <w:rPr>
          <w:rFonts w:hint="eastAsia"/>
        </w:rPr>
        <w:t>3</w:t>
      </w:r>
      <w:r>
        <w:rPr>
          <w:rFonts w:hint="eastAsia"/>
        </w:rPr>
        <w:t>）</w:t>
      </w:r>
      <w:r w:rsidRPr="00030EFC">
        <w:rPr>
          <w:rFonts w:hint="eastAsia"/>
        </w:rPr>
        <w:t>健全管理体系</w:t>
      </w:r>
      <w:r>
        <w:rPr>
          <w:rFonts w:hint="eastAsia"/>
        </w:rPr>
        <w:t>：清洁能源基地涉及多个子项目与相关方，管理难度较大。因此，需制定健全的管理体系，</w:t>
      </w:r>
      <w:r w:rsidRPr="00030EFC">
        <w:rPr>
          <w:rFonts w:hint="eastAsia"/>
        </w:rPr>
        <w:t>涵盖项目立项、建设到运行维护的全生命周期</w:t>
      </w:r>
      <w:r w:rsidRPr="00B632E3">
        <w:rPr>
          <w:rFonts w:hint="eastAsia"/>
        </w:rPr>
        <w:t>，并明确各</w:t>
      </w:r>
      <w:r>
        <w:rPr>
          <w:rFonts w:hint="eastAsia"/>
        </w:rPr>
        <w:t>利益相关方</w:t>
      </w:r>
      <w:r w:rsidRPr="00B632E3">
        <w:rPr>
          <w:rFonts w:hint="eastAsia"/>
        </w:rPr>
        <w:t>责权</w:t>
      </w:r>
      <w:r w:rsidRPr="00030EFC">
        <w:rPr>
          <w:rFonts w:hint="eastAsia"/>
        </w:rPr>
        <w:t>，以提高管理效率和风险应对能力。</w:t>
      </w:r>
    </w:p>
    <w:p w14:paraId="5C1A13CB" w14:textId="4A85FF3B" w:rsidR="00BB6319" w:rsidRPr="00BB6319" w:rsidRDefault="00BB6319" w:rsidP="00BB6319">
      <w:pPr>
        <w:ind w:firstLine="420"/>
      </w:pPr>
      <w:r>
        <w:rPr>
          <w:rFonts w:hint="eastAsia"/>
        </w:rPr>
        <w:t>（</w:t>
      </w:r>
      <w:r>
        <w:rPr>
          <w:rFonts w:hint="eastAsia"/>
        </w:rPr>
        <w:t>4</w:t>
      </w:r>
      <w:r>
        <w:rPr>
          <w:rFonts w:hint="eastAsia"/>
        </w:rPr>
        <w:t>）攻克技术瓶颈：</w:t>
      </w:r>
      <w:r w:rsidRPr="00B632E3">
        <w:rPr>
          <w:rFonts w:hint="eastAsia"/>
        </w:rPr>
        <w:t>清洁能源基地在规划、设计、施工及运维等环节面临技术挑战，涵盖</w:t>
      </w:r>
      <w:r>
        <w:rPr>
          <w:rFonts w:hint="eastAsia"/>
        </w:rPr>
        <w:t>复杂地质条件、</w:t>
      </w:r>
      <w:r w:rsidRPr="00B632E3">
        <w:rPr>
          <w:rFonts w:hint="eastAsia"/>
        </w:rPr>
        <w:t>多能互补系统、新型电力系统、储能技术应用等领域</w:t>
      </w:r>
      <w:r>
        <w:rPr>
          <w:rFonts w:hint="eastAsia"/>
        </w:rPr>
        <w:t>。</w:t>
      </w:r>
    </w:p>
    <w:p w14:paraId="25E9B437" w14:textId="394E406D" w:rsidR="001861F8" w:rsidRDefault="002B43B9" w:rsidP="001861F8">
      <w:pPr>
        <w:pStyle w:val="2"/>
      </w:pPr>
      <w:r w:rsidRPr="002B43B9">
        <w:rPr>
          <w:rFonts w:hint="eastAsia"/>
        </w:rPr>
        <w:t>清洁能源基地开发外部条件</w:t>
      </w:r>
    </w:p>
    <w:p w14:paraId="7EA9E05D" w14:textId="384C8205" w:rsidR="006C0984" w:rsidRPr="003E17F3" w:rsidRDefault="002B43B9" w:rsidP="002B43B9">
      <w:pPr>
        <w:ind w:firstLine="420"/>
        <w:rPr>
          <w:szCs w:val="21"/>
        </w:rPr>
      </w:pPr>
      <w:r w:rsidRPr="005F1811">
        <w:rPr>
          <w:rFonts w:hint="eastAsia"/>
        </w:rPr>
        <w:t>清洁能源基地开发外部条件</w:t>
      </w:r>
      <w:r w:rsidRPr="00541135">
        <w:rPr>
          <w:rFonts w:hint="eastAsia"/>
        </w:rPr>
        <w:t>情况</w:t>
      </w:r>
      <w:r w:rsidRPr="00A018AF">
        <w:rPr>
          <w:rFonts w:cs="Times New Roman"/>
        </w:rPr>
        <w:t>如</w:t>
      </w:r>
      <w:r>
        <w:rPr>
          <w:rFonts w:cs="Times New Roman"/>
        </w:rPr>
        <w:fldChar w:fldCharType="begin"/>
      </w:r>
      <w:r>
        <w:rPr>
          <w:rFonts w:cs="Times New Roman"/>
        </w:rPr>
        <w:instrText xml:space="preserve"> REF _Ref174628457 \h </w:instrText>
      </w:r>
      <w:r>
        <w:rPr>
          <w:rFonts w:cs="Times New Roman"/>
        </w:rPr>
      </w:r>
      <w:r>
        <w:rPr>
          <w:rFonts w:cs="Times New Roman"/>
        </w:rPr>
        <w:fldChar w:fldCharType="separate"/>
      </w:r>
      <w:r w:rsidR="000F2689">
        <w:rPr>
          <w:rFonts w:hint="eastAsia"/>
        </w:rPr>
        <w:t>表</w:t>
      </w:r>
      <w:r w:rsidR="000F2689">
        <w:rPr>
          <w:rFonts w:hint="eastAsia"/>
        </w:rPr>
        <w:t xml:space="preserve"> </w:t>
      </w:r>
      <w:r w:rsidR="000F2689">
        <w:rPr>
          <w:noProof/>
        </w:rPr>
        <w:t>2</w:t>
      </w:r>
      <w:r>
        <w:rPr>
          <w:rFonts w:cs="Times New Roman"/>
        </w:rPr>
        <w:fldChar w:fldCharType="end"/>
      </w:r>
      <w:r w:rsidRPr="00541135">
        <w:rPr>
          <w:rFonts w:hint="eastAsia"/>
        </w:rPr>
        <w:t>所示。其中，</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p>
    <w:p w14:paraId="27756C9E" w14:textId="22D8834E" w:rsidR="00D07D28" w:rsidRDefault="00D07D28" w:rsidP="00EB718D">
      <w:pPr>
        <w:pStyle w:val="afa"/>
        <w:keepNext/>
        <w:spacing w:beforeLines="50" w:before="156"/>
      </w:pPr>
      <w:bookmarkStart w:id="16" w:name="_Ref174628457"/>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2</w:t>
      </w:r>
      <w:r>
        <w:fldChar w:fldCharType="end"/>
      </w:r>
      <w:bookmarkEnd w:id="16"/>
      <w:r>
        <w:rPr>
          <w:rFonts w:hint="eastAsia"/>
        </w:rPr>
        <w:t xml:space="preserve"> </w:t>
      </w:r>
      <w:r w:rsidR="002B43B9" w:rsidRPr="002B43B9">
        <w:rPr>
          <w:rFonts w:hint="eastAsia"/>
        </w:rPr>
        <w:t>清洁能源基地开发外部条件评价</w:t>
      </w:r>
    </w:p>
    <w:tbl>
      <w:tblPr>
        <w:tblStyle w:val="22"/>
        <w:tblW w:w="5000" w:type="pct"/>
        <w:tblLook w:val="0660" w:firstRow="1" w:lastRow="1" w:firstColumn="0" w:lastColumn="0" w:noHBand="1" w:noVBand="1"/>
      </w:tblPr>
      <w:tblGrid>
        <w:gridCol w:w="3112"/>
        <w:gridCol w:w="791"/>
        <w:gridCol w:w="731"/>
      </w:tblGrid>
      <w:tr w:rsidR="00D07D28" w:rsidRPr="00401099" w14:paraId="6D1AE89F" w14:textId="77777777" w:rsidTr="002B43B9">
        <w:trPr>
          <w:cnfStyle w:val="100000000000" w:firstRow="1" w:lastRow="0" w:firstColumn="0" w:lastColumn="0" w:oddVBand="0" w:evenVBand="0" w:oddHBand="0" w:evenHBand="0" w:firstRowFirstColumn="0" w:firstRowLastColumn="0" w:lastRowFirstColumn="0" w:lastRowLastColumn="0"/>
          <w:trHeight w:val="283"/>
        </w:trPr>
        <w:tc>
          <w:tcPr>
            <w:tcW w:w="3358" w:type="pct"/>
            <w:vAlign w:val="center"/>
            <w:hideMark/>
          </w:tcPr>
          <w:p w14:paraId="00929172" w14:textId="77777777" w:rsidR="00D07D28" w:rsidRPr="00401099" w:rsidRDefault="00D07D28" w:rsidP="00304090">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hint="eastAsia"/>
                <w:bCs w:val="0"/>
                <w:sz w:val="21"/>
                <w:szCs w:val="21"/>
              </w:rPr>
              <w:t>指标</w:t>
            </w:r>
          </w:p>
        </w:tc>
        <w:tc>
          <w:tcPr>
            <w:tcW w:w="853" w:type="pct"/>
            <w:vAlign w:val="center"/>
            <w:hideMark/>
          </w:tcPr>
          <w:p w14:paraId="11E2719F" w14:textId="77777777" w:rsidR="00D07D28" w:rsidRPr="00401099" w:rsidRDefault="00D07D28" w:rsidP="00304090">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bCs w:val="0"/>
                <w:sz w:val="21"/>
                <w:szCs w:val="21"/>
              </w:rPr>
              <w:t>得分</w:t>
            </w:r>
          </w:p>
        </w:tc>
        <w:tc>
          <w:tcPr>
            <w:tcW w:w="789" w:type="pct"/>
            <w:vAlign w:val="center"/>
            <w:hideMark/>
          </w:tcPr>
          <w:p w14:paraId="372DA4E0" w14:textId="77777777" w:rsidR="00D07D28" w:rsidRPr="00401099" w:rsidRDefault="00D07D28" w:rsidP="00304090">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bCs w:val="0"/>
                <w:sz w:val="21"/>
                <w:szCs w:val="21"/>
              </w:rPr>
              <w:t>排序</w:t>
            </w:r>
          </w:p>
        </w:tc>
      </w:tr>
      <w:tr w:rsidR="00CB7B38" w:rsidRPr="00401099" w14:paraId="76687EC2" w14:textId="77777777" w:rsidTr="002B43B9">
        <w:trPr>
          <w:trHeight w:val="283"/>
        </w:trPr>
        <w:tc>
          <w:tcPr>
            <w:tcW w:w="3358" w:type="pct"/>
            <w:vAlign w:val="center"/>
          </w:tcPr>
          <w:p w14:paraId="24688B99" w14:textId="79BE2642" w:rsidR="00CB7B38" w:rsidRPr="00401099" w:rsidRDefault="002B43B9" w:rsidP="00CB7B38">
            <w:pPr>
              <w:pStyle w:val="af0"/>
              <w:spacing w:line="240" w:lineRule="atLeast"/>
              <w:jc w:val="center"/>
              <w:rPr>
                <w:rFonts w:ascii="Times New Roman" w:eastAsia="宋体" w:hAnsi="Times New Roman"/>
                <w:b/>
                <w:sz w:val="21"/>
                <w:szCs w:val="21"/>
              </w:rPr>
            </w:pPr>
            <w:r w:rsidRPr="00401099">
              <w:rPr>
                <w:rFonts w:ascii="Times New Roman" w:eastAsia="宋体" w:hAnsi="Times New Roman" w:hint="eastAsia"/>
                <w:b/>
                <w:sz w:val="21"/>
                <w:szCs w:val="21"/>
              </w:rPr>
              <w:t>自然环境</w:t>
            </w:r>
          </w:p>
        </w:tc>
        <w:tc>
          <w:tcPr>
            <w:tcW w:w="853" w:type="pct"/>
            <w:vAlign w:val="center"/>
          </w:tcPr>
          <w:p w14:paraId="59C03C14" w14:textId="320086A3" w:rsidR="00CB7B38" w:rsidRPr="00401099" w:rsidRDefault="00CB7B38" w:rsidP="00CB7B38">
            <w:pPr>
              <w:pStyle w:val="af0"/>
              <w:spacing w:line="240" w:lineRule="atLeast"/>
              <w:jc w:val="center"/>
              <w:rPr>
                <w:rFonts w:ascii="Times New Roman" w:eastAsia="宋体" w:hAnsi="Times New Roman"/>
                <w:b/>
                <w:sz w:val="21"/>
                <w:szCs w:val="21"/>
              </w:rPr>
            </w:pPr>
          </w:p>
        </w:tc>
        <w:tc>
          <w:tcPr>
            <w:tcW w:w="789" w:type="pct"/>
            <w:vAlign w:val="center"/>
          </w:tcPr>
          <w:p w14:paraId="3ECDC0C1" w14:textId="6F5316E0" w:rsidR="00CB7B38" w:rsidRPr="00401099" w:rsidRDefault="00CB7B38" w:rsidP="00CB7B38">
            <w:pPr>
              <w:pStyle w:val="af0"/>
              <w:spacing w:line="240" w:lineRule="atLeast"/>
              <w:jc w:val="center"/>
              <w:rPr>
                <w:rFonts w:ascii="Times New Roman" w:eastAsia="宋体" w:hAnsi="Times New Roman"/>
                <w:bCs/>
                <w:sz w:val="21"/>
                <w:szCs w:val="21"/>
              </w:rPr>
            </w:pPr>
          </w:p>
        </w:tc>
      </w:tr>
      <w:tr w:rsidR="002B43B9" w:rsidRPr="00401099" w14:paraId="609225F6" w14:textId="77777777" w:rsidTr="002B43B9">
        <w:trPr>
          <w:trHeight w:val="283"/>
        </w:trPr>
        <w:tc>
          <w:tcPr>
            <w:tcW w:w="3358" w:type="pct"/>
            <w:vAlign w:val="center"/>
          </w:tcPr>
          <w:p w14:paraId="55E502A8" w14:textId="25334D58"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项目所在区域清洁能源资源条件良好</w:t>
            </w:r>
          </w:p>
        </w:tc>
        <w:tc>
          <w:tcPr>
            <w:tcW w:w="853" w:type="pct"/>
            <w:vAlign w:val="center"/>
          </w:tcPr>
          <w:p w14:paraId="4DA3BC13" w14:textId="2FAAE6E2"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4.324</w:t>
            </w:r>
          </w:p>
        </w:tc>
        <w:tc>
          <w:tcPr>
            <w:tcW w:w="789" w:type="pct"/>
            <w:vAlign w:val="center"/>
          </w:tcPr>
          <w:p w14:paraId="1D7304F6" w14:textId="503F71E0"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w:t>
            </w:r>
          </w:p>
        </w:tc>
      </w:tr>
      <w:tr w:rsidR="002B43B9" w:rsidRPr="00401099" w14:paraId="15B3B3D2" w14:textId="77777777" w:rsidTr="002B43B9">
        <w:trPr>
          <w:trHeight w:val="283"/>
        </w:trPr>
        <w:tc>
          <w:tcPr>
            <w:tcW w:w="3358" w:type="pct"/>
            <w:vAlign w:val="center"/>
          </w:tcPr>
          <w:p w14:paraId="6001075A" w14:textId="265F0515"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项目生态环境影响可控</w:t>
            </w:r>
          </w:p>
        </w:tc>
        <w:tc>
          <w:tcPr>
            <w:tcW w:w="853" w:type="pct"/>
            <w:vAlign w:val="center"/>
          </w:tcPr>
          <w:p w14:paraId="2283E356" w14:textId="19C688F7"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4.259</w:t>
            </w:r>
          </w:p>
        </w:tc>
        <w:tc>
          <w:tcPr>
            <w:tcW w:w="789" w:type="pct"/>
            <w:vAlign w:val="center"/>
          </w:tcPr>
          <w:p w14:paraId="38B51357" w14:textId="055E6FAD"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3</w:t>
            </w:r>
          </w:p>
        </w:tc>
      </w:tr>
      <w:tr w:rsidR="002B43B9" w:rsidRPr="00401099" w14:paraId="14126256" w14:textId="77777777" w:rsidTr="002B43B9">
        <w:trPr>
          <w:trHeight w:val="283"/>
        </w:trPr>
        <w:tc>
          <w:tcPr>
            <w:tcW w:w="3358" w:type="pct"/>
            <w:vAlign w:val="center"/>
          </w:tcPr>
          <w:p w14:paraId="2A063025" w14:textId="5B83ABF5"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项目所在区域水文条件适宜</w:t>
            </w:r>
          </w:p>
        </w:tc>
        <w:tc>
          <w:tcPr>
            <w:tcW w:w="853" w:type="pct"/>
            <w:vAlign w:val="center"/>
          </w:tcPr>
          <w:p w14:paraId="4A71BF67" w14:textId="23973170"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4.229</w:t>
            </w:r>
          </w:p>
        </w:tc>
        <w:tc>
          <w:tcPr>
            <w:tcW w:w="789" w:type="pct"/>
            <w:vAlign w:val="center"/>
          </w:tcPr>
          <w:p w14:paraId="08C8A298" w14:textId="71F4201A"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w:t>
            </w:r>
          </w:p>
        </w:tc>
      </w:tr>
      <w:tr w:rsidR="002B43B9" w:rsidRPr="00401099" w14:paraId="55071975" w14:textId="77777777" w:rsidTr="002B43B9">
        <w:trPr>
          <w:trHeight w:val="283"/>
        </w:trPr>
        <w:tc>
          <w:tcPr>
            <w:tcW w:w="3358" w:type="pct"/>
            <w:vAlign w:val="center"/>
          </w:tcPr>
          <w:p w14:paraId="04D98D5F" w14:textId="09CE1A74"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项目所在区域地形、地质条件适宜</w:t>
            </w:r>
          </w:p>
        </w:tc>
        <w:tc>
          <w:tcPr>
            <w:tcW w:w="853" w:type="pct"/>
            <w:vAlign w:val="center"/>
          </w:tcPr>
          <w:p w14:paraId="29112B16" w14:textId="7A505E4A"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4.051</w:t>
            </w:r>
          </w:p>
        </w:tc>
        <w:tc>
          <w:tcPr>
            <w:tcW w:w="789" w:type="pct"/>
            <w:vAlign w:val="center"/>
          </w:tcPr>
          <w:p w14:paraId="12AEBFF7" w14:textId="3D806BB9"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14</w:t>
            </w:r>
          </w:p>
        </w:tc>
      </w:tr>
      <w:tr w:rsidR="002B43B9" w:rsidRPr="00401099" w14:paraId="08D47D06" w14:textId="77777777" w:rsidTr="002B43B9">
        <w:trPr>
          <w:trHeight w:val="283"/>
        </w:trPr>
        <w:tc>
          <w:tcPr>
            <w:tcW w:w="3358" w:type="pct"/>
            <w:vAlign w:val="center"/>
          </w:tcPr>
          <w:p w14:paraId="2286CE6F" w14:textId="42D99255"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项目所在区域气候条件适宜</w:t>
            </w:r>
          </w:p>
        </w:tc>
        <w:tc>
          <w:tcPr>
            <w:tcW w:w="853" w:type="pct"/>
            <w:vAlign w:val="center"/>
          </w:tcPr>
          <w:p w14:paraId="28AA2F19" w14:textId="783E3D75"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4.044</w:t>
            </w:r>
          </w:p>
        </w:tc>
        <w:tc>
          <w:tcPr>
            <w:tcW w:w="789" w:type="pct"/>
            <w:vAlign w:val="center"/>
          </w:tcPr>
          <w:p w14:paraId="23DDA375" w14:textId="02B16FCD"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15</w:t>
            </w:r>
          </w:p>
        </w:tc>
      </w:tr>
      <w:tr w:rsidR="002B43B9" w:rsidRPr="00401099" w14:paraId="2F39999C" w14:textId="77777777" w:rsidTr="002B43B9">
        <w:trPr>
          <w:trHeight w:val="283"/>
        </w:trPr>
        <w:tc>
          <w:tcPr>
            <w:tcW w:w="3358" w:type="pct"/>
            <w:vAlign w:val="center"/>
          </w:tcPr>
          <w:p w14:paraId="7D839D46" w14:textId="2FCF9794"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项目所在区域自然灾害（地震、洪水、滑坡、泥石流等）风险对项目实施影响可控</w:t>
            </w:r>
          </w:p>
        </w:tc>
        <w:tc>
          <w:tcPr>
            <w:tcW w:w="853" w:type="pct"/>
            <w:vAlign w:val="center"/>
          </w:tcPr>
          <w:p w14:paraId="3D358702" w14:textId="06C8A605"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4.017</w:t>
            </w:r>
          </w:p>
        </w:tc>
        <w:tc>
          <w:tcPr>
            <w:tcW w:w="789" w:type="pct"/>
            <w:vAlign w:val="center"/>
          </w:tcPr>
          <w:p w14:paraId="4989316A" w14:textId="6C1ACBE9"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16</w:t>
            </w:r>
          </w:p>
        </w:tc>
      </w:tr>
      <w:tr w:rsidR="00CB7B38" w:rsidRPr="00401099" w14:paraId="2A36A410" w14:textId="77777777" w:rsidTr="002B43B9">
        <w:trPr>
          <w:trHeight w:val="283"/>
        </w:trPr>
        <w:tc>
          <w:tcPr>
            <w:tcW w:w="3358" w:type="pct"/>
            <w:vAlign w:val="center"/>
          </w:tcPr>
          <w:p w14:paraId="730C6988" w14:textId="34E614F1" w:rsidR="00CB7B38" w:rsidRPr="00401099" w:rsidRDefault="002B43B9" w:rsidP="00CB7B38">
            <w:pPr>
              <w:pStyle w:val="af0"/>
              <w:spacing w:line="240" w:lineRule="atLeast"/>
              <w:jc w:val="center"/>
              <w:rPr>
                <w:rFonts w:ascii="Times New Roman" w:eastAsia="宋体" w:hAnsi="Times New Roman"/>
                <w:b/>
                <w:sz w:val="21"/>
                <w:szCs w:val="21"/>
              </w:rPr>
            </w:pPr>
            <w:r w:rsidRPr="00401099">
              <w:rPr>
                <w:rFonts w:ascii="Times New Roman" w:eastAsia="宋体" w:hAnsi="Times New Roman" w:hint="eastAsia"/>
                <w:b/>
                <w:sz w:val="21"/>
                <w:szCs w:val="21"/>
              </w:rPr>
              <w:t>征地移民</w:t>
            </w:r>
          </w:p>
        </w:tc>
        <w:tc>
          <w:tcPr>
            <w:tcW w:w="853" w:type="pct"/>
            <w:vAlign w:val="center"/>
          </w:tcPr>
          <w:p w14:paraId="3E39717B" w14:textId="5F3124CE" w:rsidR="00CB7B38" w:rsidRPr="00401099" w:rsidRDefault="00CB7B38" w:rsidP="00CB7B38">
            <w:pPr>
              <w:pStyle w:val="af0"/>
              <w:spacing w:line="240" w:lineRule="atLeast"/>
              <w:jc w:val="center"/>
              <w:rPr>
                <w:rFonts w:ascii="Times New Roman" w:eastAsia="宋体" w:hAnsi="Times New Roman" w:cs="Times New Roman"/>
                <w:b/>
                <w:sz w:val="21"/>
                <w:szCs w:val="21"/>
              </w:rPr>
            </w:pPr>
          </w:p>
        </w:tc>
        <w:tc>
          <w:tcPr>
            <w:tcW w:w="789" w:type="pct"/>
            <w:vAlign w:val="center"/>
          </w:tcPr>
          <w:p w14:paraId="3CC344E4" w14:textId="77777777" w:rsidR="00CB7B38" w:rsidRPr="00401099" w:rsidRDefault="00CB7B38" w:rsidP="00CB7B38">
            <w:pPr>
              <w:pStyle w:val="af0"/>
              <w:spacing w:line="240" w:lineRule="atLeast"/>
              <w:jc w:val="center"/>
              <w:rPr>
                <w:rFonts w:ascii="Times New Roman" w:eastAsia="宋体" w:hAnsi="Times New Roman" w:cs="Times New Roman"/>
                <w:bCs/>
                <w:sz w:val="21"/>
                <w:szCs w:val="21"/>
              </w:rPr>
            </w:pPr>
          </w:p>
        </w:tc>
      </w:tr>
      <w:tr w:rsidR="002B43B9" w:rsidRPr="00401099" w14:paraId="38F82F2D" w14:textId="77777777" w:rsidTr="002D1967">
        <w:trPr>
          <w:trHeight w:val="283"/>
        </w:trPr>
        <w:tc>
          <w:tcPr>
            <w:tcW w:w="3358" w:type="pct"/>
          </w:tcPr>
          <w:p w14:paraId="20532ACD" w14:textId="49F6D44B"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移民补偿标准合理</w:t>
            </w:r>
          </w:p>
        </w:tc>
        <w:tc>
          <w:tcPr>
            <w:tcW w:w="853" w:type="pct"/>
            <w:vAlign w:val="center"/>
          </w:tcPr>
          <w:p w14:paraId="319DBEBC" w14:textId="4671D70E"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4.218</w:t>
            </w:r>
          </w:p>
        </w:tc>
        <w:tc>
          <w:tcPr>
            <w:tcW w:w="789" w:type="pct"/>
            <w:vAlign w:val="center"/>
          </w:tcPr>
          <w:p w14:paraId="0BAAF7FC" w14:textId="67AF962A"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5</w:t>
            </w:r>
          </w:p>
        </w:tc>
      </w:tr>
      <w:tr w:rsidR="002B43B9" w:rsidRPr="00401099" w14:paraId="56F59793" w14:textId="77777777" w:rsidTr="002D1967">
        <w:trPr>
          <w:trHeight w:val="283"/>
        </w:trPr>
        <w:tc>
          <w:tcPr>
            <w:tcW w:w="3358" w:type="pct"/>
          </w:tcPr>
          <w:p w14:paraId="2436A6C5" w14:textId="1D3B1EAF"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移民安置条件良好</w:t>
            </w:r>
          </w:p>
        </w:tc>
        <w:tc>
          <w:tcPr>
            <w:tcW w:w="853" w:type="pct"/>
            <w:vAlign w:val="center"/>
          </w:tcPr>
          <w:p w14:paraId="5FA889BD" w14:textId="6C5F067E"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4.116</w:t>
            </w:r>
          </w:p>
        </w:tc>
        <w:tc>
          <w:tcPr>
            <w:tcW w:w="789" w:type="pct"/>
            <w:vAlign w:val="center"/>
          </w:tcPr>
          <w:p w14:paraId="5FB8FE03" w14:textId="3FB8A9C0"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11</w:t>
            </w:r>
          </w:p>
        </w:tc>
      </w:tr>
      <w:tr w:rsidR="002B43B9" w:rsidRPr="00401099" w14:paraId="2CA32DE2" w14:textId="77777777" w:rsidTr="002D1967">
        <w:trPr>
          <w:trHeight w:val="283"/>
        </w:trPr>
        <w:tc>
          <w:tcPr>
            <w:tcW w:w="3358" w:type="pct"/>
          </w:tcPr>
          <w:p w14:paraId="26C4BE1E" w14:textId="0014E676"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土地获取条件良好</w:t>
            </w:r>
          </w:p>
        </w:tc>
        <w:tc>
          <w:tcPr>
            <w:tcW w:w="853" w:type="pct"/>
            <w:vAlign w:val="center"/>
          </w:tcPr>
          <w:p w14:paraId="64BE44F6" w14:textId="641DB647"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4.102</w:t>
            </w:r>
          </w:p>
        </w:tc>
        <w:tc>
          <w:tcPr>
            <w:tcW w:w="789" w:type="pct"/>
            <w:vAlign w:val="center"/>
          </w:tcPr>
          <w:p w14:paraId="726876D1" w14:textId="1AFFA222"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12</w:t>
            </w:r>
          </w:p>
        </w:tc>
      </w:tr>
      <w:tr w:rsidR="00CB7B38" w:rsidRPr="00401099" w14:paraId="4F0445CB" w14:textId="77777777" w:rsidTr="002B43B9">
        <w:trPr>
          <w:trHeight w:val="283"/>
        </w:trPr>
        <w:tc>
          <w:tcPr>
            <w:tcW w:w="3358" w:type="pct"/>
            <w:vAlign w:val="center"/>
          </w:tcPr>
          <w:p w14:paraId="38174FA5" w14:textId="616D3062" w:rsidR="00CB7B38" w:rsidRPr="00401099" w:rsidRDefault="002B43B9" w:rsidP="00CB7B38">
            <w:pPr>
              <w:pStyle w:val="af0"/>
              <w:spacing w:line="240" w:lineRule="atLeast"/>
              <w:jc w:val="center"/>
              <w:rPr>
                <w:rFonts w:ascii="Times New Roman" w:eastAsia="宋体" w:hAnsi="Times New Roman"/>
                <w:bCs/>
                <w:sz w:val="21"/>
                <w:szCs w:val="21"/>
              </w:rPr>
            </w:pPr>
            <w:r w:rsidRPr="00401099">
              <w:rPr>
                <w:rFonts w:ascii="Times New Roman" w:eastAsia="宋体" w:hAnsi="Times New Roman" w:hint="eastAsia"/>
                <w:b/>
                <w:sz w:val="21"/>
                <w:szCs w:val="21"/>
              </w:rPr>
              <w:t>配套基础设施</w:t>
            </w:r>
          </w:p>
        </w:tc>
        <w:tc>
          <w:tcPr>
            <w:tcW w:w="853" w:type="pct"/>
            <w:vAlign w:val="center"/>
          </w:tcPr>
          <w:p w14:paraId="71573266" w14:textId="12AB3C73" w:rsidR="00CB7B38" w:rsidRPr="00401099" w:rsidRDefault="00CB7B38" w:rsidP="00CB7B38">
            <w:pPr>
              <w:pStyle w:val="af0"/>
              <w:spacing w:line="240" w:lineRule="atLeast"/>
              <w:jc w:val="center"/>
              <w:rPr>
                <w:rFonts w:ascii="Times New Roman" w:eastAsia="宋体" w:hAnsi="Times New Roman" w:cs="Times New Roman"/>
                <w:b/>
                <w:sz w:val="21"/>
                <w:szCs w:val="21"/>
              </w:rPr>
            </w:pPr>
          </w:p>
        </w:tc>
        <w:tc>
          <w:tcPr>
            <w:tcW w:w="789" w:type="pct"/>
            <w:vAlign w:val="center"/>
          </w:tcPr>
          <w:p w14:paraId="39355B81" w14:textId="77777777" w:rsidR="00CB7B38" w:rsidRPr="00401099" w:rsidRDefault="00CB7B38" w:rsidP="00CB7B38">
            <w:pPr>
              <w:pStyle w:val="af0"/>
              <w:spacing w:line="240" w:lineRule="atLeast"/>
              <w:jc w:val="center"/>
              <w:rPr>
                <w:rFonts w:ascii="Times New Roman" w:eastAsia="宋体" w:hAnsi="Times New Roman" w:cs="Times New Roman"/>
                <w:bCs/>
                <w:sz w:val="21"/>
                <w:szCs w:val="21"/>
              </w:rPr>
            </w:pPr>
          </w:p>
        </w:tc>
      </w:tr>
      <w:tr w:rsidR="002B43B9" w:rsidRPr="00401099" w14:paraId="5D3F97EC" w14:textId="77777777" w:rsidTr="002B43B9">
        <w:trPr>
          <w:trHeight w:val="283"/>
        </w:trPr>
        <w:tc>
          <w:tcPr>
            <w:tcW w:w="3358" w:type="pct"/>
            <w:vAlign w:val="center"/>
          </w:tcPr>
          <w:p w14:paraId="3928B7A6" w14:textId="199AA28F"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电网容量满足清洁能源项目并网需求</w:t>
            </w:r>
          </w:p>
        </w:tc>
        <w:tc>
          <w:tcPr>
            <w:tcW w:w="853" w:type="pct"/>
            <w:vAlign w:val="center"/>
          </w:tcPr>
          <w:p w14:paraId="6A1A3524" w14:textId="61FA62C9"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4.126</w:t>
            </w:r>
          </w:p>
        </w:tc>
        <w:tc>
          <w:tcPr>
            <w:tcW w:w="789" w:type="pct"/>
            <w:vAlign w:val="center"/>
          </w:tcPr>
          <w:p w14:paraId="0A759E1E" w14:textId="6623CAAF"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10</w:t>
            </w:r>
          </w:p>
        </w:tc>
      </w:tr>
      <w:tr w:rsidR="002B43B9" w:rsidRPr="00401099" w14:paraId="0C93AC5A" w14:textId="77777777" w:rsidTr="002B43B9">
        <w:trPr>
          <w:trHeight w:val="283"/>
        </w:trPr>
        <w:tc>
          <w:tcPr>
            <w:tcW w:w="3358" w:type="pct"/>
            <w:vAlign w:val="center"/>
          </w:tcPr>
          <w:p w14:paraId="2FAF7954" w14:textId="5C5AF55B"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电网覆盖清洁能源项目</w:t>
            </w:r>
          </w:p>
        </w:tc>
        <w:tc>
          <w:tcPr>
            <w:tcW w:w="853" w:type="pct"/>
            <w:vAlign w:val="center"/>
          </w:tcPr>
          <w:p w14:paraId="79CE5E88" w14:textId="43BB2EDE"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4.058</w:t>
            </w:r>
          </w:p>
        </w:tc>
        <w:tc>
          <w:tcPr>
            <w:tcW w:w="789" w:type="pct"/>
            <w:vAlign w:val="center"/>
          </w:tcPr>
          <w:p w14:paraId="7D0D917F" w14:textId="1D4D27CA"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13</w:t>
            </w:r>
          </w:p>
        </w:tc>
      </w:tr>
      <w:tr w:rsidR="002B43B9" w:rsidRPr="00401099" w14:paraId="7AAED3DA" w14:textId="77777777" w:rsidTr="002B43B9">
        <w:trPr>
          <w:trHeight w:val="283"/>
        </w:trPr>
        <w:tc>
          <w:tcPr>
            <w:tcW w:w="3358" w:type="pct"/>
            <w:vAlign w:val="center"/>
          </w:tcPr>
          <w:p w14:paraId="2BF0679B" w14:textId="288380BF"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通讯条件便利</w:t>
            </w:r>
          </w:p>
        </w:tc>
        <w:tc>
          <w:tcPr>
            <w:tcW w:w="853" w:type="pct"/>
            <w:vAlign w:val="center"/>
          </w:tcPr>
          <w:p w14:paraId="40C3691E" w14:textId="0144F37D"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3.928</w:t>
            </w:r>
          </w:p>
        </w:tc>
        <w:tc>
          <w:tcPr>
            <w:tcW w:w="789" w:type="pct"/>
            <w:vAlign w:val="center"/>
          </w:tcPr>
          <w:p w14:paraId="23A48C80" w14:textId="6C994DD7"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17</w:t>
            </w:r>
          </w:p>
        </w:tc>
      </w:tr>
      <w:tr w:rsidR="002B43B9" w:rsidRPr="00401099" w14:paraId="74AAEBCA" w14:textId="77777777" w:rsidTr="002B43B9">
        <w:trPr>
          <w:trHeight w:val="283"/>
        </w:trPr>
        <w:tc>
          <w:tcPr>
            <w:tcW w:w="3358" w:type="pct"/>
            <w:vAlign w:val="center"/>
          </w:tcPr>
          <w:p w14:paraId="76B13A47" w14:textId="57EEED50" w:rsidR="002B43B9" w:rsidRPr="00401099" w:rsidRDefault="002B43B9" w:rsidP="002B43B9">
            <w:pPr>
              <w:pStyle w:val="af0"/>
              <w:spacing w:line="240" w:lineRule="atLeast"/>
              <w:rPr>
                <w:rFonts w:ascii="Times New Roman" w:eastAsia="宋体" w:hAnsi="Times New Roman"/>
                <w:bCs/>
                <w:sz w:val="21"/>
                <w:szCs w:val="21"/>
              </w:rPr>
            </w:pPr>
            <w:r w:rsidRPr="00401099">
              <w:rPr>
                <w:rFonts w:hint="eastAsia"/>
                <w:sz w:val="21"/>
                <w:szCs w:val="21"/>
              </w:rPr>
              <w:t>交通条件便利</w:t>
            </w:r>
          </w:p>
        </w:tc>
        <w:tc>
          <w:tcPr>
            <w:tcW w:w="853" w:type="pct"/>
            <w:vAlign w:val="center"/>
          </w:tcPr>
          <w:p w14:paraId="0815B2C7" w14:textId="4D3DA51A"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3.587</w:t>
            </w:r>
          </w:p>
        </w:tc>
        <w:tc>
          <w:tcPr>
            <w:tcW w:w="789" w:type="pct"/>
            <w:vAlign w:val="center"/>
          </w:tcPr>
          <w:p w14:paraId="43782EDF" w14:textId="504C1AC1" w:rsidR="002B43B9" w:rsidRPr="00401099" w:rsidRDefault="002B43B9" w:rsidP="002B43B9">
            <w:pPr>
              <w:pStyle w:val="af0"/>
              <w:spacing w:line="240" w:lineRule="atLeast"/>
              <w:jc w:val="center"/>
              <w:rPr>
                <w:rFonts w:ascii="Times New Roman" w:eastAsia="宋体" w:hAnsi="Times New Roman" w:cs="Times New Roman"/>
                <w:bCs/>
                <w:sz w:val="21"/>
                <w:szCs w:val="21"/>
              </w:rPr>
            </w:pPr>
            <w:r w:rsidRPr="00401099">
              <w:rPr>
                <w:rFonts w:ascii="Times New Roman" w:hAnsi="Times New Roman" w:cs="Times New Roman"/>
                <w:color w:val="000000"/>
                <w:sz w:val="21"/>
                <w:szCs w:val="21"/>
              </w:rPr>
              <w:t>18</w:t>
            </w:r>
          </w:p>
        </w:tc>
      </w:tr>
      <w:tr w:rsidR="002B43B9" w:rsidRPr="00401099" w14:paraId="5DEC97CE" w14:textId="77777777" w:rsidTr="002B43B9">
        <w:trPr>
          <w:trHeight w:val="283"/>
        </w:trPr>
        <w:tc>
          <w:tcPr>
            <w:tcW w:w="3358" w:type="pct"/>
            <w:vAlign w:val="center"/>
          </w:tcPr>
          <w:p w14:paraId="27D2A30B" w14:textId="69497386" w:rsidR="002B43B9" w:rsidRPr="00401099" w:rsidRDefault="002B43B9" w:rsidP="002B43B9">
            <w:pPr>
              <w:pStyle w:val="af0"/>
              <w:spacing w:line="240" w:lineRule="atLeast"/>
              <w:jc w:val="center"/>
              <w:rPr>
                <w:rFonts w:ascii="Times New Roman" w:eastAsia="宋体" w:hAnsi="Times New Roman"/>
                <w:b/>
                <w:sz w:val="21"/>
                <w:szCs w:val="21"/>
              </w:rPr>
            </w:pPr>
            <w:r w:rsidRPr="00401099">
              <w:rPr>
                <w:rFonts w:ascii="Times New Roman" w:eastAsia="宋体" w:hAnsi="Times New Roman" w:hint="eastAsia"/>
                <w:b/>
                <w:sz w:val="21"/>
                <w:szCs w:val="21"/>
              </w:rPr>
              <w:t>政策与市场</w:t>
            </w:r>
          </w:p>
        </w:tc>
        <w:tc>
          <w:tcPr>
            <w:tcW w:w="853" w:type="pct"/>
            <w:vAlign w:val="center"/>
          </w:tcPr>
          <w:p w14:paraId="56C5A048" w14:textId="77777777" w:rsidR="002B43B9" w:rsidRPr="00401099" w:rsidRDefault="002B43B9" w:rsidP="002B43B9">
            <w:pPr>
              <w:pStyle w:val="af0"/>
              <w:spacing w:line="240" w:lineRule="atLeast"/>
              <w:jc w:val="center"/>
              <w:rPr>
                <w:rFonts w:ascii="Times New Roman" w:eastAsia="宋体" w:hAnsi="Times New Roman"/>
                <w:b/>
                <w:sz w:val="21"/>
                <w:szCs w:val="21"/>
              </w:rPr>
            </w:pPr>
          </w:p>
        </w:tc>
        <w:tc>
          <w:tcPr>
            <w:tcW w:w="789" w:type="pct"/>
            <w:vAlign w:val="center"/>
          </w:tcPr>
          <w:p w14:paraId="76A2C857" w14:textId="77777777" w:rsidR="002B43B9" w:rsidRPr="00401099" w:rsidRDefault="002B43B9" w:rsidP="002B43B9">
            <w:pPr>
              <w:pStyle w:val="af0"/>
              <w:spacing w:line="240" w:lineRule="atLeast"/>
              <w:jc w:val="center"/>
              <w:rPr>
                <w:rFonts w:ascii="Times New Roman" w:eastAsia="宋体" w:hAnsi="Times New Roman"/>
                <w:b/>
                <w:sz w:val="21"/>
                <w:szCs w:val="21"/>
              </w:rPr>
            </w:pPr>
          </w:p>
        </w:tc>
      </w:tr>
      <w:tr w:rsidR="002B43B9" w:rsidRPr="00401099" w14:paraId="697A4038" w14:textId="77777777" w:rsidTr="002B43B9">
        <w:trPr>
          <w:trHeight w:val="283"/>
        </w:trPr>
        <w:tc>
          <w:tcPr>
            <w:tcW w:w="3358" w:type="pct"/>
            <w:vAlign w:val="center"/>
          </w:tcPr>
          <w:p w14:paraId="1777D4A8" w14:textId="01A1657F" w:rsidR="002B43B9" w:rsidRPr="00401099" w:rsidRDefault="002B43B9" w:rsidP="002B43B9">
            <w:pPr>
              <w:pStyle w:val="af0"/>
              <w:spacing w:line="240" w:lineRule="atLeast"/>
              <w:rPr>
                <w:sz w:val="21"/>
                <w:szCs w:val="21"/>
              </w:rPr>
            </w:pPr>
            <w:r w:rsidRPr="00401099">
              <w:rPr>
                <w:rFonts w:ascii="宋体" w:hAnsi="宋体" w:hint="eastAsia"/>
                <w:sz w:val="21"/>
                <w:szCs w:val="21"/>
              </w:rPr>
              <w:lastRenderedPageBreak/>
              <w:t>清洁能源开发支持政策充分</w:t>
            </w:r>
          </w:p>
        </w:tc>
        <w:tc>
          <w:tcPr>
            <w:tcW w:w="853" w:type="pct"/>
            <w:vAlign w:val="center"/>
          </w:tcPr>
          <w:p w14:paraId="6B25E51B" w14:textId="10C6733B"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4.266</w:t>
            </w:r>
          </w:p>
        </w:tc>
        <w:tc>
          <w:tcPr>
            <w:tcW w:w="789" w:type="pct"/>
            <w:vAlign w:val="center"/>
          </w:tcPr>
          <w:p w14:paraId="27D31FDE" w14:textId="3D978DF3"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2</w:t>
            </w:r>
          </w:p>
        </w:tc>
      </w:tr>
      <w:tr w:rsidR="002B43B9" w:rsidRPr="00401099" w14:paraId="753B2964" w14:textId="77777777" w:rsidTr="002B43B9">
        <w:trPr>
          <w:trHeight w:val="283"/>
        </w:trPr>
        <w:tc>
          <w:tcPr>
            <w:tcW w:w="3358" w:type="pct"/>
            <w:vAlign w:val="center"/>
          </w:tcPr>
          <w:p w14:paraId="3EB1E054" w14:textId="27BF5EFA" w:rsidR="002B43B9" w:rsidRPr="00401099" w:rsidRDefault="002B43B9" w:rsidP="002B43B9">
            <w:pPr>
              <w:pStyle w:val="af0"/>
              <w:spacing w:line="240" w:lineRule="atLeast"/>
              <w:rPr>
                <w:sz w:val="21"/>
                <w:szCs w:val="21"/>
              </w:rPr>
            </w:pPr>
            <w:r w:rsidRPr="00401099">
              <w:rPr>
                <w:rFonts w:hint="eastAsia"/>
                <w:sz w:val="21"/>
                <w:szCs w:val="21"/>
              </w:rPr>
              <w:t>清洁能源电力交易规则和技术标准明确</w:t>
            </w:r>
          </w:p>
        </w:tc>
        <w:tc>
          <w:tcPr>
            <w:tcW w:w="853" w:type="pct"/>
            <w:vAlign w:val="center"/>
          </w:tcPr>
          <w:p w14:paraId="48F7DCA5" w14:textId="283F5356"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4.205</w:t>
            </w:r>
          </w:p>
        </w:tc>
        <w:tc>
          <w:tcPr>
            <w:tcW w:w="789" w:type="pct"/>
            <w:vAlign w:val="center"/>
          </w:tcPr>
          <w:p w14:paraId="67D86F85" w14:textId="7A2D77DE"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6</w:t>
            </w:r>
          </w:p>
        </w:tc>
      </w:tr>
      <w:tr w:rsidR="002B43B9" w:rsidRPr="00401099" w14:paraId="70831543" w14:textId="77777777" w:rsidTr="002B43B9">
        <w:trPr>
          <w:trHeight w:val="283"/>
        </w:trPr>
        <w:tc>
          <w:tcPr>
            <w:tcW w:w="3358" w:type="pct"/>
            <w:vAlign w:val="center"/>
          </w:tcPr>
          <w:p w14:paraId="5748EC9D" w14:textId="73AB6C3E" w:rsidR="002B43B9" w:rsidRPr="00401099" w:rsidRDefault="002B43B9" w:rsidP="002B43B9">
            <w:pPr>
              <w:pStyle w:val="af0"/>
              <w:spacing w:line="240" w:lineRule="atLeast"/>
              <w:rPr>
                <w:sz w:val="21"/>
                <w:szCs w:val="21"/>
              </w:rPr>
            </w:pPr>
            <w:r w:rsidRPr="00401099">
              <w:rPr>
                <w:rFonts w:hint="eastAsia"/>
                <w:sz w:val="21"/>
                <w:szCs w:val="21"/>
              </w:rPr>
              <w:t>清洁能源电力交易机制完善</w:t>
            </w:r>
          </w:p>
        </w:tc>
        <w:tc>
          <w:tcPr>
            <w:tcW w:w="853" w:type="pct"/>
            <w:vAlign w:val="center"/>
          </w:tcPr>
          <w:p w14:paraId="23AA1B27" w14:textId="206CC6DD"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4.195</w:t>
            </w:r>
          </w:p>
        </w:tc>
        <w:tc>
          <w:tcPr>
            <w:tcW w:w="789" w:type="pct"/>
            <w:vAlign w:val="center"/>
          </w:tcPr>
          <w:p w14:paraId="4FE07205" w14:textId="3D5C82A0"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7</w:t>
            </w:r>
          </w:p>
        </w:tc>
      </w:tr>
      <w:tr w:rsidR="002B43B9" w:rsidRPr="00401099" w14:paraId="57D9507A" w14:textId="77777777" w:rsidTr="002B43B9">
        <w:trPr>
          <w:trHeight w:val="283"/>
        </w:trPr>
        <w:tc>
          <w:tcPr>
            <w:tcW w:w="3358" w:type="pct"/>
            <w:vAlign w:val="center"/>
          </w:tcPr>
          <w:p w14:paraId="2A218169" w14:textId="1264808C" w:rsidR="002B43B9" w:rsidRPr="00401099" w:rsidRDefault="002B43B9" w:rsidP="002B43B9">
            <w:pPr>
              <w:pStyle w:val="af0"/>
              <w:spacing w:line="240" w:lineRule="atLeast"/>
              <w:rPr>
                <w:sz w:val="21"/>
                <w:szCs w:val="21"/>
              </w:rPr>
            </w:pPr>
            <w:r w:rsidRPr="00401099">
              <w:rPr>
                <w:rFonts w:hint="eastAsia"/>
                <w:sz w:val="21"/>
                <w:szCs w:val="21"/>
              </w:rPr>
              <w:t>清洁能源电价机制合理</w:t>
            </w:r>
          </w:p>
        </w:tc>
        <w:tc>
          <w:tcPr>
            <w:tcW w:w="853" w:type="pct"/>
            <w:vAlign w:val="center"/>
          </w:tcPr>
          <w:p w14:paraId="626E6831" w14:textId="0815BDBE"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4.143</w:t>
            </w:r>
          </w:p>
        </w:tc>
        <w:tc>
          <w:tcPr>
            <w:tcW w:w="789" w:type="pct"/>
            <w:vAlign w:val="center"/>
          </w:tcPr>
          <w:p w14:paraId="40A011D8" w14:textId="210BFB16"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8</w:t>
            </w:r>
          </w:p>
        </w:tc>
      </w:tr>
      <w:tr w:rsidR="002B43B9" w:rsidRPr="00401099" w14:paraId="119A6C4C" w14:textId="77777777" w:rsidTr="002B43B9">
        <w:trPr>
          <w:trHeight w:val="283"/>
        </w:trPr>
        <w:tc>
          <w:tcPr>
            <w:tcW w:w="3358" w:type="pct"/>
            <w:vAlign w:val="center"/>
          </w:tcPr>
          <w:p w14:paraId="3FDAC948" w14:textId="34A43A06" w:rsidR="002B43B9" w:rsidRPr="00401099" w:rsidRDefault="002B43B9" w:rsidP="002B43B9">
            <w:pPr>
              <w:pStyle w:val="af0"/>
              <w:spacing w:line="240" w:lineRule="atLeast"/>
              <w:rPr>
                <w:sz w:val="21"/>
                <w:szCs w:val="21"/>
              </w:rPr>
            </w:pPr>
            <w:r w:rsidRPr="00401099">
              <w:rPr>
                <w:rFonts w:hint="eastAsia"/>
                <w:sz w:val="21"/>
                <w:szCs w:val="21"/>
              </w:rPr>
              <w:t>清洁能源输配电权分配合理</w:t>
            </w:r>
          </w:p>
        </w:tc>
        <w:tc>
          <w:tcPr>
            <w:tcW w:w="853" w:type="pct"/>
            <w:vAlign w:val="center"/>
          </w:tcPr>
          <w:p w14:paraId="4768ACF7" w14:textId="451CD101"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4.143</w:t>
            </w:r>
          </w:p>
        </w:tc>
        <w:tc>
          <w:tcPr>
            <w:tcW w:w="789" w:type="pct"/>
            <w:vAlign w:val="center"/>
          </w:tcPr>
          <w:p w14:paraId="15C06975" w14:textId="63AC2EFE" w:rsidR="002B43B9" w:rsidRPr="00401099" w:rsidRDefault="002B43B9" w:rsidP="002B43B9">
            <w:pPr>
              <w:pStyle w:val="af0"/>
              <w:spacing w:line="240" w:lineRule="atLeast"/>
              <w:jc w:val="center"/>
              <w:rPr>
                <w:rFonts w:ascii="Times New Roman" w:hAnsi="Times New Roman" w:cs="Times New Roman"/>
                <w:color w:val="000000"/>
                <w:sz w:val="21"/>
                <w:szCs w:val="21"/>
              </w:rPr>
            </w:pPr>
            <w:r w:rsidRPr="00401099">
              <w:rPr>
                <w:rFonts w:ascii="Times New Roman" w:hAnsi="Times New Roman" w:cs="Times New Roman"/>
                <w:color w:val="000000"/>
                <w:sz w:val="21"/>
                <w:szCs w:val="21"/>
              </w:rPr>
              <w:t>8</w:t>
            </w:r>
          </w:p>
        </w:tc>
      </w:tr>
      <w:tr w:rsidR="00CB7B38" w:rsidRPr="00401099" w14:paraId="22FEF3D9" w14:textId="77777777" w:rsidTr="002B43B9">
        <w:trPr>
          <w:cnfStyle w:val="010000000000" w:firstRow="0" w:lastRow="1" w:firstColumn="0" w:lastColumn="0" w:oddVBand="0" w:evenVBand="0" w:oddHBand="0" w:evenHBand="0" w:firstRowFirstColumn="0" w:firstRowLastColumn="0" w:lastRowFirstColumn="0" w:lastRowLastColumn="0"/>
          <w:trHeight w:val="283"/>
        </w:trPr>
        <w:tc>
          <w:tcPr>
            <w:tcW w:w="3358" w:type="pct"/>
            <w:vAlign w:val="center"/>
            <w:hideMark/>
          </w:tcPr>
          <w:p w14:paraId="0B23F79E" w14:textId="77777777" w:rsidR="00CB7B38" w:rsidRPr="00401099" w:rsidRDefault="00CB7B38" w:rsidP="00CB7B38">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hint="eastAsia"/>
                <w:bCs w:val="0"/>
                <w:sz w:val="21"/>
                <w:szCs w:val="21"/>
              </w:rPr>
              <w:t>均值</w:t>
            </w:r>
          </w:p>
        </w:tc>
        <w:tc>
          <w:tcPr>
            <w:tcW w:w="853" w:type="pct"/>
            <w:vAlign w:val="center"/>
            <w:hideMark/>
          </w:tcPr>
          <w:p w14:paraId="7DDF2AEE" w14:textId="45255549" w:rsidR="00CB7B38" w:rsidRPr="00401099" w:rsidRDefault="002B43B9" w:rsidP="00CB7B38">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bCs w:val="0"/>
                <w:sz w:val="21"/>
                <w:szCs w:val="21"/>
              </w:rPr>
              <w:t>4.112</w:t>
            </w:r>
          </w:p>
        </w:tc>
        <w:tc>
          <w:tcPr>
            <w:tcW w:w="789" w:type="pct"/>
            <w:vAlign w:val="center"/>
            <w:hideMark/>
          </w:tcPr>
          <w:p w14:paraId="757EF80D" w14:textId="77777777" w:rsidR="00CB7B38" w:rsidRPr="00401099" w:rsidRDefault="00CB7B38" w:rsidP="00CB7B38">
            <w:pPr>
              <w:pStyle w:val="af0"/>
              <w:spacing w:line="240" w:lineRule="atLeast"/>
              <w:jc w:val="center"/>
              <w:rPr>
                <w:rFonts w:ascii="Times New Roman" w:eastAsia="宋体" w:hAnsi="Times New Roman"/>
                <w:bCs w:val="0"/>
                <w:sz w:val="21"/>
                <w:szCs w:val="21"/>
              </w:rPr>
            </w:pPr>
            <w:r w:rsidRPr="00401099">
              <w:rPr>
                <w:rFonts w:ascii="Times New Roman" w:eastAsia="宋体" w:hAnsi="Times New Roman"/>
                <w:bCs w:val="0"/>
                <w:sz w:val="21"/>
                <w:szCs w:val="21"/>
              </w:rPr>
              <w:t>-</w:t>
            </w:r>
          </w:p>
        </w:tc>
      </w:tr>
    </w:tbl>
    <w:p w14:paraId="513F1E3B" w14:textId="13C724A0" w:rsidR="002B43B9" w:rsidRPr="003A047C" w:rsidRDefault="0056417B" w:rsidP="00A3108F">
      <w:pPr>
        <w:spacing w:beforeLines="50" w:before="156"/>
        <w:ind w:firstLine="420"/>
        <w:rPr>
          <w:rFonts w:cs="Times New Roman"/>
        </w:rPr>
      </w:pPr>
      <w:r>
        <w:rPr>
          <w:rFonts w:cs="Times New Roman" w:hint="eastAsia"/>
        </w:rPr>
        <w:t>如</w:t>
      </w:r>
      <w:r w:rsidR="002B43B9">
        <w:rPr>
          <w:rFonts w:cs="Times New Roman"/>
        </w:rPr>
        <w:fldChar w:fldCharType="begin"/>
      </w:r>
      <w:r w:rsidR="002B43B9">
        <w:rPr>
          <w:rFonts w:cs="Times New Roman"/>
        </w:rPr>
        <w:instrText xml:space="preserve"> REF _Ref174628457 \h </w:instrText>
      </w:r>
      <w:r w:rsidR="002B43B9">
        <w:rPr>
          <w:rFonts w:cs="Times New Roman"/>
        </w:rPr>
      </w:r>
      <w:r w:rsidR="002B43B9">
        <w:rPr>
          <w:rFonts w:cs="Times New Roman"/>
        </w:rPr>
        <w:fldChar w:fldCharType="separate"/>
      </w:r>
      <w:r w:rsidR="000F2689">
        <w:rPr>
          <w:rFonts w:hint="eastAsia"/>
        </w:rPr>
        <w:t>表</w:t>
      </w:r>
      <w:r w:rsidR="000F2689">
        <w:rPr>
          <w:rFonts w:hint="eastAsia"/>
        </w:rPr>
        <w:t xml:space="preserve"> </w:t>
      </w:r>
      <w:r w:rsidR="000F2689">
        <w:rPr>
          <w:noProof/>
        </w:rPr>
        <w:t>2</w:t>
      </w:r>
      <w:r w:rsidR="002B43B9">
        <w:rPr>
          <w:rFonts w:cs="Times New Roman"/>
        </w:rPr>
        <w:fldChar w:fldCharType="end"/>
      </w:r>
      <w:r>
        <w:rPr>
          <w:rFonts w:cs="Times New Roman" w:hint="eastAsia"/>
        </w:rPr>
        <w:t>所示</w:t>
      </w:r>
      <w:r w:rsidRPr="00C35659">
        <w:rPr>
          <w:rFonts w:cs="Times New Roman"/>
        </w:rPr>
        <w:t>，</w:t>
      </w:r>
      <w:r w:rsidR="002B43B9" w:rsidRPr="005F1811">
        <w:rPr>
          <w:rFonts w:hint="eastAsia"/>
        </w:rPr>
        <w:t>清洁能源基地开发外部条件</w:t>
      </w:r>
      <w:r w:rsidR="002B43B9">
        <w:rPr>
          <w:rFonts w:hint="eastAsia"/>
        </w:rPr>
        <w:t>总体表现较好。</w:t>
      </w:r>
      <w:r w:rsidR="003A047C">
        <w:rPr>
          <w:rFonts w:hint="eastAsia"/>
        </w:rPr>
        <w:t>当前清洁能源基地开发具备较为良好的政策与市场环境，且清洁能源基地开发区域所处的自然环境整体适宜。征地移民工作进展较为顺利，但</w:t>
      </w:r>
      <w:r w:rsidR="003A047C">
        <w:rPr>
          <w:rFonts w:ascii="Times" w:hAnsi="Times" w:hint="eastAsia"/>
          <w:color w:val="000000" w:themeColor="text1"/>
        </w:rPr>
        <w:t>“</w:t>
      </w:r>
      <w:r w:rsidR="003A047C">
        <w:t>移民安置条件</w:t>
      </w:r>
      <w:r w:rsidR="003A047C">
        <w:rPr>
          <w:rFonts w:hint="eastAsia"/>
        </w:rPr>
        <w:t>”、“</w:t>
      </w:r>
      <w:r w:rsidR="003A047C">
        <w:t>土地获取条件</w:t>
      </w:r>
      <w:r w:rsidR="003A047C">
        <w:rPr>
          <w:rFonts w:hint="eastAsia"/>
        </w:rPr>
        <w:t>”得分较低，反映出</w:t>
      </w:r>
      <w:r w:rsidR="003A047C" w:rsidRPr="003A047C">
        <w:rPr>
          <w:rFonts w:hint="eastAsia"/>
        </w:rPr>
        <w:t>土地获取涉及用途变更、土地补偿和与当地居民协商等复杂因素，可通过“农光互补”、“牧光互补”等开发模式，推进土地获取进程。</w:t>
      </w:r>
      <w:r w:rsidR="003A047C" w:rsidRPr="00F5615D">
        <w:rPr>
          <w:rFonts w:hint="eastAsia"/>
        </w:rPr>
        <w:t>配套基础设施</w:t>
      </w:r>
      <w:r w:rsidR="003A047C">
        <w:rPr>
          <w:rFonts w:hint="eastAsia"/>
        </w:rPr>
        <w:t>在各维度中总体得分最低，表明当前清洁能源基地开发需进一步完善配套基础设施建设。其中</w:t>
      </w:r>
      <w:r w:rsidR="003A047C" w:rsidRPr="003A047C">
        <w:rPr>
          <w:rFonts w:hint="eastAsia"/>
        </w:rPr>
        <w:t>“交通条件”在各指标中得分最低</w:t>
      </w:r>
      <w:r w:rsidR="003A047C">
        <w:rPr>
          <w:rFonts w:hint="eastAsia"/>
        </w:rPr>
        <w:t>，表明</w:t>
      </w:r>
      <w:r w:rsidR="003A047C" w:rsidRPr="003A047C">
        <w:rPr>
          <w:rFonts w:hint="eastAsia"/>
        </w:rPr>
        <w:t>需加强周边公路网络的建设，提高道路质量，以保障物资、设备和人力的高效流通。</w:t>
      </w:r>
    </w:p>
    <w:p w14:paraId="33C264AF" w14:textId="5FEF9A14" w:rsidR="00CB48B0" w:rsidRDefault="003A047C" w:rsidP="00CB48B0">
      <w:pPr>
        <w:pStyle w:val="2"/>
      </w:pPr>
      <w:r w:rsidRPr="003A047C">
        <w:rPr>
          <w:rFonts w:hint="eastAsia"/>
        </w:rPr>
        <w:t>清洁能源基地业主项目群管理能力</w:t>
      </w:r>
    </w:p>
    <w:p w14:paraId="5C8E6BD6" w14:textId="3FBEC8DB" w:rsidR="003A047C" w:rsidRDefault="003A047C" w:rsidP="00DB4509">
      <w:pPr>
        <w:ind w:firstLine="420"/>
      </w:pPr>
      <w:r w:rsidRPr="005F1811">
        <w:rPr>
          <w:rFonts w:hint="eastAsia"/>
        </w:rPr>
        <w:t>清洁能源基地业主项目群管理能力</w:t>
      </w:r>
      <w:r>
        <w:rPr>
          <w:rFonts w:hint="eastAsia"/>
        </w:rPr>
        <w:t>，结果</w:t>
      </w:r>
      <w:r w:rsidRPr="00541135">
        <w:rPr>
          <w:rFonts w:hint="eastAsia"/>
        </w:rPr>
        <w:t>如</w:t>
      </w:r>
      <w:r>
        <w:fldChar w:fldCharType="begin"/>
      </w:r>
      <w:r>
        <w:instrText xml:space="preserve"> </w:instrText>
      </w:r>
      <w:r>
        <w:rPr>
          <w:rFonts w:hint="eastAsia"/>
        </w:rPr>
        <w:instrText>REF _Ref174346061 \h</w:instrText>
      </w:r>
      <w:r>
        <w:instrText xml:space="preserve"> </w:instrText>
      </w:r>
      <w:r>
        <w:fldChar w:fldCharType="separate"/>
      </w:r>
      <w:r w:rsidR="000F2689">
        <w:rPr>
          <w:rFonts w:hint="eastAsia"/>
        </w:rPr>
        <w:t>表</w:t>
      </w:r>
      <w:r w:rsidR="000F2689">
        <w:rPr>
          <w:rFonts w:hint="eastAsia"/>
        </w:rPr>
        <w:t xml:space="preserve"> </w:t>
      </w:r>
      <w:r w:rsidR="000F2689">
        <w:rPr>
          <w:noProof/>
        </w:rPr>
        <w:t>3</w:t>
      </w:r>
      <w:r>
        <w:fldChar w:fldCharType="end"/>
      </w:r>
      <w:r w:rsidRPr="00541135">
        <w:rPr>
          <w:rFonts w:hint="eastAsia"/>
        </w:rPr>
        <w:t>所示。其中，</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p>
    <w:p w14:paraId="5ACD91B4" w14:textId="0949C58B" w:rsidR="00CB48B0" w:rsidRDefault="00CB48B0" w:rsidP="00EB718D">
      <w:pPr>
        <w:pStyle w:val="afa"/>
        <w:keepNext/>
        <w:spacing w:beforeLines="50" w:before="156"/>
      </w:pPr>
      <w:bookmarkStart w:id="17" w:name="_Ref174346061"/>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3</w:t>
      </w:r>
      <w:r>
        <w:fldChar w:fldCharType="end"/>
      </w:r>
      <w:bookmarkEnd w:id="17"/>
      <w:r>
        <w:rPr>
          <w:rFonts w:hint="eastAsia"/>
        </w:rPr>
        <w:t xml:space="preserve"> </w:t>
      </w:r>
      <w:r w:rsidR="003A047C" w:rsidRPr="003A047C">
        <w:rPr>
          <w:rFonts w:hint="eastAsia"/>
        </w:rPr>
        <w:t>清洁能源基地业主项目群管理能力评价</w:t>
      </w:r>
    </w:p>
    <w:tbl>
      <w:tblPr>
        <w:tblStyle w:val="22"/>
        <w:tblW w:w="5000" w:type="pct"/>
        <w:tblLook w:val="0660" w:firstRow="1" w:lastRow="1" w:firstColumn="0" w:lastColumn="0" w:noHBand="1" w:noVBand="1"/>
      </w:tblPr>
      <w:tblGrid>
        <w:gridCol w:w="3259"/>
        <w:gridCol w:w="710"/>
        <w:gridCol w:w="665"/>
      </w:tblGrid>
      <w:tr w:rsidR="00F179A0" w:rsidRPr="00FE59CF" w14:paraId="74D5DCD3" w14:textId="77777777" w:rsidTr="003A047C">
        <w:trPr>
          <w:cnfStyle w:val="100000000000" w:firstRow="1" w:lastRow="0" w:firstColumn="0" w:lastColumn="0" w:oddVBand="0" w:evenVBand="0" w:oddHBand="0" w:evenHBand="0" w:firstRowFirstColumn="0" w:firstRowLastColumn="0" w:lastRowFirstColumn="0" w:lastRowLastColumn="0"/>
          <w:trHeight w:val="283"/>
        </w:trPr>
        <w:tc>
          <w:tcPr>
            <w:tcW w:w="3516" w:type="pct"/>
            <w:vAlign w:val="center"/>
            <w:hideMark/>
          </w:tcPr>
          <w:p w14:paraId="06500762"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指标</w:t>
            </w:r>
          </w:p>
        </w:tc>
        <w:tc>
          <w:tcPr>
            <w:tcW w:w="766" w:type="pct"/>
            <w:vAlign w:val="center"/>
            <w:hideMark/>
          </w:tcPr>
          <w:p w14:paraId="4737EF47"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得分</w:t>
            </w:r>
          </w:p>
        </w:tc>
        <w:tc>
          <w:tcPr>
            <w:tcW w:w="718" w:type="pct"/>
            <w:vAlign w:val="center"/>
            <w:hideMark/>
          </w:tcPr>
          <w:p w14:paraId="47E344DE"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排序</w:t>
            </w:r>
          </w:p>
        </w:tc>
      </w:tr>
      <w:tr w:rsidR="003A047C" w:rsidRPr="00FE59CF" w14:paraId="63698AAB" w14:textId="77777777" w:rsidTr="003A047C">
        <w:trPr>
          <w:trHeight w:val="283"/>
        </w:trPr>
        <w:tc>
          <w:tcPr>
            <w:tcW w:w="3516" w:type="pct"/>
            <w:vAlign w:val="center"/>
          </w:tcPr>
          <w:p w14:paraId="4B85853C" w14:textId="4A9E8CF0" w:rsidR="003A047C" w:rsidRPr="00FE59CF" w:rsidRDefault="003A047C" w:rsidP="003A047C">
            <w:pPr>
              <w:pStyle w:val="af0"/>
              <w:spacing w:line="240" w:lineRule="atLeast"/>
              <w:jc w:val="center"/>
              <w:rPr>
                <w:rFonts w:ascii="Times New Roman" w:eastAsia="宋体" w:hAnsi="Times New Roman"/>
                <w:bCs/>
                <w:sz w:val="21"/>
                <w:szCs w:val="21"/>
              </w:rPr>
            </w:pPr>
            <w:r w:rsidRPr="00FE59CF">
              <w:rPr>
                <w:rFonts w:hint="eastAsia"/>
                <w:b/>
                <w:bCs/>
                <w:sz w:val="21"/>
                <w:szCs w:val="21"/>
              </w:rPr>
              <w:t>目标管理能力</w:t>
            </w:r>
          </w:p>
        </w:tc>
        <w:tc>
          <w:tcPr>
            <w:tcW w:w="766" w:type="pct"/>
            <w:vAlign w:val="center"/>
          </w:tcPr>
          <w:p w14:paraId="5C552EEE" w14:textId="7C93D9C9" w:rsidR="003A047C" w:rsidRPr="00FE59CF" w:rsidRDefault="003A047C" w:rsidP="003A047C">
            <w:pPr>
              <w:pStyle w:val="af0"/>
              <w:spacing w:line="240" w:lineRule="atLeast"/>
              <w:jc w:val="center"/>
              <w:rPr>
                <w:rFonts w:ascii="Times New Roman" w:eastAsia="宋体" w:hAnsi="Times New Roman"/>
                <w:bCs/>
                <w:sz w:val="21"/>
                <w:szCs w:val="21"/>
              </w:rPr>
            </w:pPr>
          </w:p>
        </w:tc>
        <w:tc>
          <w:tcPr>
            <w:tcW w:w="718" w:type="pct"/>
            <w:vAlign w:val="center"/>
          </w:tcPr>
          <w:p w14:paraId="4AF63C06" w14:textId="4328500D" w:rsidR="003A047C" w:rsidRPr="00FE59CF" w:rsidRDefault="003A047C" w:rsidP="003A047C">
            <w:pPr>
              <w:pStyle w:val="af0"/>
              <w:spacing w:line="240" w:lineRule="atLeast"/>
              <w:jc w:val="center"/>
              <w:rPr>
                <w:rFonts w:ascii="Times New Roman" w:eastAsia="宋体" w:hAnsi="Times New Roman"/>
                <w:bCs/>
                <w:sz w:val="21"/>
                <w:szCs w:val="21"/>
              </w:rPr>
            </w:pPr>
          </w:p>
        </w:tc>
      </w:tr>
      <w:tr w:rsidR="003A047C" w:rsidRPr="00FE59CF" w14:paraId="44A67D23" w14:textId="77777777" w:rsidTr="003A047C">
        <w:trPr>
          <w:trHeight w:val="283"/>
        </w:trPr>
        <w:tc>
          <w:tcPr>
            <w:tcW w:w="3516" w:type="pct"/>
            <w:vAlign w:val="center"/>
          </w:tcPr>
          <w:p w14:paraId="62F9AFD0" w14:textId="0478155E"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明确项目建设与运营目标</w:t>
            </w:r>
          </w:p>
        </w:tc>
        <w:tc>
          <w:tcPr>
            <w:tcW w:w="766" w:type="pct"/>
            <w:vAlign w:val="center"/>
          </w:tcPr>
          <w:p w14:paraId="1FDABBC5" w14:textId="3837C096"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4.375</w:t>
            </w:r>
          </w:p>
        </w:tc>
        <w:tc>
          <w:tcPr>
            <w:tcW w:w="718" w:type="pct"/>
            <w:vAlign w:val="center"/>
          </w:tcPr>
          <w:p w14:paraId="25623C0D" w14:textId="71445B2A"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w:t>
            </w:r>
          </w:p>
        </w:tc>
      </w:tr>
      <w:tr w:rsidR="003A047C" w:rsidRPr="00FE59CF" w14:paraId="13C4E336" w14:textId="77777777" w:rsidTr="003A047C">
        <w:trPr>
          <w:trHeight w:val="283"/>
        </w:trPr>
        <w:tc>
          <w:tcPr>
            <w:tcW w:w="3516" w:type="pct"/>
            <w:vAlign w:val="center"/>
          </w:tcPr>
          <w:p w14:paraId="421B8D51" w14:textId="0DD85EA4"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明确项目资源需求</w:t>
            </w:r>
          </w:p>
        </w:tc>
        <w:tc>
          <w:tcPr>
            <w:tcW w:w="766" w:type="pct"/>
            <w:vAlign w:val="center"/>
          </w:tcPr>
          <w:p w14:paraId="360941F4" w14:textId="4DE40B0A"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4.365</w:t>
            </w:r>
          </w:p>
        </w:tc>
        <w:tc>
          <w:tcPr>
            <w:tcW w:w="718" w:type="pct"/>
            <w:vAlign w:val="center"/>
          </w:tcPr>
          <w:p w14:paraId="1C340C34" w14:textId="666A46D4"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3A047C" w:rsidRPr="00FE59CF" w14:paraId="50C9C3FC" w14:textId="77777777" w:rsidTr="003A047C">
        <w:trPr>
          <w:trHeight w:val="283"/>
        </w:trPr>
        <w:tc>
          <w:tcPr>
            <w:tcW w:w="3516" w:type="pct"/>
            <w:vAlign w:val="center"/>
          </w:tcPr>
          <w:p w14:paraId="034D4A90" w14:textId="3CD635FE"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及时监控项目实施情况，确保符合预定目标</w:t>
            </w:r>
          </w:p>
        </w:tc>
        <w:tc>
          <w:tcPr>
            <w:tcW w:w="766" w:type="pct"/>
            <w:vAlign w:val="center"/>
          </w:tcPr>
          <w:p w14:paraId="473235C7" w14:textId="40886296"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4.362</w:t>
            </w:r>
          </w:p>
        </w:tc>
        <w:tc>
          <w:tcPr>
            <w:tcW w:w="718" w:type="pct"/>
            <w:vAlign w:val="center"/>
          </w:tcPr>
          <w:p w14:paraId="6C45E75D" w14:textId="162C1480"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5</w:t>
            </w:r>
          </w:p>
        </w:tc>
      </w:tr>
      <w:tr w:rsidR="003A047C" w:rsidRPr="00FE59CF" w14:paraId="04BD6544" w14:textId="77777777" w:rsidTr="003A047C">
        <w:trPr>
          <w:trHeight w:val="283"/>
        </w:trPr>
        <w:tc>
          <w:tcPr>
            <w:tcW w:w="3516" w:type="pct"/>
            <w:vAlign w:val="center"/>
          </w:tcPr>
          <w:p w14:paraId="01163A72" w14:textId="0063204A"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明确</w:t>
            </w:r>
            <w:r w:rsidRPr="00FE59CF">
              <w:rPr>
                <w:rFonts w:cs="Calibri" w:hint="eastAsia"/>
                <w:snapToGrid w:val="0"/>
                <w:sz w:val="21"/>
                <w:szCs w:val="21"/>
              </w:rPr>
              <w:t>利益相关方对</w:t>
            </w:r>
            <w:r w:rsidRPr="00FE59CF">
              <w:rPr>
                <w:rFonts w:hint="eastAsia"/>
                <w:sz w:val="21"/>
                <w:szCs w:val="21"/>
              </w:rPr>
              <w:t>项目的需求</w:t>
            </w:r>
          </w:p>
        </w:tc>
        <w:tc>
          <w:tcPr>
            <w:tcW w:w="766" w:type="pct"/>
            <w:vAlign w:val="center"/>
          </w:tcPr>
          <w:p w14:paraId="4CCCE06F" w14:textId="4B3AFA2B"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4.345</w:t>
            </w:r>
          </w:p>
        </w:tc>
        <w:tc>
          <w:tcPr>
            <w:tcW w:w="718" w:type="pct"/>
            <w:vAlign w:val="center"/>
          </w:tcPr>
          <w:p w14:paraId="6ACAE4EE" w14:textId="341B320A"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8</w:t>
            </w:r>
          </w:p>
        </w:tc>
      </w:tr>
      <w:tr w:rsidR="003A047C" w:rsidRPr="00FE59CF" w14:paraId="6C64EC8A" w14:textId="77777777" w:rsidTr="003A047C">
        <w:trPr>
          <w:trHeight w:val="283"/>
        </w:trPr>
        <w:tc>
          <w:tcPr>
            <w:tcW w:w="3516" w:type="pct"/>
            <w:vAlign w:val="center"/>
          </w:tcPr>
          <w:p w14:paraId="0B4CD9CF" w14:textId="10E1E457"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明确项目开发的技术与管理重难点</w:t>
            </w:r>
          </w:p>
        </w:tc>
        <w:tc>
          <w:tcPr>
            <w:tcW w:w="766" w:type="pct"/>
            <w:vAlign w:val="center"/>
          </w:tcPr>
          <w:p w14:paraId="1E4C9E3D" w14:textId="309C301E"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4.345</w:t>
            </w:r>
          </w:p>
        </w:tc>
        <w:tc>
          <w:tcPr>
            <w:tcW w:w="718" w:type="pct"/>
            <w:vAlign w:val="center"/>
          </w:tcPr>
          <w:p w14:paraId="7C5F3AEF" w14:textId="125B84AC"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8</w:t>
            </w:r>
          </w:p>
        </w:tc>
      </w:tr>
      <w:tr w:rsidR="003A047C" w:rsidRPr="00FE59CF" w14:paraId="4268DDF6" w14:textId="77777777" w:rsidTr="003A047C">
        <w:trPr>
          <w:trHeight w:val="283"/>
        </w:trPr>
        <w:tc>
          <w:tcPr>
            <w:tcW w:w="3516" w:type="pct"/>
            <w:vAlign w:val="center"/>
          </w:tcPr>
          <w:p w14:paraId="1BC745D5" w14:textId="56FE1B5D" w:rsidR="003A047C" w:rsidRPr="00FE59CF" w:rsidRDefault="003A047C" w:rsidP="003A047C">
            <w:pPr>
              <w:pStyle w:val="af0"/>
              <w:spacing w:line="240" w:lineRule="atLeast"/>
              <w:jc w:val="center"/>
              <w:rPr>
                <w:rFonts w:ascii="Times New Roman" w:eastAsia="宋体" w:hAnsi="Times New Roman"/>
                <w:bCs/>
                <w:sz w:val="21"/>
                <w:szCs w:val="21"/>
              </w:rPr>
            </w:pPr>
            <w:r w:rsidRPr="00FE59CF">
              <w:rPr>
                <w:rFonts w:hint="eastAsia"/>
                <w:b/>
                <w:bCs/>
                <w:sz w:val="21"/>
                <w:szCs w:val="21"/>
              </w:rPr>
              <w:t>组织协调能力</w:t>
            </w:r>
          </w:p>
        </w:tc>
        <w:tc>
          <w:tcPr>
            <w:tcW w:w="766" w:type="pct"/>
            <w:vAlign w:val="center"/>
          </w:tcPr>
          <w:p w14:paraId="46CEAC55" w14:textId="77777777" w:rsidR="003A047C" w:rsidRPr="00FE59CF" w:rsidRDefault="003A047C" w:rsidP="003A047C">
            <w:pPr>
              <w:pStyle w:val="af0"/>
              <w:spacing w:line="240" w:lineRule="atLeast"/>
              <w:jc w:val="center"/>
              <w:rPr>
                <w:rFonts w:ascii="Times New Roman" w:eastAsia="宋体" w:hAnsi="Times New Roman" w:cs="Times New Roman"/>
                <w:bCs/>
                <w:sz w:val="21"/>
                <w:szCs w:val="21"/>
              </w:rPr>
            </w:pPr>
          </w:p>
        </w:tc>
        <w:tc>
          <w:tcPr>
            <w:tcW w:w="718" w:type="pct"/>
            <w:vAlign w:val="center"/>
          </w:tcPr>
          <w:p w14:paraId="01B61C50" w14:textId="77777777" w:rsidR="003A047C" w:rsidRPr="00FE59CF" w:rsidRDefault="003A047C" w:rsidP="003A047C">
            <w:pPr>
              <w:pStyle w:val="af0"/>
              <w:spacing w:line="240" w:lineRule="atLeast"/>
              <w:jc w:val="center"/>
              <w:rPr>
                <w:rFonts w:ascii="Times New Roman" w:eastAsia="宋体" w:hAnsi="Times New Roman" w:cs="Times New Roman"/>
                <w:bCs/>
                <w:sz w:val="21"/>
                <w:szCs w:val="21"/>
              </w:rPr>
            </w:pPr>
          </w:p>
        </w:tc>
      </w:tr>
      <w:tr w:rsidR="003A047C" w:rsidRPr="00FE59CF" w14:paraId="34C943A0" w14:textId="77777777" w:rsidTr="003A047C">
        <w:trPr>
          <w:trHeight w:val="283"/>
        </w:trPr>
        <w:tc>
          <w:tcPr>
            <w:tcW w:w="3516" w:type="pct"/>
            <w:vAlign w:val="center"/>
            <w:hideMark/>
          </w:tcPr>
          <w:p w14:paraId="25FB38D2" w14:textId="5177ADF5" w:rsidR="003A047C" w:rsidRPr="00FE59CF" w:rsidRDefault="003A047C" w:rsidP="003A047C">
            <w:pPr>
              <w:pStyle w:val="af0"/>
              <w:spacing w:line="240" w:lineRule="atLeast"/>
              <w:rPr>
                <w:rFonts w:ascii="Times New Roman" w:eastAsia="宋体" w:hAnsi="Times New Roman"/>
                <w:bCs/>
                <w:sz w:val="21"/>
                <w:szCs w:val="21"/>
              </w:rPr>
            </w:pPr>
            <w:r w:rsidRPr="00FE59CF">
              <w:rPr>
                <w:rFonts w:hint="eastAsia"/>
                <w:sz w:val="21"/>
                <w:szCs w:val="21"/>
              </w:rPr>
              <w:t>推动参建各方积极完成项目开发各阶段任务</w:t>
            </w:r>
          </w:p>
        </w:tc>
        <w:tc>
          <w:tcPr>
            <w:tcW w:w="766" w:type="pct"/>
            <w:vAlign w:val="center"/>
            <w:hideMark/>
          </w:tcPr>
          <w:p w14:paraId="31BFA363" w14:textId="0A29CED0"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4.365</w:t>
            </w:r>
          </w:p>
        </w:tc>
        <w:tc>
          <w:tcPr>
            <w:tcW w:w="718" w:type="pct"/>
            <w:vAlign w:val="center"/>
            <w:hideMark/>
          </w:tcPr>
          <w:p w14:paraId="1FEBD14D" w14:textId="61E78804" w:rsidR="003A047C" w:rsidRPr="00FE59CF" w:rsidRDefault="003A047C" w:rsidP="003A047C">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3A047C" w:rsidRPr="00FE59CF" w14:paraId="199BBDFC" w14:textId="77777777" w:rsidTr="003A047C">
        <w:trPr>
          <w:trHeight w:val="283"/>
        </w:trPr>
        <w:tc>
          <w:tcPr>
            <w:tcW w:w="3516" w:type="pct"/>
            <w:vAlign w:val="center"/>
          </w:tcPr>
          <w:p w14:paraId="5C8EB3F1" w14:textId="3E3B1E40" w:rsidR="003A047C" w:rsidRPr="00FE59CF" w:rsidRDefault="003A047C" w:rsidP="003A047C">
            <w:pPr>
              <w:pStyle w:val="af0"/>
              <w:spacing w:line="240" w:lineRule="atLeast"/>
              <w:rPr>
                <w:sz w:val="21"/>
                <w:szCs w:val="21"/>
              </w:rPr>
            </w:pPr>
            <w:r w:rsidRPr="00FE59CF">
              <w:rPr>
                <w:rFonts w:hint="eastAsia"/>
                <w:sz w:val="21"/>
                <w:szCs w:val="21"/>
              </w:rPr>
              <w:t>统筹项目规划设计、采购、施工和运营工作</w:t>
            </w:r>
          </w:p>
        </w:tc>
        <w:tc>
          <w:tcPr>
            <w:tcW w:w="766" w:type="pct"/>
            <w:vAlign w:val="center"/>
          </w:tcPr>
          <w:p w14:paraId="6999FB3E" w14:textId="00EFA588"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4.345</w:t>
            </w:r>
          </w:p>
        </w:tc>
        <w:tc>
          <w:tcPr>
            <w:tcW w:w="718" w:type="pct"/>
            <w:vAlign w:val="center"/>
          </w:tcPr>
          <w:p w14:paraId="5348596E" w14:textId="0A59F3CC"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8</w:t>
            </w:r>
          </w:p>
        </w:tc>
      </w:tr>
      <w:tr w:rsidR="003A047C" w:rsidRPr="00FE59CF" w14:paraId="723BD376" w14:textId="77777777" w:rsidTr="003A047C">
        <w:trPr>
          <w:trHeight w:val="283"/>
        </w:trPr>
        <w:tc>
          <w:tcPr>
            <w:tcW w:w="3516" w:type="pct"/>
            <w:vAlign w:val="center"/>
          </w:tcPr>
          <w:p w14:paraId="6E8088D6" w14:textId="2A6B6095" w:rsidR="003A047C" w:rsidRPr="00FE59CF" w:rsidRDefault="003A047C" w:rsidP="003A047C">
            <w:pPr>
              <w:pStyle w:val="af0"/>
              <w:spacing w:line="240" w:lineRule="atLeast"/>
              <w:rPr>
                <w:sz w:val="21"/>
                <w:szCs w:val="21"/>
              </w:rPr>
            </w:pPr>
            <w:r w:rsidRPr="00FE59CF">
              <w:rPr>
                <w:rFonts w:hint="eastAsia"/>
                <w:sz w:val="21"/>
                <w:szCs w:val="21"/>
              </w:rPr>
              <w:t>能够合理分配项目间资源（设备、材料、人员等）</w:t>
            </w:r>
          </w:p>
        </w:tc>
        <w:tc>
          <w:tcPr>
            <w:tcW w:w="766" w:type="pct"/>
            <w:vAlign w:val="center"/>
          </w:tcPr>
          <w:p w14:paraId="540E6DCE" w14:textId="04AE0D1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4.317</w:t>
            </w:r>
          </w:p>
        </w:tc>
        <w:tc>
          <w:tcPr>
            <w:tcW w:w="718" w:type="pct"/>
            <w:vAlign w:val="center"/>
          </w:tcPr>
          <w:p w14:paraId="48975F9D" w14:textId="37EA93A1"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17</w:t>
            </w:r>
          </w:p>
        </w:tc>
      </w:tr>
      <w:tr w:rsidR="003A047C" w:rsidRPr="00FE59CF" w14:paraId="12DC81A4" w14:textId="77777777" w:rsidTr="003A047C">
        <w:trPr>
          <w:trHeight w:val="283"/>
        </w:trPr>
        <w:tc>
          <w:tcPr>
            <w:tcW w:w="3516" w:type="pct"/>
          </w:tcPr>
          <w:p w14:paraId="5E7DE8F6" w14:textId="30661A04" w:rsidR="003A047C" w:rsidRPr="00FE59CF" w:rsidRDefault="003A047C" w:rsidP="003A047C">
            <w:pPr>
              <w:pStyle w:val="af0"/>
              <w:spacing w:line="240" w:lineRule="atLeast"/>
              <w:jc w:val="center"/>
              <w:rPr>
                <w:sz w:val="21"/>
                <w:szCs w:val="21"/>
              </w:rPr>
            </w:pPr>
            <w:r w:rsidRPr="00FE59CF">
              <w:rPr>
                <w:rFonts w:hint="eastAsia"/>
                <w:b/>
                <w:bCs/>
                <w:sz w:val="21"/>
                <w:szCs w:val="21"/>
              </w:rPr>
              <w:t>信息技术应用能力</w:t>
            </w:r>
          </w:p>
        </w:tc>
        <w:tc>
          <w:tcPr>
            <w:tcW w:w="766" w:type="pct"/>
            <w:vAlign w:val="center"/>
          </w:tcPr>
          <w:p w14:paraId="1F5F0EDE"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c>
          <w:tcPr>
            <w:tcW w:w="718" w:type="pct"/>
            <w:vAlign w:val="center"/>
          </w:tcPr>
          <w:p w14:paraId="1CCA2AE6"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r>
      <w:tr w:rsidR="003A047C" w:rsidRPr="00FE59CF" w14:paraId="523CF0DC" w14:textId="77777777" w:rsidTr="003A047C">
        <w:trPr>
          <w:trHeight w:val="283"/>
        </w:trPr>
        <w:tc>
          <w:tcPr>
            <w:tcW w:w="3516" w:type="pct"/>
            <w:vAlign w:val="center"/>
          </w:tcPr>
          <w:p w14:paraId="1CC8A4AF" w14:textId="5FB3E45B" w:rsidR="003A047C" w:rsidRPr="00FE59CF" w:rsidRDefault="003A047C" w:rsidP="003A047C">
            <w:pPr>
              <w:pStyle w:val="af0"/>
              <w:spacing w:line="240" w:lineRule="atLeast"/>
              <w:rPr>
                <w:b/>
                <w:bCs/>
                <w:sz w:val="21"/>
                <w:szCs w:val="21"/>
              </w:rPr>
            </w:pPr>
            <w:r w:rsidRPr="00FE59CF">
              <w:rPr>
                <w:rFonts w:hint="eastAsia"/>
                <w:bCs/>
                <w:sz w:val="21"/>
                <w:szCs w:val="21"/>
              </w:rPr>
              <w:t>建有一体化信息管理平台</w:t>
            </w:r>
          </w:p>
        </w:tc>
        <w:tc>
          <w:tcPr>
            <w:tcW w:w="766" w:type="pct"/>
            <w:vAlign w:val="center"/>
          </w:tcPr>
          <w:p w14:paraId="58629880" w14:textId="23425776"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4.311</w:t>
            </w:r>
          </w:p>
        </w:tc>
        <w:tc>
          <w:tcPr>
            <w:tcW w:w="718" w:type="pct"/>
            <w:vAlign w:val="center"/>
          </w:tcPr>
          <w:p w14:paraId="598158EA" w14:textId="4AA0820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20</w:t>
            </w:r>
          </w:p>
        </w:tc>
      </w:tr>
      <w:tr w:rsidR="003A047C" w:rsidRPr="00FE59CF" w14:paraId="76096317" w14:textId="77777777" w:rsidTr="003A047C">
        <w:trPr>
          <w:trHeight w:val="283"/>
        </w:trPr>
        <w:tc>
          <w:tcPr>
            <w:tcW w:w="3516" w:type="pct"/>
            <w:vAlign w:val="center"/>
          </w:tcPr>
          <w:p w14:paraId="61823367" w14:textId="74CAB690" w:rsidR="003A047C" w:rsidRPr="00FE59CF" w:rsidRDefault="003A047C" w:rsidP="003A047C">
            <w:pPr>
              <w:pStyle w:val="af0"/>
              <w:spacing w:line="240" w:lineRule="atLeast"/>
              <w:rPr>
                <w:sz w:val="21"/>
                <w:szCs w:val="21"/>
              </w:rPr>
            </w:pPr>
            <w:r w:rsidRPr="00FE59CF">
              <w:rPr>
                <w:rFonts w:hint="eastAsia"/>
                <w:bCs/>
                <w:sz w:val="21"/>
                <w:szCs w:val="21"/>
              </w:rPr>
              <w:t>能够快速处理</w:t>
            </w:r>
            <w:r w:rsidRPr="00FE59CF">
              <w:rPr>
                <w:rFonts w:hint="eastAsia"/>
                <w:sz w:val="21"/>
                <w:szCs w:val="21"/>
              </w:rPr>
              <w:t>项目</w:t>
            </w:r>
            <w:r w:rsidRPr="00FE59CF">
              <w:rPr>
                <w:rFonts w:hint="eastAsia"/>
                <w:bCs/>
                <w:sz w:val="21"/>
                <w:szCs w:val="21"/>
              </w:rPr>
              <w:t>信息并及时调控</w:t>
            </w:r>
          </w:p>
        </w:tc>
        <w:tc>
          <w:tcPr>
            <w:tcW w:w="766" w:type="pct"/>
            <w:vAlign w:val="center"/>
          </w:tcPr>
          <w:p w14:paraId="5AFADC52" w14:textId="43221AA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4.266</w:t>
            </w:r>
          </w:p>
        </w:tc>
        <w:tc>
          <w:tcPr>
            <w:tcW w:w="718" w:type="pct"/>
            <w:vAlign w:val="center"/>
          </w:tcPr>
          <w:p w14:paraId="64E310D3" w14:textId="0AA8A1AF"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21</w:t>
            </w:r>
          </w:p>
        </w:tc>
      </w:tr>
      <w:tr w:rsidR="003A047C" w:rsidRPr="00FE59CF" w14:paraId="154DE9D6" w14:textId="77777777" w:rsidTr="003A047C">
        <w:trPr>
          <w:trHeight w:val="283"/>
        </w:trPr>
        <w:tc>
          <w:tcPr>
            <w:tcW w:w="3516" w:type="pct"/>
            <w:vAlign w:val="center"/>
          </w:tcPr>
          <w:p w14:paraId="21EFB1A5" w14:textId="3F547682" w:rsidR="003A047C" w:rsidRPr="00FE59CF" w:rsidRDefault="003A047C" w:rsidP="003A047C">
            <w:pPr>
              <w:pStyle w:val="af0"/>
              <w:spacing w:line="240" w:lineRule="atLeast"/>
              <w:rPr>
                <w:sz w:val="21"/>
                <w:szCs w:val="21"/>
              </w:rPr>
            </w:pPr>
            <w:r w:rsidRPr="00FE59CF">
              <w:rPr>
                <w:rFonts w:hint="eastAsia"/>
                <w:bCs/>
                <w:sz w:val="21"/>
                <w:szCs w:val="21"/>
              </w:rPr>
              <w:t>建有</w:t>
            </w:r>
            <w:r w:rsidRPr="00FE59CF">
              <w:rPr>
                <w:rFonts w:hint="eastAsia"/>
                <w:sz w:val="21"/>
                <w:szCs w:val="21"/>
              </w:rPr>
              <w:t>项目</w:t>
            </w:r>
            <w:r w:rsidRPr="00FE59CF">
              <w:rPr>
                <w:rFonts w:hint="eastAsia"/>
                <w:bCs/>
                <w:sz w:val="21"/>
                <w:szCs w:val="21"/>
              </w:rPr>
              <w:t>数字化业务流程并高效审批</w:t>
            </w:r>
          </w:p>
        </w:tc>
        <w:tc>
          <w:tcPr>
            <w:tcW w:w="766" w:type="pct"/>
            <w:vAlign w:val="center"/>
          </w:tcPr>
          <w:p w14:paraId="037ECAE8" w14:textId="0E64D81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4.266</w:t>
            </w:r>
          </w:p>
        </w:tc>
        <w:tc>
          <w:tcPr>
            <w:tcW w:w="718" w:type="pct"/>
            <w:vAlign w:val="center"/>
          </w:tcPr>
          <w:p w14:paraId="323AD018" w14:textId="024F5BF8"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21</w:t>
            </w:r>
          </w:p>
        </w:tc>
      </w:tr>
      <w:tr w:rsidR="003A047C" w:rsidRPr="00FE59CF" w14:paraId="7339CF12" w14:textId="77777777" w:rsidTr="003A047C">
        <w:trPr>
          <w:trHeight w:val="283"/>
        </w:trPr>
        <w:tc>
          <w:tcPr>
            <w:tcW w:w="3516" w:type="pct"/>
            <w:vAlign w:val="center"/>
          </w:tcPr>
          <w:p w14:paraId="18D51845" w14:textId="26533B3C" w:rsidR="003A047C" w:rsidRPr="00FE59CF" w:rsidRDefault="003A047C" w:rsidP="003A047C">
            <w:pPr>
              <w:pStyle w:val="af0"/>
              <w:spacing w:line="240" w:lineRule="atLeast"/>
              <w:rPr>
                <w:sz w:val="21"/>
                <w:szCs w:val="21"/>
              </w:rPr>
            </w:pPr>
            <w:r w:rsidRPr="00FE59CF">
              <w:rPr>
                <w:rFonts w:hint="eastAsia"/>
                <w:bCs/>
                <w:sz w:val="21"/>
                <w:szCs w:val="21"/>
              </w:rPr>
              <w:t>能够进行水风光储多能互补智能管控</w:t>
            </w:r>
          </w:p>
        </w:tc>
        <w:tc>
          <w:tcPr>
            <w:tcW w:w="766" w:type="pct"/>
            <w:vAlign w:val="center"/>
          </w:tcPr>
          <w:p w14:paraId="4210C53D" w14:textId="4DC22A37"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4.259</w:t>
            </w:r>
          </w:p>
        </w:tc>
        <w:tc>
          <w:tcPr>
            <w:tcW w:w="718" w:type="pct"/>
            <w:vAlign w:val="center"/>
          </w:tcPr>
          <w:p w14:paraId="186B9B84" w14:textId="3987DEB5"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23</w:t>
            </w:r>
          </w:p>
        </w:tc>
      </w:tr>
      <w:tr w:rsidR="003A047C" w:rsidRPr="00FE59CF" w14:paraId="40ED8B12" w14:textId="77777777" w:rsidTr="003A047C">
        <w:trPr>
          <w:trHeight w:val="283"/>
        </w:trPr>
        <w:tc>
          <w:tcPr>
            <w:tcW w:w="3516" w:type="pct"/>
            <w:vAlign w:val="center"/>
          </w:tcPr>
          <w:p w14:paraId="080D590B" w14:textId="73FD18DD" w:rsidR="003A047C" w:rsidRPr="00FE59CF" w:rsidRDefault="003A047C" w:rsidP="003A047C">
            <w:pPr>
              <w:pStyle w:val="af0"/>
              <w:spacing w:line="240" w:lineRule="atLeast"/>
              <w:jc w:val="center"/>
              <w:rPr>
                <w:sz w:val="21"/>
                <w:szCs w:val="21"/>
              </w:rPr>
            </w:pPr>
            <w:r w:rsidRPr="00FE59CF">
              <w:rPr>
                <w:rFonts w:hint="eastAsia"/>
                <w:b/>
                <w:bCs/>
                <w:sz w:val="21"/>
                <w:szCs w:val="21"/>
              </w:rPr>
              <w:t>动态感知与适应能力</w:t>
            </w:r>
          </w:p>
        </w:tc>
        <w:tc>
          <w:tcPr>
            <w:tcW w:w="766" w:type="pct"/>
            <w:vAlign w:val="center"/>
          </w:tcPr>
          <w:p w14:paraId="031DB691"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c>
          <w:tcPr>
            <w:tcW w:w="718" w:type="pct"/>
            <w:vAlign w:val="center"/>
          </w:tcPr>
          <w:p w14:paraId="25F19BAA"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r>
      <w:tr w:rsidR="003A047C" w:rsidRPr="00FE59CF" w14:paraId="05872757" w14:textId="77777777" w:rsidTr="003A047C">
        <w:trPr>
          <w:trHeight w:val="283"/>
        </w:trPr>
        <w:tc>
          <w:tcPr>
            <w:tcW w:w="3516" w:type="pct"/>
            <w:vAlign w:val="center"/>
          </w:tcPr>
          <w:p w14:paraId="5BC2E217" w14:textId="621436C0" w:rsidR="003A047C" w:rsidRPr="00FE59CF" w:rsidRDefault="003A047C" w:rsidP="003A047C">
            <w:pPr>
              <w:pStyle w:val="af0"/>
              <w:spacing w:line="240" w:lineRule="atLeast"/>
              <w:rPr>
                <w:b/>
                <w:bCs/>
                <w:sz w:val="21"/>
                <w:szCs w:val="21"/>
              </w:rPr>
            </w:pPr>
            <w:r w:rsidRPr="00FE59CF">
              <w:rPr>
                <w:rFonts w:hint="eastAsia"/>
                <w:bCs/>
                <w:sz w:val="21"/>
                <w:szCs w:val="21"/>
              </w:rPr>
              <w:t>及时了解国家</w:t>
            </w:r>
            <w:r w:rsidRPr="00FE59CF">
              <w:rPr>
                <w:rFonts w:hint="eastAsia"/>
                <w:bCs/>
                <w:sz w:val="21"/>
                <w:szCs w:val="21"/>
              </w:rPr>
              <w:t>/</w:t>
            </w:r>
            <w:r w:rsidRPr="00FE59CF">
              <w:rPr>
                <w:rFonts w:hint="eastAsia"/>
                <w:bCs/>
                <w:sz w:val="21"/>
                <w:szCs w:val="21"/>
              </w:rPr>
              <w:t>地区在能源开发、电力市场等方面的政策与法规变化</w:t>
            </w:r>
          </w:p>
        </w:tc>
        <w:tc>
          <w:tcPr>
            <w:tcW w:w="766" w:type="pct"/>
            <w:vAlign w:val="center"/>
          </w:tcPr>
          <w:p w14:paraId="5E68655E" w14:textId="1376B1EB"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4.375</w:t>
            </w:r>
          </w:p>
        </w:tc>
        <w:tc>
          <w:tcPr>
            <w:tcW w:w="718" w:type="pct"/>
            <w:vAlign w:val="center"/>
          </w:tcPr>
          <w:p w14:paraId="6605BF42" w14:textId="44FDDCB1"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w:t>
            </w:r>
          </w:p>
        </w:tc>
      </w:tr>
      <w:tr w:rsidR="003A047C" w:rsidRPr="00FE59CF" w14:paraId="74DEFFD8" w14:textId="77777777" w:rsidTr="003A047C">
        <w:trPr>
          <w:trHeight w:val="283"/>
        </w:trPr>
        <w:tc>
          <w:tcPr>
            <w:tcW w:w="3516" w:type="pct"/>
            <w:vAlign w:val="center"/>
          </w:tcPr>
          <w:p w14:paraId="31606F4D" w14:textId="6033A908" w:rsidR="003A047C" w:rsidRPr="00FE59CF" w:rsidRDefault="003A047C" w:rsidP="003A047C">
            <w:pPr>
              <w:pStyle w:val="af0"/>
              <w:spacing w:line="240" w:lineRule="atLeast"/>
              <w:rPr>
                <w:sz w:val="21"/>
                <w:szCs w:val="21"/>
              </w:rPr>
            </w:pPr>
            <w:r w:rsidRPr="00FE59CF">
              <w:rPr>
                <w:rFonts w:hint="eastAsia"/>
                <w:bCs/>
                <w:sz w:val="21"/>
                <w:szCs w:val="21"/>
              </w:rPr>
              <w:t>及时总结并学习项目建设过程中的经验教训</w:t>
            </w:r>
          </w:p>
        </w:tc>
        <w:tc>
          <w:tcPr>
            <w:tcW w:w="766" w:type="pct"/>
            <w:vAlign w:val="center"/>
          </w:tcPr>
          <w:p w14:paraId="5B9AA3DA" w14:textId="4B944D80"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4.341</w:t>
            </w:r>
          </w:p>
        </w:tc>
        <w:tc>
          <w:tcPr>
            <w:tcW w:w="718" w:type="pct"/>
            <w:vAlign w:val="center"/>
          </w:tcPr>
          <w:p w14:paraId="568CDBF4" w14:textId="5A08459F"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11</w:t>
            </w:r>
          </w:p>
        </w:tc>
      </w:tr>
      <w:tr w:rsidR="003A047C" w:rsidRPr="00FE59CF" w14:paraId="43757FC0" w14:textId="77777777" w:rsidTr="003A047C">
        <w:trPr>
          <w:trHeight w:val="283"/>
        </w:trPr>
        <w:tc>
          <w:tcPr>
            <w:tcW w:w="3516" w:type="pct"/>
            <w:vAlign w:val="center"/>
          </w:tcPr>
          <w:p w14:paraId="28D9C721" w14:textId="4BFB348B" w:rsidR="003A047C" w:rsidRPr="00FE59CF" w:rsidRDefault="003A047C" w:rsidP="003A047C">
            <w:pPr>
              <w:pStyle w:val="af0"/>
              <w:spacing w:line="240" w:lineRule="atLeast"/>
              <w:rPr>
                <w:sz w:val="21"/>
                <w:szCs w:val="21"/>
              </w:rPr>
            </w:pPr>
            <w:r w:rsidRPr="00FE59CF">
              <w:rPr>
                <w:rFonts w:hint="eastAsia"/>
                <w:bCs/>
                <w:sz w:val="21"/>
                <w:szCs w:val="21"/>
              </w:rPr>
              <w:t>及时解决项目开发过程中的问题</w:t>
            </w:r>
          </w:p>
        </w:tc>
        <w:tc>
          <w:tcPr>
            <w:tcW w:w="766" w:type="pct"/>
            <w:vAlign w:val="center"/>
          </w:tcPr>
          <w:p w14:paraId="45B8F9C1" w14:textId="136E0C22"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4.338</w:t>
            </w:r>
          </w:p>
        </w:tc>
        <w:tc>
          <w:tcPr>
            <w:tcW w:w="718" w:type="pct"/>
            <w:vAlign w:val="center"/>
          </w:tcPr>
          <w:p w14:paraId="645246DD" w14:textId="0A63BE01"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13</w:t>
            </w:r>
          </w:p>
        </w:tc>
      </w:tr>
      <w:tr w:rsidR="003A047C" w:rsidRPr="00FE59CF" w14:paraId="59924D9C" w14:textId="77777777" w:rsidTr="003A047C">
        <w:trPr>
          <w:trHeight w:val="283"/>
        </w:trPr>
        <w:tc>
          <w:tcPr>
            <w:tcW w:w="3516" w:type="pct"/>
            <w:vAlign w:val="center"/>
          </w:tcPr>
          <w:p w14:paraId="4A6862B5" w14:textId="7F1BA5BD" w:rsidR="003A047C" w:rsidRPr="00FE59CF" w:rsidRDefault="003A047C" w:rsidP="003A047C">
            <w:pPr>
              <w:pStyle w:val="af0"/>
              <w:spacing w:line="240" w:lineRule="atLeast"/>
              <w:rPr>
                <w:sz w:val="21"/>
                <w:szCs w:val="21"/>
              </w:rPr>
            </w:pPr>
            <w:r w:rsidRPr="00FE59CF">
              <w:rPr>
                <w:rFonts w:hint="eastAsia"/>
                <w:bCs/>
                <w:sz w:val="21"/>
                <w:szCs w:val="21"/>
              </w:rPr>
              <w:t>及时洞察市场需求及其变化趋势</w:t>
            </w:r>
          </w:p>
        </w:tc>
        <w:tc>
          <w:tcPr>
            <w:tcW w:w="766" w:type="pct"/>
            <w:vAlign w:val="center"/>
          </w:tcPr>
          <w:p w14:paraId="219F9611" w14:textId="7FD425A7"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4.334</w:t>
            </w:r>
          </w:p>
        </w:tc>
        <w:tc>
          <w:tcPr>
            <w:tcW w:w="718" w:type="pct"/>
            <w:vAlign w:val="center"/>
          </w:tcPr>
          <w:p w14:paraId="024CDBA0" w14:textId="2F7CECA7"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14</w:t>
            </w:r>
          </w:p>
        </w:tc>
      </w:tr>
      <w:tr w:rsidR="003A047C" w:rsidRPr="00FE59CF" w14:paraId="7B19A43A" w14:textId="77777777" w:rsidTr="003A047C">
        <w:trPr>
          <w:trHeight w:val="283"/>
        </w:trPr>
        <w:tc>
          <w:tcPr>
            <w:tcW w:w="3516" w:type="pct"/>
            <w:vAlign w:val="center"/>
          </w:tcPr>
          <w:p w14:paraId="63093AF1" w14:textId="62B23D6B" w:rsidR="003A047C" w:rsidRPr="00FE59CF" w:rsidRDefault="003A047C" w:rsidP="003A047C">
            <w:pPr>
              <w:pStyle w:val="af0"/>
              <w:spacing w:line="240" w:lineRule="atLeast"/>
              <w:rPr>
                <w:sz w:val="21"/>
                <w:szCs w:val="21"/>
              </w:rPr>
            </w:pPr>
            <w:r w:rsidRPr="00FE59CF">
              <w:rPr>
                <w:rFonts w:hint="eastAsia"/>
                <w:bCs/>
                <w:sz w:val="21"/>
                <w:szCs w:val="21"/>
              </w:rPr>
              <w:t>根据外部环境（政策、市场、社会、自然环境）变化，及时调整资源配置</w:t>
            </w:r>
          </w:p>
        </w:tc>
        <w:tc>
          <w:tcPr>
            <w:tcW w:w="766" w:type="pct"/>
            <w:vAlign w:val="center"/>
          </w:tcPr>
          <w:p w14:paraId="74271633" w14:textId="08B56571"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4.331</w:t>
            </w:r>
          </w:p>
        </w:tc>
        <w:tc>
          <w:tcPr>
            <w:tcW w:w="718" w:type="pct"/>
            <w:vAlign w:val="center"/>
          </w:tcPr>
          <w:p w14:paraId="1A8BAA86" w14:textId="668F96A9"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16</w:t>
            </w:r>
          </w:p>
        </w:tc>
      </w:tr>
      <w:tr w:rsidR="003A047C" w:rsidRPr="00FE59CF" w14:paraId="0BD5BE51" w14:textId="77777777" w:rsidTr="003A047C">
        <w:trPr>
          <w:trHeight w:val="283"/>
        </w:trPr>
        <w:tc>
          <w:tcPr>
            <w:tcW w:w="3516" w:type="pct"/>
            <w:vAlign w:val="center"/>
          </w:tcPr>
          <w:p w14:paraId="65B4BBB1" w14:textId="21F2DE67" w:rsidR="003A047C" w:rsidRPr="00FE59CF" w:rsidRDefault="003A047C" w:rsidP="003A047C">
            <w:pPr>
              <w:pStyle w:val="af0"/>
              <w:spacing w:line="240" w:lineRule="atLeast"/>
              <w:jc w:val="center"/>
              <w:rPr>
                <w:bCs/>
                <w:sz w:val="21"/>
                <w:szCs w:val="21"/>
              </w:rPr>
            </w:pPr>
            <w:r w:rsidRPr="00FE59CF">
              <w:rPr>
                <w:rFonts w:hint="eastAsia"/>
                <w:b/>
                <w:bCs/>
                <w:sz w:val="21"/>
                <w:szCs w:val="21"/>
              </w:rPr>
              <w:t>动态优化与创新能力</w:t>
            </w:r>
          </w:p>
        </w:tc>
        <w:tc>
          <w:tcPr>
            <w:tcW w:w="766" w:type="pct"/>
            <w:vAlign w:val="center"/>
          </w:tcPr>
          <w:p w14:paraId="619151C3"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c>
          <w:tcPr>
            <w:tcW w:w="718" w:type="pct"/>
            <w:vAlign w:val="center"/>
          </w:tcPr>
          <w:p w14:paraId="1EFA853A" w14:textId="77777777" w:rsidR="003A047C" w:rsidRPr="00FE59CF" w:rsidRDefault="003A047C" w:rsidP="003A047C">
            <w:pPr>
              <w:pStyle w:val="af0"/>
              <w:spacing w:line="240" w:lineRule="atLeast"/>
              <w:jc w:val="center"/>
              <w:rPr>
                <w:rFonts w:ascii="Times New Roman" w:eastAsia="宋体" w:hAnsi="Times New Roman" w:cs="Times New Roman"/>
                <w:sz w:val="21"/>
                <w:szCs w:val="21"/>
              </w:rPr>
            </w:pPr>
          </w:p>
        </w:tc>
      </w:tr>
      <w:tr w:rsidR="003A047C" w:rsidRPr="00FE59CF" w14:paraId="43309BC3" w14:textId="77777777" w:rsidTr="003A047C">
        <w:trPr>
          <w:trHeight w:val="283"/>
        </w:trPr>
        <w:tc>
          <w:tcPr>
            <w:tcW w:w="3516" w:type="pct"/>
            <w:vAlign w:val="center"/>
          </w:tcPr>
          <w:p w14:paraId="32C95D70" w14:textId="57244BAA" w:rsidR="003A047C" w:rsidRPr="00FE59CF" w:rsidRDefault="003A047C" w:rsidP="003A047C">
            <w:pPr>
              <w:pStyle w:val="af0"/>
              <w:spacing w:line="240" w:lineRule="atLeast"/>
              <w:rPr>
                <w:sz w:val="21"/>
                <w:szCs w:val="21"/>
              </w:rPr>
            </w:pPr>
            <w:r w:rsidRPr="00FE59CF">
              <w:rPr>
                <w:rFonts w:hint="eastAsia"/>
                <w:color w:val="000000"/>
                <w:sz w:val="21"/>
                <w:szCs w:val="21"/>
              </w:rPr>
              <w:t>建有风险管理体系，能够有效辨识并管控项目风险</w:t>
            </w:r>
          </w:p>
        </w:tc>
        <w:tc>
          <w:tcPr>
            <w:tcW w:w="766" w:type="pct"/>
            <w:vAlign w:val="center"/>
          </w:tcPr>
          <w:p w14:paraId="72125BF0" w14:textId="06F7E887"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4.355</w:t>
            </w:r>
          </w:p>
        </w:tc>
        <w:tc>
          <w:tcPr>
            <w:tcW w:w="718" w:type="pct"/>
            <w:vAlign w:val="center"/>
          </w:tcPr>
          <w:p w14:paraId="455E069D" w14:textId="70409CD6"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6</w:t>
            </w:r>
          </w:p>
        </w:tc>
      </w:tr>
      <w:tr w:rsidR="003A047C" w:rsidRPr="00FE59CF" w14:paraId="7B1BBD58" w14:textId="77777777" w:rsidTr="003A047C">
        <w:trPr>
          <w:trHeight w:val="283"/>
        </w:trPr>
        <w:tc>
          <w:tcPr>
            <w:tcW w:w="3516" w:type="pct"/>
            <w:vAlign w:val="center"/>
          </w:tcPr>
          <w:p w14:paraId="60CD5591" w14:textId="2677AF5F" w:rsidR="003A047C" w:rsidRPr="00FE59CF" w:rsidRDefault="003A047C" w:rsidP="003A047C">
            <w:pPr>
              <w:pStyle w:val="af0"/>
              <w:spacing w:line="240" w:lineRule="atLeast"/>
              <w:rPr>
                <w:sz w:val="21"/>
                <w:szCs w:val="21"/>
              </w:rPr>
            </w:pPr>
            <w:r w:rsidRPr="00FE59CF">
              <w:rPr>
                <w:rFonts w:hint="eastAsia"/>
                <w:color w:val="000000"/>
                <w:sz w:val="21"/>
                <w:szCs w:val="21"/>
              </w:rPr>
              <w:t>充分了解清洁能源、数字化等领域的前沿技术及其发展趋势</w:t>
            </w:r>
          </w:p>
        </w:tc>
        <w:tc>
          <w:tcPr>
            <w:tcW w:w="766" w:type="pct"/>
            <w:vAlign w:val="center"/>
          </w:tcPr>
          <w:p w14:paraId="40587C7C" w14:textId="6FA02F2C"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4.341</w:t>
            </w:r>
          </w:p>
        </w:tc>
        <w:tc>
          <w:tcPr>
            <w:tcW w:w="718" w:type="pct"/>
            <w:vAlign w:val="center"/>
          </w:tcPr>
          <w:p w14:paraId="1DAC6E9A" w14:textId="79CDC343"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11</w:t>
            </w:r>
          </w:p>
        </w:tc>
      </w:tr>
      <w:tr w:rsidR="003A047C" w:rsidRPr="00FE59CF" w14:paraId="522BAD3B" w14:textId="77777777" w:rsidTr="003A047C">
        <w:trPr>
          <w:trHeight w:val="283"/>
        </w:trPr>
        <w:tc>
          <w:tcPr>
            <w:tcW w:w="3516" w:type="pct"/>
            <w:vAlign w:val="center"/>
          </w:tcPr>
          <w:p w14:paraId="4D3B59A4" w14:textId="588F9797" w:rsidR="003A047C" w:rsidRPr="00FE59CF" w:rsidRDefault="003A047C" w:rsidP="003A047C">
            <w:pPr>
              <w:pStyle w:val="af0"/>
              <w:spacing w:line="240" w:lineRule="atLeast"/>
              <w:rPr>
                <w:sz w:val="21"/>
                <w:szCs w:val="21"/>
              </w:rPr>
            </w:pPr>
            <w:r w:rsidRPr="00FE59CF">
              <w:rPr>
                <w:rFonts w:hint="eastAsia"/>
                <w:color w:val="000000"/>
                <w:sz w:val="21"/>
                <w:szCs w:val="21"/>
              </w:rPr>
              <w:t>根据利益相关方的反馈与需求，及时调整与利益相关方的协作机制</w:t>
            </w:r>
          </w:p>
        </w:tc>
        <w:tc>
          <w:tcPr>
            <w:tcW w:w="766" w:type="pct"/>
            <w:vAlign w:val="center"/>
          </w:tcPr>
          <w:p w14:paraId="78EAC2DD" w14:textId="6F3EAAA9"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4.341</w:t>
            </w:r>
          </w:p>
        </w:tc>
        <w:tc>
          <w:tcPr>
            <w:tcW w:w="718" w:type="pct"/>
            <w:vAlign w:val="center"/>
          </w:tcPr>
          <w:p w14:paraId="614293C4" w14:textId="65C8D58D"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11</w:t>
            </w:r>
          </w:p>
        </w:tc>
      </w:tr>
      <w:tr w:rsidR="003A047C" w:rsidRPr="00FE59CF" w14:paraId="386315EB" w14:textId="77777777" w:rsidTr="003A047C">
        <w:trPr>
          <w:trHeight w:val="283"/>
        </w:trPr>
        <w:tc>
          <w:tcPr>
            <w:tcW w:w="3516" w:type="pct"/>
            <w:vAlign w:val="center"/>
          </w:tcPr>
          <w:p w14:paraId="313678CB" w14:textId="17B77205" w:rsidR="003A047C" w:rsidRPr="00FE59CF" w:rsidRDefault="003A047C" w:rsidP="003A047C">
            <w:pPr>
              <w:pStyle w:val="af0"/>
              <w:spacing w:line="240" w:lineRule="atLeast"/>
              <w:rPr>
                <w:sz w:val="21"/>
                <w:szCs w:val="21"/>
              </w:rPr>
            </w:pPr>
            <w:r w:rsidRPr="00FE59CF">
              <w:rPr>
                <w:rFonts w:hint="eastAsia"/>
                <w:color w:val="000000"/>
                <w:sz w:val="21"/>
                <w:szCs w:val="21"/>
              </w:rPr>
              <w:t>应用新技术、新工艺、新材料和新装备进行技术创新</w:t>
            </w:r>
          </w:p>
        </w:tc>
        <w:tc>
          <w:tcPr>
            <w:tcW w:w="766" w:type="pct"/>
            <w:vAlign w:val="center"/>
          </w:tcPr>
          <w:p w14:paraId="11C4E442" w14:textId="5226030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4.334</w:t>
            </w:r>
          </w:p>
        </w:tc>
        <w:tc>
          <w:tcPr>
            <w:tcW w:w="718" w:type="pct"/>
            <w:vAlign w:val="center"/>
          </w:tcPr>
          <w:p w14:paraId="497569A7" w14:textId="64B577EF"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14</w:t>
            </w:r>
          </w:p>
        </w:tc>
      </w:tr>
      <w:tr w:rsidR="003A047C" w:rsidRPr="00FE59CF" w14:paraId="3665F61F" w14:textId="77777777" w:rsidTr="003A047C">
        <w:trPr>
          <w:trHeight w:val="283"/>
        </w:trPr>
        <w:tc>
          <w:tcPr>
            <w:tcW w:w="3516" w:type="pct"/>
            <w:vAlign w:val="center"/>
          </w:tcPr>
          <w:p w14:paraId="426430E6" w14:textId="0CD19A4E" w:rsidR="003A047C" w:rsidRPr="00FE59CF" w:rsidRDefault="003A047C" w:rsidP="003A047C">
            <w:pPr>
              <w:pStyle w:val="af0"/>
              <w:spacing w:line="240" w:lineRule="atLeast"/>
              <w:rPr>
                <w:sz w:val="21"/>
                <w:szCs w:val="21"/>
              </w:rPr>
            </w:pPr>
            <w:r w:rsidRPr="00FE59CF">
              <w:rPr>
                <w:rFonts w:hint="eastAsia"/>
                <w:color w:val="000000"/>
                <w:sz w:val="21"/>
                <w:szCs w:val="21"/>
              </w:rPr>
              <w:t>根据项目开发需求进行管理创新</w:t>
            </w:r>
          </w:p>
        </w:tc>
        <w:tc>
          <w:tcPr>
            <w:tcW w:w="766" w:type="pct"/>
            <w:vAlign w:val="center"/>
          </w:tcPr>
          <w:p w14:paraId="18B4D1E1" w14:textId="174E8068"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4.317</w:t>
            </w:r>
          </w:p>
        </w:tc>
        <w:tc>
          <w:tcPr>
            <w:tcW w:w="718" w:type="pct"/>
            <w:vAlign w:val="center"/>
          </w:tcPr>
          <w:p w14:paraId="6BE474E9" w14:textId="20C6F361"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17</w:t>
            </w:r>
          </w:p>
        </w:tc>
      </w:tr>
      <w:tr w:rsidR="003A047C" w:rsidRPr="00FE59CF" w14:paraId="0C828E7D" w14:textId="77777777" w:rsidTr="003A047C">
        <w:trPr>
          <w:trHeight w:val="283"/>
        </w:trPr>
        <w:tc>
          <w:tcPr>
            <w:tcW w:w="3516" w:type="pct"/>
            <w:vAlign w:val="center"/>
          </w:tcPr>
          <w:p w14:paraId="668160B1" w14:textId="601964CC" w:rsidR="003A047C" w:rsidRPr="00FE59CF" w:rsidRDefault="003A047C" w:rsidP="003A047C">
            <w:pPr>
              <w:pStyle w:val="af0"/>
              <w:spacing w:line="240" w:lineRule="atLeast"/>
              <w:rPr>
                <w:sz w:val="21"/>
                <w:szCs w:val="21"/>
              </w:rPr>
            </w:pPr>
            <w:r w:rsidRPr="00FE59CF">
              <w:rPr>
                <w:rFonts w:hint="eastAsia"/>
                <w:color w:val="000000"/>
                <w:sz w:val="21"/>
                <w:szCs w:val="21"/>
              </w:rPr>
              <w:t>通过外部专家咨询和培训等形式，及时学习外部知识</w:t>
            </w:r>
          </w:p>
        </w:tc>
        <w:tc>
          <w:tcPr>
            <w:tcW w:w="766" w:type="pct"/>
            <w:vAlign w:val="center"/>
          </w:tcPr>
          <w:p w14:paraId="0C67617D" w14:textId="39A0C1FD"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4.314</w:t>
            </w:r>
          </w:p>
        </w:tc>
        <w:tc>
          <w:tcPr>
            <w:tcW w:w="718" w:type="pct"/>
            <w:vAlign w:val="center"/>
          </w:tcPr>
          <w:p w14:paraId="75139D32" w14:textId="0B7384C4"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19</w:t>
            </w:r>
          </w:p>
        </w:tc>
      </w:tr>
      <w:tr w:rsidR="003A047C" w:rsidRPr="00FE59CF" w14:paraId="153D5502" w14:textId="77777777" w:rsidTr="003A047C">
        <w:trPr>
          <w:cnfStyle w:val="010000000000" w:firstRow="0" w:lastRow="1" w:firstColumn="0" w:lastColumn="0" w:oddVBand="0" w:evenVBand="0" w:oddHBand="0" w:evenHBand="0" w:firstRowFirstColumn="0" w:firstRowLastColumn="0" w:lastRowFirstColumn="0" w:lastRowLastColumn="0"/>
          <w:trHeight w:val="283"/>
        </w:trPr>
        <w:tc>
          <w:tcPr>
            <w:tcW w:w="3516" w:type="pct"/>
            <w:vAlign w:val="center"/>
          </w:tcPr>
          <w:p w14:paraId="201CA9AA" w14:textId="18C037A6" w:rsidR="003A047C" w:rsidRPr="00FE59CF" w:rsidRDefault="003A047C" w:rsidP="003A047C">
            <w:pPr>
              <w:pStyle w:val="af0"/>
              <w:spacing w:line="240" w:lineRule="atLeast"/>
              <w:jc w:val="center"/>
              <w:rPr>
                <w:sz w:val="21"/>
                <w:szCs w:val="21"/>
              </w:rPr>
            </w:pPr>
            <w:r w:rsidRPr="00FE59CF">
              <w:rPr>
                <w:rFonts w:ascii="Times" w:hAnsi="Times" w:hint="eastAsia"/>
                <w:sz w:val="21"/>
                <w:szCs w:val="21"/>
              </w:rPr>
              <w:t>均值</w:t>
            </w:r>
          </w:p>
        </w:tc>
        <w:tc>
          <w:tcPr>
            <w:tcW w:w="766" w:type="pct"/>
            <w:vAlign w:val="center"/>
          </w:tcPr>
          <w:p w14:paraId="06A59C81" w14:textId="536AF46E" w:rsidR="003A047C" w:rsidRPr="00FE59CF" w:rsidRDefault="003A047C" w:rsidP="003A047C">
            <w:pPr>
              <w:pStyle w:val="af0"/>
              <w:spacing w:line="240" w:lineRule="atLeast"/>
              <w:jc w:val="center"/>
              <w:rPr>
                <w:rFonts w:ascii="Times New Roman" w:eastAsia="宋体" w:hAnsi="Times New Roman" w:cs="Times New Roman"/>
                <w:sz w:val="21"/>
                <w:szCs w:val="21"/>
              </w:rPr>
            </w:pPr>
            <w:r w:rsidRPr="00FE59CF">
              <w:rPr>
                <w:rFonts w:ascii="Times New Roman" w:hAnsi="Times New Roman" w:cs="Times New Roman"/>
                <w:color w:val="000000"/>
                <w:sz w:val="21"/>
                <w:szCs w:val="21"/>
              </w:rPr>
              <w:t>4.332</w:t>
            </w:r>
          </w:p>
        </w:tc>
        <w:tc>
          <w:tcPr>
            <w:tcW w:w="718" w:type="pct"/>
            <w:vAlign w:val="center"/>
          </w:tcPr>
          <w:p w14:paraId="1A71A7C1" w14:textId="4E501DD2" w:rsidR="003A047C" w:rsidRPr="00FE59CF" w:rsidRDefault="00FE59CF" w:rsidP="003A047C">
            <w:pPr>
              <w:pStyle w:val="af0"/>
              <w:spacing w:line="240" w:lineRule="atLeast"/>
              <w:jc w:val="center"/>
              <w:rPr>
                <w:rFonts w:ascii="Times New Roman" w:eastAsia="宋体" w:hAnsi="Times New Roman" w:cs="Times New Roman"/>
                <w:sz w:val="21"/>
                <w:szCs w:val="21"/>
              </w:rPr>
            </w:pPr>
            <w:r>
              <w:rPr>
                <w:rFonts w:ascii="Times New Roman" w:eastAsia="宋体" w:hAnsi="Times New Roman" w:cs="Times New Roman" w:hint="eastAsia"/>
                <w:sz w:val="21"/>
                <w:szCs w:val="21"/>
              </w:rPr>
              <w:t>-</w:t>
            </w:r>
          </w:p>
        </w:tc>
      </w:tr>
    </w:tbl>
    <w:p w14:paraId="788B127B" w14:textId="705CD362" w:rsidR="00A4271D" w:rsidRDefault="00DB4509" w:rsidP="00A3108F">
      <w:pPr>
        <w:spacing w:beforeLines="50" w:before="156"/>
        <w:ind w:firstLine="420"/>
      </w:pPr>
      <w:r>
        <w:rPr>
          <w:rFonts w:hint="eastAsia"/>
        </w:rPr>
        <w:t>如</w:t>
      </w:r>
      <w:r>
        <w:fldChar w:fldCharType="begin"/>
      </w:r>
      <w:r>
        <w:instrText xml:space="preserve"> </w:instrText>
      </w:r>
      <w:r>
        <w:rPr>
          <w:rFonts w:hint="eastAsia"/>
        </w:rPr>
        <w:instrText>REF _Ref174346061 \h</w:instrText>
      </w:r>
      <w:r>
        <w:instrText xml:space="preserve"> </w:instrText>
      </w:r>
      <w:r>
        <w:fldChar w:fldCharType="separate"/>
      </w:r>
      <w:r w:rsidR="000F2689">
        <w:rPr>
          <w:rFonts w:hint="eastAsia"/>
        </w:rPr>
        <w:t>表</w:t>
      </w:r>
      <w:r w:rsidR="000F2689">
        <w:rPr>
          <w:rFonts w:hint="eastAsia"/>
        </w:rPr>
        <w:t xml:space="preserve"> </w:t>
      </w:r>
      <w:r w:rsidR="000F2689">
        <w:rPr>
          <w:noProof/>
        </w:rPr>
        <w:t>3</w:t>
      </w:r>
      <w:r>
        <w:fldChar w:fldCharType="end"/>
      </w:r>
      <w:r>
        <w:rPr>
          <w:rFonts w:hint="eastAsia"/>
        </w:rPr>
        <w:t>所示</w:t>
      </w:r>
      <w:r w:rsidR="00200F61">
        <w:rPr>
          <w:rFonts w:hint="eastAsia"/>
        </w:rPr>
        <w:t>，</w:t>
      </w:r>
      <w:r w:rsidR="00401099" w:rsidRPr="005F1811">
        <w:rPr>
          <w:rFonts w:hint="eastAsia"/>
        </w:rPr>
        <w:t>清洁能源基地</w:t>
      </w:r>
      <w:r w:rsidR="00401099">
        <w:rPr>
          <w:rFonts w:hint="eastAsia"/>
        </w:rPr>
        <w:t>业主项目群管理能力整体表现较好</w:t>
      </w:r>
      <w:r w:rsidR="00200F61">
        <w:rPr>
          <w:rFonts w:hint="eastAsia"/>
        </w:rPr>
        <w:t>。</w:t>
      </w:r>
      <w:r w:rsidR="00401099">
        <w:t>业主能够清晰界定清洁能源基地及其各子项目的建设与运营目标，确保各子项目</w:t>
      </w:r>
      <w:r w:rsidR="00401099">
        <w:rPr>
          <w:rFonts w:hint="eastAsia"/>
        </w:rPr>
        <w:t>的开发</w:t>
      </w:r>
      <w:r w:rsidR="00401099">
        <w:t>协同推进</w:t>
      </w:r>
      <w:r w:rsidR="00401099">
        <w:rPr>
          <w:rFonts w:hint="eastAsia"/>
        </w:rPr>
        <w:t>，也能够在各利益相关方、各开发环节、各项目间起到高效的协调作用。此外，业主具备快速感知政策、法规、市场等外部环境变化，并做出适应性调整的能力。</w:t>
      </w:r>
    </w:p>
    <w:p w14:paraId="6671AD2F" w14:textId="3E3B0066" w:rsidR="006C0984" w:rsidRPr="00401099" w:rsidRDefault="00401099" w:rsidP="00A4271D">
      <w:pPr>
        <w:ind w:firstLine="420"/>
      </w:pPr>
      <w:r>
        <w:rPr>
          <w:rFonts w:hint="eastAsia"/>
        </w:rPr>
        <w:t>相比之下，业主</w:t>
      </w:r>
      <w:r w:rsidRPr="00AC0EF3">
        <w:rPr>
          <w:rFonts w:hint="eastAsia"/>
        </w:rPr>
        <w:t>动态优化与创新能力</w:t>
      </w:r>
      <w:r>
        <w:rPr>
          <w:rFonts w:hint="eastAsia"/>
        </w:rPr>
        <w:t>总体得分较低，</w:t>
      </w:r>
      <w:r>
        <w:rPr>
          <w:rFonts w:hint="eastAsia"/>
          <w:color w:val="000000"/>
        </w:rPr>
        <w:t>反映出</w:t>
      </w:r>
      <w:r w:rsidRPr="00401099">
        <w:rPr>
          <w:rFonts w:hint="eastAsia"/>
          <w:color w:val="000000"/>
        </w:rPr>
        <w:t>业主需根据外部环境变化，动态优化管理策略、实现技术与管理创新，以推动清洁能源基地开发目标的高效实现。</w:t>
      </w:r>
      <w:r>
        <w:rPr>
          <w:rFonts w:hint="eastAsia"/>
          <w:color w:val="000000"/>
        </w:rPr>
        <w:t>业主</w:t>
      </w:r>
      <w:r>
        <w:rPr>
          <w:rFonts w:hint="eastAsia"/>
        </w:rPr>
        <w:t>信息技术应用能力总体得分最低。其中，</w:t>
      </w:r>
      <w:r>
        <w:rPr>
          <w:rFonts w:hint="eastAsia"/>
          <w:bCs/>
        </w:rPr>
        <w:t>“</w:t>
      </w:r>
      <w:r w:rsidRPr="00435F90">
        <w:rPr>
          <w:rFonts w:hint="eastAsia"/>
          <w:bCs/>
        </w:rPr>
        <w:t>能够进行水风光储多能互补智能管控</w:t>
      </w:r>
      <w:r>
        <w:rPr>
          <w:rFonts w:hint="eastAsia"/>
          <w:bCs/>
        </w:rPr>
        <w:t>”得分最低，归因于当前</w:t>
      </w:r>
      <w:r w:rsidRPr="00435F90">
        <w:rPr>
          <w:rFonts w:hint="eastAsia"/>
          <w:bCs/>
        </w:rPr>
        <w:t>水风光储</w:t>
      </w:r>
      <w:r>
        <w:t>多能互补</w:t>
      </w:r>
      <w:r>
        <w:rPr>
          <w:rFonts w:hint="eastAsia"/>
        </w:rPr>
        <w:t>技术</w:t>
      </w:r>
      <w:r>
        <w:t>在系统集成、出力预测精度及调度优化算法等</w:t>
      </w:r>
      <w:r>
        <w:rPr>
          <w:rFonts w:hint="eastAsia"/>
        </w:rPr>
        <w:t>方面水平亟待提升。受访专家也指出“实际应用中对风、光出力预测不够准确，发电计划仍偏保守”，并表示亟需攻克上述技术难点，以减少弃风、弃光。</w:t>
      </w:r>
    </w:p>
    <w:p w14:paraId="78D51C32" w14:textId="0056EB47" w:rsidR="001861F8" w:rsidRDefault="00401099" w:rsidP="001861F8">
      <w:pPr>
        <w:pStyle w:val="2"/>
      </w:pPr>
      <w:bookmarkStart w:id="18" w:name="_Toc198492791"/>
      <w:r>
        <w:rPr>
          <w:rFonts w:hint="eastAsia"/>
        </w:rPr>
        <w:lastRenderedPageBreak/>
        <w:t>清洁能源基地管理制度</w:t>
      </w:r>
      <w:bookmarkEnd w:id="18"/>
    </w:p>
    <w:p w14:paraId="4AEF7F59" w14:textId="0A643F94" w:rsidR="00D07D28" w:rsidRPr="00401099" w:rsidRDefault="00401099" w:rsidP="00401099">
      <w:pPr>
        <w:ind w:firstLine="420"/>
      </w:pPr>
      <w:r w:rsidRPr="00401099">
        <w:rPr>
          <w:rFonts w:hint="eastAsia"/>
        </w:rPr>
        <w:t>清洁能源基地管理制度</w:t>
      </w:r>
      <w:r w:rsidR="00BB7CE2">
        <w:rPr>
          <w:rFonts w:hint="eastAsia"/>
        </w:rPr>
        <w:t>情况</w:t>
      </w:r>
      <w:r w:rsidR="00BB7CE2" w:rsidRPr="00C35659">
        <w:rPr>
          <w:rFonts w:hint="eastAsia"/>
        </w:rPr>
        <w:t>如</w:t>
      </w:r>
      <w:r w:rsidR="00BB7CE2">
        <w:fldChar w:fldCharType="begin"/>
      </w:r>
      <w:r w:rsidR="00BB7CE2">
        <w:instrText xml:space="preserve"> </w:instrText>
      </w:r>
      <w:r w:rsidR="00BB7CE2">
        <w:rPr>
          <w:rFonts w:hint="eastAsia"/>
        </w:rPr>
        <w:instrText>REF _Ref174347394 \h</w:instrText>
      </w:r>
      <w:r w:rsidR="00BB7CE2">
        <w:instrText xml:space="preserve"> </w:instrText>
      </w:r>
      <w:r w:rsidR="00BB7CE2">
        <w:fldChar w:fldCharType="separate"/>
      </w:r>
      <w:r w:rsidR="000F2689">
        <w:rPr>
          <w:rFonts w:hint="eastAsia"/>
        </w:rPr>
        <w:t>表</w:t>
      </w:r>
      <w:r w:rsidR="000F2689">
        <w:rPr>
          <w:rFonts w:hint="eastAsia"/>
        </w:rPr>
        <w:t xml:space="preserve"> </w:t>
      </w:r>
      <w:r w:rsidR="000F2689">
        <w:rPr>
          <w:noProof/>
        </w:rPr>
        <w:t>4</w:t>
      </w:r>
      <w:r w:rsidR="00BB7CE2">
        <w:fldChar w:fldCharType="end"/>
      </w:r>
      <w:r w:rsidR="00BB7CE2" w:rsidRPr="00C35659">
        <w:rPr>
          <w:rFonts w:hint="eastAsia"/>
        </w:rPr>
        <w:t>所示</w:t>
      </w:r>
      <w:r w:rsidR="00BB7CE2">
        <w:rPr>
          <w:rFonts w:hint="eastAsia"/>
        </w:rPr>
        <w:t>，其中</w:t>
      </w:r>
      <w:r w:rsidR="00BB7CE2">
        <w:rPr>
          <w:szCs w:val="21"/>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p>
    <w:p w14:paraId="66E44F6E" w14:textId="7BFC74D9" w:rsidR="00D07D28" w:rsidRDefault="00D07D28" w:rsidP="00EB718D">
      <w:pPr>
        <w:pStyle w:val="afa"/>
        <w:keepNext/>
        <w:spacing w:beforeLines="50" w:before="156"/>
      </w:pPr>
      <w:bookmarkStart w:id="19" w:name="_Ref174347394"/>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4</w:t>
      </w:r>
      <w:r>
        <w:fldChar w:fldCharType="end"/>
      </w:r>
      <w:bookmarkEnd w:id="19"/>
      <w:r w:rsidR="003079D0">
        <w:rPr>
          <w:rFonts w:hint="eastAsia"/>
        </w:rPr>
        <w:t xml:space="preserve"> </w:t>
      </w:r>
      <w:r w:rsidR="00401099" w:rsidRPr="00401099">
        <w:rPr>
          <w:rFonts w:hint="eastAsia"/>
        </w:rPr>
        <w:t>清洁能源基地管理制度</w:t>
      </w:r>
      <w:r w:rsidR="00401099">
        <w:rPr>
          <w:rFonts w:hint="eastAsia"/>
        </w:rPr>
        <w:t>评价</w:t>
      </w:r>
    </w:p>
    <w:tbl>
      <w:tblPr>
        <w:tblStyle w:val="22"/>
        <w:tblW w:w="5000" w:type="pct"/>
        <w:tblLook w:val="0660" w:firstRow="1" w:lastRow="1" w:firstColumn="0" w:lastColumn="0" w:noHBand="1" w:noVBand="1"/>
      </w:tblPr>
      <w:tblGrid>
        <w:gridCol w:w="3119"/>
        <w:gridCol w:w="850"/>
        <w:gridCol w:w="665"/>
      </w:tblGrid>
      <w:tr w:rsidR="00F179A0" w:rsidRPr="00FE59CF" w14:paraId="655EB78B" w14:textId="77777777" w:rsidTr="00401099">
        <w:trPr>
          <w:cnfStyle w:val="100000000000" w:firstRow="1" w:lastRow="0" w:firstColumn="0" w:lastColumn="0" w:oddVBand="0" w:evenVBand="0" w:oddHBand="0" w:evenHBand="0" w:firstRowFirstColumn="0" w:firstRowLastColumn="0" w:lastRowFirstColumn="0" w:lastRowLastColumn="0"/>
          <w:trHeight w:val="283"/>
        </w:trPr>
        <w:tc>
          <w:tcPr>
            <w:tcW w:w="3365" w:type="pct"/>
            <w:vAlign w:val="center"/>
            <w:hideMark/>
          </w:tcPr>
          <w:p w14:paraId="2708EDEF"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指标</w:t>
            </w:r>
          </w:p>
        </w:tc>
        <w:tc>
          <w:tcPr>
            <w:tcW w:w="917" w:type="pct"/>
            <w:vAlign w:val="center"/>
            <w:hideMark/>
          </w:tcPr>
          <w:p w14:paraId="1C9CB475"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得分</w:t>
            </w:r>
          </w:p>
        </w:tc>
        <w:tc>
          <w:tcPr>
            <w:tcW w:w="718" w:type="pct"/>
            <w:vAlign w:val="center"/>
            <w:hideMark/>
          </w:tcPr>
          <w:p w14:paraId="42C39CAF"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排序</w:t>
            </w:r>
          </w:p>
        </w:tc>
      </w:tr>
      <w:tr w:rsidR="00401099" w:rsidRPr="00FE59CF" w14:paraId="5BF9E47E" w14:textId="77777777" w:rsidTr="00401099">
        <w:trPr>
          <w:trHeight w:val="283"/>
        </w:trPr>
        <w:tc>
          <w:tcPr>
            <w:tcW w:w="3365" w:type="pct"/>
            <w:vAlign w:val="center"/>
          </w:tcPr>
          <w:p w14:paraId="7DB444C1" w14:textId="165E7A43" w:rsidR="00401099" w:rsidRPr="00FE59CF" w:rsidRDefault="00401099" w:rsidP="00401099">
            <w:pPr>
              <w:pStyle w:val="af0"/>
              <w:spacing w:line="240" w:lineRule="atLeast"/>
              <w:jc w:val="center"/>
              <w:rPr>
                <w:rFonts w:ascii="Times New Roman" w:eastAsia="宋体" w:hAnsi="Times New Roman"/>
                <w:bCs/>
                <w:sz w:val="21"/>
                <w:szCs w:val="21"/>
              </w:rPr>
            </w:pPr>
            <w:r w:rsidRPr="00FE59CF">
              <w:rPr>
                <w:rFonts w:ascii="Times" w:hAnsi="Times" w:hint="eastAsia"/>
                <w:b/>
                <w:bCs/>
                <w:sz w:val="21"/>
                <w:szCs w:val="21"/>
              </w:rPr>
              <w:t>项目开发管理制度</w:t>
            </w:r>
          </w:p>
        </w:tc>
        <w:tc>
          <w:tcPr>
            <w:tcW w:w="917" w:type="pct"/>
            <w:vAlign w:val="center"/>
          </w:tcPr>
          <w:p w14:paraId="07BEAA96" w14:textId="53DD7C7E" w:rsidR="00401099" w:rsidRPr="00FE59CF" w:rsidRDefault="00401099" w:rsidP="00401099">
            <w:pPr>
              <w:pStyle w:val="af0"/>
              <w:spacing w:line="240" w:lineRule="atLeast"/>
              <w:jc w:val="center"/>
              <w:rPr>
                <w:rFonts w:ascii="Times New Roman" w:eastAsia="宋体" w:hAnsi="Times New Roman"/>
                <w:bCs/>
                <w:sz w:val="21"/>
                <w:szCs w:val="21"/>
              </w:rPr>
            </w:pPr>
          </w:p>
        </w:tc>
        <w:tc>
          <w:tcPr>
            <w:tcW w:w="718" w:type="pct"/>
            <w:vAlign w:val="center"/>
          </w:tcPr>
          <w:p w14:paraId="38A2E361" w14:textId="6E439E6A" w:rsidR="00401099" w:rsidRPr="00FE59CF" w:rsidRDefault="00401099" w:rsidP="00401099">
            <w:pPr>
              <w:pStyle w:val="af0"/>
              <w:spacing w:line="240" w:lineRule="atLeast"/>
              <w:jc w:val="center"/>
              <w:rPr>
                <w:rFonts w:ascii="Times New Roman" w:eastAsia="宋体" w:hAnsi="Times New Roman"/>
                <w:bCs/>
                <w:sz w:val="21"/>
                <w:szCs w:val="21"/>
              </w:rPr>
            </w:pPr>
          </w:p>
        </w:tc>
      </w:tr>
      <w:tr w:rsidR="00401099" w:rsidRPr="00FE59CF" w14:paraId="03E25565" w14:textId="77777777" w:rsidTr="00401099">
        <w:trPr>
          <w:trHeight w:val="283"/>
        </w:trPr>
        <w:tc>
          <w:tcPr>
            <w:tcW w:w="3365" w:type="pct"/>
            <w:vAlign w:val="center"/>
          </w:tcPr>
          <w:p w14:paraId="1CBF90F7" w14:textId="25D2DB1C"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风险管理体系完善</w:t>
            </w:r>
          </w:p>
        </w:tc>
        <w:tc>
          <w:tcPr>
            <w:tcW w:w="917" w:type="pct"/>
            <w:vAlign w:val="bottom"/>
          </w:tcPr>
          <w:p w14:paraId="7C290960" w14:textId="74941D89"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4.304</w:t>
            </w:r>
          </w:p>
        </w:tc>
        <w:tc>
          <w:tcPr>
            <w:tcW w:w="718" w:type="pct"/>
            <w:vAlign w:val="bottom"/>
          </w:tcPr>
          <w:p w14:paraId="4D59AA2D" w14:textId="4A651D2B"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w:t>
            </w:r>
          </w:p>
        </w:tc>
      </w:tr>
      <w:tr w:rsidR="00401099" w:rsidRPr="00FE59CF" w14:paraId="14336846" w14:textId="77777777" w:rsidTr="00401099">
        <w:trPr>
          <w:trHeight w:val="283"/>
        </w:trPr>
        <w:tc>
          <w:tcPr>
            <w:tcW w:w="3365" w:type="pct"/>
            <w:vAlign w:val="center"/>
          </w:tcPr>
          <w:p w14:paraId="1CF2BD63" w14:textId="252C8582"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利益相关方责权划分明确</w:t>
            </w:r>
          </w:p>
        </w:tc>
        <w:tc>
          <w:tcPr>
            <w:tcW w:w="917" w:type="pct"/>
            <w:vAlign w:val="bottom"/>
          </w:tcPr>
          <w:p w14:paraId="27585390" w14:textId="713E0C66"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4.276</w:t>
            </w:r>
          </w:p>
        </w:tc>
        <w:tc>
          <w:tcPr>
            <w:tcW w:w="718" w:type="pct"/>
            <w:vAlign w:val="bottom"/>
          </w:tcPr>
          <w:p w14:paraId="028A7191" w14:textId="241CC9E6"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401099" w:rsidRPr="00FE59CF" w14:paraId="2D6585FC" w14:textId="77777777" w:rsidTr="00401099">
        <w:trPr>
          <w:trHeight w:val="283"/>
        </w:trPr>
        <w:tc>
          <w:tcPr>
            <w:tcW w:w="3365" w:type="pct"/>
            <w:vAlign w:val="center"/>
          </w:tcPr>
          <w:p w14:paraId="1333F96F" w14:textId="380A98E1"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管理流程清晰</w:t>
            </w:r>
          </w:p>
        </w:tc>
        <w:tc>
          <w:tcPr>
            <w:tcW w:w="917" w:type="pct"/>
            <w:vAlign w:val="bottom"/>
          </w:tcPr>
          <w:p w14:paraId="4BF4E40D" w14:textId="746E9A2A"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4.276</w:t>
            </w:r>
          </w:p>
        </w:tc>
        <w:tc>
          <w:tcPr>
            <w:tcW w:w="718" w:type="pct"/>
            <w:vAlign w:val="bottom"/>
          </w:tcPr>
          <w:p w14:paraId="0CDDA091" w14:textId="7F7A36C5"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401099" w:rsidRPr="00FE59CF" w14:paraId="7A305AB3" w14:textId="77777777" w:rsidTr="00401099">
        <w:trPr>
          <w:trHeight w:val="283"/>
        </w:trPr>
        <w:tc>
          <w:tcPr>
            <w:tcW w:w="3365" w:type="pct"/>
            <w:vAlign w:val="center"/>
          </w:tcPr>
          <w:p w14:paraId="226501BE" w14:textId="0997C29D"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运行管理制度完善</w:t>
            </w:r>
          </w:p>
        </w:tc>
        <w:tc>
          <w:tcPr>
            <w:tcW w:w="917" w:type="pct"/>
            <w:vAlign w:val="bottom"/>
          </w:tcPr>
          <w:p w14:paraId="1800AA2C" w14:textId="521D39DD"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4.273</w:t>
            </w:r>
          </w:p>
        </w:tc>
        <w:tc>
          <w:tcPr>
            <w:tcW w:w="718" w:type="pct"/>
            <w:vAlign w:val="bottom"/>
          </w:tcPr>
          <w:p w14:paraId="6C8D0CC9" w14:textId="0E9428F1"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5</w:t>
            </w:r>
          </w:p>
        </w:tc>
      </w:tr>
      <w:tr w:rsidR="00401099" w:rsidRPr="00FE59CF" w14:paraId="04B0F4E5" w14:textId="77777777" w:rsidTr="00401099">
        <w:trPr>
          <w:trHeight w:val="283"/>
        </w:trPr>
        <w:tc>
          <w:tcPr>
            <w:tcW w:w="3365" w:type="pct"/>
            <w:vAlign w:val="center"/>
          </w:tcPr>
          <w:p w14:paraId="620FAF2B" w14:textId="1E11B078"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建设管理制度完善</w:t>
            </w:r>
          </w:p>
        </w:tc>
        <w:tc>
          <w:tcPr>
            <w:tcW w:w="917" w:type="pct"/>
            <w:vAlign w:val="bottom"/>
          </w:tcPr>
          <w:p w14:paraId="0EBFEDF9" w14:textId="4641AFD2"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4.270</w:t>
            </w:r>
          </w:p>
        </w:tc>
        <w:tc>
          <w:tcPr>
            <w:tcW w:w="718" w:type="pct"/>
            <w:vAlign w:val="bottom"/>
          </w:tcPr>
          <w:p w14:paraId="74192BC4" w14:textId="64F36550"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6</w:t>
            </w:r>
          </w:p>
        </w:tc>
      </w:tr>
      <w:tr w:rsidR="00401099" w:rsidRPr="00FE59CF" w14:paraId="79680832" w14:textId="77777777" w:rsidTr="00401099">
        <w:trPr>
          <w:trHeight w:val="283"/>
        </w:trPr>
        <w:tc>
          <w:tcPr>
            <w:tcW w:w="3365" w:type="pct"/>
            <w:vAlign w:val="center"/>
          </w:tcPr>
          <w:p w14:paraId="709BAEC9" w14:textId="27AB9E3F"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数字化管理制度完善</w:t>
            </w:r>
          </w:p>
        </w:tc>
        <w:tc>
          <w:tcPr>
            <w:tcW w:w="917" w:type="pct"/>
            <w:vAlign w:val="bottom"/>
          </w:tcPr>
          <w:p w14:paraId="1F8D4304" w14:textId="6102F1A4"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4.235</w:t>
            </w:r>
          </w:p>
        </w:tc>
        <w:tc>
          <w:tcPr>
            <w:tcW w:w="718" w:type="pct"/>
            <w:vAlign w:val="bottom"/>
          </w:tcPr>
          <w:p w14:paraId="0950BCCF" w14:textId="68829E01"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8</w:t>
            </w:r>
          </w:p>
        </w:tc>
      </w:tr>
      <w:tr w:rsidR="00401099" w:rsidRPr="00FE59CF" w14:paraId="15384B35" w14:textId="77777777" w:rsidTr="00401099">
        <w:trPr>
          <w:trHeight w:val="283"/>
        </w:trPr>
        <w:tc>
          <w:tcPr>
            <w:tcW w:w="3365" w:type="pct"/>
            <w:vAlign w:val="bottom"/>
          </w:tcPr>
          <w:p w14:paraId="42551798" w14:textId="68393B13" w:rsidR="00401099" w:rsidRPr="00FE59CF" w:rsidRDefault="00401099" w:rsidP="00401099">
            <w:pPr>
              <w:pStyle w:val="af0"/>
              <w:spacing w:line="240" w:lineRule="atLeast"/>
              <w:jc w:val="center"/>
              <w:rPr>
                <w:rFonts w:ascii="Times New Roman" w:eastAsia="宋体" w:hAnsi="Times New Roman"/>
                <w:bCs/>
                <w:sz w:val="21"/>
                <w:szCs w:val="21"/>
              </w:rPr>
            </w:pPr>
            <w:r w:rsidRPr="00FE59CF">
              <w:rPr>
                <w:rFonts w:hint="eastAsia"/>
                <w:b/>
                <w:bCs/>
                <w:color w:val="000000"/>
                <w:sz w:val="21"/>
                <w:szCs w:val="21"/>
              </w:rPr>
              <w:t>组织发展管理制度</w:t>
            </w:r>
          </w:p>
        </w:tc>
        <w:tc>
          <w:tcPr>
            <w:tcW w:w="917" w:type="pct"/>
            <w:vAlign w:val="bottom"/>
          </w:tcPr>
          <w:p w14:paraId="5576E92D" w14:textId="77777777" w:rsidR="00401099" w:rsidRPr="00FE59CF" w:rsidRDefault="00401099" w:rsidP="00401099">
            <w:pPr>
              <w:pStyle w:val="af0"/>
              <w:spacing w:line="240" w:lineRule="atLeast"/>
              <w:jc w:val="center"/>
              <w:rPr>
                <w:rFonts w:ascii="Times New Roman" w:eastAsia="宋体" w:hAnsi="Times New Roman" w:cs="Times New Roman"/>
                <w:bCs/>
                <w:sz w:val="21"/>
                <w:szCs w:val="21"/>
              </w:rPr>
            </w:pPr>
          </w:p>
        </w:tc>
        <w:tc>
          <w:tcPr>
            <w:tcW w:w="718" w:type="pct"/>
            <w:vAlign w:val="bottom"/>
          </w:tcPr>
          <w:p w14:paraId="4DDC3DB6" w14:textId="77777777" w:rsidR="00401099" w:rsidRPr="00FE59CF" w:rsidRDefault="00401099" w:rsidP="00401099">
            <w:pPr>
              <w:pStyle w:val="af0"/>
              <w:spacing w:line="240" w:lineRule="atLeast"/>
              <w:jc w:val="center"/>
              <w:rPr>
                <w:rFonts w:ascii="Times New Roman" w:eastAsia="宋体" w:hAnsi="Times New Roman" w:cs="Times New Roman"/>
                <w:bCs/>
                <w:sz w:val="21"/>
                <w:szCs w:val="21"/>
              </w:rPr>
            </w:pPr>
          </w:p>
        </w:tc>
      </w:tr>
      <w:tr w:rsidR="00401099" w:rsidRPr="00FE59CF" w14:paraId="1BC3F9B6" w14:textId="77777777" w:rsidTr="00401099">
        <w:trPr>
          <w:trHeight w:val="283"/>
        </w:trPr>
        <w:tc>
          <w:tcPr>
            <w:tcW w:w="3365" w:type="pct"/>
            <w:vAlign w:val="center"/>
          </w:tcPr>
          <w:p w14:paraId="1B75D549" w14:textId="7DE2A8A1"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考核评价体系完善</w:t>
            </w:r>
          </w:p>
        </w:tc>
        <w:tc>
          <w:tcPr>
            <w:tcW w:w="917" w:type="pct"/>
            <w:vAlign w:val="bottom"/>
          </w:tcPr>
          <w:p w14:paraId="128415B5" w14:textId="48FCFF10"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4.280</w:t>
            </w:r>
          </w:p>
        </w:tc>
        <w:tc>
          <w:tcPr>
            <w:tcW w:w="718" w:type="pct"/>
            <w:vAlign w:val="bottom"/>
          </w:tcPr>
          <w:p w14:paraId="70417F77" w14:textId="75F47470"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2</w:t>
            </w:r>
          </w:p>
        </w:tc>
      </w:tr>
      <w:tr w:rsidR="00401099" w:rsidRPr="00FE59CF" w14:paraId="032AE76E" w14:textId="77777777" w:rsidTr="00401099">
        <w:trPr>
          <w:trHeight w:val="283"/>
        </w:trPr>
        <w:tc>
          <w:tcPr>
            <w:tcW w:w="3365" w:type="pct"/>
            <w:vAlign w:val="center"/>
          </w:tcPr>
          <w:p w14:paraId="0415C995" w14:textId="7B6C2F35"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知识管理体系完善</w:t>
            </w:r>
          </w:p>
        </w:tc>
        <w:tc>
          <w:tcPr>
            <w:tcW w:w="917" w:type="pct"/>
            <w:vAlign w:val="bottom"/>
          </w:tcPr>
          <w:p w14:paraId="52E301BD" w14:textId="2CD1E487"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4.263</w:t>
            </w:r>
          </w:p>
        </w:tc>
        <w:tc>
          <w:tcPr>
            <w:tcW w:w="718" w:type="pct"/>
            <w:vAlign w:val="bottom"/>
          </w:tcPr>
          <w:p w14:paraId="69C69ABB" w14:textId="3E23D1FE"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7</w:t>
            </w:r>
          </w:p>
        </w:tc>
      </w:tr>
      <w:tr w:rsidR="00401099" w:rsidRPr="00FE59CF" w14:paraId="169CD447" w14:textId="77777777" w:rsidTr="00401099">
        <w:trPr>
          <w:trHeight w:val="283"/>
        </w:trPr>
        <w:tc>
          <w:tcPr>
            <w:tcW w:w="3365" w:type="pct"/>
            <w:vAlign w:val="center"/>
          </w:tcPr>
          <w:p w14:paraId="6FDB3AFC" w14:textId="005BF4E0" w:rsidR="00401099" w:rsidRPr="00FE59CF" w:rsidRDefault="00401099" w:rsidP="00401099">
            <w:pPr>
              <w:pStyle w:val="af0"/>
              <w:spacing w:line="240" w:lineRule="atLeast"/>
              <w:rPr>
                <w:rFonts w:ascii="Times New Roman" w:eastAsia="宋体" w:hAnsi="Times New Roman"/>
                <w:bCs/>
                <w:sz w:val="21"/>
                <w:szCs w:val="21"/>
              </w:rPr>
            </w:pPr>
            <w:r w:rsidRPr="00FE59CF">
              <w:rPr>
                <w:rFonts w:hint="eastAsia"/>
                <w:color w:val="000000"/>
                <w:sz w:val="21"/>
                <w:szCs w:val="21"/>
              </w:rPr>
              <w:t>专业技能培训机制完善</w:t>
            </w:r>
          </w:p>
        </w:tc>
        <w:tc>
          <w:tcPr>
            <w:tcW w:w="917" w:type="pct"/>
            <w:vAlign w:val="bottom"/>
          </w:tcPr>
          <w:p w14:paraId="4872D5E6" w14:textId="1D6E2444"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4.229</w:t>
            </w:r>
          </w:p>
        </w:tc>
        <w:tc>
          <w:tcPr>
            <w:tcW w:w="718" w:type="pct"/>
            <w:vAlign w:val="bottom"/>
          </w:tcPr>
          <w:p w14:paraId="7884B83C" w14:textId="334B6124"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9</w:t>
            </w:r>
          </w:p>
        </w:tc>
      </w:tr>
      <w:tr w:rsidR="00401099" w:rsidRPr="00FE59CF" w14:paraId="08CB8B57" w14:textId="77777777" w:rsidTr="00401099">
        <w:trPr>
          <w:trHeight w:val="283"/>
        </w:trPr>
        <w:tc>
          <w:tcPr>
            <w:tcW w:w="3365" w:type="pct"/>
            <w:vAlign w:val="center"/>
          </w:tcPr>
          <w:p w14:paraId="7BCA4F96" w14:textId="62CDE926" w:rsidR="00401099" w:rsidRPr="00FE59CF" w:rsidRDefault="00401099" w:rsidP="00401099">
            <w:pPr>
              <w:pStyle w:val="af0"/>
              <w:spacing w:line="240" w:lineRule="atLeast"/>
              <w:rPr>
                <w:color w:val="000000"/>
                <w:sz w:val="21"/>
                <w:szCs w:val="21"/>
              </w:rPr>
            </w:pPr>
            <w:r w:rsidRPr="00FE59CF">
              <w:rPr>
                <w:rFonts w:hint="eastAsia"/>
                <w:color w:val="000000"/>
                <w:sz w:val="21"/>
                <w:szCs w:val="21"/>
              </w:rPr>
              <w:t>激励机制完善</w:t>
            </w:r>
          </w:p>
        </w:tc>
        <w:tc>
          <w:tcPr>
            <w:tcW w:w="917" w:type="pct"/>
            <w:vAlign w:val="bottom"/>
          </w:tcPr>
          <w:p w14:paraId="1B5C1D5D" w14:textId="2571F5EF"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4.201</w:t>
            </w:r>
          </w:p>
        </w:tc>
        <w:tc>
          <w:tcPr>
            <w:tcW w:w="718" w:type="pct"/>
            <w:vAlign w:val="bottom"/>
          </w:tcPr>
          <w:p w14:paraId="37DF339B" w14:textId="6DDA8368" w:rsidR="00401099" w:rsidRPr="00FE59CF" w:rsidRDefault="00401099" w:rsidP="00401099">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10</w:t>
            </w:r>
          </w:p>
        </w:tc>
      </w:tr>
      <w:tr w:rsidR="00401099" w:rsidRPr="00FE59CF" w14:paraId="3A535A51" w14:textId="77777777" w:rsidTr="00401099">
        <w:trPr>
          <w:cnfStyle w:val="010000000000" w:firstRow="0" w:lastRow="1" w:firstColumn="0" w:lastColumn="0" w:oddVBand="0" w:evenVBand="0" w:oddHBand="0" w:evenHBand="0" w:firstRowFirstColumn="0" w:firstRowLastColumn="0" w:lastRowFirstColumn="0" w:lastRowLastColumn="0"/>
          <w:trHeight w:val="283"/>
        </w:trPr>
        <w:tc>
          <w:tcPr>
            <w:tcW w:w="3365" w:type="pct"/>
            <w:vAlign w:val="center"/>
            <w:hideMark/>
          </w:tcPr>
          <w:p w14:paraId="2AD1EDF0" w14:textId="77777777" w:rsidR="00401099" w:rsidRPr="00FE59CF" w:rsidRDefault="00401099" w:rsidP="00401099">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均值</w:t>
            </w:r>
          </w:p>
        </w:tc>
        <w:tc>
          <w:tcPr>
            <w:tcW w:w="917" w:type="pct"/>
            <w:vAlign w:val="center"/>
            <w:hideMark/>
          </w:tcPr>
          <w:p w14:paraId="52A1DE69" w14:textId="049BF646" w:rsidR="00401099" w:rsidRPr="00FE59CF" w:rsidRDefault="00401099" w:rsidP="00401099">
            <w:pPr>
              <w:pStyle w:val="af0"/>
              <w:spacing w:line="240" w:lineRule="atLeast"/>
              <w:jc w:val="center"/>
              <w:rPr>
                <w:rFonts w:ascii="Times New Roman" w:eastAsia="宋体" w:hAnsi="Times New Roman" w:cs="Times New Roman"/>
                <w:bCs w:val="0"/>
                <w:sz w:val="21"/>
                <w:szCs w:val="21"/>
              </w:rPr>
            </w:pPr>
            <w:r w:rsidRPr="00FE59CF">
              <w:rPr>
                <w:rFonts w:ascii="Times New Roman" w:hAnsi="Times New Roman" w:cs="Times New Roman"/>
                <w:color w:val="000000"/>
                <w:sz w:val="21"/>
                <w:szCs w:val="21"/>
              </w:rPr>
              <w:t>4.261</w:t>
            </w:r>
          </w:p>
        </w:tc>
        <w:tc>
          <w:tcPr>
            <w:tcW w:w="718" w:type="pct"/>
            <w:vAlign w:val="center"/>
            <w:hideMark/>
          </w:tcPr>
          <w:p w14:paraId="26DE5443" w14:textId="72F02B1C" w:rsidR="00401099" w:rsidRPr="00FE59CF" w:rsidRDefault="00401099" w:rsidP="00401099">
            <w:pPr>
              <w:pStyle w:val="af0"/>
              <w:spacing w:line="240" w:lineRule="atLeast"/>
              <w:jc w:val="center"/>
              <w:rPr>
                <w:rFonts w:ascii="Times New Roman" w:eastAsia="宋体" w:hAnsi="Times New Roman" w:cs="Times New Roman"/>
                <w:bCs w:val="0"/>
                <w:sz w:val="21"/>
                <w:szCs w:val="21"/>
              </w:rPr>
            </w:pPr>
          </w:p>
        </w:tc>
      </w:tr>
    </w:tbl>
    <w:p w14:paraId="5A455BC3" w14:textId="444D2C82" w:rsidR="00635236" w:rsidRPr="00635236" w:rsidRDefault="00BB7CE2" w:rsidP="004D2EE8">
      <w:pPr>
        <w:spacing w:beforeLines="50" w:before="156"/>
        <w:ind w:firstLine="420"/>
      </w:pPr>
      <w:r>
        <w:rPr>
          <w:rFonts w:hint="eastAsia"/>
        </w:rPr>
        <w:t>如</w:t>
      </w:r>
      <w:r>
        <w:fldChar w:fldCharType="begin"/>
      </w:r>
      <w:r>
        <w:instrText xml:space="preserve"> </w:instrText>
      </w:r>
      <w:r>
        <w:rPr>
          <w:rFonts w:hint="eastAsia"/>
        </w:rPr>
        <w:instrText>REF _Ref174347394 \h</w:instrText>
      </w:r>
      <w:r>
        <w:instrText xml:space="preserve"> </w:instrText>
      </w:r>
      <w:r>
        <w:fldChar w:fldCharType="separate"/>
      </w:r>
      <w:r w:rsidR="000F2689">
        <w:rPr>
          <w:rFonts w:hint="eastAsia"/>
        </w:rPr>
        <w:t>表</w:t>
      </w:r>
      <w:r w:rsidR="000F2689">
        <w:rPr>
          <w:rFonts w:hint="eastAsia"/>
        </w:rPr>
        <w:t xml:space="preserve"> </w:t>
      </w:r>
      <w:r w:rsidR="000F2689">
        <w:rPr>
          <w:noProof/>
        </w:rPr>
        <w:t>4</w:t>
      </w:r>
      <w:r>
        <w:fldChar w:fldCharType="end"/>
      </w:r>
      <w:r>
        <w:rPr>
          <w:rFonts w:hint="eastAsia"/>
        </w:rPr>
        <w:t>所示，</w:t>
      </w:r>
      <w:r w:rsidR="00401099" w:rsidRPr="005F1811">
        <w:rPr>
          <w:rFonts w:hint="eastAsia"/>
        </w:rPr>
        <w:t>清洁能源基地</w:t>
      </w:r>
      <w:r w:rsidR="00401099">
        <w:rPr>
          <w:rFonts w:hint="eastAsia"/>
        </w:rPr>
        <w:t>整体上制定了完善的管理制度。</w:t>
      </w:r>
      <w:r w:rsidR="00635236" w:rsidRPr="00A569F5">
        <w:rPr>
          <w:rFonts w:hint="eastAsia"/>
        </w:rPr>
        <w:t>项目开发管理制度</w:t>
      </w:r>
      <w:r w:rsidR="00635236">
        <w:rPr>
          <w:rFonts w:hint="eastAsia"/>
        </w:rPr>
        <w:t>方面，清洁能源基地针对各环节、流程与利益相关方协同建立了系统完善的管理体系。其中，“清洁能源项目数字化管理制度完善”得分最低，体现出清洁能源基地仍需根据项目特征与需求，有针对性地完善数字化管理制度、流程与标准。</w:t>
      </w:r>
      <w:r w:rsidR="00635236" w:rsidRPr="00A569F5">
        <w:rPr>
          <w:rFonts w:hint="eastAsia"/>
        </w:rPr>
        <w:t>组织发展管理制度</w:t>
      </w:r>
      <w:r w:rsidR="00635236">
        <w:rPr>
          <w:rFonts w:hint="eastAsia"/>
        </w:rPr>
        <w:t>方面，当前制度体系能够较好地推进项目技术与管理人员能力的不断发展，持续提升清洁能源基地开发与管理的效率。</w:t>
      </w:r>
      <w:r w:rsidR="004D2EE8">
        <w:rPr>
          <w:rFonts w:hint="eastAsia"/>
        </w:rPr>
        <w:t>其中，</w:t>
      </w:r>
      <w:r w:rsidR="00635236">
        <w:rPr>
          <w:rFonts w:hint="eastAsia"/>
          <w:color w:val="000000"/>
        </w:rPr>
        <w:t>“清洁能源项目激励机制完善”得分较低，表明尽管调研对象与受访专家对考核评价体系总体认可，但认为仍需进一步完善与其配套的激励机制。</w:t>
      </w:r>
    </w:p>
    <w:p w14:paraId="7161171F" w14:textId="54B26EF8" w:rsidR="001861F8" w:rsidRDefault="00635236" w:rsidP="001861F8">
      <w:pPr>
        <w:pStyle w:val="2"/>
      </w:pPr>
      <w:bookmarkStart w:id="20" w:name="_Toc198492792"/>
      <w:r>
        <w:rPr>
          <w:rFonts w:hint="eastAsia"/>
        </w:rPr>
        <w:t>清洁能源基地资源配置</w:t>
      </w:r>
      <w:bookmarkEnd w:id="20"/>
    </w:p>
    <w:p w14:paraId="694A1702" w14:textId="50CABCE2" w:rsidR="003D4BEB" w:rsidRPr="00BB7CE2" w:rsidRDefault="00635236" w:rsidP="003D4BEB">
      <w:pPr>
        <w:ind w:firstLine="420"/>
      </w:pPr>
      <w:r w:rsidRPr="005F1811">
        <w:rPr>
          <w:rFonts w:hint="eastAsia"/>
        </w:rPr>
        <w:t>清洁能源基地</w:t>
      </w:r>
      <w:r>
        <w:rPr>
          <w:rFonts w:hint="eastAsia"/>
        </w:rPr>
        <w:t>资源配置</w:t>
      </w:r>
      <w:r w:rsidR="003D4BEB">
        <w:rPr>
          <w:rFonts w:hint="eastAsia"/>
        </w:rPr>
        <w:t>情况</w:t>
      </w:r>
      <w:r w:rsidR="003D4BEB" w:rsidRPr="00C35659">
        <w:rPr>
          <w:rFonts w:hint="eastAsia"/>
        </w:rPr>
        <w:t>如</w:t>
      </w:r>
      <w:r w:rsidR="003D4BEB">
        <w:fldChar w:fldCharType="begin"/>
      </w:r>
      <w:r w:rsidR="003D4BEB">
        <w:instrText xml:space="preserve"> REF _Ref174347553 \h </w:instrText>
      </w:r>
      <w:r w:rsidR="003D4BEB">
        <w:fldChar w:fldCharType="separate"/>
      </w:r>
      <w:r w:rsidR="000F2689">
        <w:rPr>
          <w:rFonts w:hint="eastAsia"/>
        </w:rPr>
        <w:t>表</w:t>
      </w:r>
      <w:r w:rsidR="000F2689">
        <w:rPr>
          <w:rFonts w:hint="eastAsia"/>
        </w:rPr>
        <w:t xml:space="preserve"> </w:t>
      </w:r>
      <w:r w:rsidR="000F2689">
        <w:rPr>
          <w:noProof/>
        </w:rPr>
        <w:t>5</w:t>
      </w:r>
      <w:r w:rsidR="003D4BEB">
        <w:fldChar w:fldCharType="end"/>
      </w:r>
      <w:r w:rsidR="003D4BEB" w:rsidRPr="00C35659">
        <w:rPr>
          <w:rFonts w:hint="eastAsia"/>
        </w:rPr>
        <w:t>所示</w:t>
      </w:r>
      <w:r w:rsidR="003D4BEB">
        <w:rPr>
          <w:rFonts w:hint="eastAsia"/>
        </w:rPr>
        <w:t>，其中</w:t>
      </w:r>
      <w:r w:rsidRPr="00541135">
        <w:rPr>
          <w:rFonts w:hint="eastAsia"/>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r w:rsidR="003D4BEB">
        <w:rPr>
          <w:rFonts w:hint="eastAsia"/>
          <w:szCs w:val="21"/>
        </w:rPr>
        <w:t>。</w:t>
      </w:r>
    </w:p>
    <w:p w14:paraId="5847186E" w14:textId="66D3B75A" w:rsidR="00304090" w:rsidRDefault="00304090" w:rsidP="00EB718D">
      <w:pPr>
        <w:pStyle w:val="afa"/>
        <w:keepNext/>
        <w:spacing w:beforeLines="50" w:before="156"/>
      </w:pPr>
      <w:bookmarkStart w:id="21" w:name="_Ref174347553"/>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5</w:t>
      </w:r>
      <w:r>
        <w:fldChar w:fldCharType="end"/>
      </w:r>
      <w:bookmarkEnd w:id="21"/>
      <w:r>
        <w:rPr>
          <w:rFonts w:hint="eastAsia"/>
        </w:rPr>
        <w:t xml:space="preserve"> </w:t>
      </w:r>
      <w:r w:rsidR="00635236" w:rsidRPr="005F1811">
        <w:rPr>
          <w:rFonts w:hint="eastAsia"/>
        </w:rPr>
        <w:t>清洁能源基地</w:t>
      </w:r>
      <w:r w:rsidR="00635236">
        <w:rPr>
          <w:rFonts w:hint="eastAsia"/>
        </w:rPr>
        <w:t>资源配置</w:t>
      </w:r>
      <w:r w:rsidR="000F2689">
        <w:rPr>
          <w:rFonts w:hint="eastAsia"/>
        </w:rPr>
        <w:t>评价</w:t>
      </w:r>
    </w:p>
    <w:tbl>
      <w:tblPr>
        <w:tblStyle w:val="22"/>
        <w:tblW w:w="5000" w:type="pct"/>
        <w:tblLook w:val="0660" w:firstRow="1" w:lastRow="1" w:firstColumn="0" w:lastColumn="0" w:noHBand="1" w:noVBand="1"/>
      </w:tblPr>
      <w:tblGrid>
        <w:gridCol w:w="3119"/>
        <w:gridCol w:w="850"/>
        <w:gridCol w:w="665"/>
      </w:tblGrid>
      <w:tr w:rsidR="00F179A0" w:rsidRPr="00FE59CF" w14:paraId="2DDB7EAA" w14:textId="77777777" w:rsidTr="00635236">
        <w:trPr>
          <w:cnfStyle w:val="100000000000" w:firstRow="1" w:lastRow="0" w:firstColumn="0" w:lastColumn="0" w:oddVBand="0" w:evenVBand="0" w:oddHBand="0" w:evenHBand="0" w:firstRowFirstColumn="0" w:firstRowLastColumn="0" w:lastRowFirstColumn="0" w:lastRowLastColumn="0"/>
          <w:trHeight w:val="283"/>
        </w:trPr>
        <w:tc>
          <w:tcPr>
            <w:tcW w:w="3365" w:type="pct"/>
            <w:vAlign w:val="center"/>
            <w:hideMark/>
          </w:tcPr>
          <w:p w14:paraId="7B46A2B6"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指标</w:t>
            </w:r>
          </w:p>
        </w:tc>
        <w:tc>
          <w:tcPr>
            <w:tcW w:w="917" w:type="pct"/>
            <w:vAlign w:val="center"/>
            <w:hideMark/>
          </w:tcPr>
          <w:p w14:paraId="5FDD28DC"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得分</w:t>
            </w:r>
          </w:p>
        </w:tc>
        <w:tc>
          <w:tcPr>
            <w:tcW w:w="718" w:type="pct"/>
            <w:vAlign w:val="center"/>
            <w:hideMark/>
          </w:tcPr>
          <w:p w14:paraId="42756CCB" w14:textId="77777777" w:rsidR="00F179A0" w:rsidRPr="00FE59CF" w:rsidRDefault="00F179A0" w:rsidP="00D840F1">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排序</w:t>
            </w:r>
          </w:p>
        </w:tc>
      </w:tr>
      <w:tr w:rsidR="00635236" w:rsidRPr="00FE59CF" w14:paraId="6CEBA4C4" w14:textId="77777777" w:rsidTr="00635236">
        <w:trPr>
          <w:trHeight w:val="283"/>
        </w:trPr>
        <w:tc>
          <w:tcPr>
            <w:tcW w:w="3365" w:type="pct"/>
            <w:vAlign w:val="center"/>
          </w:tcPr>
          <w:p w14:paraId="58970E35" w14:textId="14416CB6" w:rsidR="00635236" w:rsidRPr="00FE59CF" w:rsidRDefault="00635236" w:rsidP="00635236">
            <w:pPr>
              <w:pStyle w:val="af0"/>
              <w:spacing w:line="240" w:lineRule="atLeast"/>
              <w:jc w:val="center"/>
              <w:rPr>
                <w:rFonts w:ascii="Times New Roman" w:eastAsia="宋体" w:hAnsi="Times New Roman"/>
                <w:bCs/>
                <w:sz w:val="21"/>
                <w:szCs w:val="21"/>
              </w:rPr>
            </w:pPr>
            <w:r w:rsidRPr="00FE59CF">
              <w:rPr>
                <w:rFonts w:ascii="Times" w:hAnsi="Times" w:hint="eastAsia"/>
                <w:b/>
                <w:bCs/>
                <w:sz w:val="21"/>
                <w:szCs w:val="21"/>
              </w:rPr>
              <w:t>资源及时供应</w:t>
            </w:r>
          </w:p>
        </w:tc>
        <w:tc>
          <w:tcPr>
            <w:tcW w:w="917" w:type="pct"/>
            <w:vAlign w:val="center"/>
          </w:tcPr>
          <w:p w14:paraId="3608E7EA" w14:textId="71873B09" w:rsidR="00635236" w:rsidRPr="00FE59CF" w:rsidRDefault="00635236" w:rsidP="00635236">
            <w:pPr>
              <w:pStyle w:val="af0"/>
              <w:spacing w:line="240" w:lineRule="atLeast"/>
              <w:jc w:val="center"/>
              <w:rPr>
                <w:rFonts w:ascii="Times New Roman" w:eastAsia="宋体" w:hAnsi="Times New Roman"/>
                <w:bCs/>
                <w:sz w:val="21"/>
                <w:szCs w:val="21"/>
              </w:rPr>
            </w:pPr>
          </w:p>
        </w:tc>
        <w:tc>
          <w:tcPr>
            <w:tcW w:w="718" w:type="pct"/>
            <w:vAlign w:val="center"/>
          </w:tcPr>
          <w:p w14:paraId="0EB5BBA0" w14:textId="10F0660A" w:rsidR="00635236" w:rsidRPr="00FE59CF" w:rsidRDefault="00635236" w:rsidP="00635236">
            <w:pPr>
              <w:pStyle w:val="af0"/>
              <w:spacing w:line="240" w:lineRule="atLeast"/>
              <w:jc w:val="center"/>
              <w:rPr>
                <w:rFonts w:ascii="Times New Roman" w:eastAsia="宋体" w:hAnsi="Times New Roman"/>
                <w:bCs/>
                <w:sz w:val="21"/>
                <w:szCs w:val="21"/>
              </w:rPr>
            </w:pPr>
          </w:p>
        </w:tc>
      </w:tr>
      <w:tr w:rsidR="00635236" w:rsidRPr="00FE59CF" w14:paraId="69B33B89" w14:textId="77777777" w:rsidTr="00635236">
        <w:trPr>
          <w:trHeight w:val="283"/>
        </w:trPr>
        <w:tc>
          <w:tcPr>
            <w:tcW w:w="3365" w:type="pct"/>
            <w:vAlign w:val="center"/>
          </w:tcPr>
          <w:p w14:paraId="271CE386" w14:textId="4EC7C9FE"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资金投入充分</w:t>
            </w:r>
          </w:p>
        </w:tc>
        <w:tc>
          <w:tcPr>
            <w:tcW w:w="917" w:type="pct"/>
            <w:vAlign w:val="center"/>
          </w:tcPr>
          <w:p w14:paraId="1A5149F3" w14:textId="68ED0155"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4.355</w:t>
            </w:r>
          </w:p>
        </w:tc>
        <w:tc>
          <w:tcPr>
            <w:tcW w:w="718" w:type="pct"/>
            <w:vAlign w:val="center"/>
          </w:tcPr>
          <w:p w14:paraId="3B8EA095" w14:textId="0402C86B"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w:t>
            </w:r>
          </w:p>
        </w:tc>
      </w:tr>
      <w:tr w:rsidR="00635236" w:rsidRPr="00FE59CF" w14:paraId="2C86C965" w14:textId="77777777" w:rsidTr="00635236">
        <w:trPr>
          <w:trHeight w:val="283"/>
        </w:trPr>
        <w:tc>
          <w:tcPr>
            <w:tcW w:w="3365" w:type="pct"/>
            <w:vAlign w:val="center"/>
          </w:tcPr>
          <w:p w14:paraId="1BFFD495" w14:textId="619CF21C"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施工设备投入充足</w:t>
            </w:r>
          </w:p>
        </w:tc>
        <w:tc>
          <w:tcPr>
            <w:tcW w:w="917" w:type="pct"/>
            <w:vAlign w:val="center"/>
          </w:tcPr>
          <w:p w14:paraId="408B1B7D" w14:textId="6758FEBB"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4.287</w:t>
            </w:r>
          </w:p>
        </w:tc>
        <w:tc>
          <w:tcPr>
            <w:tcW w:w="718" w:type="pct"/>
            <w:vAlign w:val="center"/>
          </w:tcPr>
          <w:p w14:paraId="33AA6F90" w14:textId="79CF59B4"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w:t>
            </w:r>
          </w:p>
        </w:tc>
      </w:tr>
      <w:tr w:rsidR="00635236" w:rsidRPr="00FE59CF" w14:paraId="760CA270" w14:textId="77777777" w:rsidTr="00635236">
        <w:trPr>
          <w:trHeight w:val="283"/>
        </w:trPr>
        <w:tc>
          <w:tcPr>
            <w:tcW w:w="3365" w:type="pct"/>
            <w:vAlign w:val="center"/>
          </w:tcPr>
          <w:p w14:paraId="3E0BF2F6" w14:textId="5D00F808"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资源能够精准敏捷调度</w:t>
            </w:r>
          </w:p>
        </w:tc>
        <w:tc>
          <w:tcPr>
            <w:tcW w:w="917" w:type="pct"/>
            <w:vAlign w:val="center"/>
          </w:tcPr>
          <w:p w14:paraId="6B748F85" w14:textId="5C313881"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4.280</w:t>
            </w:r>
          </w:p>
        </w:tc>
        <w:tc>
          <w:tcPr>
            <w:tcW w:w="718" w:type="pct"/>
            <w:vAlign w:val="center"/>
          </w:tcPr>
          <w:p w14:paraId="71B2DE72" w14:textId="22B14E5F"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7</w:t>
            </w:r>
          </w:p>
        </w:tc>
      </w:tr>
      <w:tr w:rsidR="00635236" w:rsidRPr="00FE59CF" w14:paraId="031FAA66" w14:textId="77777777" w:rsidTr="00635236">
        <w:trPr>
          <w:trHeight w:val="283"/>
        </w:trPr>
        <w:tc>
          <w:tcPr>
            <w:tcW w:w="3365" w:type="pct"/>
            <w:vAlign w:val="center"/>
          </w:tcPr>
          <w:p w14:paraId="416426A7" w14:textId="09383F46"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信息化设备投入充足</w:t>
            </w:r>
          </w:p>
        </w:tc>
        <w:tc>
          <w:tcPr>
            <w:tcW w:w="917" w:type="pct"/>
            <w:vAlign w:val="center"/>
          </w:tcPr>
          <w:p w14:paraId="3A2BA54B" w14:textId="67518E45"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4.270</w:t>
            </w:r>
          </w:p>
        </w:tc>
        <w:tc>
          <w:tcPr>
            <w:tcW w:w="718" w:type="pct"/>
            <w:vAlign w:val="center"/>
          </w:tcPr>
          <w:p w14:paraId="3770F2CE" w14:textId="07184F48"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8</w:t>
            </w:r>
          </w:p>
        </w:tc>
      </w:tr>
      <w:tr w:rsidR="00635236" w:rsidRPr="00FE59CF" w14:paraId="1C69CFA7" w14:textId="77777777" w:rsidTr="00635236">
        <w:trPr>
          <w:trHeight w:val="283"/>
        </w:trPr>
        <w:tc>
          <w:tcPr>
            <w:tcW w:w="3365" w:type="pct"/>
            <w:vAlign w:val="center"/>
          </w:tcPr>
          <w:p w14:paraId="6C24D145" w14:textId="4DE01747"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人力资源投入充足</w:t>
            </w:r>
          </w:p>
        </w:tc>
        <w:tc>
          <w:tcPr>
            <w:tcW w:w="917" w:type="pct"/>
            <w:vAlign w:val="center"/>
          </w:tcPr>
          <w:p w14:paraId="5B7D42FE" w14:textId="3ECBCC00"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4.246</w:t>
            </w:r>
          </w:p>
        </w:tc>
        <w:tc>
          <w:tcPr>
            <w:tcW w:w="718" w:type="pct"/>
            <w:vAlign w:val="center"/>
          </w:tcPr>
          <w:p w14:paraId="6F7FFF16" w14:textId="4AA63C8C"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9</w:t>
            </w:r>
          </w:p>
        </w:tc>
      </w:tr>
      <w:tr w:rsidR="00635236" w:rsidRPr="00FE59CF" w14:paraId="4B4797C7" w14:textId="77777777" w:rsidTr="002D1967">
        <w:trPr>
          <w:trHeight w:val="283"/>
        </w:trPr>
        <w:tc>
          <w:tcPr>
            <w:tcW w:w="3365" w:type="pct"/>
            <w:vAlign w:val="bottom"/>
          </w:tcPr>
          <w:p w14:paraId="11CC8D47" w14:textId="072A6880" w:rsidR="00635236" w:rsidRPr="00FE59CF" w:rsidRDefault="00635236" w:rsidP="00635236">
            <w:pPr>
              <w:pStyle w:val="af0"/>
              <w:spacing w:line="240" w:lineRule="atLeast"/>
              <w:jc w:val="center"/>
              <w:rPr>
                <w:rFonts w:ascii="Times New Roman" w:eastAsia="宋体" w:hAnsi="Times New Roman"/>
                <w:bCs/>
                <w:sz w:val="21"/>
                <w:szCs w:val="21"/>
              </w:rPr>
            </w:pPr>
            <w:r w:rsidRPr="00FE59CF">
              <w:rPr>
                <w:rFonts w:hint="eastAsia"/>
                <w:b/>
                <w:bCs/>
                <w:color w:val="000000"/>
                <w:sz w:val="21"/>
                <w:szCs w:val="21"/>
              </w:rPr>
              <w:t>内外部资源共享</w:t>
            </w:r>
          </w:p>
        </w:tc>
        <w:tc>
          <w:tcPr>
            <w:tcW w:w="917" w:type="pct"/>
            <w:vAlign w:val="bottom"/>
          </w:tcPr>
          <w:p w14:paraId="6F54A0E6" w14:textId="77777777" w:rsidR="00635236" w:rsidRPr="00FE59CF" w:rsidRDefault="00635236" w:rsidP="00635236">
            <w:pPr>
              <w:pStyle w:val="af0"/>
              <w:spacing w:line="240" w:lineRule="atLeast"/>
              <w:jc w:val="center"/>
              <w:rPr>
                <w:rFonts w:ascii="Times New Roman" w:eastAsia="宋体" w:hAnsi="Times New Roman" w:cs="Times New Roman"/>
                <w:bCs/>
                <w:sz w:val="21"/>
                <w:szCs w:val="21"/>
              </w:rPr>
            </w:pPr>
          </w:p>
        </w:tc>
        <w:tc>
          <w:tcPr>
            <w:tcW w:w="718" w:type="pct"/>
            <w:vAlign w:val="bottom"/>
          </w:tcPr>
          <w:p w14:paraId="1CAD9C08" w14:textId="77777777" w:rsidR="00635236" w:rsidRPr="00FE59CF" w:rsidRDefault="00635236" w:rsidP="00635236">
            <w:pPr>
              <w:pStyle w:val="af0"/>
              <w:spacing w:line="240" w:lineRule="atLeast"/>
              <w:jc w:val="center"/>
              <w:rPr>
                <w:rFonts w:ascii="Times New Roman" w:eastAsia="宋体" w:hAnsi="Times New Roman" w:cs="Times New Roman"/>
                <w:bCs/>
                <w:sz w:val="21"/>
                <w:szCs w:val="21"/>
              </w:rPr>
            </w:pPr>
          </w:p>
        </w:tc>
      </w:tr>
      <w:tr w:rsidR="00635236" w:rsidRPr="00FE59CF" w14:paraId="12D7A02E" w14:textId="77777777" w:rsidTr="00635236">
        <w:trPr>
          <w:trHeight w:val="283"/>
        </w:trPr>
        <w:tc>
          <w:tcPr>
            <w:tcW w:w="3365" w:type="pct"/>
            <w:vAlign w:val="center"/>
          </w:tcPr>
          <w:p w14:paraId="6733C6FC" w14:textId="28E9D723"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能够及时获得外部技术支持</w:t>
            </w:r>
          </w:p>
        </w:tc>
        <w:tc>
          <w:tcPr>
            <w:tcW w:w="917" w:type="pct"/>
            <w:vAlign w:val="center"/>
          </w:tcPr>
          <w:p w14:paraId="48659EDE" w14:textId="2B5DFB29"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4.311</w:t>
            </w:r>
          </w:p>
        </w:tc>
        <w:tc>
          <w:tcPr>
            <w:tcW w:w="718" w:type="pct"/>
            <w:vAlign w:val="center"/>
          </w:tcPr>
          <w:p w14:paraId="7D8C8502" w14:textId="666D93F5"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2</w:t>
            </w:r>
          </w:p>
        </w:tc>
      </w:tr>
      <w:tr w:rsidR="00635236" w:rsidRPr="00FE59CF" w14:paraId="28A2DE7F" w14:textId="77777777" w:rsidTr="00635236">
        <w:trPr>
          <w:trHeight w:val="283"/>
        </w:trPr>
        <w:tc>
          <w:tcPr>
            <w:tcW w:w="3365" w:type="pct"/>
            <w:vAlign w:val="center"/>
          </w:tcPr>
          <w:p w14:paraId="3C43F4CF" w14:textId="74C573F1"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项目间经验和知识充分共享</w:t>
            </w:r>
          </w:p>
        </w:tc>
        <w:tc>
          <w:tcPr>
            <w:tcW w:w="917" w:type="pct"/>
            <w:vAlign w:val="center"/>
          </w:tcPr>
          <w:p w14:paraId="16138C1C" w14:textId="4F792198"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4.300</w:t>
            </w:r>
          </w:p>
        </w:tc>
        <w:tc>
          <w:tcPr>
            <w:tcW w:w="718" w:type="pct"/>
            <w:vAlign w:val="center"/>
          </w:tcPr>
          <w:p w14:paraId="06F2B8A9" w14:textId="14D21AB0"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635236" w:rsidRPr="00FE59CF" w14:paraId="4E4125B3" w14:textId="77777777" w:rsidTr="00635236">
        <w:trPr>
          <w:trHeight w:val="283"/>
        </w:trPr>
        <w:tc>
          <w:tcPr>
            <w:tcW w:w="3365" w:type="pct"/>
            <w:vAlign w:val="center"/>
          </w:tcPr>
          <w:p w14:paraId="05A13612" w14:textId="47BCF841"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规划设计、采购、施工、运营环节间信息资源合理共享</w:t>
            </w:r>
          </w:p>
        </w:tc>
        <w:tc>
          <w:tcPr>
            <w:tcW w:w="917" w:type="pct"/>
            <w:vAlign w:val="center"/>
          </w:tcPr>
          <w:p w14:paraId="14A4001F" w14:textId="750AABEB"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4.283</w:t>
            </w:r>
          </w:p>
        </w:tc>
        <w:tc>
          <w:tcPr>
            <w:tcW w:w="718" w:type="pct"/>
            <w:vAlign w:val="center"/>
          </w:tcPr>
          <w:p w14:paraId="72A565D9" w14:textId="5B568F01"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5</w:t>
            </w:r>
          </w:p>
        </w:tc>
      </w:tr>
      <w:tr w:rsidR="00635236" w:rsidRPr="00FE59CF" w14:paraId="52C96044" w14:textId="77777777" w:rsidTr="00635236">
        <w:trPr>
          <w:trHeight w:val="283"/>
        </w:trPr>
        <w:tc>
          <w:tcPr>
            <w:tcW w:w="3365" w:type="pct"/>
            <w:vAlign w:val="center"/>
          </w:tcPr>
          <w:p w14:paraId="716E1ACC" w14:textId="55FDD158" w:rsidR="00635236" w:rsidRPr="00FE59CF" w:rsidRDefault="00635236" w:rsidP="00635236">
            <w:pPr>
              <w:pStyle w:val="af0"/>
              <w:spacing w:line="240" w:lineRule="atLeast"/>
              <w:rPr>
                <w:rFonts w:ascii="Times New Roman" w:eastAsia="宋体" w:hAnsi="Times New Roman"/>
                <w:bCs/>
                <w:sz w:val="21"/>
                <w:szCs w:val="21"/>
              </w:rPr>
            </w:pPr>
            <w:r w:rsidRPr="00FE59CF">
              <w:rPr>
                <w:rFonts w:hint="eastAsia"/>
                <w:color w:val="000000"/>
                <w:sz w:val="21"/>
                <w:szCs w:val="21"/>
              </w:rPr>
              <w:t>利益相关方信息资源合理共享</w:t>
            </w:r>
          </w:p>
        </w:tc>
        <w:tc>
          <w:tcPr>
            <w:tcW w:w="917" w:type="pct"/>
            <w:vAlign w:val="center"/>
          </w:tcPr>
          <w:p w14:paraId="2807054A" w14:textId="35723F32"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4.283</w:t>
            </w:r>
          </w:p>
        </w:tc>
        <w:tc>
          <w:tcPr>
            <w:tcW w:w="718" w:type="pct"/>
            <w:vAlign w:val="center"/>
          </w:tcPr>
          <w:p w14:paraId="3062A10E" w14:textId="22B8F4A1" w:rsidR="00635236" w:rsidRPr="00FE59CF" w:rsidRDefault="00635236" w:rsidP="00635236">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5</w:t>
            </w:r>
          </w:p>
        </w:tc>
      </w:tr>
      <w:tr w:rsidR="00635236" w:rsidRPr="00FE59CF" w14:paraId="216F581D" w14:textId="77777777" w:rsidTr="00635236">
        <w:trPr>
          <w:cnfStyle w:val="010000000000" w:firstRow="0" w:lastRow="1" w:firstColumn="0" w:lastColumn="0" w:oddVBand="0" w:evenVBand="0" w:oddHBand="0" w:evenHBand="0" w:firstRowFirstColumn="0" w:firstRowLastColumn="0" w:lastRowFirstColumn="0" w:lastRowLastColumn="0"/>
          <w:trHeight w:val="283"/>
        </w:trPr>
        <w:tc>
          <w:tcPr>
            <w:tcW w:w="3365" w:type="pct"/>
            <w:vAlign w:val="center"/>
            <w:hideMark/>
          </w:tcPr>
          <w:p w14:paraId="39E5D096" w14:textId="77777777" w:rsidR="00635236" w:rsidRPr="00FE59CF" w:rsidRDefault="00635236" w:rsidP="00635236">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均值</w:t>
            </w:r>
          </w:p>
        </w:tc>
        <w:tc>
          <w:tcPr>
            <w:tcW w:w="917" w:type="pct"/>
            <w:vAlign w:val="center"/>
            <w:hideMark/>
          </w:tcPr>
          <w:p w14:paraId="407FE1EF" w14:textId="65AC3EC3" w:rsidR="00635236" w:rsidRPr="00FE59CF" w:rsidRDefault="00635236" w:rsidP="00635236">
            <w:pPr>
              <w:pStyle w:val="af0"/>
              <w:spacing w:line="240" w:lineRule="atLeast"/>
              <w:jc w:val="center"/>
              <w:rPr>
                <w:rFonts w:ascii="Times New Roman" w:eastAsia="宋体" w:hAnsi="Times New Roman" w:cs="Times New Roman"/>
                <w:bCs w:val="0"/>
                <w:sz w:val="21"/>
                <w:szCs w:val="21"/>
              </w:rPr>
            </w:pPr>
            <w:r w:rsidRPr="00FE59CF">
              <w:rPr>
                <w:rFonts w:ascii="Times New Roman" w:hAnsi="Times New Roman" w:cs="Times New Roman"/>
                <w:color w:val="000000"/>
                <w:sz w:val="21"/>
                <w:szCs w:val="21"/>
              </w:rPr>
              <w:t>4.291</w:t>
            </w:r>
          </w:p>
        </w:tc>
        <w:tc>
          <w:tcPr>
            <w:tcW w:w="718" w:type="pct"/>
            <w:vAlign w:val="center"/>
            <w:hideMark/>
          </w:tcPr>
          <w:p w14:paraId="050B66B1" w14:textId="77777777" w:rsidR="00635236" w:rsidRPr="00FE59CF" w:rsidRDefault="00635236" w:rsidP="00635236">
            <w:pPr>
              <w:pStyle w:val="af0"/>
              <w:spacing w:line="240" w:lineRule="atLeast"/>
              <w:jc w:val="center"/>
              <w:rPr>
                <w:rFonts w:ascii="Times New Roman" w:eastAsia="宋体" w:hAnsi="Times New Roman" w:cs="Times New Roman"/>
                <w:bCs w:val="0"/>
                <w:sz w:val="21"/>
                <w:szCs w:val="21"/>
              </w:rPr>
            </w:pPr>
            <w:r w:rsidRPr="00FE59CF">
              <w:rPr>
                <w:rFonts w:ascii="Times New Roman" w:eastAsia="宋体" w:hAnsi="Times New Roman" w:cs="Times New Roman"/>
                <w:bCs w:val="0"/>
                <w:sz w:val="21"/>
                <w:szCs w:val="21"/>
              </w:rPr>
              <w:t>-</w:t>
            </w:r>
          </w:p>
        </w:tc>
      </w:tr>
    </w:tbl>
    <w:p w14:paraId="39862E7E" w14:textId="10F7ED07" w:rsidR="003D4BEB" w:rsidRDefault="003D4BEB" w:rsidP="00A4271D">
      <w:pPr>
        <w:spacing w:beforeLines="50" w:before="156"/>
        <w:ind w:firstLine="420"/>
      </w:pPr>
      <w:r w:rsidRPr="00C35659">
        <w:rPr>
          <w:rFonts w:hint="eastAsia"/>
        </w:rPr>
        <w:t>如</w:t>
      </w:r>
      <w:r>
        <w:fldChar w:fldCharType="begin"/>
      </w:r>
      <w:r>
        <w:instrText xml:space="preserve"> REF _Ref174347553 \h </w:instrText>
      </w:r>
      <w:r>
        <w:fldChar w:fldCharType="separate"/>
      </w:r>
      <w:r w:rsidR="000F2689">
        <w:rPr>
          <w:rFonts w:hint="eastAsia"/>
        </w:rPr>
        <w:t>表</w:t>
      </w:r>
      <w:r w:rsidR="000F2689">
        <w:rPr>
          <w:rFonts w:hint="eastAsia"/>
        </w:rPr>
        <w:t xml:space="preserve"> </w:t>
      </w:r>
      <w:r w:rsidR="000F2689">
        <w:rPr>
          <w:noProof/>
        </w:rPr>
        <w:t>5</w:t>
      </w:r>
      <w:r>
        <w:fldChar w:fldCharType="end"/>
      </w:r>
      <w:r w:rsidRPr="00C35659">
        <w:rPr>
          <w:rFonts w:hint="eastAsia"/>
        </w:rPr>
        <w:t>所示</w:t>
      </w:r>
      <w:r>
        <w:rPr>
          <w:rFonts w:hint="eastAsia"/>
        </w:rPr>
        <w:t>，</w:t>
      </w:r>
      <w:r w:rsidR="00635236">
        <w:rPr>
          <w:rFonts w:hint="eastAsia"/>
        </w:rPr>
        <w:t>总体上清洁能源基地进行了高效的资源配置</w:t>
      </w:r>
      <w:r w:rsidR="00E4410C">
        <w:rPr>
          <w:rFonts w:hint="eastAsia"/>
        </w:rPr>
        <w:t>。</w:t>
      </w:r>
      <w:r w:rsidR="00635236" w:rsidRPr="008113B0">
        <w:rPr>
          <w:rFonts w:hint="eastAsia"/>
        </w:rPr>
        <w:t>资源及时供应</w:t>
      </w:r>
      <w:r w:rsidR="00635236">
        <w:rPr>
          <w:rFonts w:hint="eastAsia"/>
        </w:rPr>
        <w:t>方面，清洁能源基地开发能够为各子项目及时供应资金、设备、材料等资源。其中，</w:t>
      </w:r>
      <w:r w:rsidR="00635236" w:rsidRPr="00635236">
        <w:rPr>
          <w:rFonts w:hint="eastAsia"/>
        </w:rPr>
        <w:t>“清洁能源项目人力资源投入充足”得分最低，表明清洁能源基地开发仍需补充高素质专业人才。</w:t>
      </w:r>
      <w:r w:rsidR="00635236" w:rsidRPr="00332B61">
        <w:rPr>
          <w:rFonts w:hint="eastAsia"/>
        </w:rPr>
        <w:t>内外部资源共享</w:t>
      </w:r>
      <w:r w:rsidR="00635236">
        <w:rPr>
          <w:rFonts w:hint="eastAsia"/>
        </w:rPr>
        <w:t>方面，清洁能源基地开发过程中信息、经验等资源在内部能够高效共享，技术支持、专家咨询等外部资源也能够及时补充。其中，</w:t>
      </w:r>
      <w:r w:rsidR="00635236" w:rsidRPr="00635236">
        <w:rPr>
          <w:rFonts w:hint="eastAsia"/>
        </w:rPr>
        <w:t>“清洁能源项目规划设计、采购、施工、运营环节间信息资源合理共享”、“清洁能源项目利益相关方信息资源合理共享”得分较低，表明各环节、参建各方间的信息整合和流通仍有提升空间。</w:t>
      </w:r>
    </w:p>
    <w:p w14:paraId="5EA9D2DC" w14:textId="64B7C3C2" w:rsidR="00A4271D" w:rsidRDefault="00A4271D" w:rsidP="00A4271D">
      <w:pPr>
        <w:pStyle w:val="2"/>
      </w:pPr>
      <w:r w:rsidRPr="00A4271D">
        <w:rPr>
          <w:rFonts w:hint="eastAsia"/>
        </w:rPr>
        <w:t>清洁能源基地伙伴关系</w:t>
      </w:r>
    </w:p>
    <w:p w14:paraId="16EAAA59" w14:textId="0AD19113" w:rsidR="00A4271D" w:rsidRPr="00BB7CE2" w:rsidRDefault="00A4271D" w:rsidP="00A4271D">
      <w:pPr>
        <w:ind w:firstLine="420"/>
      </w:pPr>
      <w:r w:rsidRPr="00A4271D">
        <w:rPr>
          <w:rFonts w:hint="eastAsia"/>
        </w:rPr>
        <w:t>清洁能源基地伙伴关系</w:t>
      </w:r>
      <w:r>
        <w:rPr>
          <w:rFonts w:hint="eastAsia"/>
        </w:rPr>
        <w:t>情况</w:t>
      </w:r>
      <w:r w:rsidRPr="00C35659">
        <w:rPr>
          <w:rFonts w:hint="eastAsia"/>
        </w:rPr>
        <w:t>如</w:t>
      </w:r>
      <w:r>
        <w:fldChar w:fldCharType="begin"/>
      </w:r>
      <w:r>
        <w:instrText xml:space="preserve"> </w:instrText>
      </w:r>
      <w:r>
        <w:rPr>
          <w:rFonts w:hint="eastAsia"/>
        </w:rPr>
        <w:instrText>REF _Ref200169093 \h</w:instrText>
      </w:r>
      <w:r>
        <w:instrText xml:space="preserve"> </w:instrText>
      </w:r>
      <w:r>
        <w:fldChar w:fldCharType="separate"/>
      </w:r>
      <w:r w:rsidR="000F2689">
        <w:rPr>
          <w:rFonts w:hint="eastAsia"/>
        </w:rPr>
        <w:t>表</w:t>
      </w:r>
      <w:r w:rsidR="000F2689">
        <w:rPr>
          <w:rFonts w:hint="eastAsia"/>
        </w:rPr>
        <w:t xml:space="preserve"> </w:t>
      </w:r>
      <w:r w:rsidR="000F2689">
        <w:rPr>
          <w:noProof/>
        </w:rPr>
        <w:t>6</w:t>
      </w:r>
      <w:r>
        <w:fldChar w:fldCharType="end"/>
      </w:r>
      <w:r w:rsidRPr="00C35659">
        <w:rPr>
          <w:rFonts w:hint="eastAsia"/>
        </w:rPr>
        <w:t>所示</w:t>
      </w:r>
      <w:r>
        <w:rPr>
          <w:rFonts w:hint="eastAsia"/>
        </w:rPr>
        <w:t>，其中</w:t>
      </w:r>
      <w:r w:rsidRPr="00541135">
        <w:rPr>
          <w:rFonts w:hint="eastAsia"/>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r>
        <w:rPr>
          <w:rFonts w:hint="eastAsia"/>
          <w:szCs w:val="21"/>
        </w:rPr>
        <w:t>。</w:t>
      </w:r>
    </w:p>
    <w:p w14:paraId="4395E2F6" w14:textId="1439AAC3" w:rsidR="00A4271D" w:rsidRDefault="00A4271D" w:rsidP="00EB718D">
      <w:pPr>
        <w:pStyle w:val="afa"/>
        <w:keepNext/>
        <w:spacing w:beforeLines="50" w:before="156"/>
      </w:pPr>
      <w:bookmarkStart w:id="22" w:name="_Ref200169093"/>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6</w:t>
      </w:r>
      <w:r>
        <w:fldChar w:fldCharType="end"/>
      </w:r>
      <w:bookmarkEnd w:id="22"/>
      <w:r>
        <w:rPr>
          <w:rFonts w:hint="eastAsia"/>
        </w:rPr>
        <w:t xml:space="preserve"> </w:t>
      </w:r>
      <w:r w:rsidRPr="00A4271D">
        <w:rPr>
          <w:rFonts w:hint="eastAsia"/>
        </w:rPr>
        <w:t>清洁能源基地伙伴关系</w:t>
      </w:r>
      <w:r w:rsidR="000F2689">
        <w:rPr>
          <w:rFonts w:hint="eastAsia"/>
        </w:rPr>
        <w:t>评价</w:t>
      </w:r>
    </w:p>
    <w:tbl>
      <w:tblPr>
        <w:tblStyle w:val="22"/>
        <w:tblW w:w="5000" w:type="pct"/>
        <w:tblLook w:val="0660" w:firstRow="1" w:lastRow="1" w:firstColumn="0" w:lastColumn="0" w:noHBand="1" w:noVBand="1"/>
      </w:tblPr>
      <w:tblGrid>
        <w:gridCol w:w="2817"/>
        <w:gridCol w:w="1110"/>
        <w:gridCol w:w="707"/>
      </w:tblGrid>
      <w:tr w:rsidR="00A4271D" w:rsidRPr="00FE59CF" w14:paraId="5C23F0B6" w14:textId="77777777" w:rsidTr="00522153">
        <w:trPr>
          <w:cnfStyle w:val="100000000000" w:firstRow="1" w:lastRow="0" w:firstColumn="0" w:lastColumn="0" w:oddVBand="0" w:evenVBand="0" w:oddHBand="0" w:evenHBand="0" w:firstRowFirstColumn="0" w:firstRowLastColumn="0" w:lastRowFirstColumn="0" w:lastRowLastColumn="0"/>
          <w:trHeight w:val="283"/>
        </w:trPr>
        <w:tc>
          <w:tcPr>
            <w:tcW w:w="3039" w:type="pct"/>
            <w:vAlign w:val="center"/>
            <w:hideMark/>
          </w:tcPr>
          <w:p w14:paraId="6830CDE8" w14:textId="77777777" w:rsidR="00A4271D" w:rsidRPr="00FE59CF" w:rsidRDefault="00A4271D" w:rsidP="00A4271D">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指标</w:t>
            </w:r>
          </w:p>
        </w:tc>
        <w:tc>
          <w:tcPr>
            <w:tcW w:w="1198" w:type="pct"/>
            <w:vAlign w:val="center"/>
            <w:hideMark/>
          </w:tcPr>
          <w:p w14:paraId="3358359E" w14:textId="77777777" w:rsidR="00A4271D" w:rsidRPr="00FE59CF" w:rsidRDefault="00A4271D" w:rsidP="00A4271D">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得分</w:t>
            </w:r>
          </w:p>
        </w:tc>
        <w:tc>
          <w:tcPr>
            <w:tcW w:w="763" w:type="pct"/>
            <w:vAlign w:val="center"/>
            <w:hideMark/>
          </w:tcPr>
          <w:p w14:paraId="5A0DBD4C" w14:textId="77777777" w:rsidR="00A4271D" w:rsidRPr="00FE59CF" w:rsidRDefault="00A4271D" w:rsidP="00A4271D">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bCs w:val="0"/>
                <w:sz w:val="21"/>
                <w:szCs w:val="21"/>
              </w:rPr>
              <w:t>排序</w:t>
            </w:r>
          </w:p>
        </w:tc>
      </w:tr>
      <w:tr w:rsidR="00A4271D" w:rsidRPr="00FE59CF" w14:paraId="274EF924" w14:textId="77777777" w:rsidTr="00522153">
        <w:trPr>
          <w:trHeight w:val="283"/>
        </w:trPr>
        <w:tc>
          <w:tcPr>
            <w:tcW w:w="3039" w:type="pct"/>
            <w:vAlign w:val="center"/>
          </w:tcPr>
          <w:p w14:paraId="69D669BB" w14:textId="6C80993A" w:rsidR="00A4271D" w:rsidRPr="00FE59CF" w:rsidRDefault="00A4271D" w:rsidP="00A4271D">
            <w:pPr>
              <w:pStyle w:val="af0"/>
              <w:spacing w:line="240" w:lineRule="atLeast"/>
              <w:jc w:val="center"/>
              <w:rPr>
                <w:rFonts w:ascii="Times New Roman" w:eastAsia="宋体" w:hAnsi="Times New Roman"/>
                <w:bCs/>
                <w:sz w:val="21"/>
                <w:szCs w:val="21"/>
              </w:rPr>
            </w:pPr>
            <w:r w:rsidRPr="00FE59CF">
              <w:rPr>
                <w:rFonts w:ascii="Times" w:hAnsi="Times" w:hint="eastAsia"/>
                <w:b/>
                <w:bCs/>
                <w:sz w:val="21"/>
                <w:szCs w:val="21"/>
              </w:rPr>
              <w:t>态度要素</w:t>
            </w:r>
          </w:p>
        </w:tc>
        <w:tc>
          <w:tcPr>
            <w:tcW w:w="1198" w:type="pct"/>
            <w:vAlign w:val="center"/>
          </w:tcPr>
          <w:p w14:paraId="61A30F30" w14:textId="106312F9" w:rsidR="00A4271D" w:rsidRPr="00FE59CF" w:rsidRDefault="00A4271D" w:rsidP="00A4271D">
            <w:pPr>
              <w:pStyle w:val="af0"/>
              <w:spacing w:line="240" w:lineRule="atLeast"/>
              <w:jc w:val="center"/>
              <w:rPr>
                <w:rFonts w:ascii="Times New Roman" w:eastAsia="宋体" w:hAnsi="Times New Roman"/>
                <w:bCs/>
                <w:sz w:val="21"/>
                <w:szCs w:val="21"/>
              </w:rPr>
            </w:pPr>
          </w:p>
        </w:tc>
        <w:tc>
          <w:tcPr>
            <w:tcW w:w="763" w:type="pct"/>
            <w:vAlign w:val="center"/>
          </w:tcPr>
          <w:p w14:paraId="478A7FA0" w14:textId="5A6FDC4B" w:rsidR="00A4271D" w:rsidRPr="00FE59CF" w:rsidRDefault="00A4271D" w:rsidP="00A4271D">
            <w:pPr>
              <w:pStyle w:val="af0"/>
              <w:spacing w:line="240" w:lineRule="atLeast"/>
              <w:jc w:val="center"/>
              <w:rPr>
                <w:rFonts w:ascii="Times New Roman" w:eastAsia="宋体" w:hAnsi="Times New Roman"/>
                <w:bCs/>
                <w:sz w:val="21"/>
                <w:szCs w:val="21"/>
              </w:rPr>
            </w:pPr>
          </w:p>
        </w:tc>
      </w:tr>
      <w:tr w:rsidR="00A4271D" w:rsidRPr="00FE59CF" w14:paraId="3FC1B50D" w14:textId="77777777" w:rsidTr="00522153">
        <w:trPr>
          <w:trHeight w:val="283"/>
        </w:trPr>
        <w:tc>
          <w:tcPr>
            <w:tcW w:w="3039" w:type="pct"/>
            <w:vAlign w:val="center"/>
          </w:tcPr>
          <w:p w14:paraId="1BB88FA8" w14:textId="6C3B6D68" w:rsidR="00A4271D" w:rsidRPr="00FE59CF" w:rsidRDefault="00A4271D" w:rsidP="00A4271D">
            <w:pPr>
              <w:pStyle w:val="af0"/>
              <w:spacing w:line="240" w:lineRule="atLeast"/>
              <w:rPr>
                <w:rFonts w:ascii="Times New Roman" w:eastAsia="宋体" w:hAnsi="Times New Roman"/>
                <w:bCs/>
                <w:sz w:val="21"/>
                <w:szCs w:val="21"/>
              </w:rPr>
            </w:pPr>
            <w:r w:rsidRPr="00FE59CF">
              <w:rPr>
                <w:rFonts w:hint="eastAsia"/>
                <w:color w:val="000000"/>
                <w:sz w:val="21"/>
                <w:szCs w:val="21"/>
              </w:rPr>
              <w:t>各方目标达成一致，并致力于实现这些目标</w:t>
            </w:r>
          </w:p>
        </w:tc>
        <w:tc>
          <w:tcPr>
            <w:tcW w:w="1198" w:type="pct"/>
            <w:vAlign w:val="center"/>
          </w:tcPr>
          <w:p w14:paraId="126BCEA4" w14:textId="4A943A6A"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4.420</w:t>
            </w:r>
          </w:p>
        </w:tc>
        <w:tc>
          <w:tcPr>
            <w:tcW w:w="763" w:type="pct"/>
            <w:vAlign w:val="center"/>
          </w:tcPr>
          <w:p w14:paraId="4CE31C4E" w14:textId="3F20E3C5"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w:t>
            </w:r>
          </w:p>
        </w:tc>
      </w:tr>
      <w:tr w:rsidR="00A4271D" w:rsidRPr="00FE59CF" w14:paraId="03B7E1FA" w14:textId="77777777" w:rsidTr="00522153">
        <w:trPr>
          <w:trHeight w:val="283"/>
        </w:trPr>
        <w:tc>
          <w:tcPr>
            <w:tcW w:w="3039" w:type="pct"/>
            <w:vAlign w:val="center"/>
          </w:tcPr>
          <w:p w14:paraId="0556AB24" w14:textId="3EE11DFA"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对他方提议态度积极</w:t>
            </w:r>
          </w:p>
        </w:tc>
        <w:tc>
          <w:tcPr>
            <w:tcW w:w="1198" w:type="pct"/>
            <w:vAlign w:val="center"/>
          </w:tcPr>
          <w:p w14:paraId="68F03049" w14:textId="3391C774"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4.379</w:t>
            </w:r>
          </w:p>
        </w:tc>
        <w:tc>
          <w:tcPr>
            <w:tcW w:w="763" w:type="pct"/>
            <w:vAlign w:val="center"/>
          </w:tcPr>
          <w:p w14:paraId="617940CD" w14:textId="6BCED175"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2</w:t>
            </w:r>
          </w:p>
        </w:tc>
      </w:tr>
      <w:tr w:rsidR="00A4271D" w:rsidRPr="00FE59CF" w14:paraId="42E48970" w14:textId="77777777" w:rsidTr="00522153">
        <w:trPr>
          <w:trHeight w:val="283"/>
        </w:trPr>
        <w:tc>
          <w:tcPr>
            <w:tcW w:w="3039" w:type="pct"/>
            <w:vAlign w:val="center"/>
          </w:tcPr>
          <w:p w14:paraId="710CCBD1" w14:textId="5D47C893"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各方信守承诺</w:t>
            </w:r>
          </w:p>
        </w:tc>
        <w:tc>
          <w:tcPr>
            <w:tcW w:w="1198" w:type="pct"/>
            <w:vAlign w:val="center"/>
          </w:tcPr>
          <w:p w14:paraId="12F41614" w14:textId="7A9D89E6"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4.365</w:t>
            </w:r>
          </w:p>
        </w:tc>
        <w:tc>
          <w:tcPr>
            <w:tcW w:w="763" w:type="pct"/>
            <w:vAlign w:val="center"/>
          </w:tcPr>
          <w:p w14:paraId="38FFA833" w14:textId="78466DFC"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3</w:t>
            </w:r>
          </w:p>
        </w:tc>
      </w:tr>
      <w:tr w:rsidR="00A4271D" w:rsidRPr="00FE59CF" w14:paraId="4B42E23C" w14:textId="77777777" w:rsidTr="00522153">
        <w:trPr>
          <w:trHeight w:val="283"/>
        </w:trPr>
        <w:tc>
          <w:tcPr>
            <w:tcW w:w="3039" w:type="pct"/>
            <w:vAlign w:val="center"/>
          </w:tcPr>
          <w:p w14:paraId="6DBAF8C9" w14:textId="25E6978E"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各方处事公正</w:t>
            </w:r>
          </w:p>
        </w:tc>
        <w:tc>
          <w:tcPr>
            <w:tcW w:w="1198" w:type="pct"/>
            <w:vAlign w:val="center"/>
          </w:tcPr>
          <w:p w14:paraId="38E71E0C" w14:textId="08C037D1"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4.331</w:t>
            </w:r>
          </w:p>
        </w:tc>
        <w:tc>
          <w:tcPr>
            <w:tcW w:w="763" w:type="pct"/>
            <w:vAlign w:val="center"/>
          </w:tcPr>
          <w:p w14:paraId="157882E9" w14:textId="40F65FBF"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6</w:t>
            </w:r>
          </w:p>
        </w:tc>
      </w:tr>
      <w:tr w:rsidR="00A4271D" w:rsidRPr="00FE59CF" w14:paraId="68419281" w14:textId="77777777" w:rsidTr="00522153">
        <w:trPr>
          <w:trHeight w:val="283"/>
        </w:trPr>
        <w:tc>
          <w:tcPr>
            <w:tcW w:w="3039" w:type="pct"/>
            <w:vAlign w:val="center"/>
          </w:tcPr>
          <w:p w14:paraId="7D1EE581" w14:textId="1A50E87F"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各方相互信任</w:t>
            </w:r>
          </w:p>
        </w:tc>
        <w:tc>
          <w:tcPr>
            <w:tcW w:w="1198" w:type="pct"/>
            <w:vAlign w:val="center"/>
          </w:tcPr>
          <w:p w14:paraId="255780E6" w14:textId="5129F8C2"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4.307</w:t>
            </w:r>
          </w:p>
        </w:tc>
        <w:tc>
          <w:tcPr>
            <w:tcW w:w="763" w:type="pct"/>
            <w:vAlign w:val="center"/>
          </w:tcPr>
          <w:p w14:paraId="28F8B4EC" w14:textId="46C3FE53"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9</w:t>
            </w:r>
          </w:p>
        </w:tc>
      </w:tr>
      <w:tr w:rsidR="00A4271D" w:rsidRPr="00FE59CF" w14:paraId="76FC2C14" w14:textId="77777777" w:rsidTr="00522153">
        <w:trPr>
          <w:trHeight w:val="283"/>
        </w:trPr>
        <w:tc>
          <w:tcPr>
            <w:tcW w:w="3039" w:type="pct"/>
            <w:vAlign w:val="bottom"/>
          </w:tcPr>
          <w:p w14:paraId="5537DB31" w14:textId="5A5A803E" w:rsidR="00A4271D" w:rsidRPr="00FE59CF" w:rsidRDefault="00A4271D" w:rsidP="00A4271D">
            <w:pPr>
              <w:pStyle w:val="af0"/>
              <w:spacing w:line="240" w:lineRule="atLeast"/>
              <w:jc w:val="center"/>
              <w:rPr>
                <w:rFonts w:cs="Times New Roman"/>
                <w:sz w:val="21"/>
                <w:szCs w:val="21"/>
              </w:rPr>
            </w:pPr>
            <w:r w:rsidRPr="00FE59CF">
              <w:rPr>
                <w:rFonts w:hint="eastAsia"/>
                <w:b/>
                <w:bCs/>
                <w:color w:val="000000"/>
                <w:sz w:val="21"/>
                <w:szCs w:val="21"/>
              </w:rPr>
              <w:t>交流要素</w:t>
            </w:r>
          </w:p>
        </w:tc>
        <w:tc>
          <w:tcPr>
            <w:tcW w:w="1198" w:type="pct"/>
            <w:vAlign w:val="center"/>
          </w:tcPr>
          <w:p w14:paraId="5AE0C9EE" w14:textId="77777777" w:rsidR="00A4271D" w:rsidRPr="00FE59CF" w:rsidRDefault="00A4271D" w:rsidP="00A4271D">
            <w:pPr>
              <w:pStyle w:val="af0"/>
              <w:spacing w:line="240" w:lineRule="atLeast"/>
              <w:jc w:val="center"/>
              <w:rPr>
                <w:rFonts w:ascii="Times New Roman" w:eastAsia="宋体" w:hAnsi="Times New Roman" w:cs="Times New Roman"/>
                <w:bCs/>
                <w:sz w:val="21"/>
                <w:szCs w:val="21"/>
              </w:rPr>
            </w:pPr>
          </w:p>
        </w:tc>
        <w:tc>
          <w:tcPr>
            <w:tcW w:w="763" w:type="pct"/>
            <w:vAlign w:val="center"/>
          </w:tcPr>
          <w:p w14:paraId="7CAF9536" w14:textId="77777777" w:rsidR="00A4271D" w:rsidRPr="00FE59CF" w:rsidRDefault="00A4271D" w:rsidP="00A4271D">
            <w:pPr>
              <w:pStyle w:val="af0"/>
              <w:spacing w:line="240" w:lineRule="atLeast"/>
              <w:jc w:val="center"/>
              <w:rPr>
                <w:rFonts w:ascii="Times New Roman" w:eastAsia="宋体" w:hAnsi="Times New Roman" w:cs="Times New Roman"/>
                <w:bCs/>
                <w:sz w:val="21"/>
                <w:szCs w:val="21"/>
              </w:rPr>
            </w:pPr>
          </w:p>
        </w:tc>
      </w:tr>
      <w:tr w:rsidR="00A4271D" w:rsidRPr="00FE59CF" w14:paraId="1B7CC570" w14:textId="77777777" w:rsidTr="00522153">
        <w:trPr>
          <w:trHeight w:val="283"/>
        </w:trPr>
        <w:tc>
          <w:tcPr>
            <w:tcW w:w="3039" w:type="pct"/>
            <w:vAlign w:val="center"/>
          </w:tcPr>
          <w:p w14:paraId="6A8EA2A3" w14:textId="2CF415AC"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相互间有开放的氛围，鼓励信息分享</w:t>
            </w:r>
          </w:p>
        </w:tc>
        <w:tc>
          <w:tcPr>
            <w:tcW w:w="1198" w:type="pct"/>
            <w:vAlign w:val="center"/>
          </w:tcPr>
          <w:p w14:paraId="7D023129" w14:textId="193F01DC"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4.358</w:t>
            </w:r>
          </w:p>
        </w:tc>
        <w:tc>
          <w:tcPr>
            <w:tcW w:w="763" w:type="pct"/>
            <w:vAlign w:val="center"/>
          </w:tcPr>
          <w:p w14:paraId="5824EBF4" w14:textId="3698D262"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w:t>
            </w:r>
          </w:p>
        </w:tc>
      </w:tr>
      <w:tr w:rsidR="00A4271D" w:rsidRPr="00FE59CF" w14:paraId="1E53985F" w14:textId="77777777" w:rsidTr="00522153">
        <w:trPr>
          <w:trHeight w:val="283"/>
        </w:trPr>
        <w:tc>
          <w:tcPr>
            <w:tcW w:w="3039" w:type="pct"/>
            <w:vAlign w:val="center"/>
          </w:tcPr>
          <w:p w14:paraId="3D8D70B5" w14:textId="2AF0308B"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相互间信息反馈迅速，能够及时调控项目活动</w:t>
            </w:r>
          </w:p>
        </w:tc>
        <w:tc>
          <w:tcPr>
            <w:tcW w:w="1198" w:type="pct"/>
            <w:vAlign w:val="center"/>
          </w:tcPr>
          <w:p w14:paraId="7629A35F" w14:textId="2137107E"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4.345</w:t>
            </w:r>
          </w:p>
        </w:tc>
        <w:tc>
          <w:tcPr>
            <w:tcW w:w="763" w:type="pct"/>
            <w:vAlign w:val="center"/>
          </w:tcPr>
          <w:p w14:paraId="366D68A0" w14:textId="1FCBC61B"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5</w:t>
            </w:r>
          </w:p>
        </w:tc>
      </w:tr>
      <w:tr w:rsidR="00A4271D" w:rsidRPr="00FE59CF" w14:paraId="4EEBCD8E" w14:textId="77777777" w:rsidTr="00522153">
        <w:trPr>
          <w:trHeight w:val="283"/>
        </w:trPr>
        <w:tc>
          <w:tcPr>
            <w:tcW w:w="3039" w:type="pct"/>
            <w:vAlign w:val="center"/>
          </w:tcPr>
          <w:p w14:paraId="0C8FEF2A" w14:textId="5B82FBCB"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相互间建立有完善有效的问题解决机制</w:t>
            </w:r>
          </w:p>
        </w:tc>
        <w:tc>
          <w:tcPr>
            <w:tcW w:w="1198" w:type="pct"/>
            <w:vAlign w:val="center"/>
          </w:tcPr>
          <w:p w14:paraId="08D6E79E" w14:textId="588074C2"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4.328</w:t>
            </w:r>
          </w:p>
        </w:tc>
        <w:tc>
          <w:tcPr>
            <w:tcW w:w="763" w:type="pct"/>
            <w:vAlign w:val="center"/>
          </w:tcPr>
          <w:p w14:paraId="37804535" w14:textId="677BBEBE"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7</w:t>
            </w:r>
          </w:p>
        </w:tc>
      </w:tr>
      <w:tr w:rsidR="00A4271D" w:rsidRPr="00FE59CF" w14:paraId="4E7985E7" w14:textId="77777777" w:rsidTr="00522153">
        <w:trPr>
          <w:trHeight w:val="283"/>
        </w:trPr>
        <w:tc>
          <w:tcPr>
            <w:tcW w:w="3039" w:type="pct"/>
            <w:vAlign w:val="center"/>
          </w:tcPr>
          <w:p w14:paraId="054B8FF7" w14:textId="4B027688" w:rsidR="00A4271D" w:rsidRPr="00FE59CF" w:rsidRDefault="00A4271D" w:rsidP="00A4271D">
            <w:pPr>
              <w:pStyle w:val="af0"/>
              <w:spacing w:line="240" w:lineRule="atLeast"/>
              <w:rPr>
                <w:rFonts w:ascii="Times New Roman" w:eastAsia="宋体" w:hAnsi="Times New Roman"/>
                <w:bCs/>
                <w:sz w:val="21"/>
                <w:szCs w:val="21"/>
              </w:rPr>
            </w:pPr>
            <w:r w:rsidRPr="00FE59CF">
              <w:rPr>
                <w:rFonts w:hint="eastAsia"/>
                <w:color w:val="000000"/>
                <w:sz w:val="21"/>
                <w:szCs w:val="21"/>
              </w:rPr>
              <w:t>相互间有多元信息沟通渠道与平台，沟通高效</w:t>
            </w:r>
          </w:p>
        </w:tc>
        <w:tc>
          <w:tcPr>
            <w:tcW w:w="1198" w:type="pct"/>
            <w:vAlign w:val="center"/>
          </w:tcPr>
          <w:p w14:paraId="3EDE9AD9" w14:textId="1313EB7F"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4.314</w:t>
            </w:r>
          </w:p>
        </w:tc>
        <w:tc>
          <w:tcPr>
            <w:tcW w:w="763" w:type="pct"/>
            <w:vAlign w:val="center"/>
          </w:tcPr>
          <w:p w14:paraId="7CE73F6F" w14:textId="796BE0B6"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8</w:t>
            </w:r>
          </w:p>
        </w:tc>
      </w:tr>
      <w:tr w:rsidR="00A4271D" w:rsidRPr="00FE59CF" w14:paraId="0E3A857D" w14:textId="77777777" w:rsidTr="00522153">
        <w:trPr>
          <w:trHeight w:val="283"/>
        </w:trPr>
        <w:tc>
          <w:tcPr>
            <w:tcW w:w="3039" w:type="pct"/>
            <w:vAlign w:val="center"/>
          </w:tcPr>
          <w:p w14:paraId="66D51248" w14:textId="388A2CCD" w:rsidR="00A4271D" w:rsidRPr="00FE59CF" w:rsidRDefault="00A4271D" w:rsidP="00A4271D">
            <w:pPr>
              <w:pStyle w:val="af0"/>
              <w:spacing w:line="240" w:lineRule="atLeast"/>
              <w:rPr>
                <w:rFonts w:cs="Times New Roman"/>
                <w:sz w:val="21"/>
                <w:szCs w:val="21"/>
              </w:rPr>
            </w:pPr>
            <w:r w:rsidRPr="00FE59CF">
              <w:rPr>
                <w:rFonts w:hint="eastAsia"/>
                <w:color w:val="000000"/>
                <w:sz w:val="21"/>
                <w:szCs w:val="21"/>
              </w:rPr>
              <w:t>相互间协作默契</w:t>
            </w:r>
          </w:p>
        </w:tc>
        <w:tc>
          <w:tcPr>
            <w:tcW w:w="1198" w:type="pct"/>
            <w:vAlign w:val="center"/>
          </w:tcPr>
          <w:p w14:paraId="172B3A10" w14:textId="7E3E0FD2"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4.273</w:t>
            </w:r>
          </w:p>
        </w:tc>
        <w:tc>
          <w:tcPr>
            <w:tcW w:w="763" w:type="pct"/>
            <w:vAlign w:val="center"/>
          </w:tcPr>
          <w:p w14:paraId="705F2C7C" w14:textId="3A98A545" w:rsidR="00A4271D" w:rsidRPr="00FE59CF" w:rsidRDefault="00A4271D" w:rsidP="00A4271D">
            <w:pPr>
              <w:pStyle w:val="af0"/>
              <w:spacing w:line="240" w:lineRule="atLeast"/>
              <w:jc w:val="center"/>
              <w:rPr>
                <w:rFonts w:ascii="Times New Roman" w:eastAsia="宋体" w:hAnsi="Times New Roman" w:cs="Times New Roman"/>
                <w:bCs/>
                <w:sz w:val="21"/>
                <w:szCs w:val="21"/>
              </w:rPr>
            </w:pPr>
            <w:r w:rsidRPr="00FE59CF">
              <w:rPr>
                <w:rFonts w:ascii="Times New Roman" w:hAnsi="Times New Roman" w:cs="Times New Roman"/>
                <w:color w:val="000000"/>
                <w:sz w:val="21"/>
                <w:szCs w:val="21"/>
              </w:rPr>
              <w:t>10</w:t>
            </w:r>
          </w:p>
        </w:tc>
      </w:tr>
      <w:tr w:rsidR="00A4271D" w:rsidRPr="00FE59CF" w14:paraId="0FE12365" w14:textId="77777777" w:rsidTr="00522153">
        <w:trPr>
          <w:cnfStyle w:val="010000000000" w:firstRow="0" w:lastRow="1" w:firstColumn="0" w:lastColumn="0" w:oddVBand="0" w:evenVBand="0" w:oddHBand="0" w:evenHBand="0" w:firstRowFirstColumn="0" w:firstRowLastColumn="0" w:lastRowFirstColumn="0" w:lastRowLastColumn="0"/>
          <w:trHeight w:val="283"/>
        </w:trPr>
        <w:tc>
          <w:tcPr>
            <w:tcW w:w="3039" w:type="pct"/>
            <w:vAlign w:val="center"/>
            <w:hideMark/>
          </w:tcPr>
          <w:p w14:paraId="34AD0585" w14:textId="77777777" w:rsidR="00A4271D" w:rsidRPr="00FE59CF" w:rsidRDefault="00A4271D" w:rsidP="00A4271D">
            <w:pPr>
              <w:pStyle w:val="af0"/>
              <w:spacing w:line="240" w:lineRule="atLeast"/>
              <w:jc w:val="center"/>
              <w:rPr>
                <w:rFonts w:ascii="Times New Roman" w:eastAsia="宋体" w:hAnsi="Times New Roman"/>
                <w:bCs w:val="0"/>
                <w:sz w:val="21"/>
                <w:szCs w:val="21"/>
              </w:rPr>
            </w:pPr>
            <w:r w:rsidRPr="00FE59CF">
              <w:rPr>
                <w:rFonts w:ascii="Times New Roman" w:eastAsia="宋体" w:hAnsi="Times New Roman" w:hint="eastAsia"/>
                <w:bCs w:val="0"/>
                <w:sz w:val="21"/>
                <w:szCs w:val="21"/>
              </w:rPr>
              <w:t>均值</w:t>
            </w:r>
          </w:p>
        </w:tc>
        <w:tc>
          <w:tcPr>
            <w:tcW w:w="1198" w:type="pct"/>
            <w:vAlign w:val="center"/>
            <w:hideMark/>
          </w:tcPr>
          <w:p w14:paraId="6CB98333" w14:textId="32C4CB0A" w:rsidR="00A4271D" w:rsidRPr="00FE59CF" w:rsidRDefault="00A4271D" w:rsidP="00A4271D">
            <w:pPr>
              <w:pStyle w:val="af0"/>
              <w:spacing w:line="240" w:lineRule="atLeast"/>
              <w:jc w:val="center"/>
              <w:rPr>
                <w:rFonts w:ascii="Times New Roman" w:eastAsia="宋体" w:hAnsi="Times New Roman" w:cs="Times New Roman"/>
                <w:bCs w:val="0"/>
                <w:sz w:val="21"/>
                <w:szCs w:val="21"/>
              </w:rPr>
            </w:pPr>
            <w:r w:rsidRPr="00FE59CF">
              <w:rPr>
                <w:rFonts w:ascii="Times New Roman" w:hAnsi="Times New Roman" w:cs="Times New Roman"/>
                <w:color w:val="000000"/>
                <w:sz w:val="21"/>
                <w:szCs w:val="21"/>
              </w:rPr>
              <w:t>4.342</w:t>
            </w:r>
          </w:p>
        </w:tc>
        <w:tc>
          <w:tcPr>
            <w:tcW w:w="763" w:type="pct"/>
            <w:vAlign w:val="center"/>
            <w:hideMark/>
          </w:tcPr>
          <w:p w14:paraId="23EB2B19" w14:textId="77777777" w:rsidR="00A4271D" w:rsidRPr="00FE59CF" w:rsidRDefault="00A4271D" w:rsidP="00A4271D">
            <w:pPr>
              <w:pStyle w:val="af0"/>
              <w:spacing w:line="240" w:lineRule="atLeast"/>
              <w:jc w:val="center"/>
              <w:rPr>
                <w:rFonts w:ascii="Times New Roman" w:eastAsia="宋体" w:hAnsi="Times New Roman" w:cs="Times New Roman"/>
                <w:bCs w:val="0"/>
                <w:sz w:val="21"/>
                <w:szCs w:val="21"/>
              </w:rPr>
            </w:pPr>
            <w:r w:rsidRPr="00FE59CF">
              <w:rPr>
                <w:rFonts w:ascii="Times New Roman" w:eastAsia="宋体" w:hAnsi="Times New Roman" w:cs="Times New Roman"/>
                <w:bCs w:val="0"/>
                <w:sz w:val="21"/>
                <w:szCs w:val="21"/>
              </w:rPr>
              <w:t>-</w:t>
            </w:r>
          </w:p>
        </w:tc>
      </w:tr>
    </w:tbl>
    <w:p w14:paraId="17168880" w14:textId="77B8A8D3" w:rsidR="00A4271D" w:rsidRPr="00A4271D" w:rsidRDefault="00A4271D" w:rsidP="00A4271D">
      <w:pPr>
        <w:spacing w:beforeLines="50" w:before="156"/>
        <w:ind w:firstLine="420"/>
      </w:pPr>
      <w:r w:rsidRPr="00C35659">
        <w:rPr>
          <w:rFonts w:hint="eastAsia"/>
        </w:rPr>
        <w:t>如</w:t>
      </w:r>
      <w:r>
        <w:fldChar w:fldCharType="begin"/>
      </w:r>
      <w:r>
        <w:instrText xml:space="preserve"> </w:instrText>
      </w:r>
      <w:r>
        <w:rPr>
          <w:rFonts w:hint="eastAsia"/>
        </w:rPr>
        <w:instrText>REF _Ref200169093 \h</w:instrText>
      </w:r>
      <w:r>
        <w:instrText xml:space="preserve"> </w:instrText>
      </w:r>
      <w:r>
        <w:fldChar w:fldCharType="separate"/>
      </w:r>
      <w:r w:rsidR="000F2689">
        <w:rPr>
          <w:rFonts w:hint="eastAsia"/>
        </w:rPr>
        <w:t>表</w:t>
      </w:r>
      <w:r w:rsidR="000F2689">
        <w:rPr>
          <w:rFonts w:hint="eastAsia"/>
        </w:rPr>
        <w:t xml:space="preserve"> </w:t>
      </w:r>
      <w:r w:rsidR="000F2689">
        <w:rPr>
          <w:noProof/>
        </w:rPr>
        <w:t>6</w:t>
      </w:r>
      <w:r>
        <w:fldChar w:fldCharType="end"/>
      </w:r>
      <w:r w:rsidRPr="00C35659">
        <w:rPr>
          <w:rFonts w:hint="eastAsia"/>
        </w:rPr>
        <w:t>所示</w:t>
      </w:r>
      <w:r>
        <w:rPr>
          <w:rFonts w:hint="eastAsia"/>
        </w:rPr>
        <w:t>，清洁能源基地开发过程中各方间建立了良好的伙伴关系。态度要素方面，清洁能源基地利益相关方</w:t>
      </w:r>
      <w:r>
        <w:t>在开发目标上达成</w:t>
      </w:r>
      <w:r>
        <w:rPr>
          <w:rFonts w:hint="eastAsia"/>
        </w:rPr>
        <w:t>了</w:t>
      </w:r>
      <w:r>
        <w:t>共识</w:t>
      </w:r>
      <w:r>
        <w:rPr>
          <w:rFonts w:hint="eastAsia"/>
        </w:rPr>
        <w:t>，并构建</w:t>
      </w:r>
      <w:r>
        <w:rPr>
          <w:rFonts w:hint="eastAsia"/>
        </w:rPr>
        <w:lastRenderedPageBreak/>
        <w:t>了信任关系。其中，</w:t>
      </w:r>
      <w:r>
        <w:rPr>
          <w:rFonts w:hint="eastAsia"/>
          <w:color w:val="000000"/>
        </w:rPr>
        <w:t>“各方相互信任”得分较低，反映出</w:t>
      </w:r>
      <w:r w:rsidRPr="00F9407F">
        <w:rPr>
          <w:rFonts w:hint="eastAsia"/>
          <w:color w:val="000000"/>
        </w:rPr>
        <w:t>尽管整体合作氛围良好，</w:t>
      </w:r>
      <w:r>
        <w:rPr>
          <w:rFonts w:hint="eastAsia"/>
          <w:color w:val="000000"/>
        </w:rPr>
        <w:t>仍需进一步提升信任水平。</w:t>
      </w:r>
      <w:r>
        <w:rPr>
          <w:rFonts w:hint="eastAsia"/>
        </w:rPr>
        <w:t>交流要素方面，</w:t>
      </w:r>
      <w:r w:rsidRPr="00747A8E">
        <w:rPr>
          <w:rFonts w:hint="eastAsia"/>
        </w:rPr>
        <w:t>清洁能源基地</w:t>
      </w:r>
      <w:r>
        <w:rPr>
          <w:rFonts w:hint="eastAsia"/>
        </w:rPr>
        <w:t>各方</w:t>
      </w:r>
      <w:r w:rsidRPr="00747A8E">
        <w:rPr>
          <w:rFonts w:hint="eastAsia"/>
        </w:rPr>
        <w:t>在信息共享、问题解决和沟通方面表现良好。</w:t>
      </w:r>
      <w:r>
        <w:rPr>
          <w:rFonts w:hint="eastAsia"/>
        </w:rPr>
        <w:t>其中，</w:t>
      </w:r>
      <w:r>
        <w:rPr>
          <w:rFonts w:hint="eastAsia"/>
          <w:color w:val="000000"/>
        </w:rPr>
        <w:t>“相互间协作默契”得分最低，表明</w:t>
      </w:r>
      <w:r w:rsidRPr="00073CD1">
        <w:rPr>
          <w:rFonts w:hint="eastAsia"/>
          <w:color w:val="000000"/>
        </w:rPr>
        <w:t>清洁能源基地</w:t>
      </w:r>
      <w:r>
        <w:rPr>
          <w:rFonts w:hint="eastAsia"/>
          <w:color w:val="000000"/>
        </w:rPr>
        <w:t>各方协作仍需磨合，默契程度有待提升。</w:t>
      </w:r>
    </w:p>
    <w:p w14:paraId="5ABBE1DA" w14:textId="645D7C32" w:rsidR="001861F8" w:rsidRPr="001861F8" w:rsidRDefault="007445F2" w:rsidP="001861F8">
      <w:pPr>
        <w:pStyle w:val="2"/>
      </w:pPr>
      <w:r w:rsidRPr="007445F2">
        <w:rPr>
          <w:rFonts w:hint="eastAsia"/>
        </w:rPr>
        <w:t>清洁能源基地实施情况</w:t>
      </w:r>
    </w:p>
    <w:p w14:paraId="62090524" w14:textId="615988F4" w:rsidR="003D4BEB" w:rsidRPr="00BB7CE2" w:rsidRDefault="007445F2" w:rsidP="003D4BEB">
      <w:pPr>
        <w:ind w:firstLine="420"/>
      </w:pPr>
      <w:r w:rsidRPr="007445F2">
        <w:rPr>
          <w:rFonts w:hint="eastAsia"/>
        </w:rPr>
        <w:t>清洁能源基地实施情况</w:t>
      </w:r>
      <w:r w:rsidR="003D4BEB" w:rsidRPr="00C35659">
        <w:rPr>
          <w:rFonts w:hint="eastAsia"/>
        </w:rPr>
        <w:t>如</w:t>
      </w:r>
      <w:r w:rsidR="003D4BEB">
        <w:fldChar w:fldCharType="begin"/>
      </w:r>
      <w:r w:rsidR="003D4BEB">
        <w:instrText xml:space="preserve"> </w:instrText>
      </w:r>
      <w:r w:rsidR="003D4BEB">
        <w:rPr>
          <w:rFonts w:hint="eastAsia"/>
        </w:rPr>
        <w:instrText>REF _Ref174347537 \h</w:instrText>
      </w:r>
      <w:r w:rsidR="003D4BEB">
        <w:instrText xml:space="preserve"> </w:instrText>
      </w:r>
      <w:r w:rsidR="003D4BEB">
        <w:fldChar w:fldCharType="separate"/>
      </w:r>
      <w:r w:rsidR="000F2689">
        <w:rPr>
          <w:rFonts w:hint="eastAsia"/>
        </w:rPr>
        <w:t>表</w:t>
      </w:r>
      <w:r w:rsidR="000F2689">
        <w:rPr>
          <w:rFonts w:hint="eastAsia"/>
        </w:rPr>
        <w:t xml:space="preserve"> </w:t>
      </w:r>
      <w:r w:rsidR="000F2689">
        <w:rPr>
          <w:noProof/>
        </w:rPr>
        <w:t>7</w:t>
      </w:r>
      <w:r w:rsidR="003D4BEB">
        <w:fldChar w:fldCharType="end"/>
      </w:r>
      <w:r w:rsidR="003D4BEB" w:rsidRPr="00C35659">
        <w:rPr>
          <w:rFonts w:hint="eastAsia"/>
        </w:rPr>
        <w:t>所示</w:t>
      </w:r>
      <w:r w:rsidR="003D4BEB">
        <w:rPr>
          <w:rFonts w:hint="eastAsia"/>
        </w:rPr>
        <w:t>，其中</w:t>
      </w:r>
      <w:r w:rsidRPr="00541135">
        <w:rPr>
          <w:rFonts w:hint="eastAsia"/>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r w:rsidR="003D4BEB">
        <w:rPr>
          <w:rFonts w:hint="eastAsia"/>
          <w:szCs w:val="21"/>
        </w:rPr>
        <w:t>。</w:t>
      </w:r>
    </w:p>
    <w:p w14:paraId="2A47B780" w14:textId="27D53BF8" w:rsidR="00304090" w:rsidRDefault="00304090" w:rsidP="00EB718D">
      <w:pPr>
        <w:pStyle w:val="afa"/>
        <w:keepNext/>
        <w:spacing w:beforeLines="50" w:before="156"/>
      </w:pPr>
      <w:bookmarkStart w:id="23" w:name="_Ref174347537"/>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7</w:t>
      </w:r>
      <w:r>
        <w:fldChar w:fldCharType="end"/>
      </w:r>
      <w:bookmarkEnd w:id="23"/>
      <w:r>
        <w:rPr>
          <w:rFonts w:hint="eastAsia"/>
        </w:rPr>
        <w:t xml:space="preserve"> </w:t>
      </w:r>
      <w:bookmarkStart w:id="24" w:name="_Toc198492794"/>
      <w:r w:rsidR="007445F2">
        <w:rPr>
          <w:rFonts w:hint="eastAsia"/>
        </w:rPr>
        <w:t>清洁能源基地实施情况</w:t>
      </w:r>
      <w:bookmarkEnd w:id="24"/>
    </w:p>
    <w:tbl>
      <w:tblPr>
        <w:tblStyle w:val="22"/>
        <w:tblW w:w="5000" w:type="pct"/>
        <w:tblLook w:val="0660" w:firstRow="1" w:lastRow="1" w:firstColumn="0" w:lastColumn="0" w:noHBand="1" w:noVBand="1"/>
      </w:tblPr>
      <w:tblGrid>
        <w:gridCol w:w="3261"/>
        <w:gridCol w:w="708"/>
        <w:gridCol w:w="665"/>
      </w:tblGrid>
      <w:tr w:rsidR="00F179A0" w:rsidRPr="007445F2" w14:paraId="3E0B3DD6" w14:textId="77777777" w:rsidTr="007445F2">
        <w:trPr>
          <w:cnfStyle w:val="100000000000" w:firstRow="1" w:lastRow="0" w:firstColumn="0" w:lastColumn="0" w:oddVBand="0" w:evenVBand="0" w:oddHBand="0" w:evenHBand="0" w:firstRowFirstColumn="0" w:firstRowLastColumn="0" w:lastRowFirstColumn="0" w:lastRowLastColumn="0"/>
          <w:trHeight w:val="283"/>
        </w:trPr>
        <w:tc>
          <w:tcPr>
            <w:tcW w:w="3519" w:type="pct"/>
            <w:vAlign w:val="center"/>
            <w:hideMark/>
          </w:tcPr>
          <w:p w14:paraId="4765B0E1" w14:textId="77777777" w:rsidR="00F179A0" w:rsidRPr="007445F2" w:rsidRDefault="00F179A0" w:rsidP="00D840F1">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hint="eastAsia"/>
                <w:bCs w:val="0"/>
                <w:sz w:val="21"/>
                <w:szCs w:val="21"/>
              </w:rPr>
              <w:t>指标</w:t>
            </w:r>
          </w:p>
        </w:tc>
        <w:tc>
          <w:tcPr>
            <w:tcW w:w="764" w:type="pct"/>
            <w:vAlign w:val="center"/>
            <w:hideMark/>
          </w:tcPr>
          <w:p w14:paraId="233F72AB" w14:textId="77777777" w:rsidR="00F179A0" w:rsidRPr="007445F2" w:rsidRDefault="00F179A0" w:rsidP="00D840F1">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bCs w:val="0"/>
                <w:sz w:val="21"/>
                <w:szCs w:val="21"/>
              </w:rPr>
              <w:t>得分</w:t>
            </w:r>
          </w:p>
        </w:tc>
        <w:tc>
          <w:tcPr>
            <w:tcW w:w="718" w:type="pct"/>
            <w:vAlign w:val="center"/>
            <w:hideMark/>
          </w:tcPr>
          <w:p w14:paraId="541ED62C" w14:textId="77777777" w:rsidR="00F179A0" w:rsidRPr="007445F2" w:rsidRDefault="00F179A0" w:rsidP="00D840F1">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bCs w:val="0"/>
                <w:sz w:val="21"/>
                <w:szCs w:val="21"/>
              </w:rPr>
              <w:t>排序</w:t>
            </w:r>
          </w:p>
        </w:tc>
      </w:tr>
      <w:tr w:rsidR="007445F2" w:rsidRPr="007445F2" w14:paraId="4B1190F6" w14:textId="77777777" w:rsidTr="007445F2">
        <w:trPr>
          <w:trHeight w:val="283"/>
        </w:trPr>
        <w:tc>
          <w:tcPr>
            <w:tcW w:w="3519" w:type="pct"/>
            <w:vAlign w:val="center"/>
          </w:tcPr>
          <w:p w14:paraId="50500B24" w14:textId="09477C5F"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b/>
                <w:bCs/>
                <w:sz w:val="21"/>
                <w:szCs w:val="21"/>
              </w:rPr>
              <w:t>设计</w:t>
            </w:r>
          </w:p>
        </w:tc>
        <w:tc>
          <w:tcPr>
            <w:tcW w:w="764" w:type="pct"/>
            <w:vAlign w:val="center"/>
          </w:tcPr>
          <w:p w14:paraId="29C83A19" w14:textId="167AEFC7" w:rsidR="007445F2" w:rsidRPr="007445F2" w:rsidRDefault="007445F2" w:rsidP="007445F2">
            <w:pPr>
              <w:pStyle w:val="af0"/>
              <w:spacing w:line="240" w:lineRule="atLeast"/>
              <w:jc w:val="center"/>
              <w:rPr>
                <w:rFonts w:ascii="Times New Roman" w:eastAsia="宋体" w:hAnsi="Times New Roman"/>
                <w:bCs/>
                <w:sz w:val="21"/>
                <w:szCs w:val="21"/>
              </w:rPr>
            </w:pPr>
          </w:p>
        </w:tc>
        <w:tc>
          <w:tcPr>
            <w:tcW w:w="718" w:type="pct"/>
            <w:vAlign w:val="center"/>
          </w:tcPr>
          <w:p w14:paraId="016998A5" w14:textId="0D3A3284" w:rsidR="007445F2" w:rsidRPr="007445F2" w:rsidRDefault="007445F2" w:rsidP="007445F2">
            <w:pPr>
              <w:pStyle w:val="af0"/>
              <w:spacing w:line="240" w:lineRule="atLeast"/>
              <w:jc w:val="center"/>
              <w:rPr>
                <w:rFonts w:ascii="Times New Roman" w:eastAsia="宋体" w:hAnsi="Times New Roman"/>
                <w:bCs/>
                <w:sz w:val="21"/>
                <w:szCs w:val="21"/>
              </w:rPr>
            </w:pPr>
          </w:p>
        </w:tc>
      </w:tr>
      <w:tr w:rsidR="007445F2" w:rsidRPr="007445F2" w14:paraId="44BCE576" w14:textId="77777777" w:rsidTr="007445F2">
        <w:trPr>
          <w:trHeight w:val="283"/>
        </w:trPr>
        <w:tc>
          <w:tcPr>
            <w:tcW w:w="3519" w:type="pct"/>
            <w:vAlign w:val="center"/>
          </w:tcPr>
          <w:p w14:paraId="7BF30ED9" w14:textId="301B9AC7"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设计方案具备技术可行性</w:t>
            </w:r>
          </w:p>
        </w:tc>
        <w:tc>
          <w:tcPr>
            <w:tcW w:w="764" w:type="pct"/>
            <w:vAlign w:val="center"/>
          </w:tcPr>
          <w:p w14:paraId="368D8C33" w14:textId="73D5B219"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4.410</w:t>
            </w:r>
          </w:p>
        </w:tc>
        <w:tc>
          <w:tcPr>
            <w:tcW w:w="718" w:type="pct"/>
            <w:vAlign w:val="center"/>
          </w:tcPr>
          <w:p w14:paraId="6F48539F" w14:textId="4F7D1E8B"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w:t>
            </w:r>
          </w:p>
        </w:tc>
      </w:tr>
      <w:tr w:rsidR="007445F2" w:rsidRPr="007445F2" w14:paraId="5BA52072" w14:textId="77777777" w:rsidTr="007445F2">
        <w:trPr>
          <w:trHeight w:val="283"/>
        </w:trPr>
        <w:tc>
          <w:tcPr>
            <w:tcW w:w="3519" w:type="pct"/>
            <w:vAlign w:val="center"/>
          </w:tcPr>
          <w:p w14:paraId="1DBBAC85" w14:textId="2E0D8C9A"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设计方案能够满足施工作业的需求</w:t>
            </w:r>
          </w:p>
        </w:tc>
        <w:tc>
          <w:tcPr>
            <w:tcW w:w="764" w:type="pct"/>
            <w:vAlign w:val="center"/>
          </w:tcPr>
          <w:p w14:paraId="43D63D30" w14:textId="7F15CF87"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4.403</w:t>
            </w:r>
          </w:p>
        </w:tc>
        <w:tc>
          <w:tcPr>
            <w:tcW w:w="718" w:type="pct"/>
            <w:vAlign w:val="center"/>
          </w:tcPr>
          <w:p w14:paraId="0CF6303C" w14:textId="0E09A07A"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2</w:t>
            </w:r>
          </w:p>
        </w:tc>
      </w:tr>
      <w:tr w:rsidR="007445F2" w:rsidRPr="007445F2" w14:paraId="6D8FE2C6" w14:textId="77777777" w:rsidTr="007445F2">
        <w:trPr>
          <w:trHeight w:val="283"/>
        </w:trPr>
        <w:tc>
          <w:tcPr>
            <w:tcW w:w="3519" w:type="pct"/>
            <w:vAlign w:val="center"/>
          </w:tcPr>
          <w:p w14:paraId="52964B90" w14:textId="58D7AE49"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设计成果能够及时交付</w:t>
            </w:r>
          </w:p>
        </w:tc>
        <w:tc>
          <w:tcPr>
            <w:tcW w:w="764" w:type="pct"/>
            <w:vAlign w:val="center"/>
          </w:tcPr>
          <w:p w14:paraId="6ADDAAE7" w14:textId="273089B1"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4.362</w:t>
            </w:r>
          </w:p>
        </w:tc>
        <w:tc>
          <w:tcPr>
            <w:tcW w:w="718" w:type="pct"/>
            <w:vAlign w:val="center"/>
          </w:tcPr>
          <w:p w14:paraId="54F246B8" w14:textId="225E23F7"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w:t>
            </w:r>
          </w:p>
        </w:tc>
      </w:tr>
      <w:tr w:rsidR="007445F2" w:rsidRPr="007445F2" w14:paraId="48191BA1" w14:textId="77777777" w:rsidTr="007445F2">
        <w:trPr>
          <w:trHeight w:val="283"/>
        </w:trPr>
        <w:tc>
          <w:tcPr>
            <w:tcW w:w="3519" w:type="pct"/>
            <w:vAlign w:val="center"/>
          </w:tcPr>
          <w:p w14:paraId="6193A7DF" w14:textId="65460527"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设计深度能够满足设备、材料采购的需求</w:t>
            </w:r>
          </w:p>
        </w:tc>
        <w:tc>
          <w:tcPr>
            <w:tcW w:w="764" w:type="pct"/>
            <w:vAlign w:val="center"/>
          </w:tcPr>
          <w:p w14:paraId="789BF924" w14:textId="1E03D43E"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4.352</w:t>
            </w:r>
          </w:p>
        </w:tc>
        <w:tc>
          <w:tcPr>
            <w:tcW w:w="718" w:type="pct"/>
            <w:vAlign w:val="center"/>
          </w:tcPr>
          <w:p w14:paraId="12B1BFD5" w14:textId="109684B0"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5</w:t>
            </w:r>
          </w:p>
        </w:tc>
      </w:tr>
      <w:tr w:rsidR="007445F2" w:rsidRPr="007445F2" w14:paraId="48B7B047" w14:textId="77777777" w:rsidTr="007445F2">
        <w:trPr>
          <w:trHeight w:val="283"/>
        </w:trPr>
        <w:tc>
          <w:tcPr>
            <w:tcW w:w="3519" w:type="pct"/>
            <w:vAlign w:val="center"/>
          </w:tcPr>
          <w:p w14:paraId="2176E850" w14:textId="4A4092D1"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设计能够满足各利益相关方的功能需求</w:t>
            </w:r>
          </w:p>
        </w:tc>
        <w:tc>
          <w:tcPr>
            <w:tcW w:w="764" w:type="pct"/>
            <w:vAlign w:val="center"/>
          </w:tcPr>
          <w:p w14:paraId="69BB0426" w14:textId="45ED4F8D"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4.331</w:t>
            </w:r>
          </w:p>
        </w:tc>
        <w:tc>
          <w:tcPr>
            <w:tcW w:w="718" w:type="pct"/>
            <w:vAlign w:val="center"/>
          </w:tcPr>
          <w:p w14:paraId="469B23C2" w14:textId="796D1220"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7</w:t>
            </w:r>
          </w:p>
        </w:tc>
      </w:tr>
      <w:tr w:rsidR="007445F2" w:rsidRPr="007445F2" w14:paraId="2DB9F6C7" w14:textId="77777777" w:rsidTr="007445F2">
        <w:trPr>
          <w:trHeight w:val="283"/>
        </w:trPr>
        <w:tc>
          <w:tcPr>
            <w:tcW w:w="3519" w:type="pct"/>
            <w:vAlign w:val="center"/>
          </w:tcPr>
          <w:p w14:paraId="219C1144" w14:textId="2A4D3A1D"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设计方案充分考虑水风光储多能互补需求</w:t>
            </w:r>
          </w:p>
        </w:tc>
        <w:tc>
          <w:tcPr>
            <w:tcW w:w="764" w:type="pct"/>
            <w:vAlign w:val="center"/>
          </w:tcPr>
          <w:p w14:paraId="7B4F228F" w14:textId="0E85DF85"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4.331</w:t>
            </w:r>
          </w:p>
        </w:tc>
        <w:tc>
          <w:tcPr>
            <w:tcW w:w="718" w:type="pct"/>
            <w:vAlign w:val="center"/>
          </w:tcPr>
          <w:p w14:paraId="25EDC562" w14:textId="685D4CAF"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7</w:t>
            </w:r>
          </w:p>
        </w:tc>
      </w:tr>
      <w:tr w:rsidR="007445F2" w:rsidRPr="007445F2" w14:paraId="2EAC2081" w14:textId="77777777" w:rsidTr="007445F2">
        <w:trPr>
          <w:trHeight w:val="283"/>
        </w:trPr>
        <w:tc>
          <w:tcPr>
            <w:tcW w:w="3519" w:type="pct"/>
            <w:vAlign w:val="center"/>
          </w:tcPr>
          <w:p w14:paraId="7747EB03" w14:textId="6FBB2A5F"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设计方案具备经济可行性</w:t>
            </w:r>
          </w:p>
        </w:tc>
        <w:tc>
          <w:tcPr>
            <w:tcW w:w="764" w:type="pct"/>
            <w:vAlign w:val="center"/>
          </w:tcPr>
          <w:p w14:paraId="1D0FCCE6" w14:textId="6DE3F7CF"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4.328</w:t>
            </w:r>
          </w:p>
        </w:tc>
        <w:tc>
          <w:tcPr>
            <w:tcW w:w="718" w:type="pct"/>
            <w:vAlign w:val="center"/>
          </w:tcPr>
          <w:p w14:paraId="0234624F" w14:textId="5E53C78A"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9</w:t>
            </w:r>
          </w:p>
        </w:tc>
      </w:tr>
      <w:tr w:rsidR="007445F2" w:rsidRPr="007445F2" w14:paraId="2B5F3A76" w14:textId="77777777" w:rsidTr="007445F2">
        <w:trPr>
          <w:trHeight w:val="283"/>
        </w:trPr>
        <w:tc>
          <w:tcPr>
            <w:tcW w:w="3519" w:type="pct"/>
            <w:vAlign w:val="bottom"/>
          </w:tcPr>
          <w:p w14:paraId="4FB6CF69" w14:textId="5DA6B59C"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b/>
                <w:bCs/>
                <w:color w:val="000000"/>
                <w:sz w:val="21"/>
                <w:szCs w:val="21"/>
              </w:rPr>
              <w:t>采购</w:t>
            </w:r>
          </w:p>
        </w:tc>
        <w:tc>
          <w:tcPr>
            <w:tcW w:w="764" w:type="pct"/>
            <w:vAlign w:val="bottom"/>
          </w:tcPr>
          <w:p w14:paraId="333FD99E" w14:textId="77777777" w:rsidR="007445F2" w:rsidRPr="007445F2" w:rsidRDefault="007445F2" w:rsidP="007445F2">
            <w:pPr>
              <w:pStyle w:val="af0"/>
              <w:spacing w:line="240" w:lineRule="atLeast"/>
              <w:jc w:val="center"/>
              <w:rPr>
                <w:rFonts w:ascii="Times New Roman" w:eastAsia="宋体" w:hAnsi="Times New Roman"/>
                <w:bCs/>
                <w:sz w:val="21"/>
                <w:szCs w:val="21"/>
              </w:rPr>
            </w:pPr>
          </w:p>
        </w:tc>
        <w:tc>
          <w:tcPr>
            <w:tcW w:w="718" w:type="pct"/>
            <w:vAlign w:val="bottom"/>
          </w:tcPr>
          <w:p w14:paraId="338C6082" w14:textId="77777777" w:rsidR="007445F2" w:rsidRPr="007445F2" w:rsidRDefault="007445F2" w:rsidP="007445F2">
            <w:pPr>
              <w:pStyle w:val="af0"/>
              <w:spacing w:line="240" w:lineRule="atLeast"/>
              <w:jc w:val="center"/>
              <w:rPr>
                <w:rFonts w:ascii="Times New Roman" w:eastAsia="宋体" w:hAnsi="Times New Roman"/>
                <w:bCs/>
                <w:sz w:val="21"/>
                <w:szCs w:val="21"/>
              </w:rPr>
            </w:pPr>
          </w:p>
        </w:tc>
      </w:tr>
      <w:tr w:rsidR="007445F2" w:rsidRPr="007445F2" w14:paraId="443D40F4" w14:textId="77777777" w:rsidTr="007445F2">
        <w:trPr>
          <w:trHeight w:val="283"/>
        </w:trPr>
        <w:tc>
          <w:tcPr>
            <w:tcW w:w="3519" w:type="pct"/>
            <w:vAlign w:val="center"/>
          </w:tcPr>
          <w:p w14:paraId="6ADDFC45" w14:textId="7A55756B"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采购的设备与材料质量符合要求</w:t>
            </w:r>
          </w:p>
        </w:tc>
        <w:tc>
          <w:tcPr>
            <w:tcW w:w="764" w:type="pct"/>
            <w:vAlign w:val="center"/>
          </w:tcPr>
          <w:p w14:paraId="6123E49E" w14:textId="020DF85D"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4.294</w:t>
            </w:r>
          </w:p>
        </w:tc>
        <w:tc>
          <w:tcPr>
            <w:tcW w:w="718" w:type="pct"/>
            <w:vAlign w:val="center"/>
          </w:tcPr>
          <w:p w14:paraId="39065D7C" w14:textId="4F1ADD89"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14</w:t>
            </w:r>
          </w:p>
        </w:tc>
      </w:tr>
      <w:tr w:rsidR="007445F2" w:rsidRPr="007445F2" w14:paraId="0F76EA4A" w14:textId="77777777" w:rsidTr="007445F2">
        <w:trPr>
          <w:trHeight w:val="283"/>
        </w:trPr>
        <w:tc>
          <w:tcPr>
            <w:tcW w:w="3519" w:type="pct"/>
            <w:vAlign w:val="center"/>
          </w:tcPr>
          <w:p w14:paraId="2F2D642A" w14:textId="3B869444"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设备能够顺利安装、交付</w:t>
            </w:r>
          </w:p>
        </w:tc>
        <w:tc>
          <w:tcPr>
            <w:tcW w:w="764" w:type="pct"/>
            <w:vAlign w:val="center"/>
          </w:tcPr>
          <w:p w14:paraId="7B68793E" w14:textId="5E13FEDB"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4.290</w:t>
            </w:r>
          </w:p>
        </w:tc>
        <w:tc>
          <w:tcPr>
            <w:tcW w:w="718" w:type="pct"/>
            <w:vAlign w:val="center"/>
          </w:tcPr>
          <w:p w14:paraId="7200457E" w14:textId="54B1B9E5"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15</w:t>
            </w:r>
          </w:p>
        </w:tc>
      </w:tr>
      <w:tr w:rsidR="007445F2" w:rsidRPr="007445F2" w14:paraId="141AF746" w14:textId="77777777" w:rsidTr="007445F2">
        <w:trPr>
          <w:trHeight w:val="283"/>
        </w:trPr>
        <w:tc>
          <w:tcPr>
            <w:tcW w:w="3519" w:type="pct"/>
            <w:vAlign w:val="center"/>
          </w:tcPr>
          <w:p w14:paraId="41560465" w14:textId="34F2BB10"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物资能够及时供应</w:t>
            </w:r>
          </w:p>
        </w:tc>
        <w:tc>
          <w:tcPr>
            <w:tcW w:w="764" w:type="pct"/>
            <w:vAlign w:val="center"/>
          </w:tcPr>
          <w:p w14:paraId="1BF36059" w14:textId="67220722"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4.283</w:t>
            </w:r>
          </w:p>
        </w:tc>
        <w:tc>
          <w:tcPr>
            <w:tcW w:w="718" w:type="pct"/>
            <w:vAlign w:val="center"/>
          </w:tcPr>
          <w:p w14:paraId="62C3FF03" w14:textId="413559F6"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16</w:t>
            </w:r>
          </w:p>
        </w:tc>
      </w:tr>
      <w:tr w:rsidR="007445F2" w:rsidRPr="007445F2" w14:paraId="0B5765A8" w14:textId="77777777" w:rsidTr="007445F2">
        <w:trPr>
          <w:trHeight w:val="283"/>
        </w:trPr>
        <w:tc>
          <w:tcPr>
            <w:tcW w:w="3519" w:type="pct"/>
            <w:vAlign w:val="center"/>
          </w:tcPr>
          <w:p w14:paraId="5BAFD7B5" w14:textId="1F78A069"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RQ8.</w:t>
            </w:r>
            <w:r w:rsidRPr="007445F2">
              <w:rPr>
                <w:rFonts w:ascii="Times New Roman" w:eastAsia="宋体" w:hAnsi="Times New Roman" w:hint="eastAsia"/>
                <w:color w:val="000000"/>
                <w:sz w:val="21"/>
                <w:szCs w:val="21"/>
              </w:rPr>
              <w:t>清洁能源项目采购计划合理</w:t>
            </w:r>
          </w:p>
        </w:tc>
        <w:tc>
          <w:tcPr>
            <w:tcW w:w="764" w:type="pct"/>
            <w:vAlign w:val="center"/>
          </w:tcPr>
          <w:p w14:paraId="03F33065" w14:textId="71AE95B0"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4.280</w:t>
            </w:r>
          </w:p>
        </w:tc>
        <w:tc>
          <w:tcPr>
            <w:tcW w:w="718" w:type="pct"/>
            <w:vAlign w:val="center"/>
          </w:tcPr>
          <w:p w14:paraId="23944CEA" w14:textId="36C90F0E"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17</w:t>
            </w:r>
          </w:p>
        </w:tc>
      </w:tr>
      <w:tr w:rsidR="007445F2" w:rsidRPr="007445F2" w14:paraId="77F842D8" w14:textId="77777777" w:rsidTr="007445F2">
        <w:trPr>
          <w:trHeight w:val="283"/>
        </w:trPr>
        <w:tc>
          <w:tcPr>
            <w:tcW w:w="3519" w:type="pct"/>
            <w:vAlign w:val="center"/>
          </w:tcPr>
          <w:p w14:paraId="0F2E92C4" w14:textId="51B16DF5"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RQ11.</w:t>
            </w:r>
            <w:r w:rsidRPr="007445F2">
              <w:rPr>
                <w:rFonts w:ascii="Times New Roman" w:eastAsia="宋体" w:hAnsi="Times New Roman" w:hint="eastAsia"/>
                <w:color w:val="000000"/>
                <w:sz w:val="21"/>
                <w:szCs w:val="21"/>
              </w:rPr>
              <w:t>清洁能源项目仓储实现规范管理</w:t>
            </w:r>
          </w:p>
        </w:tc>
        <w:tc>
          <w:tcPr>
            <w:tcW w:w="764" w:type="pct"/>
            <w:vAlign w:val="center"/>
          </w:tcPr>
          <w:p w14:paraId="08C11903" w14:textId="1ED434EF"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4.246</w:t>
            </w:r>
          </w:p>
        </w:tc>
        <w:tc>
          <w:tcPr>
            <w:tcW w:w="718" w:type="pct"/>
            <w:vAlign w:val="center"/>
          </w:tcPr>
          <w:p w14:paraId="72E93738" w14:textId="5A535A03"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18</w:t>
            </w:r>
          </w:p>
        </w:tc>
      </w:tr>
      <w:tr w:rsidR="007445F2" w:rsidRPr="007445F2" w14:paraId="47C4F8A1" w14:textId="77777777" w:rsidTr="007445F2">
        <w:trPr>
          <w:trHeight w:val="283"/>
        </w:trPr>
        <w:tc>
          <w:tcPr>
            <w:tcW w:w="3519" w:type="pct"/>
            <w:vAlign w:val="center"/>
          </w:tcPr>
          <w:p w14:paraId="598C5A15" w14:textId="5EFF1DCB"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采购方案具有高性价比</w:t>
            </w:r>
          </w:p>
        </w:tc>
        <w:tc>
          <w:tcPr>
            <w:tcW w:w="764" w:type="pct"/>
            <w:vAlign w:val="center"/>
          </w:tcPr>
          <w:p w14:paraId="7868C03A" w14:textId="5E2B1749"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4.229</w:t>
            </w:r>
          </w:p>
        </w:tc>
        <w:tc>
          <w:tcPr>
            <w:tcW w:w="718" w:type="pct"/>
            <w:vAlign w:val="center"/>
          </w:tcPr>
          <w:p w14:paraId="65A360C9" w14:textId="4AB0FB55"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20</w:t>
            </w:r>
          </w:p>
        </w:tc>
      </w:tr>
      <w:tr w:rsidR="007445F2" w:rsidRPr="007445F2" w14:paraId="18BC18F3" w14:textId="77777777" w:rsidTr="007445F2">
        <w:trPr>
          <w:trHeight w:val="283"/>
        </w:trPr>
        <w:tc>
          <w:tcPr>
            <w:tcW w:w="3519" w:type="pct"/>
            <w:vAlign w:val="bottom"/>
          </w:tcPr>
          <w:p w14:paraId="612E713A" w14:textId="36292AD4"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b/>
                <w:bCs/>
                <w:color w:val="000000"/>
                <w:sz w:val="21"/>
                <w:szCs w:val="21"/>
              </w:rPr>
              <w:t>施工</w:t>
            </w:r>
          </w:p>
        </w:tc>
        <w:tc>
          <w:tcPr>
            <w:tcW w:w="764" w:type="pct"/>
            <w:vAlign w:val="bottom"/>
          </w:tcPr>
          <w:p w14:paraId="4DBAA219" w14:textId="77777777" w:rsidR="007445F2" w:rsidRPr="007445F2" w:rsidRDefault="007445F2" w:rsidP="007445F2">
            <w:pPr>
              <w:pStyle w:val="af0"/>
              <w:spacing w:line="240" w:lineRule="atLeast"/>
              <w:jc w:val="center"/>
              <w:rPr>
                <w:rFonts w:ascii="Times New Roman" w:eastAsia="宋体" w:hAnsi="Times New Roman"/>
                <w:bCs/>
                <w:sz w:val="21"/>
                <w:szCs w:val="21"/>
              </w:rPr>
            </w:pPr>
          </w:p>
        </w:tc>
        <w:tc>
          <w:tcPr>
            <w:tcW w:w="718" w:type="pct"/>
            <w:vAlign w:val="bottom"/>
          </w:tcPr>
          <w:p w14:paraId="0BE985BB" w14:textId="77777777" w:rsidR="007445F2" w:rsidRPr="007445F2" w:rsidRDefault="007445F2" w:rsidP="007445F2">
            <w:pPr>
              <w:pStyle w:val="af0"/>
              <w:spacing w:line="240" w:lineRule="atLeast"/>
              <w:jc w:val="center"/>
              <w:rPr>
                <w:rFonts w:ascii="Times New Roman" w:eastAsia="宋体" w:hAnsi="Times New Roman"/>
                <w:bCs/>
                <w:sz w:val="21"/>
                <w:szCs w:val="21"/>
              </w:rPr>
            </w:pPr>
          </w:p>
        </w:tc>
      </w:tr>
      <w:tr w:rsidR="007445F2" w:rsidRPr="007445F2" w14:paraId="6A64E73D" w14:textId="77777777" w:rsidTr="007445F2">
        <w:trPr>
          <w:trHeight w:val="283"/>
        </w:trPr>
        <w:tc>
          <w:tcPr>
            <w:tcW w:w="3519" w:type="pct"/>
            <w:vAlign w:val="center"/>
          </w:tcPr>
          <w:p w14:paraId="473AAC21" w14:textId="7C26CB6F"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制定合理的施工组织设计方案</w:t>
            </w:r>
          </w:p>
        </w:tc>
        <w:tc>
          <w:tcPr>
            <w:tcW w:w="764" w:type="pct"/>
            <w:vAlign w:val="center"/>
          </w:tcPr>
          <w:p w14:paraId="30EA3ADE" w14:textId="5A700020"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4.365</w:t>
            </w:r>
          </w:p>
        </w:tc>
        <w:tc>
          <w:tcPr>
            <w:tcW w:w="718" w:type="pct"/>
            <w:vAlign w:val="center"/>
          </w:tcPr>
          <w:p w14:paraId="24E11810" w14:textId="02A6C858"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3</w:t>
            </w:r>
          </w:p>
        </w:tc>
      </w:tr>
      <w:tr w:rsidR="007445F2" w:rsidRPr="007445F2" w14:paraId="761B822F" w14:textId="77777777" w:rsidTr="007445F2">
        <w:trPr>
          <w:trHeight w:val="283"/>
        </w:trPr>
        <w:tc>
          <w:tcPr>
            <w:tcW w:w="3519" w:type="pct"/>
            <w:vAlign w:val="center"/>
          </w:tcPr>
          <w:p w14:paraId="3FFE6167" w14:textId="77576798"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实现施工环保的有效管控</w:t>
            </w:r>
          </w:p>
        </w:tc>
        <w:tc>
          <w:tcPr>
            <w:tcW w:w="764" w:type="pct"/>
            <w:vAlign w:val="center"/>
          </w:tcPr>
          <w:p w14:paraId="1CEB7A45" w14:textId="43513CBE"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4.334</w:t>
            </w:r>
          </w:p>
        </w:tc>
        <w:tc>
          <w:tcPr>
            <w:tcW w:w="718" w:type="pct"/>
            <w:vAlign w:val="center"/>
          </w:tcPr>
          <w:p w14:paraId="10BE7858" w14:textId="536090FD"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6</w:t>
            </w:r>
          </w:p>
        </w:tc>
      </w:tr>
      <w:tr w:rsidR="007445F2" w:rsidRPr="007445F2" w14:paraId="0B202E9A" w14:textId="77777777" w:rsidTr="007445F2">
        <w:trPr>
          <w:trHeight w:val="283"/>
        </w:trPr>
        <w:tc>
          <w:tcPr>
            <w:tcW w:w="3519" w:type="pct"/>
            <w:vAlign w:val="center"/>
          </w:tcPr>
          <w:p w14:paraId="34C3158E" w14:textId="6F2E1F3D"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实现施工安全的有效管控</w:t>
            </w:r>
          </w:p>
        </w:tc>
        <w:tc>
          <w:tcPr>
            <w:tcW w:w="764" w:type="pct"/>
            <w:vAlign w:val="center"/>
          </w:tcPr>
          <w:p w14:paraId="3B1EC87F" w14:textId="35E93982"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4.317</w:t>
            </w:r>
          </w:p>
        </w:tc>
        <w:tc>
          <w:tcPr>
            <w:tcW w:w="718" w:type="pct"/>
            <w:vAlign w:val="center"/>
          </w:tcPr>
          <w:p w14:paraId="26FE76CC" w14:textId="3AA71C85"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10</w:t>
            </w:r>
          </w:p>
        </w:tc>
      </w:tr>
      <w:tr w:rsidR="007445F2" w:rsidRPr="007445F2" w14:paraId="63371419" w14:textId="77777777" w:rsidTr="007445F2">
        <w:trPr>
          <w:trHeight w:val="283"/>
        </w:trPr>
        <w:tc>
          <w:tcPr>
            <w:tcW w:w="3519" w:type="pct"/>
            <w:vAlign w:val="center"/>
          </w:tcPr>
          <w:p w14:paraId="0F08CE83" w14:textId="57714C16"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实现施工进度的有效管控</w:t>
            </w:r>
          </w:p>
        </w:tc>
        <w:tc>
          <w:tcPr>
            <w:tcW w:w="764" w:type="pct"/>
            <w:vAlign w:val="center"/>
          </w:tcPr>
          <w:p w14:paraId="5FE72F43" w14:textId="48EA6A86"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4.314</w:t>
            </w:r>
          </w:p>
        </w:tc>
        <w:tc>
          <w:tcPr>
            <w:tcW w:w="718" w:type="pct"/>
            <w:vAlign w:val="center"/>
          </w:tcPr>
          <w:p w14:paraId="430CF59B" w14:textId="37FDE64B"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11</w:t>
            </w:r>
          </w:p>
        </w:tc>
      </w:tr>
      <w:tr w:rsidR="007445F2" w:rsidRPr="007445F2" w14:paraId="40640556" w14:textId="77777777" w:rsidTr="007445F2">
        <w:trPr>
          <w:trHeight w:val="283"/>
        </w:trPr>
        <w:tc>
          <w:tcPr>
            <w:tcW w:w="3519" w:type="pct"/>
            <w:vAlign w:val="center"/>
          </w:tcPr>
          <w:p w14:paraId="5170A01D" w14:textId="3080DB9C"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实现施工质量的有效管控</w:t>
            </w:r>
          </w:p>
        </w:tc>
        <w:tc>
          <w:tcPr>
            <w:tcW w:w="764" w:type="pct"/>
            <w:vAlign w:val="center"/>
          </w:tcPr>
          <w:p w14:paraId="68BB4808" w14:textId="423E5305"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4.311</w:t>
            </w:r>
          </w:p>
        </w:tc>
        <w:tc>
          <w:tcPr>
            <w:tcW w:w="718" w:type="pct"/>
            <w:vAlign w:val="center"/>
          </w:tcPr>
          <w:p w14:paraId="73C75064" w14:textId="2278AC21"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12</w:t>
            </w:r>
          </w:p>
        </w:tc>
      </w:tr>
      <w:tr w:rsidR="007445F2" w:rsidRPr="007445F2" w14:paraId="084F0131" w14:textId="77777777" w:rsidTr="007445F2">
        <w:trPr>
          <w:trHeight w:val="283"/>
        </w:trPr>
        <w:tc>
          <w:tcPr>
            <w:tcW w:w="3519" w:type="pct"/>
            <w:vAlign w:val="center"/>
          </w:tcPr>
          <w:p w14:paraId="3F4D0FD1" w14:textId="5A75AD90"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实现施工成本的有效管控</w:t>
            </w:r>
          </w:p>
        </w:tc>
        <w:tc>
          <w:tcPr>
            <w:tcW w:w="764" w:type="pct"/>
            <w:vAlign w:val="center"/>
          </w:tcPr>
          <w:p w14:paraId="0A64A297" w14:textId="6695839E"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4.304</w:t>
            </w:r>
          </w:p>
        </w:tc>
        <w:tc>
          <w:tcPr>
            <w:tcW w:w="718" w:type="pct"/>
            <w:vAlign w:val="center"/>
          </w:tcPr>
          <w:p w14:paraId="51BE3047" w14:textId="0A704283"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13</w:t>
            </w:r>
          </w:p>
        </w:tc>
      </w:tr>
      <w:tr w:rsidR="007445F2" w:rsidRPr="007445F2" w14:paraId="6B82C976" w14:textId="77777777" w:rsidTr="007445F2">
        <w:trPr>
          <w:trHeight w:val="283"/>
        </w:trPr>
        <w:tc>
          <w:tcPr>
            <w:tcW w:w="3519" w:type="pct"/>
            <w:vAlign w:val="center"/>
          </w:tcPr>
          <w:p w14:paraId="34C5FA84" w14:textId="6F90487F" w:rsidR="007445F2" w:rsidRPr="007445F2" w:rsidRDefault="007445F2" w:rsidP="007445F2">
            <w:pPr>
              <w:pStyle w:val="af0"/>
              <w:spacing w:line="240" w:lineRule="atLeast"/>
              <w:rPr>
                <w:rFonts w:ascii="Times New Roman" w:eastAsia="宋体" w:hAnsi="Times New Roman"/>
                <w:bCs/>
                <w:sz w:val="21"/>
                <w:szCs w:val="21"/>
              </w:rPr>
            </w:pPr>
            <w:r w:rsidRPr="007445F2">
              <w:rPr>
                <w:rFonts w:ascii="Times New Roman" w:eastAsia="宋体" w:hAnsi="Times New Roman" w:hint="eastAsia"/>
                <w:color w:val="000000"/>
                <w:sz w:val="21"/>
                <w:szCs w:val="21"/>
              </w:rPr>
              <w:t>顺利进行征地移民工作</w:t>
            </w:r>
          </w:p>
        </w:tc>
        <w:tc>
          <w:tcPr>
            <w:tcW w:w="764" w:type="pct"/>
            <w:vAlign w:val="center"/>
          </w:tcPr>
          <w:p w14:paraId="2A2872F8" w14:textId="0DE7572E"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4.246</w:t>
            </w:r>
          </w:p>
        </w:tc>
        <w:tc>
          <w:tcPr>
            <w:tcW w:w="718" w:type="pct"/>
            <w:vAlign w:val="center"/>
          </w:tcPr>
          <w:p w14:paraId="6CCF65D7" w14:textId="0FB44ADF" w:rsidR="007445F2" w:rsidRPr="007445F2" w:rsidRDefault="007445F2" w:rsidP="007445F2">
            <w:pPr>
              <w:pStyle w:val="af0"/>
              <w:spacing w:line="240" w:lineRule="atLeast"/>
              <w:jc w:val="center"/>
              <w:rPr>
                <w:rFonts w:ascii="Times New Roman" w:eastAsia="宋体" w:hAnsi="Times New Roman"/>
                <w:bCs/>
                <w:sz w:val="21"/>
                <w:szCs w:val="21"/>
              </w:rPr>
            </w:pPr>
            <w:r w:rsidRPr="007445F2">
              <w:rPr>
                <w:rFonts w:ascii="Times New Roman" w:eastAsia="宋体" w:hAnsi="Times New Roman" w:hint="eastAsia"/>
                <w:color w:val="000000"/>
                <w:sz w:val="21"/>
                <w:szCs w:val="21"/>
              </w:rPr>
              <w:t>18</w:t>
            </w:r>
          </w:p>
        </w:tc>
      </w:tr>
      <w:tr w:rsidR="007445F2" w:rsidRPr="007445F2" w14:paraId="755E61C9" w14:textId="77777777" w:rsidTr="007445F2">
        <w:trPr>
          <w:cnfStyle w:val="010000000000" w:firstRow="0" w:lastRow="1" w:firstColumn="0" w:lastColumn="0" w:oddVBand="0" w:evenVBand="0" w:oddHBand="0" w:evenHBand="0" w:firstRowFirstColumn="0" w:firstRowLastColumn="0" w:lastRowFirstColumn="0" w:lastRowLastColumn="0"/>
          <w:trHeight w:val="283"/>
        </w:trPr>
        <w:tc>
          <w:tcPr>
            <w:tcW w:w="3519" w:type="pct"/>
            <w:vAlign w:val="center"/>
            <w:hideMark/>
          </w:tcPr>
          <w:p w14:paraId="68DAAD86" w14:textId="77777777" w:rsidR="007445F2" w:rsidRPr="007445F2" w:rsidRDefault="007445F2" w:rsidP="007445F2">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hint="eastAsia"/>
                <w:bCs w:val="0"/>
                <w:sz w:val="21"/>
                <w:szCs w:val="21"/>
              </w:rPr>
              <w:t>均值</w:t>
            </w:r>
          </w:p>
        </w:tc>
        <w:tc>
          <w:tcPr>
            <w:tcW w:w="764" w:type="pct"/>
            <w:vAlign w:val="center"/>
            <w:hideMark/>
          </w:tcPr>
          <w:p w14:paraId="283FCE0A" w14:textId="3B9571B6" w:rsidR="007445F2" w:rsidRPr="007445F2" w:rsidRDefault="007445F2" w:rsidP="007445F2">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hint="eastAsia"/>
                <w:color w:val="000000"/>
                <w:sz w:val="21"/>
                <w:szCs w:val="21"/>
              </w:rPr>
              <w:t>4.317</w:t>
            </w:r>
          </w:p>
        </w:tc>
        <w:tc>
          <w:tcPr>
            <w:tcW w:w="718" w:type="pct"/>
            <w:vAlign w:val="center"/>
            <w:hideMark/>
          </w:tcPr>
          <w:p w14:paraId="32D01FBD" w14:textId="77777777" w:rsidR="007445F2" w:rsidRPr="007445F2" w:rsidRDefault="007445F2" w:rsidP="007445F2">
            <w:pPr>
              <w:pStyle w:val="af0"/>
              <w:spacing w:line="240" w:lineRule="atLeast"/>
              <w:jc w:val="center"/>
              <w:rPr>
                <w:rFonts w:ascii="Times New Roman" w:eastAsia="宋体" w:hAnsi="Times New Roman"/>
                <w:bCs w:val="0"/>
                <w:sz w:val="21"/>
                <w:szCs w:val="21"/>
              </w:rPr>
            </w:pPr>
            <w:r w:rsidRPr="007445F2">
              <w:rPr>
                <w:rFonts w:ascii="Times New Roman" w:eastAsia="宋体" w:hAnsi="Times New Roman"/>
                <w:bCs w:val="0"/>
                <w:sz w:val="21"/>
                <w:szCs w:val="21"/>
              </w:rPr>
              <w:t>-</w:t>
            </w:r>
          </w:p>
        </w:tc>
      </w:tr>
    </w:tbl>
    <w:p w14:paraId="00444074" w14:textId="7A08C5D1" w:rsidR="004D2EE8" w:rsidRDefault="00E4410C" w:rsidP="004D2EE8">
      <w:pPr>
        <w:spacing w:beforeLines="50" w:before="156"/>
        <w:ind w:firstLine="420"/>
        <w:rPr>
          <w:color w:val="000000"/>
        </w:rPr>
      </w:pPr>
      <w:r w:rsidRPr="00C35659">
        <w:rPr>
          <w:rFonts w:hint="eastAsia"/>
        </w:rPr>
        <w:t>如</w:t>
      </w:r>
      <w:r>
        <w:fldChar w:fldCharType="begin"/>
      </w:r>
      <w:r>
        <w:instrText xml:space="preserve"> </w:instrText>
      </w:r>
      <w:r>
        <w:rPr>
          <w:rFonts w:hint="eastAsia"/>
        </w:rPr>
        <w:instrText>REF _Ref174347537 \h</w:instrText>
      </w:r>
      <w:r>
        <w:instrText xml:space="preserve"> </w:instrText>
      </w:r>
      <w:r>
        <w:fldChar w:fldCharType="separate"/>
      </w:r>
      <w:r w:rsidR="000F2689">
        <w:rPr>
          <w:rFonts w:hint="eastAsia"/>
        </w:rPr>
        <w:t>表</w:t>
      </w:r>
      <w:r w:rsidR="000F2689">
        <w:rPr>
          <w:rFonts w:hint="eastAsia"/>
        </w:rPr>
        <w:t xml:space="preserve"> </w:t>
      </w:r>
      <w:r w:rsidR="000F2689">
        <w:rPr>
          <w:noProof/>
        </w:rPr>
        <w:t>7</w:t>
      </w:r>
      <w:r>
        <w:fldChar w:fldCharType="end"/>
      </w:r>
      <w:r w:rsidRPr="00C35659">
        <w:rPr>
          <w:rFonts w:hint="eastAsia"/>
        </w:rPr>
        <w:t>所示</w:t>
      </w:r>
      <w:r>
        <w:rPr>
          <w:rFonts w:hint="eastAsia"/>
        </w:rPr>
        <w:t>，</w:t>
      </w:r>
      <w:r w:rsidR="007445F2">
        <w:rPr>
          <w:rFonts w:hint="eastAsia"/>
        </w:rPr>
        <w:t>当前清洁能源基地实施水平总体良好</w:t>
      </w:r>
      <w:r>
        <w:rPr>
          <w:rFonts w:cs="Times New Roman" w:hint="eastAsia"/>
        </w:rPr>
        <w:t>。</w:t>
      </w:r>
      <w:r w:rsidR="007445F2">
        <w:rPr>
          <w:rFonts w:cs="Times New Roman" w:hint="eastAsia"/>
        </w:rPr>
        <w:t>首先，</w:t>
      </w:r>
      <w:r w:rsidR="007445F2">
        <w:rPr>
          <w:rFonts w:hint="eastAsia"/>
        </w:rPr>
        <w:t>清洁能源基地设计水平整体较好，</w:t>
      </w:r>
      <w:r w:rsidR="004D2EE8">
        <w:rPr>
          <w:rFonts w:hint="eastAsia"/>
        </w:rPr>
        <w:t>总体得分最高，表明当前清洁能源基地设计水平</w:t>
      </w:r>
      <w:r w:rsidR="007445F2">
        <w:rPr>
          <w:rFonts w:hint="eastAsia"/>
        </w:rPr>
        <w:t>能够满足</w:t>
      </w:r>
      <w:r w:rsidR="007445F2">
        <w:t>技术可行性、设备采购适配性</w:t>
      </w:r>
      <w:r w:rsidR="007445F2">
        <w:rPr>
          <w:rFonts w:hint="eastAsia"/>
        </w:rPr>
        <w:t>以及</w:t>
      </w:r>
      <w:r w:rsidR="007445F2">
        <w:t>功能需求</w:t>
      </w:r>
      <w:r w:rsidR="007445F2">
        <w:rPr>
          <w:rFonts w:hint="eastAsia"/>
        </w:rPr>
        <w:t>。清洁能源基地施工水平良好。其中，</w:t>
      </w:r>
      <w:r w:rsidR="007445F2">
        <w:rPr>
          <w:rFonts w:hint="eastAsia"/>
          <w:color w:val="000000"/>
        </w:rPr>
        <w:t>“清洁能源项</w:t>
      </w:r>
      <w:r w:rsidR="007445F2">
        <w:rPr>
          <w:rFonts w:hint="eastAsia"/>
          <w:color w:val="000000"/>
        </w:rPr>
        <w:t>目顺利进行征地移民工作”得分最低，表明征地移民工作是清洁能源基地实施的关键问题，应加强与当地政府、居民的沟通，提高项目的社会认可度，并</w:t>
      </w:r>
      <w:r w:rsidR="007445F2">
        <w:t>优化征地补偿机制</w:t>
      </w:r>
      <w:r w:rsidR="007445F2">
        <w:rPr>
          <w:rFonts w:hint="eastAsia"/>
        </w:rPr>
        <w:t>，以顺利推进土地获取过程。</w:t>
      </w:r>
      <w:r w:rsidR="004D2EE8">
        <w:rPr>
          <w:rFonts w:hint="eastAsia"/>
        </w:rPr>
        <w:t>清洁能源基地采购总体得分最低。</w:t>
      </w:r>
      <w:r w:rsidR="004D2EE8">
        <w:rPr>
          <w:rFonts w:hint="eastAsia"/>
          <w:color w:val="000000"/>
        </w:rPr>
        <w:t>“</w:t>
      </w:r>
      <w:r w:rsidR="004D2EE8" w:rsidRPr="00073C1B">
        <w:rPr>
          <w:rFonts w:hint="eastAsia"/>
          <w:color w:val="000000"/>
        </w:rPr>
        <w:t>采购方案具有高性价比</w:t>
      </w:r>
      <w:r w:rsidR="004D2EE8">
        <w:rPr>
          <w:rFonts w:hint="eastAsia"/>
          <w:color w:val="000000"/>
        </w:rPr>
        <w:t>”得分最低，可归因于当前风、光电站设备市场价格波动较大，需推进供应链一体化管理，优化采购模式，优选供应商，以提高采购方案的经济性。</w:t>
      </w:r>
    </w:p>
    <w:p w14:paraId="2B2578DD" w14:textId="3933F05D" w:rsidR="004D2EE8" w:rsidRDefault="004D2EE8" w:rsidP="004D2EE8">
      <w:pPr>
        <w:pStyle w:val="2"/>
      </w:pPr>
      <w:r>
        <w:rPr>
          <w:rFonts w:hint="eastAsia"/>
        </w:rPr>
        <w:t>清洁能源基地运营情况</w:t>
      </w:r>
    </w:p>
    <w:p w14:paraId="57098905" w14:textId="18949170" w:rsidR="004D2EE8" w:rsidRPr="00BB7CE2" w:rsidRDefault="004D2EE8" w:rsidP="004D2EE8">
      <w:pPr>
        <w:ind w:firstLine="420"/>
      </w:pPr>
      <w:r w:rsidRPr="00A4271D">
        <w:rPr>
          <w:rFonts w:hint="eastAsia"/>
        </w:rPr>
        <w:t>清洁能源基地</w:t>
      </w:r>
      <w:r>
        <w:rPr>
          <w:rFonts w:hint="eastAsia"/>
        </w:rPr>
        <w:t>运营情况</w:t>
      </w:r>
      <w:r w:rsidRPr="00C35659">
        <w:rPr>
          <w:rFonts w:hint="eastAsia"/>
        </w:rPr>
        <w:t>如</w:t>
      </w:r>
      <w:r>
        <w:fldChar w:fldCharType="begin"/>
      </w:r>
      <w:r>
        <w:instrText xml:space="preserve"> </w:instrText>
      </w:r>
      <w:r>
        <w:rPr>
          <w:rFonts w:hint="eastAsia"/>
        </w:rPr>
        <w:instrText>REF _Ref200169756 \h</w:instrText>
      </w:r>
      <w:r>
        <w:instrText xml:space="preserve"> </w:instrText>
      </w:r>
      <w:r>
        <w:fldChar w:fldCharType="separate"/>
      </w:r>
      <w:r w:rsidR="000F2689">
        <w:rPr>
          <w:rFonts w:hint="eastAsia"/>
        </w:rPr>
        <w:t>表</w:t>
      </w:r>
      <w:r w:rsidR="000F2689">
        <w:rPr>
          <w:rFonts w:hint="eastAsia"/>
        </w:rPr>
        <w:t xml:space="preserve"> </w:t>
      </w:r>
      <w:r w:rsidR="000F2689">
        <w:rPr>
          <w:noProof/>
        </w:rPr>
        <w:t>8</w:t>
      </w:r>
      <w:r>
        <w:fldChar w:fldCharType="end"/>
      </w:r>
      <w:r w:rsidRPr="00C35659">
        <w:rPr>
          <w:rFonts w:hint="eastAsia"/>
        </w:rPr>
        <w:t>所示</w:t>
      </w:r>
      <w:r>
        <w:rPr>
          <w:rFonts w:hint="eastAsia"/>
        </w:rPr>
        <w:t>，其中</w:t>
      </w:r>
      <w:r w:rsidRPr="00541135">
        <w:rPr>
          <w:rFonts w:hint="eastAsia"/>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r>
        <w:rPr>
          <w:rFonts w:hint="eastAsia"/>
          <w:szCs w:val="21"/>
        </w:rPr>
        <w:t>。</w:t>
      </w:r>
    </w:p>
    <w:p w14:paraId="23DA7057" w14:textId="38531AA1" w:rsidR="004D2EE8" w:rsidRPr="004D2EE8" w:rsidRDefault="004D2EE8" w:rsidP="00EB718D">
      <w:pPr>
        <w:pStyle w:val="afa"/>
        <w:keepNext/>
        <w:spacing w:beforeLines="50" w:before="156"/>
        <w:ind w:firstLine="420"/>
      </w:pPr>
      <w:bookmarkStart w:id="25" w:name="_Ref200169756"/>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8</w:t>
      </w:r>
      <w:r>
        <w:fldChar w:fldCharType="end"/>
      </w:r>
      <w:bookmarkEnd w:id="25"/>
      <w:r>
        <w:rPr>
          <w:rFonts w:hint="eastAsia"/>
        </w:rPr>
        <w:t xml:space="preserve"> </w:t>
      </w:r>
      <w:r w:rsidRPr="00A4271D">
        <w:rPr>
          <w:rFonts w:hint="eastAsia"/>
        </w:rPr>
        <w:t>清洁能源基地</w:t>
      </w:r>
      <w:r>
        <w:rPr>
          <w:rFonts w:hint="eastAsia"/>
        </w:rPr>
        <w:t>运营情况</w:t>
      </w:r>
    </w:p>
    <w:tbl>
      <w:tblPr>
        <w:tblStyle w:val="22"/>
        <w:tblW w:w="5000" w:type="pct"/>
        <w:tblLook w:val="0660" w:firstRow="1" w:lastRow="1" w:firstColumn="0" w:lastColumn="0" w:noHBand="1" w:noVBand="1"/>
      </w:tblPr>
      <w:tblGrid>
        <w:gridCol w:w="2817"/>
        <w:gridCol w:w="1110"/>
        <w:gridCol w:w="707"/>
      </w:tblGrid>
      <w:tr w:rsidR="004D2EE8" w:rsidRPr="004D2EE8" w14:paraId="46F7B8F0" w14:textId="77777777" w:rsidTr="004D2EE8">
        <w:trPr>
          <w:cnfStyle w:val="100000000000" w:firstRow="1" w:lastRow="0" w:firstColumn="0" w:lastColumn="0" w:oddVBand="0" w:evenVBand="0" w:oddHBand="0" w:evenHBand="0" w:firstRowFirstColumn="0" w:firstRowLastColumn="0" w:lastRowFirstColumn="0" w:lastRowLastColumn="0"/>
          <w:trHeight w:val="283"/>
        </w:trPr>
        <w:tc>
          <w:tcPr>
            <w:tcW w:w="3039" w:type="pct"/>
            <w:vAlign w:val="center"/>
            <w:hideMark/>
          </w:tcPr>
          <w:p w14:paraId="0E148630" w14:textId="77777777" w:rsidR="004D2EE8" w:rsidRPr="004D2EE8" w:rsidRDefault="004D2EE8" w:rsidP="004D2EE8">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hint="eastAsia"/>
                <w:bCs w:val="0"/>
                <w:sz w:val="21"/>
                <w:szCs w:val="21"/>
              </w:rPr>
              <w:t>指标</w:t>
            </w:r>
          </w:p>
        </w:tc>
        <w:tc>
          <w:tcPr>
            <w:tcW w:w="1198" w:type="pct"/>
            <w:vAlign w:val="center"/>
            <w:hideMark/>
          </w:tcPr>
          <w:p w14:paraId="446C84FA" w14:textId="77777777" w:rsidR="004D2EE8" w:rsidRPr="004D2EE8" w:rsidRDefault="004D2EE8" w:rsidP="004D2EE8">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bCs w:val="0"/>
                <w:sz w:val="21"/>
                <w:szCs w:val="21"/>
              </w:rPr>
              <w:t>得分</w:t>
            </w:r>
          </w:p>
        </w:tc>
        <w:tc>
          <w:tcPr>
            <w:tcW w:w="763" w:type="pct"/>
            <w:vAlign w:val="center"/>
            <w:hideMark/>
          </w:tcPr>
          <w:p w14:paraId="123644BD" w14:textId="77777777" w:rsidR="004D2EE8" w:rsidRPr="004D2EE8" w:rsidRDefault="004D2EE8" w:rsidP="004D2EE8">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bCs w:val="0"/>
                <w:sz w:val="21"/>
                <w:szCs w:val="21"/>
              </w:rPr>
              <w:t>排序</w:t>
            </w:r>
          </w:p>
        </w:tc>
      </w:tr>
      <w:tr w:rsidR="004D2EE8" w:rsidRPr="004D2EE8" w14:paraId="7049E45E" w14:textId="77777777" w:rsidTr="004D2EE8">
        <w:trPr>
          <w:trHeight w:val="283"/>
        </w:trPr>
        <w:tc>
          <w:tcPr>
            <w:tcW w:w="3039" w:type="pct"/>
            <w:vAlign w:val="center"/>
          </w:tcPr>
          <w:p w14:paraId="287EA475" w14:textId="6D4AEAD5" w:rsidR="004D2EE8" w:rsidRPr="004D2EE8" w:rsidRDefault="004D2EE8" w:rsidP="004D2EE8">
            <w:pPr>
              <w:pStyle w:val="af0"/>
              <w:spacing w:line="240" w:lineRule="atLeast"/>
              <w:jc w:val="left"/>
              <w:rPr>
                <w:rFonts w:ascii="Times New Roman" w:eastAsia="宋体" w:hAnsi="Times New Roman"/>
                <w:bCs/>
                <w:sz w:val="21"/>
                <w:szCs w:val="21"/>
              </w:rPr>
            </w:pPr>
            <w:r w:rsidRPr="004D2EE8">
              <w:rPr>
                <w:rFonts w:ascii="Times New Roman" w:eastAsia="宋体" w:hAnsi="Times New Roman" w:hint="eastAsia"/>
                <w:color w:val="000000"/>
                <w:sz w:val="21"/>
                <w:szCs w:val="21"/>
              </w:rPr>
              <w:t>能够实现电站安全稳定运行</w:t>
            </w:r>
          </w:p>
        </w:tc>
        <w:tc>
          <w:tcPr>
            <w:tcW w:w="1198" w:type="pct"/>
            <w:vAlign w:val="center"/>
          </w:tcPr>
          <w:p w14:paraId="1D77EB1B" w14:textId="04990BA8" w:rsidR="004D2EE8" w:rsidRPr="004D2EE8" w:rsidRDefault="004D2EE8" w:rsidP="004D2EE8">
            <w:pPr>
              <w:pStyle w:val="af0"/>
              <w:spacing w:line="240" w:lineRule="atLeast"/>
              <w:jc w:val="center"/>
              <w:rPr>
                <w:rFonts w:ascii="Times New Roman" w:eastAsia="宋体" w:hAnsi="Times New Roman"/>
                <w:bCs/>
                <w:sz w:val="21"/>
                <w:szCs w:val="21"/>
              </w:rPr>
            </w:pPr>
            <w:r w:rsidRPr="004D2EE8">
              <w:rPr>
                <w:rFonts w:ascii="Times New Roman" w:eastAsia="宋体" w:hAnsi="Times New Roman" w:hint="eastAsia"/>
                <w:color w:val="000000"/>
                <w:sz w:val="21"/>
                <w:szCs w:val="21"/>
              </w:rPr>
              <w:t>4.461</w:t>
            </w:r>
          </w:p>
        </w:tc>
        <w:tc>
          <w:tcPr>
            <w:tcW w:w="763" w:type="pct"/>
            <w:vAlign w:val="center"/>
          </w:tcPr>
          <w:p w14:paraId="1C83330B" w14:textId="0BEB5249" w:rsidR="004D2EE8" w:rsidRPr="004D2EE8" w:rsidRDefault="004D2EE8" w:rsidP="004D2EE8">
            <w:pPr>
              <w:pStyle w:val="af0"/>
              <w:spacing w:line="240" w:lineRule="atLeast"/>
              <w:jc w:val="center"/>
              <w:rPr>
                <w:rFonts w:ascii="Times New Roman" w:eastAsia="宋体" w:hAnsi="Times New Roman"/>
                <w:bCs/>
                <w:sz w:val="21"/>
                <w:szCs w:val="21"/>
              </w:rPr>
            </w:pPr>
            <w:r w:rsidRPr="004D2EE8">
              <w:rPr>
                <w:rFonts w:ascii="Times New Roman" w:eastAsia="宋体" w:hAnsi="Times New Roman" w:hint="eastAsia"/>
                <w:color w:val="000000"/>
                <w:sz w:val="21"/>
                <w:szCs w:val="21"/>
              </w:rPr>
              <w:t>1</w:t>
            </w:r>
          </w:p>
        </w:tc>
      </w:tr>
      <w:tr w:rsidR="004D2EE8" w:rsidRPr="004D2EE8" w14:paraId="5ECDD373" w14:textId="77777777" w:rsidTr="004D2EE8">
        <w:trPr>
          <w:trHeight w:val="283"/>
        </w:trPr>
        <w:tc>
          <w:tcPr>
            <w:tcW w:w="3039" w:type="pct"/>
            <w:vAlign w:val="center"/>
          </w:tcPr>
          <w:p w14:paraId="5DCACCE7" w14:textId="6E1FEAE2" w:rsidR="004D2EE8" w:rsidRPr="004D2EE8" w:rsidRDefault="004D2EE8" w:rsidP="004D2EE8">
            <w:pPr>
              <w:pStyle w:val="af0"/>
              <w:spacing w:line="240" w:lineRule="atLeast"/>
              <w:jc w:val="left"/>
              <w:rPr>
                <w:rFonts w:ascii="Times New Roman" w:eastAsia="宋体" w:hAnsi="Times New Roman"/>
                <w:bCs/>
                <w:sz w:val="21"/>
                <w:szCs w:val="21"/>
              </w:rPr>
            </w:pPr>
            <w:r w:rsidRPr="004D2EE8">
              <w:rPr>
                <w:rFonts w:ascii="Times New Roman" w:eastAsia="宋体" w:hAnsi="Times New Roman" w:hint="eastAsia"/>
                <w:color w:val="000000"/>
                <w:sz w:val="21"/>
                <w:szCs w:val="21"/>
              </w:rPr>
              <w:t>所生产电力能够顺利并网</w:t>
            </w:r>
          </w:p>
        </w:tc>
        <w:tc>
          <w:tcPr>
            <w:tcW w:w="1198" w:type="pct"/>
            <w:vAlign w:val="center"/>
          </w:tcPr>
          <w:p w14:paraId="4823A358" w14:textId="66E6BED3"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4.454</w:t>
            </w:r>
          </w:p>
        </w:tc>
        <w:tc>
          <w:tcPr>
            <w:tcW w:w="763" w:type="pct"/>
            <w:vAlign w:val="center"/>
          </w:tcPr>
          <w:p w14:paraId="1A3E3040" w14:textId="3C006D86"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2</w:t>
            </w:r>
          </w:p>
        </w:tc>
      </w:tr>
      <w:tr w:rsidR="004D2EE8" w:rsidRPr="004D2EE8" w14:paraId="7C003651" w14:textId="77777777" w:rsidTr="004D2EE8">
        <w:trPr>
          <w:trHeight w:val="283"/>
        </w:trPr>
        <w:tc>
          <w:tcPr>
            <w:tcW w:w="3039" w:type="pct"/>
            <w:vAlign w:val="center"/>
          </w:tcPr>
          <w:p w14:paraId="1935D891" w14:textId="5982C388"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发电能力能够达到项目规划设计目标</w:t>
            </w:r>
          </w:p>
        </w:tc>
        <w:tc>
          <w:tcPr>
            <w:tcW w:w="1198" w:type="pct"/>
            <w:vAlign w:val="center"/>
          </w:tcPr>
          <w:p w14:paraId="41C1FAD5" w14:textId="003443A6"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4.440</w:t>
            </w:r>
          </w:p>
        </w:tc>
        <w:tc>
          <w:tcPr>
            <w:tcW w:w="763" w:type="pct"/>
            <w:vAlign w:val="center"/>
          </w:tcPr>
          <w:p w14:paraId="49C09425" w14:textId="16A7889B"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3</w:t>
            </w:r>
          </w:p>
        </w:tc>
      </w:tr>
      <w:tr w:rsidR="004D2EE8" w:rsidRPr="004D2EE8" w14:paraId="7B645CD5" w14:textId="77777777" w:rsidTr="004D2EE8">
        <w:trPr>
          <w:trHeight w:val="283"/>
        </w:trPr>
        <w:tc>
          <w:tcPr>
            <w:tcW w:w="3039" w:type="pct"/>
            <w:vAlign w:val="center"/>
          </w:tcPr>
          <w:p w14:paraId="2F30AA54" w14:textId="089413BF"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能够智能化监测与调控电站运行</w:t>
            </w:r>
          </w:p>
        </w:tc>
        <w:tc>
          <w:tcPr>
            <w:tcW w:w="1198" w:type="pct"/>
            <w:vAlign w:val="center"/>
          </w:tcPr>
          <w:p w14:paraId="79031761" w14:textId="48DD786A"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4.399</w:t>
            </w:r>
          </w:p>
        </w:tc>
        <w:tc>
          <w:tcPr>
            <w:tcW w:w="763" w:type="pct"/>
            <w:vAlign w:val="center"/>
          </w:tcPr>
          <w:p w14:paraId="06A4CD4B" w14:textId="40BBEAA3"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w:t>
            </w:r>
          </w:p>
        </w:tc>
      </w:tr>
      <w:tr w:rsidR="004D2EE8" w:rsidRPr="004D2EE8" w14:paraId="17F42E0D" w14:textId="77777777" w:rsidTr="004D2EE8">
        <w:trPr>
          <w:trHeight w:val="283"/>
        </w:trPr>
        <w:tc>
          <w:tcPr>
            <w:tcW w:w="3039" w:type="pct"/>
            <w:vAlign w:val="center"/>
          </w:tcPr>
          <w:p w14:paraId="544A461F" w14:textId="33C649F9"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能够通过电力市场交易获得合理收益</w:t>
            </w:r>
          </w:p>
        </w:tc>
        <w:tc>
          <w:tcPr>
            <w:tcW w:w="1198" w:type="pct"/>
            <w:vAlign w:val="center"/>
          </w:tcPr>
          <w:p w14:paraId="4070FF15" w14:textId="76E537E6"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4.382</w:t>
            </w:r>
          </w:p>
        </w:tc>
        <w:tc>
          <w:tcPr>
            <w:tcW w:w="763" w:type="pct"/>
            <w:vAlign w:val="center"/>
          </w:tcPr>
          <w:p w14:paraId="49F6B114" w14:textId="22D58DC3"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5</w:t>
            </w:r>
          </w:p>
        </w:tc>
      </w:tr>
      <w:tr w:rsidR="004D2EE8" w:rsidRPr="004D2EE8" w14:paraId="017574DC" w14:textId="77777777" w:rsidTr="004D2EE8">
        <w:trPr>
          <w:trHeight w:val="283"/>
        </w:trPr>
        <w:tc>
          <w:tcPr>
            <w:tcW w:w="3039" w:type="pct"/>
            <w:vAlign w:val="center"/>
          </w:tcPr>
          <w:p w14:paraId="0D975DC6" w14:textId="5910A927"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能够根据负荷需求及时调整出力，实现源网荷储协调</w:t>
            </w:r>
          </w:p>
        </w:tc>
        <w:tc>
          <w:tcPr>
            <w:tcW w:w="1198" w:type="pct"/>
            <w:vAlign w:val="center"/>
          </w:tcPr>
          <w:p w14:paraId="02F53F7D" w14:textId="22ED5681"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4.375</w:t>
            </w:r>
          </w:p>
        </w:tc>
        <w:tc>
          <w:tcPr>
            <w:tcW w:w="763" w:type="pct"/>
            <w:vAlign w:val="center"/>
          </w:tcPr>
          <w:p w14:paraId="159147A0" w14:textId="6D5BE9D4"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6</w:t>
            </w:r>
          </w:p>
        </w:tc>
      </w:tr>
      <w:tr w:rsidR="004D2EE8" w:rsidRPr="004D2EE8" w14:paraId="5960356F" w14:textId="77777777" w:rsidTr="004D2EE8">
        <w:trPr>
          <w:trHeight w:val="283"/>
        </w:trPr>
        <w:tc>
          <w:tcPr>
            <w:tcW w:w="3039" w:type="pct"/>
            <w:vAlign w:val="center"/>
          </w:tcPr>
          <w:p w14:paraId="44B670E3" w14:textId="6F3612E2" w:rsidR="004D2EE8" w:rsidRPr="004D2EE8" w:rsidRDefault="004D2EE8" w:rsidP="004D2EE8">
            <w:pPr>
              <w:pStyle w:val="af0"/>
              <w:spacing w:line="240" w:lineRule="atLeast"/>
              <w:jc w:val="left"/>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能够实现水风光储多能互补</w:t>
            </w:r>
          </w:p>
        </w:tc>
        <w:tc>
          <w:tcPr>
            <w:tcW w:w="1198" w:type="pct"/>
            <w:vAlign w:val="center"/>
          </w:tcPr>
          <w:p w14:paraId="26157FB2" w14:textId="061C4811" w:rsidR="004D2EE8" w:rsidRPr="004D2EE8" w:rsidRDefault="004D2EE8" w:rsidP="004D2EE8">
            <w:pPr>
              <w:pStyle w:val="af0"/>
              <w:spacing w:line="240" w:lineRule="atLeast"/>
              <w:jc w:val="center"/>
              <w:rPr>
                <w:rFonts w:ascii="Times New Roman" w:eastAsia="宋体" w:hAnsi="Times New Roman" w:cs="Times New Roman"/>
                <w:color w:val="000000"/>
                <w:sz w:val="21"/>
                <w:szCs w:val="21"/>
              </w:rPr>
            </w:pPr>
            <w:r w:rsidRPr="004D2EE8">
              <w:rPr>
                <w:rFonts w:ascii="Times New Roman" w:eastAsia="宋体" w:hAnsi="Times New Roman" w:hint="eastAsia"/>
                <w:color w:val="000000"/>
                <w:sz w:val="21"/>
                <w:szCs w:val="21"/>
              </w:rPr>
              <w:t>4.328</w:t>
            </w:r>
          </w:p>
        </w:tc>
        <w:tc>
          <w:tcPr>
            <w:tcW w:w="763" w:type="pct"/>
            <w:vAlign w:val="center"/>
          </w:tcPr>
          <w:p w14:paraId="21D0913A" w14:textId="7A266784" w:rsidR="004D2EE8" w:rsidRPr="004D2EE8" w:rsidRDefault="004D2EE8" w:rsidP="004D2EE8">
            <w:pPr>
              <w:pStyle w:val="af0"/>
              <w:spacing w:line="240" w:lineRule="atLeast"/>
              <w:jc w:val="center"/>
              <w:rPr>
                <w:rFonts w:ascii="Times New Roman" w:eastAsia="宋体" w:hAnsi="Times New Roman" w:cs="Times New Roman"/>
                <w:color w:val="000000"/>
                <w:sz w:val="21"/>
                <w:szCs w:val="21"/>
              </w:rPr>
            </w:pPr>
            <w:r w:rsidRPr="004D2EE8">
              <w:rPr>
                <w:rFonts w:ascii="Times New Roman" w:eastAsia="宋体" w:hAnsi="Times New Roman" w:hint="eastAsia"/>
                <w:color w:val="000000"/>
                <w:sz w:val="21"/>
                <w:szCs w:val="21"/>
              </w:rPr>
              <w:t>7</w:t>
            </w:r>
          </w:p>
        </w:tc>
      </w:tr>
      <w:tr w:rsidR="004D2EE8" w:rsidRPr="004D2EE8" w14:paraId="724EA84F" w14:textId="77777777" w:rsidTr="004D2EE8">
        <w:trPr>
          <w:cnfStyle w:val="010000000000" w:firstRow="0" w:lastRow="1" w:firstColumn="0" w:lastColumn="0" w:oddVBand="0" w:evenVBand="0" w:oddHBand="0" w:evenHBand="0" w:firstRowFirstColumn="0" w:firstRowLastColumn="0" w:lastRowFirstColumn="0" w:lastRowLastColumn="0"/>
          <w:trHeight w:val="283"/>
        </w:trPr>
        <w:tc>
          <w:tcPr>
            <w:tcW w:w="3039" w:type="pct"/>
            <w:vAlign w:val="center"/>
            <w:hideMark/>
          </w:tcPr>
          <w:p w14:paraId="3F2B2CD2" w14:textId="77777777" w:rsidR="004D2EE8" w:rsidRPr="004D2EE8" w:rsidRDefault="004D2EE8" w:rsidP="004D2EE8">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hint="eastAsia"/>
                <w:bCs w:val="0"/>
                <w:sz w:val="21"/>
                <w:szCs w:val="21"/>
              </w:rPr>
              <w:t>均值</w:t>
            </w:r>
          </w:p>
        </w:tc>
        <w:tc>
          <w:tcPr>
            <w:tcW w:w="1198" w:type="pct"/>
            <w:vAlign w:val="center"/>
            <w:hideMark/>
          </w:tcPr>
          <w:p w14:paraId="766354B8" w14:textId="183285AC" w:rsidR="004D2EE8" w:rsidRPr="004D2EE8" w:rsidRDefault="004D2EE8" w:rsidP="004D2EE8">
            <w:pPr>
              <w:pStyle w:val="af0"/>
              <w:spacing w:line="240" w:lineRule="atLeast"/>
              <w:jc w:val="center"/>
              <w:rPr>
                <w:rFonts w:ascii="Times New Roman" w:eastAsia="宋体" w:hAnsi="Times New Roman" w:cs="Times New Roman"/>
                <w:bCs w:val="0"/>
                <w:sz w:val="21"/>
                <w:szCs w:val="21"/>
              </w:rPr>
            </w:pPr>
            <w:r w:rsidRPr="004D2EE8">
              <w:rPr>
                <w:rFonts w:ascii="Times New Roman" w:eastAsia="宋体" w:hAnsi="Times New Roman" w:hint="eastAsia"/>
                <w:color w:val="000000"/>
                <w:sz w:val="21"/>
                <w:szCs w:val="21"/>
              </w:rPr>
              <w:t>4.406</w:t>
            </w:r>
          </w:p>
        </w:tc>
        <w:tc>
          <w:tcPr>
            <w:tcW w:w="763" w:type="pct"/>
            <w:vAlign w:val="center"/>
            <w:hideMark/>
          </w:tcPr>
          <w:p w14:paraId="5BB60E47" w14:textId="77777777" w:rsidR="004D2EE8" w:rsidRPr="004D2EE8" w:rsidRDefault="004D2EE8" w:rsidP="004D2EE8">
            <w:pPr>
              <w:pStyle w:val="af0"/>
              <w:spacing w:line="240" w:lineRule="atLeast"/>
              <w:jc w:val="center"/>
              <w:rPr>
                <w:rFonts w:ascii="Times New Roman" w:eastAsia="宋体" w:hAnsi="Times New Roman" w:cs="Times New Roman"/>
                <w:bCs w:val="0"/>
                <w:sz w:val="21"/>
                <w:szCs w:val="21"/>
              </w:rPr>
            </w:pPr>
            <w:r w:rsidRPr="004D2EE8">
              <w:rPr>
                <w:rFonts w:ascii="Times New Roman" w:eastAsia="宋体" w:hAnsi="Times New Roman" w:cs="Times New Roman"/>
                <w:bCs w:val="0"/>
                <w:sz w:val="21"/>
                <w:szCs w:val="21"/>
              </w:rPr>
              <w:t>-</w:t>
            </w:r>
          </w:p>
        </w:tc>
      </w:tr>
    </w:tbl>
    <w:p w14:paraId="5A674630" w14:textId="1F337F58" w:rsidR="004D2EE8" w:rsidRDefault="004D2EE8" w:rsidP="004D2EE8">
      <w:pPr>
        <w:spacing w:beforeLines="50" w:before="156"/>
        <w:ind w:firstLine="420"/>
      </w:pPr>
      <w:r w:rsidRPr="00C35659">
        <w:rPr>
          <w:rFonts w:hint="eastAsia"/>
        </w:rPr>
        <w:t>如</w:t>
      </w:r>
      <w:r>
        <w:fldChar w:fldCharType="begin"/>
      </w:r>
      <w:r>
        <w:instrText xml:space="preserve"> </w:instrText>
      </w:r>
      <w:r>
        <w:rPr>
          <w:rFonts w:hint="eastAsia"/>
        </w:rPr>
        <w:instrText>REF _Ref200169756 \h</w:instrText>
      </w:r>
      <w:r>
        <w:instrText xml:space="preserve"> </w:instrText>
      </w:r>
      <w:r>
        <w:fldChar w:fldCharType="separate"/>
      </w:r>
      <w:r w:rsidR="000F2689">
        <w:rPr>
          <w:rFonts w:hint="eastAsia"/>
        </w:rPr>
        <w:t>表</w:t>
      </w:r>
      <w:r w:rsidR="000F2689">
        <w:rPr>
          <w:rFonts w:hint="eastAsia"/>
        </w:rPr>
        <w:t xml:space="preserve"> </w:t>
      </w:r>
      <w:r w:rsidR="000F2689">
        <w:rPr>
          <w:noProof/>
        </w:rPr>
        <w:t>8</w:t>
      </w:r>
      <w:r>
        <w:fldChar w:fldCharType="end"/>
      </w:r>
      <w:r w:rsidRPr="00C35659">
        <w:rPr>
          <w:rFonts w:hint="eastAsia"/>
        </w:rPr>
        <w:t>所示</w:t>
      </w:r>
      <w:r>
        <w:rPr>
          <w:rFonts w:hint="eastAsia"/>
        </w:rPr>
        <w:t>，当前清洁能源基地运营水平总体良好。“</w:t>
      </w:r>
      <w:r>
        <w:rPr>
          <w:rFonts w:hint="eastAsia"/>
          <w:color w:val="000000"/>
        </w:rPr>
        <w:t>能够实现电站安全稳定运行”得分最高，</w:t>
      </w:r>
      <w:r>
        <w:rPr>
          <w:rFonts w:hint="eastAsia"/>
        </w:rPr>
        <w:t>表明清洁能源基地运行具备较高的安全性与稳定性。相比之下，“能够实现水风光储多能互补”得分最低，可归因于风、光出力波动性较强，出力预测</w:t>
      </w:r>
      <w:r>
        <w:t>精度</w:t>
      </w:r>
      <w:r>
        <w:rPr>
          <w:rFonts w:hint="eastAsia"/>
        </w:rPr>
        <w:t>、</w:t>
      </w:r>
      <w:r>
        <w:t>智能调度系统的</w:t>
      </w:r>
      <w:r>
        <w:rPr>
          <w:rFonts w:hint="eastAsia"/>
        </w:rPr>
        <w:t>负荷</w:t>
      </w:r>
      <w:r>
        <w:t>响应能力存在优化空间</w:t>
      </w:r>
      <w:r>
        <w:rPr>
          <w:rFonts w:hint="eastAsia"/>
        </w:rPr>
        <w:t>。受访专家也表示“现在为减少风光出力不稳定的影响，在实际运行中对风电站、光伏电站的出力限制很严格、很保守”。</w:t>
      </w:r>
    </w:p>
    <w:p w14:paraId="04969D2B" w14:textId="2862E590" w:rsidR="004D2EE8" w:rsidRDefault="004D2EE8" w:rsidP="00E17813">
      <w:pPr>
        <w:pStyle w:val="2"/>
      </w:pPr>
      <w:r>
        <w:rPr>
          <w:rFonts w:hint="eastAsia"/>
        </w:rPr>
        <w:t>清洁能源基地绩效</w:t>
      </w:r>
    </w:p>
    <w:p w14:paraId="05E646CF" w14:textId="487C7793" w:rsidR="004D2EE8" w:rsidRPr="00BB7CE2" w:rsidRDefault="004D2EE8" w:rsidP="004D2EE8">
      <w:pPr>
        <w:ind w:firstLine="420"/>
      </w:pPr>
      <w:r w:rsidRPr="00A4271D">
        <w:rPr>
          <w:rFonts w:hint="eastAsia"/>
        </w:rPr>
        <w:t>清洁能源基地</w:t>
      </w:r>
      <w:r>
        <w:rPr>
          <w:rFonts w:hint="eastAsia"/>
        </w:rPr>
        <w:t>运营情况</w:t>
      </w:r>
      <w:r w:rsidRPr="00C35659">
        <w:rPr>
          <w:rFonts w:hint="eastAsia"/>
        </w:rPr>
        <w:t>如</w:t>
      </w:r>
      <w:r>
        <w:fldChar w:fldCharType="begin"/>
      </w:r>
      <w:r>
        <w:instrText xml:space="preserve"> </w:instrText>
      </w:r>
      <w:r>
        <w:rPr>
          <w:rFonts w:hint="eastAsia"/>
        </w:rPr>
        <w:instrText>REF _Ref200169973 \h</w:instrText>
      </w:r>
      <w:r>
        <w:instrText xml:space="preserve"> </w:instrText>
      </w:r>
      <w:r>
        <w:fldChar w:fldCharType="separate"/>
      </w:r>
      <w:r w:rsidR="000F2689">
        <w:rPr>
          <w:rFonts w:hint="eastAsia"/>
        </w:rPr>
        <w:t>表</w:t>
      </w:r>
      <w:r w:rsidR="000F2689">
        <w:rPr>
          <w:rFonts w:hint="eastAsia"/>
        </w:rPr>
        <w:t xml:space="preserve"> </w:t>
      </w:r>
      <w:r w:rsidR="000F2689">
        <w:rPr>
          <w:noProof/>
        </w:rPr>
        <w:t>9</w:t>
      </w:r>
      <w:r>
        <w:fldChar w:fldCharType="end"/>
      </w:r>
      <w:r w:rsidRPr="00C35659">
        <w:rPr>
          <w:rFonts w:hint="eastAsia"/>
        </w:rPr>
        <w:t>所示</w:t>
      </w:r>
      <w:r>
        <w:rPr>
          <w:rFonts w:hint="eastAsia"/>
        </w:rPr>
        <w:t>，其中</w:t>
      </w:r>
      <w:r w:rsidRPr="00541135">
        <w:rPr>
          <w:rFonts w:hint="eastAsia"/>
        </w:rPr>
        <w:t>，</w:t>
      </w:r>
      <w:r w:rsidRPr="00541135">
        <w:rPr>
          <w:rFonts w:hint="eastAsia"/>
        </w:rPr>
        <w:t>1</w:t>
      </w:r>
      <w:r w:rsidRPr="00541135">
        <w:rPr>
          <w:rFonts w:hint="eastAsia"/>
        </w:rPr>
        <w:t>分表示</w:t>
      </w:r>
      <w:r>
        <w:rPr>
          <w:rFonts w:hint="eastAsia"/>
        </w:rPr>
        <w:t>很</w:t>
      </w:r>
      <w:r w:rsidRPr="00541135">
        <w:rPr>
          <w:rFonts w:hint="eastAsia"/>
        </w:rPr>
        <w:t>不符合，</w:t>
      </w:r>
      <w:r w:rsidRPr="00541135">
        <w:rPr>
          <w:rFonts w:hint="eastAsia"/>
        </w:rPr>
        <w:t>5</w:t>
      </w:r>
      <w:r w:rsidRPr="00541135">
        <w:rPr>
          <w:rFonts w:hint="eastAsia"/>
        </w:rPr>
        <w:t>分表示</w:t>
      </w:r>
      <w:r>
        <w:rPr>
          <w:rFonts w:hint="eastAsia"/>
        </w:rPr>
        <w:t>非常</w:t>
      </w:r>
      <w:r w:rsidRPr="00541135">
        <w:rPr>
          <w:rFonts w:hint="eastAsia"/>
        </w:rPr>
        <w:t>符合</w:t>
      </w:r>
      <w:r>
        <w:rPr>
          <w:rFonts w:hint="eastAsia"/>
          <w:szCs w:val="21"/>
        </w:rPr>
        <w:t>。</w:t>
      </w:r>
    </w:p>
    <w:p w14:paraId="6E373549" w14:textId="2D509BC7" w:rsidR="004D2EE8" w:rsidRPr="004D2EE8" w:rsidRDefault="004D2EE8" w:rsidP="00EB718D">
      <w:pPr>
        <w:pStyle w:val="afa"/>
        <w:keepNext/>
        <w:spacing w:beforeLines="50" w:before="156"/>
        <w:ind w:firstLine="420"/>
      </w:pPr>
      <w:bookmarkStart w:id="26" w:name="_Ref200169973"/>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9</w:t>
      </w:r>
      <w:r>
        <w:fldChar w:fldCharType="end"/>
      </w:r>
      <w:bookmarkEnd w:id="26"/>
      <w:r>
        <w:rPr>
          <w:rFonts w:hint="eastAsia"/>
        </w:rPr>
        <w:t xml:space="preserve"> </w:t>
      </w:r>
      <w:r w:rsidRPr="00A4271D">
        <w:rPr>
          <w:rFonts w:hint="eastAsia"/>
        </w:rPr>
        <w:t>清洁能源基地</w:t>
      </w:r>
      <w:r>
        <w:rPr>
          <w:rFonts w:hint="eastAsia"/>
        </w:rPr>
        <w:t>绩效情况</w:t>
      </w:r>
    </w:p>
    <w:tbl>
      <w:tblPr>
        <w:tblStyle w:val="22"/>
        <w:tblW w:w="5000" w:type="pct"/>
        <w:tblLook w:val="0660" w:firstRow="1" w:lastRow="1" w:firstColumn="0" w:lastColumn="0" w:noHBand="1" w:noVBand="1"/>
      </w:tblPr>
      <w:tblGrid>
        <w:gridCol w:w="2784"/>
        <w:gridCol w:w="1109"/>
        <w:gridCol w:w="741"/>
      </w:tblGrid>
      <w:tr w:rsidR="004D2EE8" w:rsidRPr="004D2EE8" w14:paraId="2AD4F3C8" w14:textId="77777777" w:rsidTr="004D2EE8">
        <w:trPr>
          <w:cnfStyle w:val="100000000000" w:firstRow="1" w:lastRow="0" w:firstColumn="0" w:lastColumn="0" w:oddVBand="0" w:evenVBand="0" w:oddHBand="0" w:evenHBand="0" w:firstRowFirstColumn="0" w:firstRowLastColumn="0" w:lastRowFirstColumn="0" w:lastRowLastColumn="0"/>
          <w:trHeight w:val="283"/>
        </w:trPr>
        <w:tc>
          <w:tcPr>
            <w:tcW w:w="3004" w:type="pct"/>
            <w:vAlign w:val="center"/>
            <w:hideMark/>
          </w:tcPr>
          <w:p w14:paraId="5704134D" w14:textId="77777777" w:rsidR="004D2EE8" w:rsidRPr="004D2EE8" w:rsidRDefault="004D2EE8" w:rsidP="002D1967">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hint="eastAsia"/>
                <w:bCs w:val="0"/>
                <w:sz w:val="21"/>
                <w:szCs w:val="21"/>
              </w:rPr>
              <w:t>指标</w:t>
            </w:r>
          </w:p>
        </w:tc>
        <w:tc>
          <w:tcPr>
            <w:tcW w:w="1197" w:type="pct"/>
            <w:vAlign w:val="center"/>
            <w:hideMark/>
          </w:tcPr>
          <w:p w14:paraId="52654C76" w14:textId="77777777" w:rsidR="004D2EE8" w:rsidRPr="004D2EE8" w:rsidRDefault="004D2EE8" w:rsidP="002D1967">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bCs w:val="0"/>
                <w:sz w:val="21"/>
                <w:szCs w:val="21"/>
              </w:rPr>
              <w:t>得分</w:t>
            </w:r>
          </w:p>
        </w:tc>
        <w:tc>
          <w:tcPr>
            <w:tcW w:w="800" w:type="pct"/>
            <w:vAlign w:val="center"/>
            <w:hideMark/>
          </w:tcPr>
          <w:p w14:paraId="13331C64" w14:textId="77777777" w:rsidR="004D2EE8" w:rsidRPr="004D2EE8" w:rsidRDefault="004D2EE8" w:rsidP="002D1967">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bCs w:val="0"/>
                <w:sz w:val="21"/>
                <w:szCs w:val="21"/>
              </w:rPr>
              <w:t>排序</w:t>
            </w:r>
          </w:p>
        </w:tc>
      </w:tr>
      <w:tr w:rsidR="004D2EE8" w:rsidRPr="004D2EE8" w14:paraId="3658D9F5" w14:textId="77777777" w:rsidTr="004D2EE8">
        <w:trPr>
          <w:trHeight w:val="283"/>
        </w:trPr>
        <w:tc>
          <w:tcPr>
            <w:tcW w:w="3004" w:type="pct"/>
            <w:vAlign w:val="center"/>
          </w:tcPr>
          <w:p w14:paraId="46991620" w14:textId="6FA7D916" w:rsidR="004D2EE8" w:rsidRPr="004D2EE8" w:rsidRDefault="004D2EE8" w:rsidP="004D2EE8">
            <w:pPr>
              <w:pStyle w:val="af0"/>
              <w:spacing w:line="240" w:lineRule="atLeast"/>
              <w:jc w:val="left"/>
              <w:rPr>
                <w:rFonts w:ascii="Times New Roman" w:eastAsia="宋体" w:hAnsi="Times New Roman"/>
                <w:bCs/>
                <w:sz w:val="21"/>
                <w:szCs w:val="21"/>
              </w:rPr>
            </w:pPr>
            <w:r w:rsidRPr="004D2EE8">
              <w:rPr>
                <w:rFonts w:ascii="Times New Roman" w:eastAsia="宋体" w:hAnsi="Times New Roman" w:hint="eastAsia"/>
                <w:color w:val="000000"/>
                <w:sz w:val="21"/>
                <w:szCs w:val="21"/>
              </w:rPr>
              <w:t>环保水保</w:t>
            </w:r>
          </w:p>
        </w:tc>
        <w:tc>
          <w:tcPr>
            <w:tcW w:w="1197" w:type="pct"/>
            <w:vAlign w:val="center"/>
          </w:tcPr>
          <w:p w14:paraId="79F294A0" w14:textId="0CCB8F6A" w:rsidR="004D2EE8" w:rsidRPr="004D2EE8" w:rsidRDefault="004D2EE8" w:rsidP="004D2EE8">
            <w:pPr>
              <w:pStyle w:val="af0"/>
              <w:spacing w:line="240" w:lineRule="atLeast"/>
              <w:jc w:val="center"/>
              <w:rPr>
                <w:rFonts w:ascii="Times New Roman" w:eastAsia="宋体" w:hAnsi="Times New Roman"/>
                <w:bCs/>
                <w:sz w:val="21"/>
                <w:szCs w:val="21"/>
              </w:rPr>
            </w:pPr>
            <w:r w:rsidRPr="004D2EE8">
              <w:rPr>
                <w:rFonts w:ascii="Times New Roman" w:eastAsia="宋体" w:hAnsi="Times New Roman" w:hint="eastAsia"/>
                <w:color w:val="000000"/>
                <w:sz w:val="21"/>
                <w:szCs w:val="21"/>
              </w:rPr>
              <w:t>4.440</w:t>
            </w:r>
          </w:p>
        </w:tc>
        <w:tc>
          <w:tcPr>
            <w:tcW w:w="800" w:type="pct"/>
            <w:vAlign w:val="center"/>
          </w:tcPr>
          <w:p w14:paraId="6A3CB782" w14:textId="3C084B6B" w:rsidR="004D2EE8" w:rsidRPr="004D2EE8" w:rsidRDefault="004D2EE8" w:rsidP="004D2EE8">
            <w:pPr>
              <w:pStyle w:val="af0"/>
              <w:spacing w:line="240" w:lineRule="atLeast"/>
              <w:jc w:val="center"/>
              <w:rPr>
                <w:rFonts w:ascii="Times New Roman" w:eastAsia="宋体" w:hAnsi="Times New Roman"/>
                <w:bCs/>
                <w:sz w:val="21"/>
                <w:szCs w:val="21"/>
              </w:rPr>
            </w:pPr>
            <w:r w:rsidRPr="004D2EE8">
              <w:rPr>
                <w:rFonts w:ascii="Times New Roman" w:eastAsia="宋体" w:hAnsi="Times New Roman" w:hint="eastAsia"/>
                <w:color w:val="000000"/>
                <w:sz w:val="21"/>
                <w:szCs w:val="21"/>
              </w:rPr>
              <w:t>1</w:t>
            </w:r>
          </w:p>
        </w:tc>
      </w:tr>
      <w:tr w:rsidR="004D2EE8" w:rsidRPr="004D2EE8" w14:paraId="481C1049" w14:textId="77777777" w:rsidTr="004D2EE8">
        <w:trPr>
          <w:trHeight w:val="283"/>
        </w:trPr>
        <w:tc>
          <w:tcPr>
            <w:tcW w:w="3004" w:type="pct"/>
            <w:vAlign w:val="center"/>
          </w:tcPr>
          <w:p w14:paraId="09AE5CC8" w14:textId="15401CC7" w:rsidR="004D2EE8" w:rsidRPr="004D2EE8" w:rsidRDefault="004D2EE8" w:rsidP="004D2EE8">
            <w:pPr>
              <w:pStyle w:val="af0"/>
              <w:spacing w:line="240" w:lineRule="atLeast"/>
              <w:jc w:val="left"/>
              <w:rPr>
                <w:rFonts w:ascii="Times New Roman" w:eastAsia="宋体" w:hAnsi="Times New Roman"/>
                <w:bCs/>
                <w:sz w:val="21"/>
                <w:szCs w:val="21"/>
              </w:rPr>
            </w:pPr>
            <w:r w:rsidRPr="004D2EE8">
              <w:rPr>
                <w:rFonts w:ascii="Times New Roman" w:eastAsia="宋体" w:hAnsi="Times New Roman" w:hint="eastAsia"/>
                <w:color w:val="000000"/>
                <w:sz w:val="21"/>
                <w:szCs w:val="21"/>
              </w:rPr>
              <w:t>职业健康与安全</w:t>
            </w:r>
          </w:p>
        </w:tc>
        <w:tc>
          <w:tcPr>
            <w:tcW w:w="1197" w:type="pct"/>
            <w:vAlign w:val="center"/>
          </w:tcPr>
          <w:p w14:paraId="012A10CB" w14:textId="1D1A5D06"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4.433</w:t>
            </w:r>
          </w:p>
        </w:tc>
        <w:tc>
          <w:tcPr>
            <w:tcW w:w="800" w:type="pct"/>
            <w:vAlign w:val="center"/>
          </w:tcPr>
          <w:p w14:paraId="45D2EEB3" w14:textId="74C39868"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2</w:t>
            </w:r>
          </w:p>
        </w:tc>
      </w:tr>
      <w:tr w:rsidR="004D2EE8" w:rsidRPr="004D2EE8" w14:paraId="78E52331" w14:textId="77777777" w:rsidTr="004D2EE8">
        <w:trPr>
          <w:trHeight w:val="283"/>
        </w:trPr>
        <w:tc>
          <w:tcPr>
            <w:tcW w:w="3004" w:type="pct"/>
            <w:vAlign w:val="center"/>
          </w:tcPr>
          <w:p w14:paraId="77A99BDB" w14:textId="579CB477"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质量</w:t>
            </w:r>
          </w:p>
        </w:tc>
        <w:tc>
          <w:tcPr>
            <w:tcW w:w="1197" w:type="pct"/>
            <w:vAlign w:val="center"/>
          </w:tcPr>
          <w:p w14:paraId="40CD0A82" w14:textId="7660405D"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4.430</w:t>
            </w:r>
          </w:p>
        </w:tc>
        <w:tc>
          <w:tcPr>
            <w:tcW w:w="800" w:type="pct"/>
            <w:vAlign w:val="center"/>
          </w:tcPr>
          <w:p w14:paraId="1518F113" w14:textId="2F774E8E"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3</w:t>
            </w:r>
          </w:p>
        </w:tc>
      </w:tr>
      <w:tr w:rsidR="004D2EE8" w:rsidRPr="004D2EE8" w14:paraId="47C8AD1E" w14:textId="77777777" w:rsidTr="004D2EE8">
        <w:trPr>
          <w:trHeight w:val="283"/>
        </w:trPr>
        <w:tc>
          <w:tcPr>
            <w:tcW w:w="3004" w:type="pct"/>
            <w:vAlign w:val="center"/>
          </w:tcPr>
          <w:p w14:paraId="0983FEF9" w14:textId="31C41F95"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lastRenderedPageBreak/>
              <w:t>社会效益</w:t>
            </w:r>
          </w:p>
        </w:tc>
        <w:tc>
          <w:tcPr>
            <w:tcW w:w="1197" w:type="pct"/>
            <w:vAlign w:val="center"/>
          </w:tcPr>
          <w:p w14:paraId="27D946CA" w14:textId="7F39284E"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4.430</w:t>
            </w:r>
          </w:p>
        </w:tc>
        <w:tc>
          <w:tcPr>
            <w:tcW w:w="800" w:type="pct"/>
            <w:vAlign w:val="center"/>
          </w:tcPr>
          <w:p w14:paraId="557D6CED" w14:textId="0F21EB03"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3</w:t>
            </w:r>
          </w:p>
        </w:tc>
      </w:tr>
      <w:tr w:rsidR="004D2EE8" w:rsidRPr="004D2EE8" w14:paraId="47E3C9F8" w14:textId="77777777" w:rsidTr="004D2EE8">
        <w:trPr>
          <w:trHeight w:val="283"/>
        </w:trPr>
        <w:tc>
          <w:tcPr>
            <w:tcW w:w="3004" w:type="pct"/>
            <w:vAlign w:val="center"/>
          </w:tcPr>
          <w:p w14:paraId="78A63CC0" w14:textId="4BFC759D"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相关方满意度</w:t>
            </w:r>
          </w:p>
        </w:tc>
        <w:tc>
          <w:tcPr>
            <w:tcW w:w="1197" w:type="pct"/>
            <w:vAlign w:val="center"/>
          </w:tcPr>
          <w:p w14:paraId="1C757E53" w14:textId="54D3CA3E"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4.430</w:t>
            </w:r>
          </w:p>
        </w:tc>
        <w:tc>
          <w:tcPr>
            <w:tcW w:w="800" w:type="pct"/>
            <w:vAlign w:val="center"/>
          </w:tcPr>
          <w:p w14:paraId="627BF145" w14:textId="22AE08DC"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3</w:t>
            </w:r>
          </w:p>
        </w:tc>
      </w:tr>
      <w:tr w:rsidR="004D2EE8" w:rsidRPr="004D2EE8" w14:paraId="0ED22397" w14:textId="77777777" w:rsidTr="004D2EE8">
        <w:trPr>
          <w:trHeight w:val="283"/>
        </w:trPr>
        <w:tc>
          <w:tcPr>
            <w:tcW w:w="3004" w:type="pct"/>
            <w:vAlign w:val="center"/>
          </w:tcPr>
          <w:p w14:paraId="08C80A23" w14:textId="2F38E3C0" w:rsidR="004D2EE8" w:rsidRPr="004D2EE8" w:rsidRDefault="004D2EE8" w:rsidP="004D2EE8">
            <w:pPr>
              <w:pStyle w:val="af0"/>
              <w:spacing w:line="240" w:lineRule="atLeast"/>
              <w:jc w:val="left"/>
              <w:rPr>
                <w:rFonts w:ascii="Times New Roman" w:eastAsia="宋体" w:hAnsi="Times New Roman" w:cs="Times New Roman"/>
                <w:sz w:val="21"/>
                <w:szCs w:val="21"/>
              </w:rPr>
            </w:pPr>
            <w:r w:rsidRPr="004D2EE8">
              <w:rPr>
                <w:rFonts w:ascii="Times New Roman" w:eastAsia="宋体" w:hAnsi="Times New Roman" w:hint="eastAsia"/>
                <w:color w:val="000000"/>
                <w:sz w:val="21"/>
                <w:szCs w:val="21"/>
              </w:rPr>
              <w:t>进度</w:t>
            </w:r>
          </w:p>
        </w:tc>
        <w:tc>
          <w:tcPr>
            <w:tcW w:w="1197" w:type="pct"/>
            <w:vAlign w:val="center"/>
          </w:tcPr>
          <w:p w14:paraId="7D39886C" w14:textId="22AFDA1C"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4.423</w:t>
            </w:r>
          </w:p>
        </w:tc>
        <w:tc>
          <w:tcPr>
            <w:tcW w:w="800" w:type="pct"/>
            <w:vAlign w:val="center"/>
          </w:tcPr>
          <w:p w14:paraId="2333A1C7" w14:textId="73C93D62" w:rsidR="004D2EE8" w:rsidRPr="004D2EE8" w:rsidRDefault="004D2EE8" w:rsidP="004D2EE8">
            <w:pPr>
              <w:pStyle w:val="af0"/>
              <w:spacing w:line="240" w:lineRule="atLeast"/>
              <w:jc w:val="center"/>
              <w:rPr>
                <w:rFonts w:ascii="Times New Roman" w:eastAsia="宋体" w:hAnsi="Times New Roman" w:cs="Times New Roman"/>
                <w:bCs/>
                <w:sz w:val="21"/>
                <w:szCs w:val="21"/>
              </w:rPr>
            </w:pPr>
            <w:r w:rsidRPr="004D2EE8">
              <w:rPr>
                <w:rFonts w:ascii="Times New Roman" w:eastAsia="宋体" w:hAnsi="Times New Roman" w:hint="eastAsia"/>
                <w:color w:val="000000"/>
                <w:sz w:val="21"/>
                <w:szCs w:val="21"/>
              </w:rPr>
              <w:t>6</w:t>
            </w:r>
          </w:p>
        </w:tc>
      </w:tr>
      <w:tr w:rsidR="004D2EE8" w:rsidRPr="004D2EE8" w14:paraId="43365026" w14:textId="77777777" w:rsidTr="004D2EE8">
        <w:trPr>
          <w:trHeight w:val="283"/>
        </w:trPr>
        <w:tc>
          <w:tcPr>
            <w:tcW w:w="3004" w:type="pct"/>
            <w:vAlign w:val="center"/>
          </w:tcPr>
          <w:p w14:paraId="2EAC1898" w14:textId="3485FCD1" w:rsidR="004D2EE8" w:rsidRPr="004D2EE8" w:rsidRDefault="004D2EE8" w:rsidP="004D2EE8">
            <w:pPr>
              <w:pStyle w:val="af0"/>
              <w:spacing w:line="240" w:lineRule="atLeast"/>
              <w:jc w:val="left"/>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经济效益</w:t>
            </w:r>
          </w:p>
        </w:tc>
        <w:tc>
          <w:tcPr>
            <w:tcW w:w="1197" w:type="pct"/>
            <w:vAlign w:val="center"/>
          </w:tcPr>
          <w:p w14:paraId="1B3856AA" w14:textId="6E21307F" w:rsidR="004D2EE8" w:rsidRPr="004D2EE8" w:rsidRDefault="004D2EE8" w:rsidP="004D2EE8">
            <w:pPr>
              <w:pStyle w:val="af0"/>
              <w:spacing w:line="240" w:lineRule="atLeast"/>
              <w:jc w:val="center"/>
              <w:rPr>
                <w:rFonts w:ascii="Times New Roman" w:eastAsia="宋体" w:hAnsi="Times New Roman" w:cs="Times New Roman"/>
                <w:color w:val="000000"/>
                <w:sz w:val="21"/>
                <w:szCs w:val="21"/>
              </w:rPr>
            </w:pPr>
            <w:r w:rsidRPr="004D2EE8">
              <w:rPr>
                <w:rFonts w:ascii="Times New Roman" w:eastAsia="宋体" w:hAnsi="Times New Roman" w:hint="eastAsia"/>
                <w:color w:val="000000"/>
                <w:sz w:val="21"/>
                <w:szCs w:val="21"/>
              </w:rPr>
              <w:t>4.406</w:t>
            </w:r>
          </w:p>
        </w:tc>
        <w:tc>
          <w:tcPr>
            <w:tcW w:w="800" w:type="pct"/>
            <w:vAlign w:val="center"/>
          </w:tcPr>
          <w:p w14:paraId="5B616A42" w14:textId="0D1BD5B9" w:rsidR="004D2EE8" w:rsidRPr="004D2EE8" w:rsidRDefault="004D2EE8" w:rsidP="004D2EE8">
            <w:pPr>
              <w:pStyle w:val="af0"/>
              <w:spacing w:line="240" w:lineRule="atLeast"/>
              <w:jc w:val="center"/>
              <w:rPr>
                <w:rFonts w:ascii="Times New Roman" w:eastAsia="宋体" w:hAnsi="Times New Roman" w:cs="Times New Roman"/>
                <w:color w:val="000000"/>
                <w:sz w:val="21"/>
                <w:szCs w:val="21"/>
              </w:rPr>
            </w:pPr>
            <w:r w:rsidRPr="004D2EE8">
              <w:rPr>
                <w:rFonts w:ascii="Times New Roman" w:eastAsia="宋体" w:hAnsi="Times New Roman" w:hint="eastAsia"/>
                <w:color w:val="000000"/>
                <w:sz w:val="21"/>
                <w:szCs w:val="21"/>
              </w:rPr>
              <w:t>7</w:t>
            </w:r>
          </w:p>
        </w:tc>
      </w:tr>
      <w:tr w:rsidR="004D2EE8" w:rsidRPr="004D2EE8" w14:paraId="64D56BC5" w14:textId="77777777" w:rsidTr="004D2EE8">
        <w:trPr>
          <w:trHeight w:val="283"/>
        </w:trPr>
        <w:tc>
          <w:tcPr>
            <w:tcW w:w="3004" w:type="pct"/>
            <w:vAlign w:val="center"/>
          </w:tcPr>
          <w:p w14:paraId="6BA38809" w14:textId="13409D05" w:rsidR="004D2EE8" w:rsidRPr="004D2EE8" w:rsidRDefault="004D2EE8" w:rsidP="004D2EE8">
            <w:pPr>
              <w:pStyle w:val="af0"/>
              <w:spacing w:line="240" w:lineRule="atLeast"/>
              <w:jc w:val="left"/>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移民</w:t>
            </w:r>
          </w:p>
        </w:tc>
        <w:tc>
          <w:tcPr>
            <w:tcW w:w="1197" w:type="pct"/>
            <w:vAlign w:val="center"/>
          </w:tcPr>
          <w:p w14:paraId="7BA6ABAA" w14:textId="7B3863B8" w:rsidR="004D2EE8" w:rsidRPr="004D2EE8" w:rsidRDefault="004D2EE8" w:rsidP="004D2EE8">
            <w:pPr>
              <w:pStyle w:val="af0"/>
              <w:spacing w:line="240" w:lineRule="atLeast"/>
              <w:jc w:val="center"/>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4.386</w:t>
            </w:r>
          </w:p>
        </w:tc>
        <w:tc>
          <w:tcPr>
            <w:tcW w:w="800" w:type="pct"/>
            <w:vAlign w:val="center"/>
          </w:tcPr>
          <w:p w14:paraId="44149643" w14:textId="7FE2D566" w:rsidR="004D2EE8" w:rsidRPr="004D2EE8" w:rsidRDefault="004D2EE8" w:rsidP="004D2EE8">
            <w:pPr>
              <w:pStyle w:val="af0"/>
              <w:spacing w:line="240" w:lineRule="atLeast"/>
              <w:jc w:val="center"/>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8</w:t>
            </w:r>
          </w:p>
        </w:tc>
      </w:tr>
      <w:tr w:rsidR="004D2EE8" w:rsidRPr="004D2EE8" w14:paraId="2D4C70E5" w14:textId="77777777" w:rsidTr="002D1967">
        <w:trPr>
          <w:trHeight w:val="283"/>
        </w:trPr>
        <w:tc>
          <w:tcPr>
            <w:tcW w:w="3004" w:type="pct"/>
            <w:vAlign w:val="center"/>
          </w:tcPr>
          <w:p w14:paraId="0BFFA3AC" w14:textId="625ADECC" w:rsidR="004D2EE8" w:rsidRPr="004D2EE8" w:rsidRDefault="004D2EE8" w:rsidP="004D2EE8">
            <w:pPr>
              <w:pStyle w:val="af0"/>
              <w:spacing w:line="240" w:lineRule="atLeast"/>
              <w:jc w:val="left"/>
              <w:rPr>
                <w:rFonts w:ascii="Times New Roman" w:eastAsia="宋体" w:hAnsi="Times New Roman"/>
                <w:color w:val="000000"/>
                <w:sz w:val="21"/>
                <w:szCs w:val="21"/>
              </w:rPr>
            </w:pPr>
            <w:r w:rsidRPr="004D2EE8">
              <w:rPr>
                <w:rFonts w:ascii="Times New Roman" w:eastAsia="宋体" w:hAnsi="Times New Roman" w:hint="eastAsia"/>
                <w:color w:val="000000"/>
                <w:sz w:val="21"/>
                <w:szCs w:val="21"/>
              </w:rPr>
              <w:t>成本</w:t>
            </w:r>
          </w:p>
        </w:tc>
        <w:tc>
          <w:tcPr>
            <w:tcW w:w="1197" w:type="pct"/>
          </w:tcPr>
          <w:p w14:paraId="6936C7A9" w14:textId="3837CB5B" w:rsidR="004D2EE8" w:rsidRPr="004D2EE8" w:rsidRDefault="004D2EE8" w:rsidP="004D2EE8">
            <w:pPr>
              <w:pStyle w:val="af0"/>
              <w:spacing w:line="240" w:lineRule="atLeast"/>
              <w:jc w:val="center"/>
              <w:rPr>
                <w:rFonts w:ascii="Times New Roman" w:eastAsia="宋体" w:hAnsi="Times New Roman"/>
                <w:color w:val="000000"/>
                <w:sz w:val="21"/>
                <w:szCs w:val="21"/>
              </w:rPr>
            </w:pPr>
            <w:r w:rsidRPr="004D2EE8">
              <w:rPr>
                <w:rFonts w:ascii="Times New Roman" w:eastAsia="宋体" w:hAnsi="Times New Roman"/>
                <w:sz w:val="21"/>
                <w:szCs w:val="21"/>
              </w:rPr>
              <w:t xml:space="preserve">4.362 </w:t>
            </w:r>
          </w:p>
        </w:tc>
        <w:tc>
          <w:tcPr>
            <w:tcW w:w="800" w:type="pct"/>
          </w:tcPr>
          <w:p w14:paraId="759697DA" w14:textId="3C2196ED" w:rsidR="004D2EE8" w:rsidRPr="004D2EE8" w:rsidRDefault="004D2EE8" w:rsidP="004D2EE8">
            <w:pPr>
              <w:pStyle w:val="af0"/>
              <w:spacing w:line="240" w:lineRule="atLeast"/>
              <w:jc w:val="center"/>
              <w:rPr>
                <w:rFonts w:ascii="Times New Roman" w:eastAsia="宋体" w:hAnsi="Times New Roman"/>
                <w:color w:val="000000"/>
                <w:sz w:val="21"/>
                <w:szCs w:val="21"/>
              </w:rPr>
            </w:pPr>
            <w:r w:rsidRPr="004D2EE8">
              <w:rPr>
                <w:rFonts w:ascii="Times New Roman" w:eastAsia="宋体" w:hAnsi="Times New Roman"/>
                <w:sz w:val="21"/>
                <w:szCs w:val="21"/>
              </w:rPr>
              <w:t>9</w:t>
            </w:r>
          </w:p>
        </w:tc>
      </w:tr>
      <w:tr w:rsidR="004D2EE8" w:rsidRPr="004D2EE8" w14:paraId="72E2E5C4" w14:textId="77777777" w:rsidTr="004D2EE8">
        <w:trPr>
          <w:cnfStyle w:val="010000000000" w:firstRow="0" w:lastRow="1" w:firstColumn="0" w:lastColumn="0" w:oddVBand="0" w:evenVBand="0" w:oddHBand="0" w:evenHBand="0" w:firstRowFirstColumn="0" w:firstRowLastColumn="0" w:lastRowFirstColumn="0" w:lastRowLastColumn="0"/>
          <w:trHeight w:val="283"/>
        </w:trPr>
        <w:tc>
          <w:tcPr>
            <w:tcW w:w="3004" w:type="pct"/>
            <w:vAlign w:val="center"/>
            <w:hideMark/>
          </w:tcPr>
          <w:p w14:paraId="15ADAA68" w14:textId="77777777" w:rsidR="004D2EE8" w:rsidRPr="004D2EE8" w:rsidRDefault="004D2EE8" w:rsidP="004D2EE8">
            <w:pPr>
              <w:pStyle w:val="af0"/>
              <w:spacing w:line="240" w:lineRule="atLeast"/>
              <w:jc w:val="center"/>
              <w:rPr>
                <w:rFonts w:ascii="Times New Roman" w:eastAsia="宋体" w:hAnsi="Times New Roman"/>
                <w:bCs w:val="0"/>
                <w:sz w:val="21"/>
                <w:szCs w:val="21"/>
              </w:rPr>
            </w:pPr>
            <w:r w:rsidRPr="004D2EE8">
              <w:rPr>
                <w:rFonts w:ascii="Times New Roman" w:eastAsia="宋体" w:hAnsi="Times New Roman" w:hint="eastAsia"/>
                <w:bCs w:val="0"/>
                <w:sz w:val="21"/>
                <w:szCs w:val="21"/>
              </w:rPr>
              <w:t>均值</w:t>
            </w:r>
          </w:p>
        </w:tc>
        <w:tc>
          <w:tcPr>
            <w:tcW w:w="1197" w:type="pct"/>
            <w:vAlign w:val="center"/>
            <w:hideMark/>
          </w:tcPr>
          <w:p w14:paraId="426F2123" w14:textId="6C903707" w:rsidR="004D2EE8" w:rsidRPr="004D2EE8" w:rsidRDefault="004D2EE8" w:rsidP="004D2EE8">
            <w:pPr>
              <w:pStyle w:val="af0"/>
              <w:spacing w:line="240" w:lineRule="atLeast"/>
              <w:jc w:val="center"/>
              <w:rPr>
                <w:rFonts w:ascii="Times New Roman" w:eastAsia="宋体" w:hAnsi="Times New Roman" w:cs="Times New Roman"/>
                <w:sz w:val="21"/>
                <w:szCs w:val="21"/>
              </w:rPr>
            </w:pPr>
            <w:r w:rsidRPr="004D2EE8">
              <w:rPr>
                <w:rFonts w:ascii="Times New Roman" w:eastAsia="宋体" w:hAnsi="Times New Roman" w:hint="eastAsia"/>
                <w:sz w:val="21"/>
                <w:szCs w:val="21"/>
              </w:rPr>
              <w:t>4.416</w:t>
            </w:r>
          </w:p>
        </w:tc>
        <w:tc>
          <w:tcPr>
            <w:tcW w:w="800" w:type="pct"/>
            <w:vAlign w:val="center"/>
            <w:hideMark/>
          </w:tcPr>
          <w:p w14:paraId="3C570EE3" w14:textId="77777777" w:rsidR="004D2EE8" w:rsidRPr="004D2EE8" w:rsidRDefault="004D2EE8" w:rsidP="004D2EE8">
            <w:pPr>
              <w:pStyle w:val="af0"/>
              <w:spacing w:line="240" w:lineRule="atLeast"/>
              <w:jc w:val="center"/>
              <w:rPr>
                <w:rFonts w:ascii="Times New Roman" w:eastAsia="宋体" w:hAnsi="Times New Roman" w:cs="Times New Roman"/>
                <w:bCs w:val="0"/>
                <w:sz w:val="21"/>
                <w:szCs w:val="21"/>
              </w:rPr>
            </w:pPr>
            <w:r w:rsidRPr="004D2EE8">
              <w:rPr>
                <w:rFonts w:ascii="Times New Roman" w:eastAsia="宋体" w:hAnsi="Times New Roman" w:cs="Times New Roman"/>
                <w:bCs w:val="0"/>
                <w:sz w:val="21"/>
                <w:szCs w:val="21"/>
              </w:rPr>
              <w:t>-</w:t>
            </w:r>
          </w:p>
        </w:tc>
      </w:tr>
    </w:tbl>
    <w:p w14:paraId="51020F15" w14:textId="23CBA924" w:rsidR="004D2EE8" w:rsidRPr="004D2EE8" w:rsidRDefault="004D2EE8" w:rsidP="004B581A">
      <w:pPr>
        <w:spacing w:beforeLines="50" w:before="156"/>
        <w:ind w:firstLine="420"/>
      </w:pPr>
      <w:r w:rsidRPr="00C35659">
        <w:rPr>
          <w:rFonts w:hint="eastAsia"/>
        </w:rPr>
        <w:t>如</w:t>
      </w:r>
      <w:r>
        <w:fldChar w:fldCharType="begin"/>
      </w:r>
      <w:r>
        <w:instrText xml:space="preserve"> </w:instrText>
      </w:r>
      <w:r>
        <w:rPr>
          <w:rFonts w:hint="eastAsia"/>
        </w:rPr>
        <w:instrText>REF _Ref200169973 \h</w:instrText>
      </w:r>
      <w:r>
        <w:instrText xml:space="preserve"> </w:instrText>
      </w:r>
      <w:r>
        <w:fldChar w:fldCharType="separate"/>
      </w:r>
      <w:r w:rsidR="000F2689">
        <w:rPr>
          <w:rFonts w:hint="eastAsia"/>
        </w:rPr>
        <w:t>表</w:t>
      </w:r>
      <w:r w:rsidR="000F2689">
        <w:rPr>
          <w:rFonts w:hint="eastAsia"/>
        </w:rPr>
        <w:t xml:space="preserve"> </w:t>
      </w:r>
      <w:r w:rsidR="000F2689">
        <w:rPr>
          <w:noProof/>
        </w:rPr>
        <w:t>9</w:t>
      </w:r>
      <w:r>
        <w:fldChar w:fldCharType="end"/>
      </w:r>
      <w:r w:rsidRPr="00C35659">
        <w:rPr>
          <w:rFonts w:hint="eastAsia"/>
        </w:rPr>
        <w:t>所示</w:t>
      </w:r>
      <w:r>
        <w:rPr>
          <w:rFonts w:hint="eastAsia"/>
        </w:rPr>
        <w:t>，当前清洁能源基地绩效评价较好。“</w:t>
      </w:r>
      <w:r>
        <w:rPr>
          <w:rFonts w:hint="eastAsia"/>
          <w:color w:val="000000"/>
        </w:rPr>
        <w:t>环保水保</w:t>
      </w:r>
      <w:r>
        <w:rPr>
          <w:rFonts w:hint="eastAsia"/>
        </w:rPr>
        <w:t>”得分最高，可归因于清洁能源基地在规划设计阶段</w:t>
      </w:r>
      <w:r>
        <w:rPr>
          <w:rFonts w:ascii="Times" w:hAnsi="Times" w:hint="eastAsia"/>
          <w:color w:val="000000" w:themeColor="text1"/>
        </w:rPr>
        <w:t>优先避让生态红线，且重视避免其建设对周边生态环境的不良影响。此外，</w:t>
      </w:r>
      <w:r>
        <w:rPr>
          <w:rFonts w:hint="eastAsia"/>
        </w:rPr>
        <w:t>基地运营利用清洁能源发电，能够</w:t>
      </w:r>
      <w:r w:rsidRPr="004508AD">
        <w:rPr>
          <w:rFonts w:hint="eastAsia"/>
        </w:rPr>
        <w:t>减少传统化石能源使用</w:t>
      </w:r>
      <w:r>
        <w:rPr>
          <w:rFonts w:hint="eastAsia"/>
        </w:rPr>
        <w:t>，以</w:t>
      </w:r>
      <w:r w:rsidRPr="004508AD">
        <w:rPr>
          <w:rFonts w:hint="eastAsia"/>
        </w:rPr>
        <w:t>降低碳排放</w:t>
      </w:r>
      <w:r>
        <w:rPr>
          <w:rFonts w:hint="eastAsia"/>
        </w:rPr>
        <w:t>。“移民</w:t>
      </w:r>
      <w:r>
        <w:rPr>
          <w:rFonts w:hint="eastAsia"/>
          <w:color w:val="000000"/>
        </w:rPr>
        <w:t>”得分较低，表明</w:t>
      </w:r>
      <w:r>
        <w:t>清洁能源基地在</w:t>
      </w:r>
      <w:r>
        <w:rPr>
          <w:rFonts w:hint="eastAsia"/>
        </w:rPr>
        <w:t>征地</w:t>
      </w:r>
      <w:r>
        <w:t>移民工作方面仍面临一定挑战</w:t>
      </w:r>
      <w:r>
        <w:rPr>
          <w:rFonts w:hint="eastAsia"/>
        </w:rPr>
        <w:t>。“</w:t>
      </w:r>
      <w:r>
        <w:rPr>
          <w:rFonts w:hint="eastAsia"/>
          <w:color w:val="000000"/>
        </w:rPr>
        <w:t>成本</w:t>
      </w:r>
      <w:r>
        <w:rPr>
          <w:rFonts w:hint="eastAsia"/>
        </w:rPr>
        <w:t>”得分最低，</w:t>
      </w:r>
      <w:r w:rsidRPr="004508AD">
        <w:rPr>
          <w:rFonts w:hint="eastAsia"/>
        </w:rPr>
        <w:t>表明清洁能源基地</w:t>
      </w:r>
      <w:r>
        <w:rPr>
          <w:rFonts w:hint="eastAsia"/>
        </w:rPr>
        <w:t>在</w:t>
      </w:r>
      <w:r w:rsidRPr="004508AD">
        <w:rPr>
          <w:rFonts w:hint="eastAsia"/>
        </w:rPr>
        <w:t>成本</w:t>
      </w:r>
      <w:r>
        <w:rPr>
          <w:rFonts w:hint="eastAsia"/>
        </w:rPr>
        <w:t>控制方面</w:t>
      </w:r>
      <w:r w:rsidRPr="004508AD">
        <w:rPr>
          <w:rFonts w:hint="eastAsia"/>
        </w:rPr>
        <w:t>仍存在优化空间</w:t>
      </w:r>
      <w:r>
        <w:rPr>
          <w:rFonts w:hint="eastAsia"/>
        </w:rPr>
        <w:t>，归因于清洁能源基地多位于西南高寒地区，电站建设和电力输送成本较高。</w:t>
      </w:r>
    </w:p>
    <w:p w14:paraId="609B0DB5" w14:textId="3A2557C0" w:rsidR="00CC6409" w:rsidRDefault="00CC6409" w:rsidP="00CC6409">
      <w:pPr>
        <w:pStyle w:val="1"/>
      </w:pPr>
      <w:r>
        <w:rPr>
          <w:rFonts w:hint="eastAsia"/>
        </w:rPr>
        <w:t>模型验证与分析</w:t>
      </w:r>
    </w:p>
    <w:p w14:paraId="44E7ACE1" w14:textId="3C5E9131" w:rsidR="00CC6409" w:rsidRDefault="00CC6409" w:rsidP="00CC6409">
      <w:pPr>
        <w:pStyle w:val="2"/>
      </w:pPr>
      <w:r>
        <w:rPr>
          <w:rFonts w:hint="eastAsia"/>
        </w:rPr>
        <w:t>信度检验</w:t>
      </w:r>
    </w:p>
    <w:p w14:paraId="69576673" w14:textId="7C45E1F3" w:rsidR="00F96078" w:rsidRDefault="003346B5" w:rsidP="00100320">
      <w:pPr>
        <w:ind w:firstLine="420"/>
        <w:rPr>
          <w:rFonts w:cs="Times New Roman"/>
        </w:rPr>
      </w:pPr>
      <w:r w:rsidRPr="00874FF0">
        <w:rPr>
          <w:rFonts w:hint="eastAsia"/>
        </w:rPr>
        <w:t>信度用于</w:t>
      </w:r>
      <w:r>
        <w:t>评估潜变量所对应的测量指标是否具</w:t>
      </w:r>
      <w:r>
        <w:t>有内部一致性</w:t>
      </w:r>
      <w:r w:rsidRPr="00874FF0">
        <w:rPr>
          <w:rFonts w:hint="eastAsia"/>
        </w:rPr>
        <w:t>。</w:t>
      </w:r>
      <w:r>
        <w:rPr>
          <w:kern w:val="0"/>
        </w:rPr>
        <w:fldChar w:fldCharType="begin"/>
      </w:r>
      <w:r>
        <w:rPr>
          <w:kern w:val="0"/>
        </w:rPr>
        <w:instrText xml:space="preserve"> REF _Ref174310397 \h </w:instrText>
      </w:r>
      <w:r>
        <w:rPr>
          <w:kern w:val="0"/>
        </w:rPr>
      </w:r>
      <w:r>
        <w:rPr>
          <w:kern w:val="0"/>
        </w:rPr>
        <w:fldChar w:fldCharType="separate"/>
      </w:r>
      <w:r w:rsidR="000F2689">
        <w:rPr>
          <w:rFonts w:hint="eastAsia"/>
        </w:rPr>
        <w:t>图</w:t>
      </w:r>
      <w:r w:rsidR="000F2689">
        <w:rPr>
          <w:rFonts w:hint="eastAsia"/>
        </w:rPr>
        <w:t xml:space="preserve"> </w:t>
      </w:r>
      <w:r w:rsidR="000F2689">
        <w:rPr>
          <w:noProof/>
        </w:rPr>
        <w:t>1</w:t>
      </w:r>
      <w:r>
        <w:rPr>
          <w:kern w:val="0"/>
        </w:rPr>
        <w:fldChar w:fldCharType="end"/>
      </w:r>
      <w:r>
        <w:rPr>
          <w:rFonts w:hint="eastAsia"/>
        </w:rPr>
        <w:t>所示</w:t>
      </w:r>
      <w:r w:rsidRPr="00874FF0">
        <w:rPr>
          <w:rFonts w:hint="eastAsia"/>
        </w:rPr>
        <w:t>模型中</w:t>
      </w:r>
      <w:r>
        <w:rPr>
          <w:rFonts w:hint="eastAsia"/>
        </w:rPr>
        <w:t>，所有</w:t>
      </w:r>
      <w:r w:rsidRPr="00874FF0">
        <w:rPr>
          <w:rFonts w:hint="eastAsia"/>
        </w:rPr>
        <w:t>潜变量为反映型潜变量，因此本研究</w:t>
      </w:r>
      <w:r>
        <w:rPr>
          <w:rFonts w:hint="eastAsia"/>
        </w:rPr>
        <w:t>选取</w:t>
      </w:r>
      <w:r w:rsidRPr="00874FF0">
        <w:rPr>
          <w:rFonts w:hint="eastAsia"/>
        </w:rPr>
        <w:t>克隆巴赫系数（</w:t>
      </w:r>
      <w:r w:rsidRPr="00874FF0">
        <w:rPr>
          <w:rFonts w:hint="eastAsia"/>
        </w:rPr>
        <w:t>Cronbach</w:t>
      </w:r>
      <w:r>
        <w:t>’</w:t>
      </w:r>
      <w:r w:rsidRPr="00874FF0">
        <w:rPr>
          <w:rFonts w:hint="eastAsia"/>
        </w:rPr>
        <w:t>s</w:t>
      </w:r>
      <w:r>
        <w:rPr>
          <w:rFonts w:hint="eastAsia"/>
        </w:rPr>
        <w:t xml:space="preserve"> </w:t>
      </w:r>
      <m:oMath>
        <m:r>
          <w:rPr>
            <w:rFonts w:ascii="Cambria Math" w:hAnsi="Cambria Math"/>
          </w:rPr>
          <m:t>α</m:t>
        </m:r>
      </m:oMath>
      <w:r w:rsidRPr="00874FF0">
        <w:rPr>
          <w:rFonts w:hint="eastAsia"/>
        </w:rPr>
        <w:t>）、组合信度（</w:t>
      </w:r>
      <w:r w:rsidRPr="00874FF0">
        <w:rPr>
          <w:rFonts w:hint="eastAsia"/>
        </w:rPr>
        <w:t>Composite Reliability, CR</w:t>
      </w:r>
      <w:r w:rsidRPr="00874FF0">
        <w:rPr>
          <w:rFonts w:hint="eastAsia"/>
        </w:rPr>
        <w:t>）</w:t>
      </w:r>
      <w:r>
        <w:rPr>
          <w:rFonts w:hint="eastAsia"/>
        </w:rPr>
        <w:t>以及</w:t>
      </w:r>
      <w:r w:rsidRPr="00874FF0">
        <w:rPr>
          <w:rFonts w:hint="eastAsia"/>
        </w:rPr>
        <w:t>指标权重（</w:t>
      </w:r>
      <w:r w:rsidRPr="00874FF0">
        <w:rPr>
          <w:rFonts w:hint="eastAsia"/>
        </w:rPr>
        <w:t>Indicator loadings</w:t>
      </w:r>
      <w:r w:rsidRPr="00874FF0">
        <w:rPr>
          <w:rFonts w:hint="eastAsia"/>
        </w:rPr>
        <w:t>）</w:t>
      </w:r>
      <w:r>
        <w:t>对信度进行检验</w:t>
      </w:r>
      <w:r>
        <w:fldChar w:fldCharType="begin"/>
      </w:r>
      <w:r w:rsidR="00E17813">
        <w:instrText xml:space="preserve"> ADDIN ZOTERO_ITEM CSL_CITATION {"citationID":"akerhufecb","properties":{"formattedCitation":"\\super [108]\\nosupersub{}","plainCitation":"[108]","noteIndex":0},"citationItems":[{"id":2742,"uris":["http://zotero.org/users/13172592/items/PRMX6FT7"],"itemData":{"id":2742,"type":"article-journal","abstract":"Most methodological fields undertake regular critical reflections to ensure rigorous research and publication practices, and, consequently, acceptance in their domain. Interestingly, relatively little attention has been paid to assessing the use of partial least squares structural equation modeling (PLS-SEM) in marketing research—despite its increasing popularity in recent years. To fill this gap, we conducted an extensive search in the 30 top ranked marketing journals that allowed us to identify 204 PLS-SEM applications published in a 30-year period (1981 to 2010). A critical analysis of these articles addresses, amongst others, the following key methodological issues: reasons for using PLS-SEM, data and model characteristics, outer and inner model evaluations, and reporting. We also give an overview of the interdependencies between researchers’ choices, identify potential problem areas, and discuss their implications. On the basis of our findings, we provide comprehensive guidelines to aid researchers in avoiding common pitfalls in PLS-SEM use. This study is important for researchers and practitioners, as PLS-SEM requires several critical choices that, if not made correctly, can lead to improper findings, interpretations, and conclusions.","call-number":"1","container-title":"Journal of the Academy of Marketing Science","DOI":"10.1007/s11747-011-0261-6","ISSN":"1552-7824","issue":"3","journalAbbreviation":"J. of the Acad. Mark. Sci.","language":"en","license":"2011 Academy of Marketing Science","note":"Company: Springer\nDistributor: Springer\nInstitution: Springer\nLabel: Springer\nnumber: 3\npublisher: Springer US","page":"414-433","source":"9.5","title":"An assessment of the use of partial least squares structural equation modeling in marketing research","volume":"40","author":[{"family":"Hair","given":"Joe F."},{"family":"Sarstedt","given":"Marko"},{"family":"Ringle","given":"Christian M."},{"family":"Mena","given":"Jeannette A."}],"issued":{"date-parts":[["2012",5,1]]}}}],"schema":"https://github.com/citation-style-language/schema/raw/master/csl-citation.json"} </w:instrText>
      </w:r>
      <w:r>
        <w:fldChar w:fldCharType="separate"/>
      </w:r>
      <w:r w:rsidR="00E17813" w:rsidRPr="00E17813">
        <w:rPr>
          <w:rFonts w:cs="Times New Roman"/>
          <w:kern w:val="0"/>
          <w:vertAlign w:val="superscript"/>
        </w:rPr>
        <w:t>[108]</w:t>
      </w:r>
      <w:r>
        <w:fldChar w:fldCharType="end"/>
      </w:r>
      <w:r w:rsidRPr="00874FF0">
        <w:rPr>
          <w:rFonts w:hint="eastAsia"/>
        </w:rPr>
        <w:t>。</w:t>
      </w:r>
      <w:r>
        <w:rPr>
          <w:rFonts w:hint="eastAsia"/>
        </w:rPr>
        <w:t>本研究应</w:t>
      </w:r>
      <w:r w:rsidRPr="00874FF0">
        <w:rPr>
          <w:rFonts w:hint="eastAsia"/>
        </w:rPr>
        <w:t>用</w:t>
      </w:r>
      <w:proofErr w:type="spellStart"/>
      <w:r w:rsidRPr="00874FF0">
        <w:rPr>
          <w:rFonts w:hint="eastAsia"/>
        </w:rPr>
        <w:t>SmartPLS</w:t>
      </w:r>
      <w:proofErr w:type="spellEnd"/>
      <w:r w:rsidRPr="00874FF0">
        <w:rPr>
          <w:rFonts w:hint="eastAsia"/>
        </w:rPr>
        <w:t xml:space="preserve"> </w:t>
      </w:r>
      <w:r>
        <w:rPr>
          <w:rFonts w:hint="eastAsia"/>
        </w:rPr>
        <w:t>4</w:t>
      </w:r>
      <w:r w:rsidRPr="00874FF0">
        <w:rPr>
          <w:rFonts w:hint="eastAsia"/>
        </w:rPr>
        <w:t>计算上述指标，结果如</w:t>
      </w:r>
      <w:r>
        <w:fldChar w:fldCharType="begin"/>
      </w:r>
      <w:r>
        <w:instrText xml:space="preserve"> </w:instrText>
      </w:r>
      <w:r>
        <w:rPr>
          <w:rFonts w:hint="eastAsia"/>
        </w:rPr>
        <w:instrText>REF _Ref174350363 \h</w:instrText>
      </w:r>
      <w:r>
        <w:instrText xml:space="preserve"> </w:instrText>
      </w:r>
      <w:r>
        <w:fldChar w:fldCharType="separate"/>
      </w:r>
      <w:r w:rsidR="000F2689">
        <w:rPr>
          <w:rFonts w:hint="eastAsia"/>
        </w:rPr>
        <w:t>表</w:t>
      </w:r>
      <w:r w:rsidR="000F2689">
        <w:rPr>
          <w:rFonts w:hint="eastAsia"/>
        </w:rPr>
        <w:t xml:space="preserve"> </w:t>
      </w:r>
      <w:r w:rsidR="000F2689">
        <w:rPr>
          <w:noProof/>
        </w:rPr>
        <w:t>10</w:t>
      </w:r>
      <w:r>
        <w:fldChar w:fldCharType="end"/>
      </w:r>
      <w:r w:rsidRPr="00874FF0">
        <w:rPr>
          <w:rFonts w:hint="eastAsia"/>
        </w:rPr>
        <w:t>所示。</w:t>
      </w:r>
      <w:r w:rsidRPr="00874FF0">
        <w:rPr>
          <w:rFonts w:hint="eastAsia"/>
        </w:rPr>
        <w:t>Cronbach</w:t>
      </w:r>
      <w:r>
        <w:t>’</w:t>
      </w:r>
      <w:r w:rsidRPr="00874FF0">
        <w:rPr>
          <w:rFonts w:hint="eastAsia"/>
        </w:rPr>
        <w:t>s</w:t>
      </w:r>
      <w:r>
        <w:rPr>
          <w:rFonts w:hint="eastAsia"/>
        </w:rPr>
        <w:t xml:space="preserve"> </w:t>
      </w:r>
      <m:oMath>
        <m:r>
          <w:rPr>
            <w:rFonts w:ascii="Cambria Math" w:hAnsi="Cambria Math"/>
          </w:rPr>
          <m:t>α</m:t>
        </m:r>
      </m:oMath>
      <w:r w:rsidRPr="00874FF0">
        <w:rPr>
          <w:rFonts w:hint="eastAsia"/>
        </w:rPr>
        <w:t>和</w:t>
      </w:r>
      <w:r w:rsidRPr="00874FF0">
        <w:rPr>
          <w:rFonts w:hint="eastAsia"/>
        </w:rPr>
        <w:t>CR</w:t>
      </w:r>
      <w:r w:rsidRPr="00874FF0">
        <w:rPr>
          <w:rFonts w:hint="eastAsia"/>
        </w:rPr>
        <w:t>均大于</w:t>
      </w:r>
      <w:r w:rsidRPr="00874FF0">
        <w:rPr>
          <w:rFonts w:hint="eastAsia"/>
        </w:rPr>
        <w:t>0.</w:t>
      </w:r>
      <w:r>
        <w:rPr>
          <w:rFonts w:hint="eastAsia"/>
        </w:rPr>
        <w:t>9</w:t>
      </w:r>
      <w:r w:rsidRPr="00874FF0">
        <w:rPr>
          <w:rFonts w:hint="eastAsia"/>
        </w:rPr>
        <w:t>，</w:t>
      </w:r>
      <w:r>
        <w:t>表明各潜变量具有较高的内部一致性</w:t>
      </w:r>
      <w:r w:rsidRPr="00874FF0">
        <w:rPr>
          <w:rFonts w:hint="eastAsia"/>
        </w:rPr>
        <w:t>；指标权重均大于</w:t>
      </w:r>
      <w:r w:rsidRPr="00874FF0">
        <w:rPr>
          <w:rFonts w:hint="eastAsia"/>
        </w:rPr>
        <w:t>0.7</w:t>
      </w:r>
      <w:r w:rsidRPr="00874FF0">
        <w:rPr>
          <w:rFonts w:hint="eastAsia"/>
        </w:rPr>
        <w:t>，</w:t>
      </w:r>
      <w:r>
        <w:t>说明各潜变量能解释其测量指标至少</w:t>
      </w:r>
      <w:r>
        <w:t>50%</w:t>
      </w:r>
      <w:r>
        <w:t>的方差，</w:t>
      </w:r>
      <w:r>
        <w:rPr>
          <w:rFonts w:hint="eastAsia"/>
        </w:rPr>
        <w:t>总体</w:t>
      </w:r>
      <w:r>
        <w:t>满足信度要求</w:t>
      </w:r>
      <w:r w:rsidR="00116F7D" w:rsidRPr="00116F7D">
        <w:rPr>
          <w:rFonts w:cs="Times New Roman" w:hint="eastAsia"/>
        </w:rPr>
        <w:t>。</w:t>
      </w:r>
    </w:p>
    <w:p w14:paraId="0DF357AF" w14:textId="77777777" w:rsidR="003E17F3" w:rsidRDefault="003E17F3" w:rsidP="003E17F3">
      <w:pPr>
        <w:pStyle w:val="2"/>
      </w:pPr>
      <w:r>
        <w:rPr>
          <w:rFonts w:hint="eastAsia"/>
        </w:rPr>
        <w:t>效度检验</w:t>
      </w:r>
    </w:p>
    <w:p w14:paraId="7C04F912" w14:textId="0833BFD6" w:rsidR="003E17F3" w:rsidRDefault="003346B5" w:rsidP="003346B5">
      <w:pPr>
        <w:ind w:firstLine="420"/>
      </w:pPr>
      <w:r w:rsidRPr="009A1E2B">
        <w:rPr>
          <w:rFonts w:hint="eastAsia"/>
        </w:rPr>
        <w:t>效度用于</w:t>
      </w:r>
      <w:r>
        <w:rPr>
          <w:rFonts w:hint="eastAsia"/>
        </w:rPr>
        <w:t>评估</w:t>
      </w:r>
      <w:r w:rsidRPr="009A1E2B">
        <w:rPr>
          <w:rFonts w:hint="eastAsia"/>
        </w:rPr>
        <w:t>量表</w:t>
      </w:r>
      <w:r>
        <w:rPr>
          <w:rFonts w:hint="eastAsia"/>
        </w:rPr>
        <w:t>能</w:t>
      </w:r>
      <w:r w:rsidRPr="009A1E2B">
        <w:rPr>
          <w:rFonts w:hint="eastAsia"/>
        </w:rPr>
        <w:t>否准确反映潜变量</w:t>
      </w:r>
      <w:r>
        <w:rPr>
          <w:rFonts w:hint="eastAsia"/>
        </w:rPr>
        <w:t>，可</w:t>
      </w:r>
      <w:r w:rsidRPr="009A1E2B">
        <w:rPr>
          <w:rFonts w:hint="eastAsia"/>
        </w:rPr>
        <w:t>通过计算平均方差提取量（</w:t>
      </w:r>
      <w:r w:rsidRPr="009A1E2B">
        <w:rPr>
          <w:rFonts w:hint="eastAsia"/>
        </w:rPr>
        <w:t>Average Variance Extracted</w:t>
      </w:r>
      <w:r w:rsidRPr="009A1E2B">
        <w:rPr>
          <w:rFonts w:hint="eastAsia"/>
        </w:rPr>
        <w:t>，</w:t>
      </w:r>
      <w:r w:rsidRPr="009A1E2B">
        <w:rPr>
          <w:rFonts w:hint="eastAsia"/>
        </w:rPr>
        <w:t>AVE</w:t>
      </w:r>
      <w:r w:rsidRPr="009A1E2B">
        <w:rPr>
          <w:rFonts w:hint="eastAsia"/>
        </w:rPr>
        <w:t>）分别</w:t>
      </w:r>
      <w:r>
        <w:rPr>
          <w:rFonts w:hint="eastAsia"/>
        </w:rPr>
        <w:t>检验</w:t>
      </w:r>
      <w:r w:rsidRPr="009A1E2B">
        <w:rPr>
          <w:rFonts w:hint="eastAsia"/>
        </w:rPr>
        <w:t>收敛效度</w:t>
      </w:r>
      <w:r>
        <w:rPr>
          <w:rFonts w:hint="eastAsia"/>
        </w:rPr>
        <w:t>与</w:t>
      </w:r>
      <w:r w:rsidRPr="009A1E2B">
        <w:rPr>
          <w:rFonts w:hint="eastAsia"/>
        </w:rPr>
        <w:t>区分效度。</w:t>
      </w:r>
      <w:r>
        <w:rPr>
          <w:rFonts w:hint="eastAsia"/>
        </w:rPr>
        <w:t>本研究</w:t>
      </w:r>
      <w:r w:rsidRPr="009A1E2B">
        <w:rPr>
          <w:rFonts w:hint="eastAsia"/>
        </w:rPr>
        <w:t>运用</w:t>
      </w:r>
      <w:proofErr w:type="spellStart"/>
      <w:r w:rsidRPr="009A1E2B">
        <w:rPr>
          <w:rFonts w:hint="eastAsia"/>
        </w:rPr>
        <w:t>SmartPLS</w:t>
      </w:r>
      <w:proofErr w:type="spellEnd"/>
      <w:r>
        <w:rPr>
          <w:rFonts w:hint="eastAsia"/>
        </w:rPr>
        <w:t xml:space="preserve"> 4</w:t>
      </w:r>
      <w:r w:rsidRPr="009A1E2B">
        <w:rPr>
          <w:rFonts w:hint="eastAsia"/>
        </w:rPr>
        <w:t>计算</w:t>
      </w:r>
      <w:r w:rsidRPr="009A1E2B">
        <w:rPr>
          <w:rFonts w:hint="eastAsia"/>
        </w:rPr>
        <w:t>AVE</w:t>
      </w:r>
      <w:r>
        <w:rPr>
          <w:rFonts w:hint="eastAsia"/>
        </w:rPr>
        <w:t>及</w:t>
      </w:r>
      <w:r w:rsidRPr="009A1E2B">
        <w:rPr>
          <w:rFonts w:hint="eastAsia"/>
        </w:rPr>
        <w:t>各潜变量</w:t>
      </w:r>
      <w:r>
        <w:rPr>
          <w:rFonts w:hint="eastAsia"/>
        </w:rPr>
        <w:t>间</w:t>
      </w:r>
      <w:r w:rsidRPr="009A1E2B">
        <w:rPr>
          <w:rFonts w:hint="eastAsia"/>
        </w:rPr>
        <w:t>相关系数，结果如</w:t>
      </w:r>
      <w:r>
        <w:fldChar w:fldCharType="begin"/>
      </w:r>
      <w:r>
        <w:instrText xml:space="preserve"> </w:instrText>
      </w:r>
      <w:r>
        <w:rPr>
          <w:rFonts w:hint="eastAsia"/>
        </w:rPr>
        <w:instrText>REF _Ref174355896 \h</w:instrText>
      </w:r>
      <w:r>
        <w:instrText xml:space="preserve"> </w:instrText>
      </w:r>
      <w:r>
        <w:fldChar w:fldCharType="separate"/>
      </w:r>
      <w:r w:rsidR="000F2689">
        <w:rPr>
          <w:rFonts w:hint="eastAsia"/>
        </w:rPr>
        <w:t>表</w:t>
      </w:r>
      <w:r w:rsidR="000F2689">
        <w:rPr>
          <w:rFonts w:hint="eastAsia"/>
        </w:rPr>
        <w:t xml:space="preserve"> </w:t>
      </w:r>
      <w:r w:rsidR="000F2689">
        <w:rPr>
          <w:noProof/>
        </w:rPr>
        <w:t>11</w:t>
      </w:r>
      <w:r>
        <w:fldChar w:fldCharType="end"/>
      </w:r>
      <w:r w:rsidRPr="009A1E2B">
        <w:rPr>
          <w:rFonts w:hint="eastAsia"/>
        </w:rPr>
        <w:t>所示。</w:t>
      </w:r>
      <w:r>
        <w:t>所有潜变量的</w:t>
      </w:r>
      <w:r>
        <w:t>AVE</w:t>
      </w:r>
      <w:r>
        <w:t>值均超过</w:t>
      </w:r>
      <w:r>
        <w:t>0.5</w:t>
      </w:r>
      <w:r>
        <w:t>，表明测量模型具备良好的</w:t>
      </w:r>
      <w:r w:rsidRPr="00EB718D">
        <w:rPr>
          <w:rStyle w:val="a3"/>
          <w:b w:val="0"/>
          <w:bCs w:val="0"/>
        </w:rPr>
        <w:t>收敛效度</w:t>
      </w:r>
      <w:r>
        <w:rPr>
          <w:rFonts w:hint="eastAsia"/>
        </w:rPr>
        <w:t>。此外，</w:t>
      </w:r>
      <w:r w:rsidRPr="009A1E2B">
        <w:rPr>
          <w:rFonts w:hint="eastAsia"/>
        </w:rPr>
        <w:t>基于</w:t>
      </w:r>
      <w:r w:rsidRPr="009A1E2B">
        <w:rPr>
          <w:rFonts w:hint="eastAsia"/>
        </w:rPr>
        <w:t>Fornell-Larcker</w:t>
      </w:r>
      <w:r w:rsidRPr="009A1E2B">
        <w:rPr>
          <w:rFonts w:hint="eastAsia"/>
        </w:rPr>
        <w:t>准则，</w:t>
      </w:r>
      <w:r w:rsidRPr="009A1E2B">
        <w:rPr>
          <w:rFonts w:hint="eastAsia"/>
        </w:rPr>
        <w:t>AVE</w:t>
      </w:r>
      <w:r w:rsidRPr="009A1E2B">
        <w:rPr>
          <w:rFonts w:hint="eastAsia"/>
        </w:rPr>
        <w:t>平方根</w:t>
      </w:r>
      <w:r>
        <w:t>均大于各潜变量间的相关系数</w:t>
      </w:r>
      <w:r w:rsidRPr="009A1E2B">
        <w:rPr>
          <w:rFonts w:hint="eastAsia"/>
        </w:rPr>
        <w:t>，</w:t>
      </w:r>
      <w:r>
        <w:rPr>
          <w:rFonts w:hint="eastAsia"/>
        </w:rPr>
        <w:t>说明</w:t>
      </w:r>
      <w:r w:rsidRPr="009A1E2B">
        <w:rPr>
          <w:rFonts w:hint="eastAsia"/>
        </w:rPr>
        <w:t>测量模型</w:t>
      </w:r>
      <w:r>
        <w:rPr>
          <w:rFonts w:hint="eastAsia"/>
        </w:rPr>
        <w:t>也</w:t>
      </w:r>
      <w:r>
        <w:t>具备良好的</w:t>
      </w:r>
      <w:r w:rsidRPr="009A1E2B">
        <w:rPr>
          <w:rFonts w:hint="eastAsia"/>
        </w:rPr>
        <w:t>区别效度。</w:t>
      </w:r>
    </w:p>
    <w:p w14:paraId="42665B02" w14:textId="61109A2B" w:rsidR="003E17F3" w:rsidRPr="00EF6774" w:rsidRDefault="003E17F3" w:rsidP="003E17F3">
      <w:pPr>
        <w:ind w:firstLine="420"/>
        <w:sectPr w:rsidR="003E17F3" w:rsidRPr="00EF6774" w:rsidSect="003E17F3">
          <w:type w:val="continuous"/>
          <w:pgSz w:w="11906" w:h="16838"/>
          <w:pgMar w:top="1440" w:right="1106" w:bottom="1440" w:left="1106" w:header="851" w:footer="992" w:gutter="0"/>
          <w:cols w:num="2" w:space="425"/>
          <w:titlePg/>
          <w:docGrid w:type="linesAndChars" w:linePitch="312"/>
        </w:sectPr>
      </w:pPr>
    </w:p>
    <w:p w14:paraId="164407C1" w14:textId="0FFCDD1A" w:rsidR="003346B5" w:rsidRDefault="00414C95" w:rsidP="003346B5">
      <w:pPr>
        <w:pStyle w:val="afa"/>
        <w:keepNext/>
        <w:spacing w:beforeLines="50" w:before="156"/>
      </w:pPr>
      <w:bookmarkStart w:id="27" w:name="_Ref174350363"/>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10</w:t>
      </w:r>
      <w:r>
        <w:fldChar w:fldCharType="end"/>
      </w:r>
      <w:bookmarkEnd w:id="27"/>
      <w:r>
        <w:rPr>
          <w:rFonts w:hint="eastAsia"/>
        </w:rPr>
        <w:t xml:space="preserve"> </w:t>
      </w:r>
      <w:r w:rsidRPr="00414C95">
        <w:rPr>
          <w:rFonts w:hint="eastAsia"/>
        </w:rPr>
        <w:t>测量模型信度检验结果</w:t>
      </w:r>
    </w:p>
    <w:tbl>
      <w:tblPr>
        <w:tblStyle w:val="aff4"/>
        <w:tblW w:w="5000" w:type="pct"/>
        <w:tblLook w:val="04A0" w:firstRow="1" w:lastRow="0" w:firstColumn="1" w:lastColumn="0" w:noHBand="0" w:noVBand="1"/>
      </w:tblPr>
      <w:tblGrid>
        <w:gridCol w:w="4135"/>
        <w:gridCol w:w="1472"/>
        <w:gridCol w:w="1921"/>
        <w:gridCol w:w="2166"/>
      </w:tblGrid>
      <w:tr w:rsidR="003346B5" w:rsidRPr="003346B5" w14:paraId="1AC10627" w14:textId="77777777" w:rsidTr="003346B5">
        <w:trPr>
          <w:cnfStyle w:val="100000000000" w:firstRow="1" w:lastRow="0" w:firstColumn="0" w:lastColumn="0" w:oddVBand="0" w:evenVBand="0" w:oddHBand="0" w:evenHBand="0" w:firstRowFirstColumn="0" w:firstRowLastColumn="0" w:lastRowFirstColumn="0" w:lastRowLastColumn="0"/>
        </w:trPr>
        <w:tc>
          <w:tcPr>
            <w:tcW w:w="2133" w:type="pct"/>
          </w:tcPr>
          <w:p w14:paraId="0D89E8E8" w14:textId="77777777" w:rsidR="003346B5" w:rsidRPr="003346B5" w:rsidRDefault="003346B5" w:rsidP="003346B5">
            <w:pPr>
              <w:pStyle w:val="aff2"/>
              <w:spacing w:before="0" w:after="0"/>
              <w:rPr>
                <w:b/>
                <w:bCs/>
                <w:sz w:val="21"/>
                <w:szCs w:val="21"/>
              </w:rPr>
            </w:pPr>
            <w:r w:rsidRPr="003346B5">
              <w:rPr>
                <w:rFonts w:hint="eastAsia"/>
                <w:b/>
                <w:bCs/>
                <w:sz w:val="21"/>
                <w:szCs w:val="21"/>
              </w:rPr>
              <w:t>潜变量</w:t>
            </w:r>
            <w:r w:rsidRPr="003346B5">
              <w:rPr>
                <w:rFonts w:hint="eastAsia"/>
                <w:b/>
                <w:bCs/>
                <w:sz w:val="21"/>
                <w:szCs w:val="21"/>
              </w:rPr>
              <w:t>/</w:t>
            </w:r>
            <w:r w:rsidRPr="003346B5">
              <w:rPr>
                <w:rFonts w:hint="eastAsia"/>
                <w:b/>
                <w:bCs/>
                <w:sz w:val="21"/>
                <w:szCs w:val="21"/>
              </w:rPr>
              <w:t>指标</w:t>
            </w:r>
          </w:p>
        </w:tc>
        <w:tc>
          <w:tcPr>
            <w:tcW w:w="759" w:type="pct"/>
          </w:tcPr>
          <w:p w14:paraId="7EB8D5EF" w14:textId="77777777" w:rsidR="003346B5" w:rsidRPr="003346B5" w:rsidRDefault="003346B5" w:rsidP="003346B5">
            <w:pPr>
              <w:pStyle w:val="aff2"/>
              <w:spacing w:before="0" w:after="0"/>
              <w:rPr>
                <w:b/>
                <w:bCs/>
                <w:sz w:val="21"/>
                <w:szCs w:val="21"/>
              </w:rPr>
            </w:pPr>
            <w:r w:rsidRPr="003346B5">
              <w:rPr>
                <w:rFonts w:hint="eastAsia"/>
                <w:b/>
                <w:bCs/>
                <w:sz w:val="21"/>
                <w:szCs w:val="21"/>
              </w:rPr>
              <w:t>指标权重</w:t>
            </w:r>
          </w:p>
        </w:tc>
        <w:tc>
          <w:tcPr>
            <w:tcW w:w="991" w:type="pct"/>
          </w:tcPr>
          <w:p w14:paraId="13F420DF" w14:textId="77777777" w:rsidR="003346B5" w:rsidRPr="003346B5" w:rsidRDefault="003346B5" w:rsidP="003346B5">
            <w:pPr>
              <w:pStyle w:val="aff2"/>
              <w:spacing w:before="0" w:after="0"/>
              <w:rPr>
                <w:b/>
                <w:bCs/>
                <w:sz w:val="21"/>
                <w:szCs w:val="21"/>
              </w:rPr>
            </w:pPr>
            <w:r w:rsidRPr="003346B5">
              <w:rPr>
                <w:rFonts w:hint="eastAsia"/>
                <w:b/>
                <w:bCs/>
                <w:sz w:val="21"/>
                <w:szCs w:val="21"/>
              </w:rPr>
              <w:t>C</w:t>
            </w:r>
            <w:r w:rsidRPr="003346B5">
              <w:rPr>
                <w:b/>
                <w:bCs/>
                <w:sz w:val="21"/>
                <w:szCs w:val="21"/>
              </w:rPr>
              <w:t>R</w:t>
            </w:r>
          </w:p>
        </w:tc>
        <w:tc>
          <w:tcPr>
            <w:tcW w:w="1117" w:type="pct"/>
          </w:tcPr>
          <w:p w14:paraId="179DC5FC" w14:textId="77777777" w:rsidR="003346B5" w:rsidRPr="003346B5" w:rsidRDefault="003346B5" w:rsidP="003346B5">
            <w:pPr>
              <w:pStyle w:val="aff2"/>
              <w:spacing w:before="0" w:after="0"/>
              <w:rPr>
                <w:b/>
                <w:bCs/>
                <w:sz w:val="21"/>
                <w:szCs w:val="21"/>
              </w:rPr>
            </w:pPr>
            <w:bookmarkStart w:id="28" w:name="OLE_LINK3"/>
            <w:bookmarkStart w:id="29" w:name="OLE_LINK9"/>
            <w:r w:rsidRPr="003346B5">
              <w:rPr>
                <w:b/>
                <w:bCs/>
                <w:sz w:val="21"/>
                <w:szCs w:val="21"/>
              </w:rPr>
              <w:t xml:space="preserve">Cronbach’s </w:t>
            </w:r>
            <w:r w:rsidRPr="003346B5">
              <w:rPr>
                <w:rFonts w:cs="Times New Roman"/>
                <w:b/>
                <w:bCs/>
                <w:i/>
                <w:sz w:val="21"/>
                <w:szCs w:val="21"/>
              </w:rPr>
              <w:t>α</w:t>
            </w:r>
            <w:bookmarkEnd w:id="28"/>
            <w:bookmarkEnd w:id="29"/>
          </w:p>
        </w:tc>
      </w:tr>
      <w:tr w:rsidR="003346B5" w:rsidRPr="003346B5" w14:paraId="4C0C41E6" w14:textId="77777777" w:rsidTr="003346B5">
        <w:tc>
          <w:tcPr>
            <w:tcW w:w="2133" w:type="pct"/>
          </w:tcPr>
          <w:p w14:paraId="7A15C315"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1</w:t>
            </w:r>
            <w:r w:rsidRPr="003346B5">
              <w:rPr>
                <w:b/>
                <w:bCs/>
                <w:sz w:val="21"/>
                <w:szCs w:val="21"/>
              </w:rPr>
              <w:t>.</w:t>
            </w:r>
            <w:r w:rsidRPr="003346B5">
              <w:rPr>
                <w:rFonts w:hint="eastAsia"/>
                <w:b/>
                <w:bCs/>
                <w:sz w:val="21"/>
                <w:szCs w:val="21"/>
              </w:rPr>
              <w:t xml:space="preserve"> </w:t>
            </w:r>
            <w:r w:rsidRPr="003346B5">
              <w:rPr>
                <w:rFonts w:hint="eastAsia"/>
                <w:b/>
                <w:bCs/>
                <w:sz w:val="21"/>
                <w:szCs w:val="21"/>
              </w:rPr>
              <w:t>外部条件</w:t>
            </w:r>
          </w:p>
        </w:tc>
        <w:tc>
          <w:tcPr>
            <w:tcW w:w="759" w:type="pct"/>
          </w:tcPr>
          <w:p w14:paraId="2FE9F052" w14:textId="77777777" w:rsidR="003346B5" w:rsidRPr="003346B5" w:rsidRDefault="003346B5" w:rsidP="003346B5">
            <w:pPr>
              <w:pStyle w:val="aff2"/>
              <w:spacing w:before="0" w:after="0"/>
              <w:rPr>
                <w:rFonts w:cs="Times New Roman"/>
                <w:sz w:val="21"/>
                <w:szCs w:val="21"/>
              </w:rPr>
            </w:pPr>
          </w:p>
        </w:tc>
        <w:tc>
          <w:tcPr>
            <w:tcW w:w="991" w:type="pct"/>
          </w:tcPr>
          <w:p w14:paraId="3CB53EA6"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0.938</w:t>
            </w:r>
          </w:p>
        </w:tc>
        <w:tc>
          <w:tcPr>
            <w:tcW w:w="1117" w:type="pct"/>
          </w:tcPr>
          <w:p w14:paraId="10313D60"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0.912</w:t>
            </w:r>
          </w:p>
        </w:tc>
      </w:tr>
      <w:tr w:rsidR="003346B5" w:rsidRPr="003346B5" w14:paraId="49F99625" w14:textId="77777777" w:rsidTr="003346B5">
        <w:tc>
          <w:tcPr>
            <w:tcW w:w="2133" w:type="pct"/>
          </w:tcPr>
          <w:p w14:paraId="0D48ECF9"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自然环境</w:t>
            </w:r>
          </w:p>
        </w:tc>
        <w:tc>
          <w:tcPr>
            <w:tcW w:w="759" w:type="pct"/>
          </w:tcPr>
          <w:p w14:paraId="41B7CCD2"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0.903</w:t>
            </w:r>
          </w:p>
        </w:tc>
        <w:tc>
          <w:tcPr>
            <w:tcW w:w="991" w:type="pct"/>
          </w:tcPr>
          <w:p w14:paraId="43396F41" w14:textId="77777777" w:rsidR="003346B5" w:rsidRPr="003346B5" w:rsidRDefault="003346B5" w:rsidP="003346B5">
            <w:pPr>
              <w:pStyle w:val="aff2"/>
              <w:spacing w:before="0" w:after="0"/>
              <w:rPr>
                <w:rFonts w:cs="Times New Roman"/>
                <w:sz w:val="21"/>
                <w:szCs w:val="21"/>
              </w:rPr>
            </w:pPr>
          </w:p>
        </w:tc>
        <w:tc>
          <w:tcPr>
            <w:tcW w:w="1117" w:type="pct"/>
          </w:tcPr>
          <w:p w14:paraId="0D6DD7B9" w14:textId="77777777" w:rsidR="003346B5" w:rsidRPr="003346B5" w:rsidRDefault="003346B5" w:rsidP="003346B5">
            <w:pPr>
              <w:pStyle w:val="aff2"/>
              <w:spacing w:before="0" w:after="0"/>
              <w:rPr>
                <w:rFonts w:cs="Times New Roman"/>
                <w:sz w:val="21"/>
                <w:szCs w:val="21"/>
              </w:rPr>
            </w:pPr>
          </w:p>
        </w:tc>
      </w:tr>
      <w:tr w:rsidR="003346B5" w:rsidRPr="003346B5" w14:paraId="561066D4" w14:textId="77777777" w:rsidTr="003346B5">
        <w:tc>
          <w:tcPr>
            <w:tcW w:w="2133" w:type="pct"/>
          </w:tcPr>
          <w:p w14:paraId="0701DD4A"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征地移民</w:t>
            </w:r>
          </w:p>
        </w:tc>
        <w:tc>
          <w:tcPr>
            <w:tcW w:w="759" w:type="pct"/>
          </w:tcPr>
          <w:p w14:paraId="6D931D2C"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0.902</w:t>
            </w:r>
          </w:p>
        </w:tc>
        <w:tc>
          <w:tcPr>
            <w:tcW w:w="991" w:type="pct"/>
          </w:tcPr>
          <w:p w14:paraId="3FD31127" w14:textId="77777777" w:rsidR="003346B5" w:rsidRPr="003346B5" w:rsidRDefault="003346B5" w:rsidP="003346B5">
            <w:pPr>
              <w:pStyle w:val="aff2"/>
              <w:spacing w:before="0" w:after="0"/>
              <w:rPr>
                <w:rFonts w:cs="Times New Roman"/>
                <w:sz w:val="21"/>
                <w:szCs w:val="21"/>
              </w:rPr>
            </w:pPr>
          </w:p>
        </w:tc>
        <w:tc>
          <w:tcPr>
            <w:tcW w:w="1117" w:type="pct"/>
          </w:tcPr>
          <w:p w14:paraId="1F45DBDD" w14:textId="77777777" w:rsidR="003346B5" w:rsidRPr="003346B5" w:rsidRDefault="003346B5" w:rsidP="003346B5">
            <w:pPr>
              <w:pStyle w:val="aff2"/>
              <w:spacing w:before="0" w:after="0"/>
              <w:rPr>
                <w:rFonts w:cs="Times New Roman"/>
                <w:sz w:val="21"/>
                <w:szCs w:val="21"/>
              </w:rPr>
            </w:pPr>
          </w:p>
        </w:tc>
      </w:tr>
      <w:tr w:rsidR="003346B5" w:rsidRPr="003346B5" w14:paraId="4179E8F4" w14:textId="77777777" w:rsidTr="003346B5">
        <w:tc>
          <w:tcPr>
            <w:tcW w:w="2133" w:type="pct"/>
          </w:tcPr>
          <w:p w14:paraId="4E45C009"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配套基础设施</w:t>
            </w:r>
          </w:p>
        </w:tc>
        <w:tc>
          <w:tcPr>
            <w:tcW w:w="759" w:type="pct"/>
          </w:tcPr>
          <w:p w14:paraId="64E4FE1F"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0.829</w:t>
            </w:r>
          </w:p>
        </w:tc>
        <w:tc>
          <w:tcPr>
            <w:tcW w:w="991" w:type="pct"/>
          </w:tcPr>
          <w:p w14:paraId="3FF5D7D5" w14:textId="77777777" w:rsidR="003346B5" w:rsidRPr="003346B5" w:rsidRDefault="003346B5" w:rsidP="003346B5">
            <w:pPr>
              <w:pStyle w:val="aff2"/>
              <w:spacing w:before="0" w:after="0"/>
              <w:rPr>
                <w:rFonts w:cs="Times New Roman"/>
                <w:sz w:val="21"/>
                <w:szCs w:val="21"/>
              </w:rPr>
            </w:pPr>
          </w:p>
        </w:tc>
        <w:tc>
          <w:tcPr>
            <w:tcW w:w="1117" w:type="pct"/>
          </w:tcPr>
          <w:p w14:paraId="5565E7C9" w14:textId="77777777" w:rsidR="003346B5" w:rsidRPr="003346B5" w:rsidRDefault="003346B5" w:rsidP="003346B5">
            <w:pPr>
              <w:pStyle w:val="aff2"/>
              <w:spacing w:before="0" w:after="0"/>
              <w:rPr>
                <w:rFonts w:cs="Times New Roman"/>
                <w:sz w:val="21"/>
                <w:szCs w:val="21"/>
              </w:rPr>
            </w:pPr>
          </w:p>
        </w:tc>
      </w:tr>
      <w:tr w:rsidR="003346B5" w:rsidRPr="003346B5" w14:paraId="6381A734" w14:textId="77777777" w:rsidTr="003346B5">
        <w:tc>
          <w:tcPr>
            <w:tcW w:w="2133" w:type="pct"/>
          </w:tcPr>
          <w:p w14:paraId="7CEAB7CC"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政策与市场</w:t>
            </w:r>
          </w:p>
        </w:tc>
        <w:tc>
          <w:tcPr>
            <w:tcW w:w="759" w:type="pct"/>
          </w:tcPr>
          <w:p w14:paraId="539A012C"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0.922</w:t>
            </w:r>
          </w:p>
        </w:tc>
        <w:tc>
          <w:tcPr>
            <w:tcW w:w="991" w:type="pct"/>
          </w:tcPr>
          <w:p w14:paraId="562BDCC2" w14:textId="77777777" w:rsidR="003346B5" w:rsidRPr="003346B5" w:rsidRDefault="003346B5" w:rsidP="003346B5">
            <w:pPr>
              <w:pStyle w:val="aff2"/>
              <w:spacing w:before="0" w:after="0"/>
              <w:rPr>
                <w:rFonts w:cs="Times New Roman"/>
                <w:sz w:val="21"/>
                <w:szCs w:val="21"/>
              </w:rPr>
            </w:pPr>
          </w:p>
        </w:tc>
        <w:tc>
          <w:tcPr>
            <w:tcW w:w="1117" w:type="pct"/>
          </w:tcPr>
          <w:p w14:paraId="6BC0EE44" w14:textId="77777777" w:rsidR="003346B5" w:rsidRPr="003346B5" w:rsidRDefault="003346B5" w:rsidP="003346B5">
            <w:pPr>
              <w:pStyle w:val="aff2"/>
              <w:spacing w:before="0" w:after="0"/>
              <w:rPr>
                <w:rFonts w:cs="Times New Roman"/>
                <w:sz w:val="21"/>
                <w:szCs w:val="21"/>
              </w:rPr>
            </w:pPr>
          </w:p>
        </w:tc>
      </w:tr>
      <w:tr w:rsidR="003346B5" w:rsidRPr="003346B5" w14:paraId="116F7083" w14:textId="77777777" w:rsidTr="003346B5">
        <w:tc>
          <w:tcPr>
            <w:tcW w:w="2133" w:type="pct"/>
          </w:tcPr>
          <w:p w14:paraId="7FF86382"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2</w:t>
            </w:r>
            <w:r w:rsidRPr="003346B5">
              <w:rPr>
                <w:b/>
                <w:bCs/>
                <w:sz w:val="21"/>
                <w:szCs w:val="21"/>
              </w:rPr>
              <w:t>.</w:t>
            </w:r>
            <w:r w:rsidRPr="003346B5">
              <w:rPr>
                <w:rFonts w:hint="eastAsia"/>
                <w:b/>
                <w:bCs/>
                <w:sz w:val="21"/>
                <w:szCs w:val="21"/>
              </w:rPr>
              <w:t xml:space="preserve"> </w:t>
            </w:r>
            <w:r w:rsidRPr="003346B5">
              <w:rPr>
                <w:rFonts w:hint="eastAsia"/>
                <w:b/>
                <w:bCs/>
                <w:sz w:val="21"/>
                <w:szCs w:val="21"/>
              </w:rPr>
              <w:t>业主项目群管理能力</w:t>
            </w:r>
          </w:p>
        </w:tc>
        <w:tc>
          <w:tcPr>
            <w:tcW w:w="759" w:type="pct"/>
          </w:tcPr>
          <w:p w14:paraId="770E6876" w14:textId="77777777" w:rsidR="003346B5" w:rsidRPr="003346B5" w:rsidRDefault="003346B5" w:rsidP="003346B5">
            <w:pPr>
              <w:pStyle w:val="aff2"/>
              <w:spacing w:before="0" w:after="0"/>
              <w:rPr>
                <w:rFonts w:cs="Times New Roman"/>
                <w:sz w:val="21"/>
                <w:szCs w:val="21"/>
              </w:rPr>
            </w:pPr>
          </w:p>
        </w:tc>
        <w:tc>
          <w:tcPr>
            <w:tcW w:w="991" w:type="pct"/>
          </w:tcPr>
          <w:p w14:paraId="7ECA68FB"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0.982</w:t>
            </w:r>
          </w:p>
        </w:tc>
        <w:tc>
          <w:tcPr>
            <w:tcW w:w="1117" w:type="pct"/>
          </w:tcPr>
          <w:p w14:paraId="362A579A"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0.977</w:t>
            </w:r>
          </w:p>
        </w:tc>
      </w:tr>
      <w:tr w:rsidR="003346B5" w:rsidRPr="003346B5" w14:paraId="3888EF4B" w14:textId="77777777" w:rsidTr="003346B5">
        <w:tc>
          <w:tcPr>
            <w:tcW w:w="2133" w:type="pct"/>
          </w:tcPr>
          <w:p w14:paraId="7B3C0297"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目标管理</w:t>
            </w:r>
          </w:p>
        </w:tc>
        <w:tc>
          <w:tcPr>
            <w:tcW w:w="759" w:type="pct"/>
          </w:tcPr>
          <w:p w14:paraId="483C531D"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0.949</w:t>
            </w:r>
          </w:p>
        </w:tc>
        <w:tc>
          <w:tcPr>
            <w:tcW w:w="991" w:type="pct"/>
          </w:tcPr>
          <w:p w14:paraId="4D4D6DE7" w14:textId="77777777" w:rsidR="003346B5" w:rsidRPr="003346B5" w:rsidRDefault="003346B5" w:rsidP="003346B5">
            <w:pPr>
              <w:pStyle w:val="aff2"/>
              <w:spacing w:before="0" w:after="0"/>
              <w:rPr>
                <w:rFonts w:cs="Times New Roman"/>
                <w:sz w:val="21"/>
                <w:szCs w:val="21"/>
              </w:rPr>
            </w:pPr>
          </w:p>
        </w:tc>
        <w:tc>
          <w:tcPr>
            <w:tcW w:w="1117" w:type="pct"/>
          </w:tcPr>
          <w:p w14:paraId="2E7E261D" w14:textId="77777777" w:rsidR="003346B5" w:rsidRPr="003346B5" w:rsidRDefault="003346B5" w:rsidP="003346B5">
            <w:pPr>
              <w:pStyle w:val="aff2"/>
              <w:spacing w:before="0" w:after="0"/>
              <w:rPr>
                <w:rFonts w:cs="Times New Roman"/>
                <w:sz w:val="21"/>
                <w:szCs w:val="21"/>
              </w:rPr>
            </w:pPr>
          </w:p>
        </w:tc>
      </w:tr>
      <w:tr w:rsidR="003346B5" w:rsidRPr="003346B5" w14:paraId="64EAA11A" w14:textId="77777777" w:rsidTr="003346B5">
        <w:tc>
          <w:tcPr>
            <w:tcW w:w="2133" w:type="pct"/>
          </w:tcPr>
          <w:p w14:paraId="7850D208"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组织协调</w:t>
            </w:r>
          </w:p>
        </w:tc>
        <w:tc>
          <w:tcPr>
            <w:tcW w:w="759" w:type="pct"/>
          </w:tcPr>
          <w:p w14:paraId="4F96692D"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0.960</w:t>
            </w:r>
          </w:p>
        </w:tc>
        <w:tc>
          <w:tcPr>
            <w:tcW w:w="991" w:type="pct"/>
          </w:tcPr>
          <w:p w14:paraId="584DCF51" w14:textId="77777777" w:rsidR="003346B5" w:rsidRPr="003346B5" w:rsidRDefault="003346B5" w:rsidP="003346B5">
            <w:pPr>
              <w:pStyle w:val="aff2"/>
              <w:spacing w:before="0" w:after="0"/>
              <w:rPr>
                <w:rFonts w:cs="Times New Roman"/>
                <w:sz w:val="21"/>
                <w:szCs w:val="21"/>
              </w:rPr>
            </w:pPr>
          </w:p>
        </w:tc>
        <w:tc>
          <w:tcPr>
            <w:tcW w:w="1117" w:type="pct"/>
          </w:tcPr>
          <w:p w14:paraId="3C174CD0" w14:textId="77777777" w:rsidR="003346B5" w:rsidRPr="003346B5" w:rsidRDefault="003346B5" w:rsidP="003346B5">
            <w:pPr>
              <w:pStyle w:val="aff2"/>
              <w:spacing w:before="0" w:after="0"/>
              <w:rPr>
                <w:rFonts w:cs="Times New Roman"/>
                <w:sz w:val="21"/>
                <w:szCs w:val="21"/>
              </w:rPr>
            </w:pPr>
          </w:p>
        </w:tc>
      </w:tr>
      <w:tr w:rsidR="003346B5" w:rsidRPr="003346B5" w14:paraId="52840559" w14:textId="77777777" w:rsidTr="003346B5">
        <w:tc>
          <w:tcPr>
            <w:tcW w:w="2133" w:type="pct"/>
          </w:tcPr>
          <w:p w14:paraId="18333E9C"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信息技术应用</w:t>
            </w:r>
          </w:p>
        </w:tc>
        <w:tc>
          <w:tcPr>
            <w:tcW w:w="759" w:type="pct"/>
          </w:tcPr>
          <w:p w14:paraId="00F5AA30"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0.945</w:t>
            </w:r>
          </w:p>
        </w:tc>
        <w:tc>
          <w:tcPr>
            <w:tcW w:w="991" w:type="pct"/>
          </w:tcPr>
          <w:p w14:paraId="6B8E99CC" w14:textId="77777777" w:rsidR="003346B5" w:rsidRPr="003346B5" w:rsidRDefault="003346B5" w:rsidP="003346B5">
            <w:pPr>
              <w:pStyle w:val="aff2"/>
              <w:spacing w:before="0" w:after="0"/>
              <w:rPr>
                <w:rFonts w:cs="Times New Roman"/>
                <w:sz w:val="21"/>
                <w:szCs w:val="21"/>
              </w:rPr>
            </w:pPr>
          </w:p>
        </w:tc>
        <w:tc>
          <w:tcPr>
            <w:tcW w:w="1117" w:type="pct"/>
          </w:tcPr>
          <w:p w14:paraId="58AF2750" w14:textId="77777777" w:rsidR="003346B5" w:rsidRPr="003346B5" w:rsidRDefault="003346B5" w:rsidP="003346B5">
            <w:pPr>
              <w:pStyle w:val="aff2"/>
              <w:spacing w:before="0" w:after="0"/>
              <w:rPr>
                <w:rFonts w:cs="Times New Roman"/>
                <w:sz w:val="21"/>
                <w:szCs w:val="21"/>
              </w:rPr>
            </w:pPr>
          </w:p>
        </w:tc>
      </w:tr>
      <w:tr w:rsidR="003346B5" w:rsidRPr="003346B5" w14:paraId="2759618F" w14:textId="77777777" w:rsidTr="003346B5">
        <w:tc>
          <w:tcPr>
            <w:tcW w:w="2133" w:type="pct"/>
          </w:tcPr>
          <w:p w14:paraId="2DCE06A4"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动态感知与适应</w:t>
            </w:r>
          </w:p>
        </w:tc>
        <w:tc>
          <w:tcPr>
            <w:tcW w:w="759" w:type="pct"/>
          </w:tcPr>
          <w:p w14:paraId="53E19D37"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0.965</w:t>
            </w:r>
          </w:p>
        </w:tc>
        <w:tc>
          <w:tcPr>
            <w:tcW w:w="991" w:type="pct"/>
          </w:tcPr>
          <w:p w14:paraId="11592671" w14:textId="77777777" w:rsidR="003346B5" w:rsidRPr="003346B5" w:rsidRDefault="003346B5" w:rsidP="003346B5">
            <w:pPr>
              <w:pStyle w:val="aff2"/>
              <w:spacing w:before="0" w:after="0"/>
              <w:rPr>
                <w:rFonts w:cs="Times New Roman"/>
                <w:sz w:val="21"/>
                <w:szCs w:val="21"/>
              </w:rPr>
            </w:pPr>
          </w:p>
        </w:tc>
        <w:tc>
          <w:tcPr>
            <w:tcW w:w="1117" w:type="pct"/>
          </w:tcPr>
          <w:p w14:paraId="24248043" w14:textId="77777777" w:rsidR="003346B5" w:rsidRPr="003346B5" w:rsidRDefault="003346B5" w:rsidP="003346B5">
            <w:pPr>
              <w:pStyle w:val="aff2"/>
              <w:spacing w:before="0" w:after="0"/>
              <w:rPr>
                <w:rFonts w:cs="Times New Roman"/>
                <w:sz w:val="21"/>
                <w:szCs w:val="21"/>
              </w:rPr>
            </w:pPr>
          </w:p>
        </w:tc>
      </w:tr>
      <w:tr w:rsidR="003346B5" w:rsidRPr="003346B5" w14:paraId="4FF855DD" w14:textId="77777777" w:rsidTr="003346B5">
        <w:tc>
          <w:tcPr>
            <w:tcW w:w="2133" w:type="pct"/>
          </w:tcPr>
          <w:p w14:paraId="2B006EE9"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动态优化与创新</w:t>
            </w:r>
          </w:p>
        </w:tc>
        <w:tc>
          <w:tcPr>
            <w:tcW w:w="759" w:type="pct"/>
          </w:tcPr>
          <w:p w14:paraId="4AABB0D1"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0.966</w:t>
            </w:r>
          </w:p>
        </w:tc>
        <w:tc>
          <w:tcPr>
            <w:tcW w:w="991" w:type="pct"/>
          </w:tcPr>
          <w:p w14:paraId="37AB2967" w14:textId="77777777" w:rsidR="003346B5" w:rsidRPr="003346B5" w:rsidRDefault="003346B5" w:rsidP="003346B5">
            <w:pPr>
              <w:pStyle w:val="aff2"/>
              <w:spacing w:before="0" w:after="0"/>
              <w:rPr>
                <w:rFonts w:cs="Times New Roman"/>
                <w:sz w:val="21"/>
                <w:szCs w:val="21"/>
              </w:rPr>
            </w:pPr>
          </w:p>
        </w:tc>
        <w:tc>
          <w:tcPr>
            <w:tcW w:w="1117" w:type="pct"/>
          </w:tcPr>
          <w:p w14:paraId="3C602857" w14:textId="77777777" w:rsidR="003346B5" w:rsidRPr="003346B5" w:rsidRDefault="003346B5" w:rsidP="003346B5">
            <w:pPr>
              <w:pStyle w:val="aff2"/>
              <w:spacing w:before="0" w:after="0"/>
              <w:rPr>
                <w:rFonts w:cs="Times New Roman"/>
                <w:sz w:val="21"/>
                <w:szCs w:val="21"/>
              </w:rPr>
            </w:pPr>
          </w:p>
        </w:tc>
      </w:tr>
      <w:tr w:rsidR="003346B5" w:rsidRPr="003346B5" w14:paraId="5BAFE07D" w14:textId="77777777" w:rsidTr="003346B5">
        <w:tc>
          <w:tcPr>
            <w:tcW w:w="2133" w:type="pct"/>
          </w:tcPr>
          <w:p w14:paraId="0502EB56"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3</w:t>
            </w:r>
            <w:r w:rsidRPr="003346B5">
              <w:rPr>
                <w:b/>
                <w:bCs/>
                <w:sz w:val="21"/>
                <w:szCs w:val="21"/>
              </w:rPr>
              <w:t>.</w:t>
            </w:r>
            <w:r w:rsidRPr="003346B5">
              <w:rPr>
                <w:rFonts w:hint="eastAsia"/>
                <w:b/>
                <w:bCs/>
                <w:sz w:val="21"/>
                <w:szCs w:val="21"/>
              </w:rPr>
              <w:t xml:space="preserve"> </w:t>
            </w:r>
            <w:r w:rsidRPr="003346B5">
              <w:rPr>
                <w:rFonts w:hint="eastAsia"/>
                <w:b/>
                <w:bCs/>
                <w:sz w:val="21"/>
                <w:szCs w:val="21"/>
              </w:rPr>
              <w:t>管理制度</w:t>
            </w:r>
          </w:p>
        </w:tc>
        <w:tc>
          <w:tcPr>
            <w:tcW w:w="759" w:type="pct"/>
          </w:tcPr>
          <w:p w14:paraId="5C0AF2DF" w14:textId="77777777" w:rsidR="003346B5" w:rsidRPr="003346B5" w:rsidRDefault="003346B5" w:rsidP="003346B5">
            <w:pPr>
              <w:pStyle w:val="aff2"/>
              <w:spacing w:before="0" w:after="0"/>
              <w:rPr>
                <w:rFonts w:cs="Times New Roman"/>
                <w:sz w:val="21"/>
                <w:szCs w:val="21"/>
              </w:rPr>
            </w:pPr>
          </w:p>
        </w:tc>
        <w:tc>
          <w:tcPr>
            <w:tcW w:w="991" w:type="pct"/>
          </w:tcPr>
          <w:p w14:paraId="2B142A6E"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0.980</w:t>
            </w:r>
          </w:p>
        </w:tc>
        <w:tc>
          <w:tcPr>
            <w:tcW w:w="1117" w:type="pct"/>
          </w:tcPr>
          <w:p w14:paraId="3FAC9A7F"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0.960</w:t>
            </w:r>
          </w:p>
        </w:tc>
      </w:tr>
      <w:tr w:rsidR="003346B5" w:rsidRPr="003346B5" w14:paraId="277070D4" w14:textId="77777777" w:rsidTr="003346B5">
        <w:tc>
          <w:tcPr>
            <w:tcW w:w="2133" w:type="pct"/>
          </w:tcPr>
          <w:p w14:paraId="0543F9E6"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项目开发管理制度</w:t>
            </w:r>
          </w:p>
        </w:tc>
        <w:tc>
          <w:tcPr>
            <w:tcW w:w="759" w:type="pct"/>
          </w:tcPr>
          <w:p w14:paraId="1BD6A1E8"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0.980</w:t>
            </w:r>
          </w:p>
        </w:tc>
        <w:tc>
          <w:tcPr>
            <w:tcW w:w="991" w:type="pct"/>
          </w:tcPr>
          <w:p w14:paraId="140E0159" w14:textId="77777777" w:rsidR="003346B5" w:rsidRPr="003346B5" w:rsidRDefault="003346B5" w:rsidP="003346B5">
            <w:pPr>
              <w:pStyle w:val="aff2"/>
              <w:spacing w:before="0" w:after="0"/>
              <w:rPr>
                <w:rFonts w:cs="Times New Roman"/>
                <w:sz w:val="21"/>
                <w:szCs w:val="21"/>
              </w:rPr>
            </w:pPr>
          </w:p>
        </w:tc>
        <w:tc>
          <w:tcPr>
            <w:tcW w:w="1117" w:type="pct"/>
          </w:tcPr>
          <w:p w14:paraId="7856726B" w14:textId="77777777" w:rsidR="003346B5" w:rsidRPr="003346B5" w:rsidRDefault="003346B5" w:rsidP="003346B5">
            <w:pPr>
              <w:pStyle w:val="aff2"/>
              <w:spacing w:before="0" w:after="0"/>
              <w:rPr>
                <w:rFonts w:cs="Times New Roman"/>
                <w:sz w:val="21"/>
                <w:szCs w:val="21"/>
              </w:rPr>
            </w:pPr>
          </w:p>
        </w:tc>
      </w:tr>
      <w:tr w:rsidR="003346B5" w:rsidRPr="003346B5" w14:paraId="098771C6" w14:textId="77777777" w:rsidTr="003346B5">
        <w:tc>
          <w:tcPr>
            <w:tcW w:w="2133" w:type="pct"/>
          </w:tcPr>
          <w:p w14:paraId="1FA53588"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组织发展管理制度</w:t>
            </w:r>
          </w:p>
        </w:tc>
        <w:tc>
          <w:tcPr>
            <w:tcW w:w="759" w:type="pct"/>
          </w:tcPr>
          <w:p w14:paraId="200364F2"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0.981</w:t>
            </w:r>
          </w:p>
        </w:tc>
        <w:tc>
          <w:tcPr>
            <w:tcW w:w="991" w:type="pct"/>
          </w:tcPr>
          <w:p w14:paraId="3D4456C8" w14:textId="77777777" w:rsidR="003346B5" w:rsidRPr="003346B5" w:rsidRDefault="003346B5" w:rsidP="003346B5">
            <w:pPr>
              <w:pStyle w:val="aff2"/>
              <w:spacing w:before="0" w:after="0"/>
              <w:rPr>
                <w:rFonts w:cs="Times New Roman"/>
                <w:sz w:val="21"/>
                <w:szCs w:val="21"/>
              </w:rPr>
            </w:pPr>
          </w:p>
        </w:tc>
        <w:tc>
          <w:tcPr>
            <w:tcW w:w="1117" w:type="pct"/>
          </w:tcPr>
          <w:p w14:paraId="01C1F959" w14:textId="77777777" w:rsidR="003346B5" w:rsidRPr="003346B5" w:rsidRDefault="003346B5" w:rsidP="003346B5">
            <w:pPr>
              <w:pStyle w:val="aff2"/>
              <w:spacing w:before="0" w:after="0"/>
              <w:rPr>
                <w:rFonts w:cs="Times New Roman"/>
                <w:sz w:val="21"/>
                <w:szCs w:val="21"/>
              </w:rPr>
            </w:pPr>
          </w:p>
        </w:tc>
      </w:tr>
      <w:tr w:rsidR="003346B5" w:rsidRPr="003346B5" w14:paraId="6D00566A" w14:textId="77777777" w:rsidTr="003346B5">
        <w:tc>
          <w:tcPr>
            <w:tcW w:w="2133" w:type="pct"/>
          </w:tcPr>
          <w:p w14:paraId="2C247361"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4</w:t>
            </w:r>
            <w:r w:rsidRPr="003346B5">
              <w:rPr>
                <w:b/>
                <w:bCs/>
                <w:sz w:val="21"/>
                <w:szCs w:val="21"/>
              </w:rPr>
              <w:t>.</w:t>
            </w:r>
            <w:r w:rsidRPr="003346B5">
              <w:rPr>
                <w:rFonts w:hint="eastAsia"/>
                <w:b/>
                <w:bCs/>
                <w:sz w:val="21"/>
                <w:szCs w:val="21"/>
              </w:rPr>
              <w:t xml:space="preserve"> </w:t>
            </w:r>
            <w:r w:rsidRPr="003346B5">
              <w:rPr>
                <w:rFonts w:hint="eastAsia"/>
                <w:b/>
                <w:bCs/>
                <w:sz w:val="21"/>
                <w:szCs w:val="21"/>
              </w:rPr>
              <w:t>资源配置</w:t>
            </w:r>
          </w:p>
        </w:tc>
        <w:tc>
          <w:tcPr>
            <w:tcW w:w="759" w:type="pct"/>
          </w:tcPr>
          <w:p w14:paraId="0D6B0E6C" w14:textId="77777777" w:rsidR="003346B5" w:rsidRPr="003346B5" w:rsidRDefault="003346B5" w:rsidP="003346B5">
            <w:pPr>
              <w:pStyle w:val="aff2"/>
              <w:spacing w:before="0" w:after="0"/>
              <w:rPr>
                <w:rFonts w:cs="Times New Roman"/>
                <w:sz w:val="21"/>
                <w:szCs w:val="21"/>
              </w:rPr>
            </w:pPr>
          </w:p>
        </w:tc>
        <w:tc>
          <w:tcPr>
            <w:tcW w:w="991" w:type="pct"/>
          </w:tcPr>
          <w:p w14:paraId="5F1506AF"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0.976</w:t>
            </w:r>
          </w:p>
        </w:tc>
        <w:tc>
          <w:tcPr>
            <w:tcW w:w="1117" w:type="pct"/>
          </w:tcPr>
          <w:p w14:paraId="44AE47AB"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0.952</w:t>
            </w:r>
          </w:p>
        </w:tc>
      </w:tr>
      <w:tr w:rsidR="003346B5" w:rsidRPr="003346B5" w14:paraId="36D3AA27" w14:textId="77777777" w:rsidTr="003346B5">
        <w:tc>
          <w:tcPr>
            <w:tcW w:w="2133" w:type="pct"/>
          </w:tcPr>
          <w:p w14:paraId="410024E8"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资源及时供应</w:t>
            </w:r>
          </w:p>
        </w:tc>
        <w:tc>
          <w:tcPr>
            <w:tcW w:w="759" w:type="pct"/>
          </w:tcPr>
          <w:p w14:paraId="3D94B09F"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0.977</w:t>
            </w:r>
          </w:p>
        </w:tc>
        <w:tc>
          <w:tcPr>
            <w:tcW w:w="991" w:type="pct"/>
          </w:tcPr>
          <w:p w14:paraId="0C48A386" w14:textId="77777777" w:rsidR="003346B5" w:rsidRPr="003346B5" w:rsidRDefault="003346B5" w:rsidP="003346B5">
            <w:pPr>
              <w:pStyle w:val="aff2"/>
              <w:spacing w:before="0" w:after="0"/>
              <w:rPr>
                <w:rFonts w:cs="Times New Roman"/>
                <w:sz w:val="21"/>
                <w:szCs w:val="21"/>
              </w:rPr>
            </w:pPr>
          </w:p>
        </w:tc>
        <w:tc>
          <w:tcPr>
            <w:tcW w:w="1117" w:type="pct"/>
          </w:tcPr>
          <w:p w14:paraId="59B60466" w14:textId="77777777" w:rsidR="003346B5" w:rsidRPr="003346B5" w:rsidRDefault="003346B5" w:rsidP="003346B5">
            <w:pPr>
              <w:pStyle w:val="aff2"/>
              <w:spacing w:before="0" w:after="0"/>
              <w:rPr>
                <w:rFonts w:cs="Times New Roman"/>
                <w:sz w:val="21"/>
                <w:szCs w:val="21"/>
              </w:rPr>
            </w:pPr>
          </w:p>
        </w:tc>
      </w:tr>
      <w:tr w:rsidR="003346B5" w:rsidRPr="003346B5" w14:paraId="41EAD1BF" w14:textId="77777777" w:rsidTr="003346B5">
        <w:tc>
          <w:tcPr>
            <w:tcW w:w="2133" w:type="pct"/>
          </w:tcPr>
          <w:p w14:paraId="71335FA0"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内外部资源共享</w:t>
            </w:r>
          </w:p>
        </w:tc>
        <w:tc>
          <w:tcPr>
            <w:tcW w:w="759" w:type="pct"/>
          </w:tcPr>
          <w:p w14:paraId="5AE86593"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0.976</w:t>
            </w:r>
          </w:p>
        </w:tc>
        <w:tc>
          <w:tcPr>
            <w:tcW w:w="991" w:type="pct"/>
          </w:tcPr>
          <w:p w14:paraId="208D9A56" w14:textId="77777777" w:rsidR="003346B5" w:rsidRPr="003346B5" w:rsidRDefault="003346B5" w:rsidP="003346B5">
            <w:pPr>
              <w:pStyle w:val="aff2"/>
              <w:spacing w:before="0" w:after="0"/>
              <w:rPr>
                <w:rFonts w:cs="Times New Roman"/>
                <w:sz w:val="21"/>
                <w:szCs w:val="21"/>
              </w:rPr>
            </w:pPr>
          </w:p>
        </w:tc>
        <w:tc>
          <w:tcPr>
            <w:tcW w:w="1117" w:type="pct"/>
          </w:tcPr>
          <w:p w14:paraId="7366983A" w14:textId="77777777" w:rsidR="003346B5" w:rsidRPr="003346B5" w:rsidRDefault="003346B5" w:rsidP="003346B5">
            <w:pPr>
              <w:pStyle w:val="aff2"/>
              <w:spacing w:before="0" w:after="0"/>
              <w:rPr>
                <w:rFonts w:cs="Times New Roman"/>
                <w:sz w:val="21"/>
                <w:szCs w:val="21"/>
              </w:rPr>
            </w:pPr>
          </w:p>
        </w:tc>
      </w:tr>
      <w:tr w:rsidR="003346B5" w:rsidRPr="003346B5" w14:paraId="73EC198E" w14:textId="77777777" w:rsidTr="003346B5">
        <w:tc>
          <w:tcPr>
            <w:tcW w:w="2133" w:type="pct"/>
          </w:tcPr>
          <w:p w14:paraId="687D5CC8"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5</w:t>
            </w:r>
            <w:r w:rsidRPr="003346B5">
              <w:rPr>
                <w:b/>
                <w:bCs/>
                <w:sz w:val="21"/>
                <w:szCs w:val="21"/>
              </w:rPr>
              <w:t>.</w:t>
            </w:r>
            <w:r w:rsidRPr="003346B5">
              <w:rPr>
                <w:rFonts w:hint="eastAsia"/>
                <w:b/>
                <w:bCs/>
                <w:sz w:val="21"/>
                <w:szCs w:val="21"/>
              </w:rPr>
              <w:t xml:space="preserve"> </w:t>
            </w:r>
            <w:r w:rsidRPr="003346B5">
              <w:rPr>
                <w:rFonts w:hint="eastAsia"/>
                <w:b/>
                <w:bCs/>
                <w:sz w:val="21"/>
                <w:szCs w:val="21"/>
              </w:rPr>
              <w:t>伙伴关系</w:t>
            </w:r>
          </w:p>
        </w:tc>
        <w:tc>
          <w:tcPr>
            <w:tcW w:w="759" w:type="pct"/>
          </w:tcPr>
          <w:p w14:paraId="2C5D610A" w14:textId="77777777" w:rsidR="003346B5" w:rsidRPr="003346B5" w:rsidRDefault="003346B5" w:rsidP="003346B5">
            <w:pPr>
              <w:pStyle w:val="aff2"/>
              <w:spacing w:before="0" w:after="0"/>
              <w:rPr>
                <w:rFonts w:cs="Times New Roman"/>
                <w:sz w:val="21"/>
                <w:szCs w:val="21"/>
              </w:rPr>
            </w:pPr>
          </w:p>
        </w:tc>
        <w:tc>
          <w:tcPr>
            <w:tcW w:w="991" w:type="pct"/>
          </w:tcPr>
          <w:p w14:paraId="15608431"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0.986</w:t>
            </w:r>
          </w:p>
        </w:tc>
        <w:tc>
          <w:tcPr>
            <w:tcW w:w="1117" w:type="pct"/>
          </w:tcPr>
          <w:p w14:paraId="32BC112F"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0.972</w:t>
            </w:r>
          </w:p>
        </w:tc>
      </w:tr>
      <w:tr w:rsidR="003346B5" w:rsidRPr="003346B5" w14:paraId="7BDB2218" w14:textId="77777777" w:rsidTr="003346B5">
        <w:tc>
          <w:tcPr>
            <w:tcW w:w="2133" w:type="pct"/>
          </w:tcPr>
          <w:p w14:paraId="439D427D"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态度要素</w:t>
            </w:r>
          </w:p>
        </w:tc>
        <w:tc>
          <w:tcPr>
            <w:tcW w:w="759" w:type="pct"/>
          </w:tcPr>
          <w:p w14:paraId="030C9074"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0.987</w:t>
            </w:r>
          </w:p>
        </w:tc>
        <w:tc>
          <w:tcPr>
            <w:tcW w:w="991" w:type="pct"/>
          </w:tcPr>
          <w:p w14:paraId="140E59DB" w14:textId="77777777" w:rsidR="003346B5" w:rsidRPr="003346B5" w:rsidRDefault="003346B5" w:rsidP="003346B5">
            <w:pPr>
              <w:pStyle w:val="aff2"/>
              <w:spacing w:before="0" w:after="0"/>
              <w:rPr>
                <w:rFonts w:cs="Times New Roman"/>
                <w:sz w:val="21"/>
                <w:szCs w:val="21"/>
              </w:rPr>
            </w:pPr>
          </w:p>
        </w:tc>
        <w:tc>
          <w:tcPr>
            <w:tcW w:w="1117" w:type="pct"/>
          </w:tcPr>
          <w:p w14:paraId="0599E461" w14:textId="77777777" w:rsidR="003346B5" w:rsidRPr="003346B5" w:rsidRDefault="003346B5" w:rsidP="003346B5">
            <w:pPr>
              <w:pStyle w:val="aff2"/>
              <w:spacing w:before="0" w:after="0"/>
              <w:rPr>
                <w:rFonts w:cs="Times New Roman"/>
                <w:sz w:val="21"/>
                <w:szCs w:val="21"/>
              </w:rPr>
            </w:pPr>
          </w:p>
        </w:tc>
      </w:tr>
      <w:tr w:rsidR="003346B5" w:rsidRPr="003346B5" w14:paraId="5E18151F" w14:textId="77777777" w:rsidTr="003346B5">
        <w:tc>
          <w:tcPr>
            <w:tcW w:w="2133" w:type="pct"/>
          </w:tcPr>
          <w:p w14:paraId="20B7F027"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交流要素</w:t>
            </w:r>
          </w:p>
        </w:tc>
        <w:tc>
          <w:tcPr>
            <w:tcW w:w="759" w:type="pct"/>
          </w:tcPr>
          <w:p w14:paraId="4B84BE57"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0.986</w:t>
            </w:r>
          </w:p>
        </w:tc>
        <w:tc>
          <w:tcPr>
            <w:tcW w:w="991" w:type="pct"/>
          </w:tcPr>
          <w:p w14:paraId="3E86F5F5" w14:textId="77777777" w:rsidR="003346B5" w:rsidRPr="003346B5" w:rsidRDefault="003346B5" w:rsidP="003346B5">
            <w:pPr>
              <w:pStyle w:val="aff2"/>
              <w:spacing w:before="0" w:after="0"/>
              <w:rPr>
                <w:rFonts w:cs="Times New Roman"/>
                <w:sz w:val="21"/>
                <w:szCs w:val="21"/>
              </w:rPr>
            </w:pPr>
          </w:p>
        </w:tc>
        <w:tc>
          <w:tcPr>
            <w:tcW w:w="1117" w:type="pct"/>
          </w:tcPr>
          <w:p w14:paraId="5A96967D" w14:textId="77777777" w:rsidR="003346B5" w:rsidRPr="003346B5" w:rsidRDefault="003346B5" w:rsidP="003346B5">
            <w:pPr>
              <w:pStyle w:val="aff2"/>
              <w:spacing w:before="0" w:after="0"/>
              <w:rPr>
                <w:rFonts w:cs="Times New Roman"/>
                <w:sz w:val="21"/>
                <w:szCs w:val="21"/>
              </w:rPr>
            </w:pPr>
          </w:p>
        </w:tc>
      </w:tr>
      <w:tr w:rsidR="003346B5" w:rsidRPr="003346B5" w14:paraId="0F454FEB" w14:textId="77777777" w:rsidTr="003346B5">
        <w:tc>
          <w:tcPr>
            <w:tcW w:w="2133" w:type="pct"/>
          </w:tcPr>
          <w:p w14:paraId="5CEF2CB0" w14:textId="77777777" w:rsidR="003346B5" w:rsidRPr="003346B5" w:rsidRDefault="003346B5" w:rsidP="003346B5">
            <w:pPr>
              <w:pStyle w:val="aff2"/>
              <w:spacing w:before="0" w:after="0"/>
              <w:jc w:val="left"/>
              <w:rPr>
                <w:b/>
                <w:bCs/>
                <w:sz w:val="21"/>
                <w:szCs w:val="21"/>
              </w:rPr>
            </w:pPr>
            <w:r w:rsidRPr="003346B5">
              <w:rPr>
                <w:rFonts w:hint="eastAsia"/>
                <w:b/>
                <w:bCs/>
                <w:sz w:val="21"/>
                <w:szCs w:val="21"/>
              </w:rPr>
              <w:t>6</w:t>
            </w:r>
            <w:r w:rsidRPr="003346B5">
              <w:rPr>
                <w:b/>
                <w:bCs/>
                <w:sz w:val="21"/>
                <w:szCs w:val="21"/>
              </w:rPr>
              <w:t>.</w:t>
            </w:r>
            <w:r w:rsidRPr="003346B5">
              <w:rPr>
                <w:rFonts w:hint="eastAsia"/>
                <w:b/>
                <w:bCs/>
                <w:sz w:val="21"/>
                <w:szCs w:val="21"/>
              </w:rPr>
              <w:t xml:space="preserve"> </w:t>
            </w:r>
            <w:r w:rsidRPr="003346B5">
              <w:rPr>
                <w:rFonts w:hint="eastAsia"/>
                <w:b/>
                <w:bCs/>
                <w:sz w:val="21"/>
                <w:szCs w:val="21"/>
              </w:rPr>
              <w:t>项目群实施</w:t>
            </w:r>
          </w:p>
        </w:tc>
        <w:tc>
          <w:tcPr>
            <w:tcW w:w="759" w:type="pct"/>
          </w:tcPr>
          <w:p w14:paraId="5E924164" w14:textId="77777777" w:rsidR="003346B5" w:rsidRPr="003346B5" w:rsidRDefault="003346B5" w:rsidP="003346B5">
            <w:pPr>
              <w:pStyle w:val="aff2"/>
              <w:spacing w:before="0" w:after="0"/>
              <w:rPr>
                <w:rFonts w:cs="Times New Roman"/>
                <w:sz w:val="21"/>
                <w:szCs w:val="21"/>
              </w:rPr>
            </w:pPr>
          </w:p>
        </w:tc>
        <w:tc>
          <w:tcPr>
            <w:tcW w:w="991" w:type="pct"/>
          </w:tcPr>
          <w:p w14:paraId="2BE370EC"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0.969</w:t>
            </w:r>
          </w:p>
        </w:tc>
        <w:tc>
          <w:tcPr>
            <w:tcW w:w="1117" w:type="pct"/>
          </w:tcPr>
          <w:p w14:paraId="4F6FCE2C"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0.952</w:t>
            </w:r>
          </w:p>
        </w:tc>
      </w:tr>
      <w:tr w:rsidR="003346B5" w:rsidRPr="003346B5" w14:paraId="3F130B22" w14:textId="77777777" w:rsidTr="003346B5">
        <w:tc>
          <w:tcPr>
            <w:tcW w:w="2133" w:type="pct"/>
          </w:tcPr>
          <w:p w14:paraId="7117AD5B"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设计</w:t>
            </w:r>
          </w:p>
        </w:tc>
        <w:tc>
          <w:tcPr>
            <w:tcW w:w="759" w:type="pct"/>
          </w:tcPr>
          <w:p w14:paraId="346264BC" w14:textId="77777777" w:rsidR="003346B5" w:rsidRPr="003346B5" w:rsidRDefault="003346B5" w:rsidP="003346B5">
            <w:pPr>
              <w:widowControl/>
              <w:ind w:firstLineChars="0" w:firstLine="0"/>
              <w:jc w:val="center"/>
              <w:rPr>
                <w:rFonts w:ascii="Calibri" w:eastAsia="等线" w:hAnsi="Calibri" w:cs="Calibri"/>
                <w:color w:val="006400"/>
                <w:kern w:val="0"/>
                <w:sz w:val="21"/>
                <w:szCs w:val="21"/>
              </w:rPr>
            </w:pPr>
            <w:r w:rsidRPr="003346B5">
              <w:rPr>
                <w:rFonts w:cs="Times New Roman"/>
                <w:sz w:val="21"/>
                <w:szCs w:val="21"/>
              </w:rPr>
              <w:t>0.947</w:t>
            </w:r>
          </w:p>
        </w:tc>
        <w:tc>
          <w:tcPr>
            <w:tcW w:w="991" w:type="pct"/>
          </w:tcPr>
          <w:p w14:paraId="3DBF50B2" w14:textId="77777777" w:rsidR="003346B5" w:rsidRPr="003346B5" w:rsidRDefault="003346B5" w:rsidP="003346B5">
            <w:pPr>
              <w:pStyle w:val="aff2"/>
              <w:spacing w:before="0" w:after="0"/>
              <w:rPr>
                <w:rFonts w:cs="Times New Roman"/>
                <w:sz w:val="21"/>
                <w:szCs w:val="21"/>
              </w:rPr>
            </w:pPr>
          </w:p>
        </w:tc>
        <w:tc>
          <w:tcPr>
            <w:tcW w:w="1117" w:type="pct"/>
          </w:tcPr>
          <w:p w14:paraId="6F8792AE" w14:textId="77777777" w:rsidR="003346B5" w:rsidRPr="003346B5" w:rsidRDefault="003346B5" w:rsidP="003346B5">
            <w:pPr>
              <w:pStyle w:val="aff2"/>
              <w:spacing w:before="0" w:after="0"/>
              <w:rPr>
                <w:rFonts w:cs="Times New Roman"/>
                <w:sz w:val="21"/>
                <w:szCs w:val="21"/>
              </w:rPr>
            </w:pPr>
          </w:p>
        </w:tc>
      </w:tr>
      <w:tr w:rsidR="003346B5" w:rsidRPr="003346B5" w14:paraId="38DD1A56" w14:textId="77777777" w:rsidTr="003346B5">
        <w:tc>
          <w:tcPr>
            <w:tcW w:w="2133" w:type="pct"/>
          </w:tcPr>
          <w:p w14:paraId="589EDCCF"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t>施工</w:t>
            </w:r>
          </w:p>
        </w:tc>
        <w:tc>
          <w:tcPr>
            <w:tcW w:w="759" w:type="pct"/>
          </w:tcPr>
          <w:p w14:paraId="6189D9A6"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0.954</w:t>
            </w:r>
          </w:p>
        </w:tc>
        <w:tc>
          <w:tcPr>
            <w:tcW w:w="991" w:type="pct"/>
          </w:tcPr>
          <w:p w14:paraId="006F9717" w14:textId="77777777" w:rsidR="003346B5" w:rsidRPr="003346B5" w:rsidRDefault="003346B5" w:rsidP="003346B5">
            <w:pPr>
              <w:pStyle w:val="aff2"/>
              <w:spacing w:before="0" w:after="0"/>
              <w:rPr>
                <w:rFonts w:cs="Times New Roman"/>
                <w:sz w:val="21"/>
                <w:szCs w:val="21"/>
              </w:rPr>
            </w:pPr>
          </w:p>
        </w:tc>
        <w:tc>
          <w:tcPr>
            <w:tcW w:w="1117" w:type="pct"/>
          </w:tcPr>
          <w:p w14:paraId="54040267" w14:textId="77777777" w:rsidR="003346B5" w:rsidRPr="003346B5" w:rsidRDefault="003346B5" w:rsidP="003346B5">
            <w:pPr>
              <w:pStyle w:val="aff2"/>
              <w:spacing w:before="0" w:after="0"/>
              <w:rPr>
                <w:rFonts w:cs="Times New Roman"/>
                <w:sz w:val="21"/>
                <w:szCs w:val="21"/>
              </w:rPr>
            </w:pPr>
          </w:p>
        </w:tc>
      </w:tr>
      <w:tr w:rsidR="003346B5" w:rsidRPr="003346B5" w14:paraId="5A61A7BF" w14:textId="77777777" w:rsidTr="003346B5">
        <w:tc>
          <w:tcPr>
            <w:tcW w:w="2133" w:type="pct"/>
          </w:tcPr>
          <w:p w14:paraId="15483048" w14:textId="77777777" w:rsidR="003346B5" w:rsidRPr="003346B5" w:rsidRDefault="003346B5" w:rsidP="003346B5">
            <w:pPr>
              <w:pStyle w:val="aff2"/>
              <w:spacing w:before="0" w:after="0"/>
              <w:jc w:val="left"/>
              <w:rPr>
                <w:rFonts w:cs="Arial"/>
                <w:sz w:val="21"/>
                <w:szCs w:val="21"/>
              </w:rPr>
            </w:pPr>
            <w:r w:rsidRPr="003346B5">
              <w:rPr>
                <w:rFonts w:cs="Arial" w:hint="eastAsia"/>
                <w:sz w:val="21"/>
                <w:szCs w:val="21"/>
              </w:rPr>
              <w:lastRenderedPageBreak/>
              <w:t>采购</w:t>
            </w:r>
          </w:p>
        </w:tc>
        <w:tc>
          <w:tcPr>
            <w:tcW w:w="759" w:type="pct"/>
          </w:tcPr>
          <w:p w14:paraId="0D71083C" w14:textId="77777777" w:rsidR="003346B5" w:rsidRPr="003346B5" w:rsidRDefault="003346B5" w:rsidP="003346B5">
            <w:pPr>
              <w:pStyle w:val="aff2"/>
              <w:spacing w:before="0" w:after="0"/>
              <w:rPr>
                <w:rFonts w:cs="Times New Roman"/>
                <w:sz w:val="21"/>
                <w:szCs w:val="21"/>
              </w:rPr>
            </w:pPr>
            <w:r w:rsidRPr="003346B5">
              <w:rPr>
                <w:rFonts w:cs="Times New Roman"/>
                <w:sz w:val="21"/>
                <w:szCs w:val="21"/>
              </w:rPr>
              <w:t>0.964</w:t>
            </w:r>
          </w:p>
        </w:tc>
        <w:tc>
          <w:tcPr>
            <w:tcW w:w="991" w:type="pct"/>
          </w:tcPr>
          <w:p w14:paraId="4455A39D" w14:textId="77777777" w:rsidR="003346B5" w:rsidRPr="003346B5" w:rsidRDefault="003346B5" w:rsidP="003346B5">
            <w:pPr>
              <w:pStyle w:val="aff2"/>
              <w:spacing w:before="0" w:after="0"/>
              <w:rPr>
                <w:rFonts w:cs="Times New Roman"/>
                <w:sz w:val="21"/>
                <w:szCs w:val="21"/>
              </w:rPr>
            </w:pPr>
          </w:p>
        </w:tc>
        <w:tc>
          <w:tcPr>
            <w:tcW w:w="1117" w:type="pct"/>
          </w:tcPr>
          <w:p w14:paraId="24729242" w14:textId="77777777" w:rsidR="003346B5" w:rsidRPr="003346B5" w:rsidRDefault="003346B5" w:rsidP="003346B5">
            <w:pPr>
              <w:pStyle w:val="aff2"/>
              <w:spacing w:before="0" w:after="0"/>
              <w:rPr>
                <w:rFonts w:cs="Times New Roman"/>
                <w:sz w:val="21"/>
                <w:szCs w:val="21"/>
              </w:rPr>
            </w:pPr>
          </w:p>
        </w:tc>
      </w:tr>
      <w:tr w:rsidR="003346B5" w:rsidRPr="003346B5" w14:paraId="1CFBFB6E" w14:textId="77777777" w:rsidTr="003346B5">
        <w:tc>
          <w:tcPr>
            <w:tcW w:w="2133" w:type="pct"/>
          </w:tcPr>
          <w:p w14:paraId="6F6D25F2" w14:textId="77777777" w:rsidR="003346B5" w:rsidRPr="003346B5" w:rsidRDefault="003346B5" w:rsidP="003346B5">
            <w:pPr>
              <w:pStyle w:val="aff2"/>
              <w:spacing w:before="0" w:after="0"/>
              <w:jc w:val="left"/>
              <w:rPr>
                <w:rFonts w:cs="Arial"/>
                <w:b/>
                <w:bCs/>
                <w:sz w:val="21"/>
                <w:szCs w:val="21"/>
              </w:rPr>
            </w:pPr>
            <w:r w:rsidRPr="003346B5">
              <w:rPr>
                <w:rFonts w:hint="eastAsia"/>
                <w:b/>
                <w:bCs/>
                <w:sz w:val="21"/>
                <w:szCs w:val="21"/>
              </w:rPr>
              <w:t>7</w:t>
            </w:r>
            <w:r w:rsidRPr="003346B5">
              <w:rPr>
                <w:b/>
                <w:bCs/>
                <w:sz w:val="21"/>
                <w:szCs w:val="21"/>
              </w:rPr>
              <w:t>.</w:t>
            </w:r>
            <w:r w:rsidRPr="003346B5">
              <w:rPr>
                <w:rFonts w:hint="eastAsia"/>
                <w:b/>
                <w:bCs/>
                <w:sz w:val="21"/>
                <w:szCs w:val="21"/>
              </w:rPr>
              <w:t xml:space="preserve"> </w:t>
            </w:r>
            <w:r w:rsidRPr="003346B5">
              <w:rPr>
                <w:rFonts w:hint="eastAsia"/>
                <w:b/>
                <w:bCs/>
                <w:sz w:val="21"/>
                <w:szCs w:val="21"/>
              </w:rPr>
              <w:t>项目群运营</w:t>
            </w:r>
          </w:p>
        </w:tc>
        <w:tc>
          <w:tcPr>
            <w:tcW w:w="759" w:type="pct"/>
          </w:tcPr>
          <w:p w14:paraId="4955B3C4" w14:textId="77777777" w:rsidR="003346B5" w:rsidRPr="003346B5" w:rsidRDefault="003346B5" w:rsidP="003346B5">
            <w:pPr>
              <w:pStyle w:val="aff2"/>
              <w:spacing w:before="0" w:after="0"/>
              <w:rPr>
                <w:rFonts w:cs="Times New Roman"/>
                <w:b/>
                <w:bCs/>
                <w:sz w:val="21"/>
                <w:szCs w:val="21"/>
              </w:rPr>
            </w:pPr>
          </w:p>
        </w:tc>
        <w:tc>
          <w:tcPr>
            <w:tcW w:w="991" w:type="pct"/>
          </w:tcPr>
          <w:p w14:paraId="77DE53F8"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0.967</w:t>
            </w:r>
          </w:p>
        </w:tc>
        <w:tc>
          <w:tcPr>
            <w:tcW w:w="1117" w:type="pct"/>
          </w:tcPr>
          <w:p w14:paraId="27485545" w14:textId="77777777" w:rsidR="003346B5" w:rsidRPr="003346B5" w:rsidRDefault="003346B5" w:rsidP="003346B5">
            <w:pPr>
              <w:pStyle w:val="aff2"/>
              <w:spacing w:before="0" w:after="0"/>
              <w:rPr>
                <w:rFonts w:cs="Times New Roman"/>
                <w:b/>
                <w:bCs/>
                <w:sz w:val="21"/>
                <w:szCs w:val="21"/>
              </w:rPr>
            </w:pPr>
            <w:r w:rsidRPr="003346B5">
              <w:rPr>
                <w:rFonts w:cs="Times New Roman"/>
                <w:b/>
                <w:bCs/>
                <w:sz w:val="21"/>
                <w:szCs w:val="21"/>
              </w:rPr>
              <w:t>0.960</w:t>
            </w:r>
          </w:p>
        </w:tc>
      </w:tr>
      <w:tr w:rsidR="003346B5" w:rsidRPr="003346B5" w14:paraId="0BB880DB" w14:textId="77777777" w:rsidTr="003346B5">
        <w:tc>
          <w:tcPr>
            <w:tcW w:w="2133" w:type="pct"/>
          </w:tcPr>
          <w:p w14:paraId="09E969C1" w14:textId="77777777" w:rsidR="003346B5" w:rsidRPr="003346B5" w:rsidRDefault="003346B5" w:rsidP="003346B5">
            <w:pPr>
              <w:pStyle w:val="aff2"/>
              <w:spacing w:before="0" w:after="0"/>
              <w:jc w:val="left"/>
              <w:rPr>
                <w:sz w:val="21"/>
                <w:szCs w:val="21"/>
              </w:rPr>
            </w:pPr>
            <w:r w:rsidRPr="003346B5">
              <w:rPr>
                <w:rFonts w:hint="eastAsia"/>
                <w:sz w:val="21"/>
                <w:szCs w:val="21"/>
              </w:rPr>
              <w:t>发电能力达标</w:t>
            </w:r>
          </w:p>
        </w:tc>
        <w:tc>
          <w:tcPr>
            <w:tcW w:w="759" w:type="pct"/>
            <w:vAlign w:val="top"/>
          </w:tcPr>
          <w:p w14:paraId="5A8ACCD4" w14:textId="77777777" w:rsidR="003346B5" w:rsidRPr="003346B5" w:rsidRDefault="003346B5" w:rsidP="003346B5">
            <w:pPr>
              <w:pStyle w:val="aff2"/>
              <w:spacing w:before="0" w:after="0"/>
              <w:rPr>
                <w:rFonts w:cs="Times New Roman"/>
                <w:sz w:val="21"/>
                <w:szCs w:val="21"/>
              </w:rPr>
            </w:pPr>
            <w:r w:rsidRPr="003346B5">
              <w:rPr>
                <w:sz w:val="21"/>
                <w:szCs w:val="21"/>
              </w:rPr>
              <w:t>0.914</w:t>
            </w:r>
          </w:p>
        </w:tc>
        <w:tc>
          <w:tcPr>
            <w:tcW w:w="991" w:type="pct"/>
          </w:tcPr>
          <w:p w14:paraId="19E0D84E" w14:textId="77777777" w:rsidR="003346B5" w:rsidRPr="003346B5" w:rsidRDefault="003346B5" w:rsidP="003346B5">
            <w:pPr>
              <w:pStyle w:val="aff2"/>
              <w:spacing w:before="0" w:after="0"/>
              <w:rPr>
                <w:rFonts w:cs="Times New Roman"/>
                <w:sz w:val="21"/>
                <w:szCs w:val="21"/>
              </w:rPr>
            </w:pPr>
          </w:p>
        </w:tc>
        <w:tc>
          <w:tcPr>
            <w:tcW w:w="1117" w:type="pct"/>
          </w:tcPr>
          <w:p w14:paraId="61D6E267" w14:textId="77777777" w:rsidR="003346B5" w:rsidRPr="003346B5" w:rsidRDefault="003346B5" w:rsidP="003346B5">
            <w:pPr>
              <w:pStyle w:val="aff2"/>
              <w:spacing w:before="0" w:after="0"/>
              <w:rPr>
                <w:rFonts w:cs="Times New Roman"/>
                <w:sz w:val="21"/>
                <w:szCs w:val="21"/>
              </w:rPr>
            </w:pPr>
          </w:p>
        </w:tc>
      </w:tr>
      <w:tr w:rsidR="003346B5" w:rsidRPr="003346B5" w14:paraId="0E998D27" w14:textId="77777777" w:rsidTr="003346B5">
        <w:tc>
          <w:tcPr>
            <w:tcW w:w="2133" w:type="pct"/>
          </w:tcPr>
          <w:p w14:paraId="40341991" w14:textId="77777777" w:rsidR="003346B5" w:rsidRPr="003346B5" w:rsidRDefault="003346B5" w:rsidP="003346B5">
            <w:pPr>
              <w:pStyle w:val="aff2"/>
              <w:spacing w:before="0" w:after="0"/>
              <w:jc w:val="left"/>
              <w:rPr>
                <w:sz w:val="21"/>
                <w:szCs w:val="21"/>
              </w:rPr>
            </w:pPr>
            <w:r w:rsidRPr="003346B5">
              <w:rPr>
                <w:rFonts w:hint="eastAsia"/>
                <w:sz w:val="21"/>
                <w:szCs w:val="21"/>
              </w:rPr>
              <w:t>项目顺利并网</w:t>
            </w:r>
          </w:p>
        </w:tc>
        <w:tc>
          <w:tcPr>
            <w:tcW w:w="759" w:type="pct"/>
            <w:vAlign w:val="top"/>
          </w:tcPr>
          <w:p w14:paraId="29C59882" w14:textId="77777777" w:rsidR="003346B5" w:rsidRPr="003346B5" w:rsidRDefault="003346B5" w:rsidP="003346B5">
            <w:pPr>
              <w:pStyle w:val="aff2"/>
              <w:spacing w:before="0" w:after="0"/>
              <w:rPr>
                <w:rFonts w:cs="Times New Roman"/>
                <w:sz w:val="21"/>
                <w:szCs w:val="21"/>
              </w:rPr>
            </w:pPr>
            <w:r w:rsidRPr="003346B5">
              <w:rPr>
                <w:sz w:val="21"/>
                <w:szCs w:val="21"/>
              </w:rPr>
              <w:t>0.894</w:t>
            </w:r>
          </w:p>
        </w:tc>
        <w:tc>
          <w:tcPr>
            <w:tcW w:w="991" w:type="pct"/>
          </w:tcPr>
          <w:p w14:paraId="1C787BFC" w14:textId="77777777" w:rsidR="003346B5" w:rsidRPr="003346B5" w:rsidRDefault="003346B5" w:rsidP="003346B5">
            <w:pPr>
              <w:pStyle w:val="aff2"/>
              <w:spacing w:before="0" w:after="0"/>
              <w:rPr>
                <w:rFonts w:cs="Times New Roman"/>
                <w:sz w:val="21"/>
                <w:szCs w:val="21"/>
              </w:rPr>
            </w:pPr>
          </w:p>
        </w:tc>
        <w:tc>
          <w:tcPr>
            <w:tcW w:w="1117" w:type="pct"/>
          </w:tcPr>
          <w:p w14:paraId="55393455" w14:textId="77777777" w:rsidR="003346B5" w:rsidRPr="003346B5" w:rsidRDefault="003346B5" w:rsidP="003346B5">
            <w:pPr>
              <w:pStyle w:val="aff2"/>
              <w:spacing w:before="0" w:after="0"/>
              <w:rPr>
                <w:rFonts w:cs="Times New Roman"/>
                <w:sz w:val="21"/>
                <w:szCs w:val="21"/>
              </w:rPr>
            </w:pPr>
          </w:p>
        </w:tc>
      </w:tr>
    </w:tbl>
    <w:p w14:paraId="57362658" w14:textId="0BA29FC0" w:rsidR="00116F7D" w:rsidRDefault="00116F7D" w:rsidP="003079D0">
      <w:pPr>
        <w:pStyle w:val="afa"/>
        <w:keepNext/>
        <w:spacing w:beforeLines="50" w:before="156"/>
      </w:pPr>
      <w:bookmarkStart w:id="30" w:name="_Ref174355896"/>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11</w:t>
      </w:r>
      <w:r>
        <w:fldChar w:fldCharType="end"/>
      </w:r>
      <w:bookmarkEnd w:id="30"/>
      <w:r>
        <w:rPr>
          <w:rFonts w:hint="eastAsia"/>
        </w:rPr>
        <w:t xml:space="preserve"> </w:t>
      </w:r>
      <w:r w:rsidRPr="00116F7D">
        <w:rPr>
          <w:rFonts w:hint="eastAsia"/>
        </w:rPr>
        <w:t>收敛效度和区别效度检验结果</w:t>
      </w:r>
    </w:p>
    <w:tbl>
      <w:tblPr>
        <w:tblStyle w:val="aff4"/>
        <w:tblW w:w="5000" w:type="pct"/>
        <w:tblLook w:val="04A0" w:firstRow="1" w:lastRow="0" w:firstColumn="1" w:lastColumn="0" w:noHBand="0" w:noVBand="1"/>
      </w:tblPr>
      <w:tblGrid>
        <w:gridCol w:w="2657"/>
        <w:gridCol w:w="782"/>
        <w:gridCol w:w="782"/>
        <w:gridCol w:w="782"/>
        <w:gridCol w:w="782"/>
        <w:gridCol w:w="781"/>
        <w:gridCol w:w="781"/>
        <w:gridCol w:w="781"/>
        <w:gridCol w:w="781"/>
        <w:gridCol w:w="785"/>
      </w:tblGrid>
      <w:tr w:rsidR="003346B5" w:rsidRPr="003346B5" w14:paraId="0C67B390" w14:textId="77777777" w:rsidTr="003346B5">
        <w:trPr>
          <w:cnfStyle w:val="100000000000" w:firstRow="1" w:lastRow="0" w:firstColumn="0" w:lastColumn="0" w:oddVBand="0" w:evenVBand="0" w:oddHBand="0" w:evenHBand="0" w:firstRowFirstColumn="0" w:firstRowLastColumn="0" w:lastRowFirstColumn="0" w:lastRowLastColumn="0"/>
          <w:trHeight w:val="20"/>
        </w:trPr>
        <w:tc>
          <w:tcPr>
            <w:tcW w:w="1370" w:type="pct"/>
            <w:vMerge w:val="restart"/>
            <w:tcBorders>
              <w:top w:val="single" w:sz="12" w:space="0" w:color="auto"/>
            </w:tcBorders>
          </w:tcPr>
          <w:p w14:paraId="6B36B827" w14:textId="77777777" w:rsidR="003346B5" w:rsidRPr="003346B5" w:rsidRDefault="003346B5" w:rsidP="003346B5">
            <w:pPr>
              <w:pStyle w:val="table"/>
              <w:spacing w:before="0" w:after="0"/>
              <w:rPr>
                <w:b/>
                <w:bCs/>
                <w:sz w:val="21"/>
                <w:szCs w:val="21"/>
              </w:rPr>
            </w:pPr>
            <w:r w:rsidRPr="003346B5">
              <w:rPr>
                <w:rFonts w:hint="eastAsia"/>
                <w:b/>
                <w:bCs/>
                <w:sz w:val="21"/>
                <w:szCs w:val="21"/>
              </w:rPr>
              <w:t>潜变量</w:t>
            </w:r>
          </w:p>
        </w:tc>
        <w:tc>
          <w:tcPr>
            <w:tcW w:w="403" w:type="pct"/>
            <w:vMerge w:val="restart"/>
            <w:tcBorders>
              <w:top w:val="single" w:sz="12" w:space="0" w:color="auto"/>
            </w:tcBorders>
          </w:tcPr>
          <w:p w14:paraId="2D43A31C" w14:textId="77777777" w:rsidR="003346B5" w:rsidRPr="003346B5" w:rsidRDefault="003346B5" w:rsidP="003346B5">
            <w:pPr>
              <w:pStyle w:val="table"/>
              <w:spacing w:before="0" w:after="0"/>
              <w:rPr>
                <w:b/>
                <w:bCs/>
                <w:sz w:val="21"/>
                <w:szCs w:val="21"/>
              </w:rPr>
            </w:pPr>
            <w:r w:rsidRPr="003346B5">
              <w:rPr>
                <w:rFonts w:hint="eastAsia"/>
                <w:b/>
                <w:bCs/>
                <w:sz w:val="21"/>
                <w:szCs w:val="21"/>
              </w:rPr>
              <w:t>A</w:t>
            </w:r>
            <w:r w:rsidRPr="003346B5">
              <w:rPr>
                <w:b/>
                <w:bCs/>
                <w:sz w:val="21"/>
                <w:szCs w:val="21"/>
              </w:rPr>
              <w:t>VE</w:t>
            </w:r>
          </w:p>
        </w:tc>
        <w:tc>
          <w:tcPr>
            <w:tcW w:w="3226" w:type="pct"/>
            <w:gridSpan w:val="8"/>
            <w:tcBorders>
              <w:top w:val="single" w:sz="12" w:space="0" w:color="auto"/>
            </w:tcBorders>
          </w:tcPr>
          <w:p w14:paraId="16D5353A" w14:textId="77777777" w:rsidR="003346B5" w:rsidRPr="003346B5" w:rsidRDefault="003346B5" w:rsidP="003346B5">
            <w:pPr>
              <w:pStyle w:val="table"/>
              <w:spacing w:before="0" w:after="0"/>
              <w:rPr>
                <w:b/>
                <w:bCs/>
                <w:sz w:val="21"/>
                <w:szCs w:val="21"/>
              </w:rPr>
            </w:pPr>
            <w:r w:rsidRPr="003346B5">
              <w:rPr>
                <w:rFonts w:hint="eastAsia"/>
                <w:b/>
                <w:bCs/>
                <w:sz w:val="21"/>
                <w:szCs w:val="21"/>
              </w:rPr>
              <w:t>相关系数和</w:t>
            </w:r>
            <w:r w:rsidRPr="003346B5">
              <w:rPr>
                <w:rFonts w:hint="eastAsia"/>
                <w:b/>
                <w:bCs/>
                <w:sz w:val="21"/>
                <w:szCs w:val="21"/>
              </w:rPr>
              <w:t>AVE</w:t>
            </w:r>
            <w:r w:rsidRPr="003346B5">
              <w:rPr>
                <w:rFonts w:hint="eastAsia"/>
                <w:b/>
                <w:bCs/>
                <w:sz w:val="21"/>
                <w:szCs w:val="21"/>
              </w:rPr>
              <w:t>平方根</w:t>
            </w:r>
          </w:p>
        </w:tc>
      </w:tr>
      <w:tr w:rsidR="003346B5" w:rsidRPr="003346B5" w14:paraId="229E62FD" w14:textId="77777777" w:rsidTr="003346B5">
        <w:trPr>
          <w:trHeight w:val="20"/>
        </w:trPr>
        <w:tc>
          <w:tcPr>
            <w:tcW w:w="1370" w:type="pct"/>
            <w:vMerge/>
            <w:tcBorders>
              <w:bottom w:val="single" w:sz="4" w:space="0" w:color="auto"/>
            </w:tcBorders>
          </w:tcPr>
          <w:p w14:paraId="0160455A" w14:textId="77777777" w:rsidR="003346B5" w:rsidRPr="003346B5" w:rsidRDefault="003346B5" w:rsidP="003346B5">
            <w:pPr>
              <w:pStyle w:val="table"/>
              <w:spacing w:before="0" w:after="0"/>
              <w:rPr>
                <w:b/>
                <w:bCs/>
                <w:sz w:val="21"/>
                <w:szCs w:val="21"/>
              </w:rPr>
            </w:pPr>
          </w:p>
        </w:tc>
        <w:tc>
          <w:tcPr>
            <w:tcW w:w="403" w:type="pct"/>
            <w:vMerge/>
            <w:tcBorders>
              <w:bottom w:val="single" w:sz="4" w:space="0" w:color="auto"/>
            </w:tcBorders>
          </w:tcPr>
          <w:p w14:paraId="65513D59" w14:textId="77777777" w:rsidR="003346B5" w:rsidRPr="003346B5" w:rsidRDefault="003346B5" w:rsidP="003346B5">
            <w:pPr>
              <w:pStyle w:val="table"/>
              <w:spacing w:before="0" w:after="0"/>
              <w:rPr>
                <w:b/>
                <w:bCs/>
                <w:sz w:val="21"/>
                <w:szCs w:val="21"/>
              </w:rPr>
            </w:pPr>
          </w:p>
        </w:tc>
        <w:tc>
          <w:tcPr>
            <w:tcW w:w="403" w:type="pct"/>
            <w:tcBorders>
              <w:bottom w:val="single" w:sz="4" w:space="0" w:color="auto"/>
            </w:tcBorders>
          </w:tcPr>
          <w:p w14:paraId="78AB6D40" w14:textId="77777777" w:rsidR="003346B5" w:rsidRPr="003346B5" w:rsidRDefault="003346B5" w:rsidP="003346B5">
            <w:pPr>
              <w:pStyle w:val="table"/>
              <w:spacing w:before="0" w:after="0"/>
              <w:rPr>
                <w:b/>
                <w:bCs/>
                <w:sz w:val="21"/>
                <w:szCs w:val="21"/>
              </w:rPr>
            </w:pPr>
            <w:r w:rsidRPr="003346B5">
              <w:rPr>
                <w:rFonts w:hint="eastAsia"/>
                <w:b/>
                <w:bCs/>
                <w:sz w:val="21"/>
                <w:szCs w:val="21"/>
              </w:rPr>
              <w:t>1</w:t>
            </w:r>
          </w:p>
        </w:tc>
        <w:tc>
          <w:tcPr>
            <w:tcW w:w="403" w:type="pct"/>
            <w:tcBorders>
              <w:bottom w:val="single" w:sz="4" w:space="0" w:color="auto"/>
            </w:tcBorders>
          </w:tcPr>
          <w:p w14:paraId="638B2776" w14:textId="77777777" w:rsidR="003346B5" w:rsidRPr="003346B5" w:rsidRDefault="003346B5" w:rsidP="003346B5">
            <w:pPr>
              <w:pStyle w:val="table"/>
              <w:spacing w:before="0" w:after="0"/>
              <w:rPr>
                <w:b/>
                <w:bCs/>
                <w:sz w:val="21"/>
                <w:szCs w:val="21"/>
              </w:rPr>
            </w:pPr>
            <w:r w:rsidRPr="003346B5">
              <w:rPr>
                <w:rFonts w:hint="eastAsia"/>
                <w:b/>
                <w:bCs/>
                <w:sz w:val="21"/>
                <w:szCs w:val="21"/>
              </w:rPr>
              <w:t>2</w:t>
            </w:r>
          </w:p>
        </w:tc>
        <w:tc>
          <w:tcPr>
            <w:tcW w:w="403" w:type="pct"/>
            <w:tcBorders>
              <w:bottom w:val="single" w:sz="4" w:space="0" w:color="auto"/>
            </w:tcBorders>
          </w:tcPr>
          <w:p w14:paraId="6C75B367" w14:textId="77777777" w:rsidR="003346B5" w:rsidRPr="003346B5" w:rsidRDefault="003346B5" w:rsidP="003346B5">
            <w:pPr>
              <w:pStyle w:val="table"/>
              <w:spacing w:before="0" w:after="0"/>
              <w:rPr>
                <w:b/>
                <w:bCs/>
                <w:sz w:val="21"/>
                <w:szCs w:val="21"/>
              </w:rPr>
            </w:pPr>
            <w:r w:rsidRPr="003346B5">
              <w:rPr>
                <w:rFonts w:hint="eastAsia"/>
                <w:b/>
                <w:bCs/>
                <w:sz w:val="21"/>
                <w:szCs w:val="21"/>
              </w:rPr>
              <w:t>3</w:t>
            </w:r>
          </w:p>
        </w:tc>
        <w:tc>
          <w:tcPr>
            <w:tcW w:w="403" w:type="pct"/>
            <w:tcBorders>
              <w:bottom w:val="single" w:sz="4" w:space="0" w:color="auto"/>
            </w:tcBorders>
          </w:tcPr>
          <w:p w14:paraId="7A7078F1" w14:textId="77777777" w:rsidR="003346B5" w:rsidRPr="003346B5" w:rsidRDefault="003346B5" w:rsidP="003346B5">
            <w:pPr>
              <w:pStyle w:val="table"/>
              <w:spacing w:before="0" w:after="0"/>
              <w:rPr>
                <w:b/>
                <w:bCs/>
                <w:sz w:val="21"/>
                <w:szCs w:val="21"/>
              </w:rPr>
            </w:pPr>
            <w:r w:rsidRPr="003346B5">
              <w:rPr>
                <w:rFonts w:hint="eastAsia"/>
                <w:b/>
                <w:bCs/>
                <w:sz w:val="21"/>
                <w:szCs w:val="21"/>
              </w:rPr>
              <w:t>4</w:t>
            </w:r>
          </w:p>
        </w:tc>
        <w:tc>
          <w:tcPr>
            <w:tcW w:w="403" w:type="pct"/>
            <w:tcBorders>
              <w:bottom w:val="single" w:sz="4" w:space="0" w:color="auto"/>
            </w:tcBorders>
          </w:tcPr>
          <w:p w14:paraId="47DC9F93" w14:textId="77777777" w:rsidR="003346B5" w:rsidRPr="003346B5" w:rsidRDefault="003346B5" w:rsidP="003346B5">
            <w:pPr>
              <w:pStyle w:val="table"/>
              <w:spacing w:before="0" w:after="0"/>
              <w:rPr>
                <w:b/>
                <w:bCs/>
                <w:sz w:val="21"/>
                <w:szCs w:val="21"/>
              </w:rPr>
            </w:pPr>
            <w:r w:rsidRPr="003346B5">
              <w:rPr>
                <w:rFonts w:hint="eastAsia"/>
                <w:b/>
                <w:bCs/>
                <w:sz w:val="21"/>
                <w:szCs w:val="21"/>
              </w:rPr>
              <w:t>5</w:t>
            </w:r>
          </w:p>
        </w:tc>
        <w:tc>
          <w:tcPr>
            <w:tcW w:w="403" w:type="pct"/>
            <w:tcBorders>
              <w:bottom w:val="single" w:sz="4" w:space="0" w:color="auto"/>
            </w:tcBorders>
          </w:tcPr>
          <w:p w14:paraId="75E2A523" w14:textId="77777777" w:rsidR="003346B5" w:rsidRPr="003346B5" w:rsidRDefault="003346B5" w:rsidP="003346B5">
            <w:pPr>
              <w:pStyle w:val="table"/>
              <w:spacing w:before="0" w:after="0"/>
              <w:rPr>
                <w:b/>
                <w:bCs/>
                <w:sz w:val="21"/>
                <w:szCs w:val="21"/>
              </w:rPr>
            </w:pPr>
            <w:r w:rsidRPr="003346B5">
              <w:rPr>
                <w:rFonts w:hint="eastAsia"/>
                <w:b/>
                <w:bCs/>
                <w:sz w:val="21"/>
                <w:szCs w:val="21"/>
              </w:rPr>
              <w:t>6</w:t>
            </w:r>
          </w:p>
        </w:tc>
        <w:tc>
          <w:tcPr>
            <w:tcW w:w="403" w:type="pct"/>
            <w:tcBorders>
              <w:bottom w:val="single" w:sz="4" w:space="0" w:color="auto"/>
            </w:tcBorders>
          </w:tcPr>
          <w:p w14:paraId="12E62EA5" w14:textId="77777777" w:rsidR="003346B5" w:rsidRPr="003346B5" w:rsidRDefault="003346B5" w:rsidP="003346B5">
            <w:pPr>
              <w:pStyle w:val="table"/>
              <w:spacing w:before="0" w:after="0"/>
              <w:rPr>
                <w:b/>
                <w:bCs/>
                <w:sz w:val="21"/>
                <w:szCs w:val="21"/>
              </w:rPr>
            </w:pPr>
            <w:r w:rsidRPr="003346B5">
              <w:rPr>
                <w:rFonts w:hint="eastAsia"/>
                <w:b/>
                <w:bCs/>
                <w:sz w:val="21"/>
                <w:szCs w:val="21"/>
              </w:rPr>
              <w:t>7</w:t>
            </w:r>
          </w:p>
        </w:tc>
        <w:tc>
          <w:tcPr>
            <w:tcW w:w="403" w:type="pct"/>
            <w:tcBorders>
              <w:bottom w:val="single" w:sz="4" w:space="0" w:color="auto"/>
            </w:tcBorders>
          </w:tcPr>
          <w:p w14:paraId="23983E65" w14:textId="77777777" w:rsidR="003346B5" w:rsidRPr="003346B5" w:rsidRDefault="003346B5" w:rsidP="003346B5">
            <w:pPr>
              <w:pStyle w:val="table"/>
              <w:spacing w:before="0" w:after="0"/>
              <w:rPr>
                <w:b/>
                <w:bCs/>
                <w:sz w:val="21"/>
                <w:szCs w:val="21"/>
              </w:rPr>
            </w:pPr>
            <w:r w:rsidRPr="003346B5">
              <w:rPr>
                <w:rFonts w:hint="eastAsia"/>
                <w:b/>
                <w:bCs/>
                <w:sz w:val="21"/>
                <w:szCs w:val="21"/>
              </w:rPr>
              <w:t>8</w:t>
            </w:r>
          </w:p>
        </w:tc>
      </w:tr>
      <w:tr w:rsidR="003346B5" w:rsidRPr="003346B5" w14:paraId="0A9F7CB1" w14:textId="77777777" w:rsidTr="003346B5">
        <w:trPr>
          <w:trHeight w:val="20"/>
        </w:trPr>
        <w:tc>
          <w:tcPr>
            <w:tcW w:w="1370" w:type="pct"/>
            <w:tcBorders>
              <w:top w:val="single" w:sz="4" w:space="0" w:color="auto"/>
            </w:tcBorders>
          </w:tcPr>
          <w:p w14:paraId="31484387"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1. </w:t>
            </w:r>
            <w:r w:rsidRPr="003346B5">
              <w:rPr>
                <w:rFonts w:hint="eastAsia"/>
                <w:sz w:val="21"/>
                <w:szCs w:val="21"/>
              </w:rPr>
              <w:t>外部条件</w:t>
            </w:r>
          </w:p>
        </w:tc>
        <w:tc>
          <w:tcPr>
            <w:tcW w:w="403" w:type="pct"/>
            <w:tcBorders>
              <w:top w:val="single" w:sz="4" w:space="0" w:color="auto"/>
            </w:tcBorders>
          </w:tcPr>
          <w:p w14:paraId="3C534DB0"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0.792</w:t>
            </w:r>
          </w:p>
        </w:tc>
        <w:tc>
          <w:tcPr>
            <w:tcW w:w="403" w:type="pct"/>
            <w:tcBorders>
              <w:top w:val="single" w:sz="4" w:space="0" w:color="auto"/>
            </w:tcBorders>
          </w:tcPr>
          <w:p w14:paraId="62D822E4"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0.890</w:t>
            </w:r>
          </w:p>
        </w:tc>
        <w:tc>
          <w:tcPr>
            <w:tcW w:w="403" w:type="pct"/>
            <w:tcBorders>
              <w:top w:val="single" w:sz="4" w:space="0" w:color="auto"/>
            </w:tcBorders>
          </w:tcPr>
          <w:p w14:paraId="18BF6962"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023AA54E"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1EE44681"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367179F0"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3A5FCA13"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07D8053C"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Borders>
              <w:top w:val="single" w:sz="4" w:space="0" w:color="auto"/>
            </w:tcBorders>
          </w:tcPr>
          <w:p w14:paraId="054D8978"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7EEF176F" w14:textId="77777777" w:rsidTr="003346B5">
        <w:trPr>
          <w:trHeight w:val="20"/>
        </w:trPr>
        <w:tc>
          <w:tcPr>
            <w:tcW w:w="1370" w:type="pct"/>
          </w:tcPr>
          <w:p w14:paraId="237F3957"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2. </w:t>
            </w:r>
            <w:r w:rsidRPr="003346B5">
              <w:rPr>
                <w:rFonts w:hint="eastAsia"/>
                <w:sz w:val="21"/>
                <w:szCs w:val="21"/>
              </w:rPr>
              <w:t>业主项目群管理能力</w:t>
            </w:r>
          </w:p>
        </w:tc>
        <w:tc>
          <w:tcPr>
            <w:tcW w:w="403" w:type="pct"/>
          </w:tcPr>
          <w:p w14:paraId="62C78A6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0.916</w:t>
            </w:r>
          </w:p>
        </w:tc>
        <w:tc>
          <w:tcPr>
            <w:tcW w:w="403" w:type="pct"/>
          </w:tcPr>
          <w:p w14:paraId="1C169746"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0.664</w:t>
            </w:r>
          </w:p>
        </w:tc>
        <w:tc>
          <w:tcPr>
            <w:tcW w:w="403" w:type="pct"/>
          </w:tcPr>
          <w:p w14:paraId="29B60ED4"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0.957</w:t>
            </w:r>
          </w:p>
        </w:tc>
        <w:tc>
          <w:tcPr>
            <w:tcW w:w="403" w:type="pct"/>
          </w:tcPr>
          <w:p w14:paraId="4863AFE9"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33604FC4"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10E0EF0B"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203F2E7F"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32E78C23"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77F7F7EC"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25F40940" w14:textId="77777777" w:rsidTr="003346B5">
        <w:trPr>
          <w:trHeight w:val="20"/>
        </w:trPr>
        <w:tc>
          <w:tcPr>
            <w:tcW w:w="1370" w:type="pct"/>
          </w:tcPr>
          <w:p w14:paraId="35630386"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3. </w:t>
            </w:r>
            <w:r w:rsidRPr="003346B5">
              <w:rPr>
                <w:rFonts w:hint="eastAsia"/>
                <w:sz w:val="21"/>
                <w:szCs w:val="21"/>
              </w:rPr>
              <w:t>管理制度</w:t>
            </w:r>
          </w:p>
        </w:tc>
        <w:tc>
          <w:tcPr>
            <w:tcW w:w="403" w:type="pct"/>
          </w:tcPr>
          <w:p w14:paraId="328AEB72"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0.962</w:t>
            </w:r>
          </w:p>
        </w:tc>
        <w:tc>
          <w:tcPr>
            <w:tcW w:w="403" w:type="pct"/>
          </w:tcPr>
          <w:p w14:paraId="16773DFF"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0.810</w:t>
            </w:r>
          </w:p>
        </w:tc>
        <w:tc>
          <w:tcPr>
            <w:tcW w:w="403" w:type="pct"/>
          </w:tcPr>
          <w:p w14:paraId="77922159"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0.803</w:t>
            </w:r>
          </w:p>
        </w:tc>
        <w:tc>
          <w:tcPr>
            <w:tcW w:w="403" w:type="pct"/>
          </w:tcPr>
          <w:p w14:paraId="3C1638A3"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0.981</w:t>
            </w:r>
          </w:p>
        </w:tc>
        <w:tc>
          <w:tcPr>
            <w:tcW w:w="403" w:type="pct"/>
          </w:tcPr>
          <w:p w14:paraId="3B878EDF"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5A80C9B1"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19C66C7C"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6C3C9B13"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6C16136C"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2BD47FA1" w14:textId="77777777" w:rsidTr="003346B5">
        <w:trPr>
          <w:trHeight w:val="20"/>
        </w:trPr>
        <w:tc>
          <w:tcPr>
            <w:tcW w:w="1370" w:type="pct"/>
          </w:tcPr>
          <w:p w14:paraId="1E13AF33"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4. </w:t>
            </w:r>
            <w:r w:rsidRPr="003346B5">
              <w:rPr>
                <w:rFonts w:hint="eastAsia"/>
                <w:sz w:val="21"/>
                <w:szCs w:val="21"/>
              </w:rPr>
              <w:t>资源配置</w:t>
            </w:r>
          </w:p>
        </w:tc>
        <w:tc>
          <w:tcPr>
            <w:tcW w:w="403" w:type="pct"/>
          </w:tcPr>
          <w:p w14:paraId="7434EDEC"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0.954</w:t>
            </w:r>
          </w:p>
        </w:tc>
        <w:tc>
          <w:tcPr>
            <w:tcW w:w="403" w:type="pct"/>
          </w:tcPr>
          <w:p w14:paraId="2D9871F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0.762</w:t>
            </w:r>
          </w:p>
        </w:tc>
        <w:tc>
          <w:tcPr>
            <w:tcW w:w="403" w:type="pct"/>
          </w:tcPr>
          <w:p w14:paraId="4C59EF78"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0.834</w:t>
            </w:r>
          </w:p>
        </w:tc>
        <w:tc>
          <w:tcPr>
            <w:tcW w:w="403" w:type="pct"/>
          </w:tcPr>
          <w:p w14:paraId="3144B266"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0.860</w:t>
            </w:r>
          </w:p>
        </w:tc>
        <w:tc>
          <w:tcPr>
            <w:tcW w:w="403" w:type="pct"/>
          </w:tcPr>
          <w:p w14:paraId="337CCACC"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0.977</w:t>
            </w:r>
          </w:p>
        </w:tc>
        <w:tc>
          <w:tcPr>
            <w:tcW w:w="403" w:type="pct"/>
          </w:tcPr>
          <w:p w14:paraId="557CC27C"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2E3DE8BD"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18165E66"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2D302A53"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1270FE79" w14:textId="77777777" w:rsidTr="003346B5">
        <w:trPr>
          <w:trHeight w:val="20"/>
        </w:trPr>
        <w:tc>
          <w:tcPr>
            <w:tcW w:w="1370" w:type="pct"/>
          </w:tcPr>
          <w:p w14:paraId="1231164A"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5. </w:t>
            </w:r>
            <w:r w:rsidRPr="003346B5">
              <w:rPr>
                <w:rFonts w:hint="eastAsia"/>
                <w:sz w:val="21"/>
                <w:szCs w:val="21"/>
              </w:rPr>
              <w:t>伙伴关系</w:t>
            </w:r>
          </w:p>
        </w:tc>
        <w:tc>
          <w:tcPr>
            <w:tcW w:w="403" w:type="pct"/>
          </w:tcPr>
          <w:p w14:paraId="0030BD59"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0.973</w:t>
            </w:r>
          </w:p>
        </w:tc>
        <w:tc>
          <w:tcPr>
            <w:tcW w:w="403" w:type="pct"/>
          </w:tcPr>
          <w:p w14:paraId="68DCB61A"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0.564</w:t>
            </w:r>
          </w:p>
        </w:tc>
        <w:tc>
          <w:tcPr>
            <w:tcW w:w="403" w:type="pct"/>
          </w:tcPr>
          <w:p w14:paraId="7642FB2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0.719</w:t>
            </w:r>
          </w:p>
        </w:tc>
        <w:tc>
          <w:tcPr>
            <w:tcW w:w="403" w:type="pct"/>
          </w:tcPr>
          <w:p w14:paraId="02AB05FB"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0.644</w:t>
            </w:r>
          </w:p>
        </w:tc>
        <w:tc>
          <w:tcPr>
            <w:tcW w:w="403" w:type="pct"/>
          </w:tcPr>
          <w:p w14:paraId="761121C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0.684</w:t>
            </w:r>
          </w:p>
        </w:tc>
        <w:tc>
          <w:tcPr>
            <w:tcW w:w="403" w:type="pct"/>
          </w:tcPr>
          <w:p w14:paraId="0A4AE1D0"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0.986</w:t>
            </w:r>
          </w:p>
        </w:tc>
        <w:tc>
          <w:tcPr>
            <w:tcW w:w="403" w:type="pct"/>
          </w:tcPr>
          <w:p w14:paraId="75C5AA6C"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3B27E47A"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0474DDE3"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145217D2" w14:textId="77777777" w:rsidTr="003346B5">
        <w:trPr>
          <w:trHeight w:val="20"/>
        </w:trPr>
        <w:tc>
          <w:tcPr>
            <w:tcW w:w="1370" w:type="pct"/>
          </w:tcPr>
          <w:p w14:paraId="13DF137E"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6. </w:t>
            </w:r>
            <w:r w:rsidRPr="003346B5">
              <w:rPr>
                <w:rFonts w:hint="eastAsia"/>
                <w:sz w:val="21"/>
                <w:szCs w:val="21"/>
              </w:rPr>
              <w:t>项目群实施</w:t>
            </w:r>
          </w:p>
        </w:tc>
        <w:tc>
          <w:tcPr>
            <w:tcW w:w="403" w:type="pct"/>
          </w:tcPr>
          <w:p w14:paraId="6FFB90B4"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0.912</w:t>
            </w:r>
          </w:p>
        </w:tc>
        <w:tc>
          <w:tcPr>
            <w:tcW w:w="403" w:type="pct"/>
          </w:tcPr>
          <w:p w14:paraId="20EB319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0.777</w:t>
            </w:r>
          </w:p>
        </w:tc>
        <w:tc>
          <w:tcPr>
            <w:tcW w:w="403" w:type="pct"/>
          </w:tcPr>
          <w:p w14:paraId="79DB4759"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0.833</w:t>
            </w:r>
          </w:p>
        </w:tc>
        <w:tc>
          <w:tcPr>
            <w:tcW w:w="403" w:type="pct"/>
          </w:tcPr>
          <w:p w14:paraId="6C4D1013"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0.879</w:t>
            </w:r>
          </w:p>
        </w:tc>
        <w:tc>
          <w:tcPr>
            <w:tcW w:w="403" w:type="pct"/>
          </w:tcPr>
          <w:p w14:paraId="636E94B9"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0.920</w:t>
            </w:r>
          </w:p>
        </w:tc>
        <w:tc>
          <w:tcPr>
            <w:tcW w:w="403" w:type="pct"/>
          </w:tcPr>
          <w:p w14:paraId="244C65BC"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0.688</w:t>
            </w:r>
          </w:p>
        </w:tc>
        <w:tc>
          <w:tcPr>
            <w:tcW w:w="403" w:type="pct"/>
          </w:tcPr>
          <w:p w14:paraId="21E79FAF"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0.955</w:t>
            </w:r>
          </w:p>
        </w:tc>
        <w:tc>
          <w:tcPr>
            <w:tcW w:w="403" w:type="pct"/>
          </w:tcPr>
          <w:p w14:paraId="4DE5D3DD" w14:textId="77777777" w:rsidR="003346B5" w:rsidRPr="003346B5" w:rsidRDefault="003346B5" w:rsidP="003346B5">
            <w:pPr>
              <w:pStyle w:val="table"/>
              <w:adjustRightInd/>
              <w:snapToGrid/>
              <w:spacing w:before="0" w:after="0"/>
              <w:rPr>
                <w:rFonts w:cs="Times New Roman"/>
                <w:color w:val="000000" w:themeColor="text1"/>
                <w:sz w:val="21"/>
                <w:szCs w:val="21"/>
              </w:rPr>
            </w:pPr>
          </w:p>
        </w:tc>
        <w:tc>
          <w:tcPr>
            <w:tcW w:w="403" w:type="pct"/>
          </w:tcPr>
          <w:p w14:paraId="04FDB695"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0E50A174" w14:textId="77777777" w:rsidTr="003346B5">
        <w:trPr>
          <w:trHeight w:val="20"/>
        </w:trPr>
        <w:tc>
          <w:tcPr>
            <w:tcW w:w="1370" w:type="pct"/>
          </w:tcPr>
          <w:p w14:paraId="2C6894C7"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7. </w:t>
            </w:r>
            <w:r w:rsidRPr="003346B5">
              <w:rPr>
                <w:rFonts w:hint="eastAsia"/>
                <w:sz w:val="21"/>
                <w:szCs w:val="21"/>
              </w:rPr>
              <w:t>项目群运营</w:t>
            </w:r>
          </w:p>
        </w:tc>
        <w:tc>
          <w:tcPr>
            <w:tcW w:w="403" w:type="pct"/>
          </w:tcPr>
          <w:p w14:paraId="432066B1"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0.807</w:t>
            </w:r>
          </w:p>
        </w:tc>
        <w:tc>
          <w:tcPr>
            <w:tcW w:w="403" w:type="pct"/>
          </w:tcPr>
          <w:p w14:paraId="4D106A51"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0.602</w:t>
            </w:r>
          </w:p>
        </w:tc>
        <w:tc>
          <w:tcPr>
            <w:tcW w:w="403" w:type="pct"/>
          </w:tcPr>
          <w:p w14:paraId="09CB9359"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0.784</w:t>
            </w:r>
          </w:p>
        </w:tc>
        <w:tc>
          <w:tcPr>
            <w:tcW w:w="403" w:type="pct"/>
          </w:tcPr>
          <w:p w14:paraId="61E082B7"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0.695</w:t>
            </w:r>
          </w:p>
        </w:tc>
        <w:tc>
          <w:tcPr>
            <w:tcW w:w="403" w:type="pct"/>
          </w:tcPr>
          <w:p w14:paraId="7D0387F5"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0.746</w:t>
            </w:r>
          </w:p>
        </w:tc>
        <w:tc>
          <w:tcPr>
            <w:tcW w:w="403" w:type="pct"/>
          </w:tcPr>
          <w:p w14:paraId="0B83CE46"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0.844</w:t>
            </w:r>
          </w:p>
        </w:tc>
        <w:tc>
          <w:tcPr>
            <w:tcW w:w="403" w:type="pct"/>
          </w:tcPr>
          <w:p w14:paraId="5A8D081A"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0.743</w:t>
            </w:r>
          </w:p>
        </w:tc>
        <w:tc>
          <w:tcPr>
            <w:tcW w:w="403" w:type="pct"/>
          </w:tcPr>
          <w:p w14:paraId="6F7CC1E2"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0.898</w:t>
            </w:r>
          </w:p>
        </w:tc>
        <w:tc>
          <w:tcPr>
            <w:tcW w:w="403" w:type="pct"/>
          </w:tcPr>
          <w:p w14:paraId="2026DF48" w14:textId="77777777" w:rsidR="003346B5" w:rsidRPr="003346B5" w:rsidRDefault="003346B5" w:rsidP="003346B5">
            <w:pPr>
              <w:pStyle w:val="table"/>
              <w:adjustRightInd/>
              <w:snapToGrid/>
              <w:spacing w:before="0" w:after="0"/>
              <w:rPr>
                <w:rFonts w:cs="Times New Roman"/>
                <w:color w:val="000000" w:themeColor="text1"/>
                <w:sz w:val="21"/>
                <w:szCs w:val="21"/>
              </w:rPr>
            </w:pPr>
          </w:p>
        </w:tc>
      </w:tr>
      <w:tr w:rsidR="003346B5" w:rsidRPr="003346B5" w14:paraId="68F29222" w14:textId="77777777" w:rsidTr="003346B5">
        <w:trPr>
          <w:trHeight w:val="20"/>
        </w:trPr>
        <w:tc>
          <w:tcPr>
            <w:tcW w:w="1370" w:type="pct"/>
          </w:tcPr>
          <w:p w14:paraId="464E9FE1" w14:textId="77777777" w:rsidR="003346B5" w:rsidRPr="003346B5" w:rsidRDefault="003346B5" w:rsidP="003346B5">
            <w:pPr>
              <w:pStyle w:val="table"/>
              <w:adjustRightInd/>
              <w:snapToGrid/>
              <w:spacing w:before="0" w:after="0"/>
              <w:jc w:val="both"/>
              <w:rPr>
                <w:sz w:val="21"/>
                <w:szCs w:val="21"/>
              </w:rPr>
            </w:pPr>
            <w:r w:rsidRPr="003346B5">
              <w:rPr>
                <w:rFonts w:hint="eastAsia"/>
                <w:sz w:val="21"/>
                <w:szCs w:val="21"/>
              </w:rPr>
              <w:t xml:space="preserve">8. </w:t>
            </w:r>
            <w:r w:rsidRPr="003346B5">
              <w:rPr>
                <w:rFonts w:hint="eastAsia"/>
                <w:sz w:val="21"/>
                <w:szCs w:val="21"/>
              </w:rPr>
              <w:t>项目群绩效</w:t>
            </w:r>
          </w:p>
        </w:tc>
        <w:tc>
          <w:tcPr>
            <w:tcW w:w="403" w:type="pct"/>
          </w:tcPr>
          <w:p w14:paraId="5158522E"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0.803</w:t>
            </w:r>
          </w:p>
        </w:tc>
        <w:tc>
          <w:tcPr>
            <w:tcW w:w="403" w:type="pct"/>
          </w:tcPr>
          <w:p w14:paraId="44558793"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0.592</w:t>
            </w:r>
          </w:p>
        </w:tc>
        <w:tc>
          <w:tcPr>
            <w:tcW w:w="403" w:type="pct"/>
          </w:tcPr>
          <w:p w14:paraId="203EFC94"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0.811</w:t>
            </w:r>
          </w:p>
        </w:tc>
        <w:tc>
          <w:tcPr>
            <w:tcW w:w="403" w:type="pct"/>
          </w:tcPr>
          <w:p w14:paraId="2B6C7C01"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0.709</w:t>
            </w:r>
          </w:p>
        </w:tc>
        <w:tc>
          <w:tcPr>
            <w:tcW w:w="403" w:type="pct"/>
          </w:tcPr>
          <w:p w14:paraId="7BDDFBB7"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0.745</w:t>
            </w:r>
          </w:p>
        </w:tc>
        <w:tc>
          <w:tcPr>
            <w:tcW w:w="403" w:type="pct"/>
          </w:tcPr>
          <w:p w14:paraId="0E0E9504"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0.817</w:t>
            </w:r>
          </w:p>
        </w:tc>
        <w:tc>
          <w:tcPr>
            <w:tcW w:w="403" w:type="pct"/>
          </w:tcPr>
          <w:p w14:paraId="607785E7"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0.748</w:t>
            </w:r>
          </w:p>
        </w:tc>
        <w:tc>
          <w:tcPr>
            <w:tcW w:w="403" w:type="pct"/>
          </w:tcPr>
          <w:p w14:paraId="6458EBBF"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0.891</w:t>
            </w:r>
          </w:p>
        </w:tc>
        <w:tc>
          <w:tcPr>
            <w:tcW w:w="403" w:type="pct"/>
          </w:tcPr>
          <w:p w14:paraId="4258EFC1" w14:textId="77777777" w:rsidR="003346B5" w:rsidRPr="003346B5" w:rsidRDefault="003346B5" w:rsidP="003346B5">
            <w:pPr>
              <w:pStyle w:val="table"/>
              <w:adjustRightInd/>
              <w:snapToGrid/>
              <w:spacing w:before="0" w:after="0"/>
              <w:rPr>
                <w:rFonts w:cs="Times New Roman"/>
                <w:color w:val="000000" w:themeColor="text1"/>
                <w:sz w:val="21"/>
                <w:szCs w:val="21"/>
              </w:rPr>
            </w:pPr>
            <w:r w:rsidRPr="003346B5">
              <w:rPr>
                <w:sz w:val="21"/>
                <w:szCs w:val="21"/>
              </w:rPr>
              <w:t>0.896</w:t>
            </w:r>
          </w:p>
        </w:tc>
      </w:tr>
    </w:tbl>
    <w:p w14:paraId="13EA4947" w14:textId="600EACDE" w:rsidR="003E17F3" w:rsidRDefault="00116F7D" w:rsidP="00EE53F7">
      <w:pPr>
        <w:spacing w:afterLines="50" w:after="156"/>
        <w:ind w:firstLineChars="0" w:firstLine="0"/>
        <w:rPr>
          <w:sz w:val="18"/>
          <w:szCs w:val="20"/>
        </w:rPr>
      </w:pPr>
      <w:r w:rsidRPr="003E17F3">
        <w:rPr>
          <w:rFonts w:hint="eastAsia"/>
          <w:sz w:val="20"/>
          <w:szCs w:val="21"/>
        </w:rPr>
        <w:t>注：右侧矩阵对角线为潜变量</w:t>
      </w:r>
      <w:r w:rsidRPr="003E17F3">
        <w:rPr>
          <w:rFonts w:hint="eastAsia"/>
          <w:sz w:val="20"/>
          <w:szCs w:val="21"/>
        </w:rPr>
        <w:t xml:space="preserve"> AVE </w:t>
      </w:r>
      <w:r w:rsidRPr="003E17F3">
        <w:rPr>
          <w:rFonts w:hint="eastAsia"/>
          <w:sz w:val="20"/>
          <w:szCs w:val="21"/>
        </w:rPr>
        <w:t>的平方根，其余为对应变量间相关系数。</w:t>
      </w:r>
    </w:p>
    <w:p w14:paraId="67ABB3A6" w14:textId="77777777" w:rsidR="00FC1023" w:rsidRDefault="00FC1023" w:rsidP="00116F7D">
      <w:pPr>
        <w:ind w:firstLineChars="0" w:firstLine="0"/>
        <w:rPr>
          <w:sz w:val="18"/>
          <w:szCs w:val="20"/>
        </w:rPr>
        <w:sectPr w:rsidR="00FC1023" w:rsidSect="00116F7D">
          <w:type w:val="continuous"/>
          <w:pgSz w:w="11906" w:h="16838"/>
          <w:pgMar w:top="1440" w:right="1106" w:bottom="1440" w:left="1106" w:header="851" w:footer="992" w:gutter="0"/>
          <w:cols w:space="425"/>
          <w:titlePg/>
          <w:docGrid w:type="linesAndChars" w:linePitch="312"/>
        </w:sectPr>
      </w:pPr>
    </w:p>
    <w:p w14:paraId="7E436099" w14:textId="77777777" w:rsidR="00FC1023" w:rsidRDefault="00FC1023" w:rsidP="00E17813">
      <w:pPr>
        <w:pStyle w:val="2"/>
      </w:pPr>
      <w:r>
        <w:rPr>
          <w:rFonts w:hint="eastAsia"/>
        </w:rPr>
        <w:t>结构方程模型检验</w:t>
      </w:r>
    </w:p>
    <w:p w14:paraId="77381E7D" w14:textId="659607CC" w:rsidR="003346B5" w:rsidRDefault="003346B5" w:rsidP="00FC1023">
      <w:pPr>
        <w:ind w:firstLine="420"/>
      </w:pPr>
      <w:r w:rsidRPr="00112557">
        <w:rPr>
          <w:rFonts w:hint="eastAsia"/>
        </w:rPr>
        <w:t>本研究采用</w:t>
      </w:r>
      <w:r w:rsidRPr="00112557">
        <w:rPr>
          <w:rFonts w:hint="eastAsia"/>
        </w:rPr>
        <w:t>Bootstrapping</w:t>
      </w:r>
      <w:r w:rsidRPr="00112557">
        <w:rPr>
          <w:rFonts w:hint="eastAsia"/>
        </w:rPr>
        <w:t>方法进行</w:t>
      </w:r>
      <w:r w:rsidRPr="00112557">
        <w:rPr>
          <w:rFonts w:hint="eastAsia"/>
        </w:rPr>
        <w:t>5000</w:t>
      </w:r>
      <w:r w:rsidRPr="00112557">
        <w:rPr>
          <w:rFonts w:hint="eastAsia"/>
        </w:rPr>
        <w:t>次重复抽样，以计算模型路径系数，并对其进行双尾显著性检验</w:t>
      </w:r>
      <w:r w:rsidR="00FC1023" w:rsidRPr="00116F7D">
        <w:rPr>
          <w:rFonts w:hint="eastAsia"/>
        </w:rPr>
        <w:t>，结果如</w:t>
      </w:r>
      <w:r w:rsidR="00FC1023">
        <w:fldChar w:fldCharType="begin"/>
      </w:r>
      <w:r w:rsidR="00FC1023">
        <w:instrText xml:space="preserve"> </w:instrText>
      </w:r>
      <w:r w:rsidR="00FC1023">
        <w:rPr>
          <w:rFonts w:hint="eastAsia"/>
        </w:rPr>
        <w:instrText>REF _Ref174358244 \h</w:instrText>
      </w:r>
      <w:r w:rsidR="00FC1023">
        <w:instrText xml:space="preserve"> </w:instrText>
      </w:r>
      <w:r w:rsidR="00FC1023">
        <w:fldChar w:fldCharType="separate"/>
      </w:r>
      <w:r w:rsidR="000F2689">
        <w:rPr>
          <w:rFonts w:hint="eastAsia"/>
        </w:rPr>
        <w:t>表</w:t>
      </w:r>
      <w:r w:rsidR="000F2689">
        <w:rPr>
          <w:rFonts w:hint="eastAsia"/>
        </w:rPr>
        <w:t xml:space="preserve"> </w:t>
      </w:r>
      <w:r w:rsidR="000F2689">
        <w:rPr>
          <w:noProof/>
        </w:rPr>
        <w:t>12</w:t>
      </w:r>
      <w:r w:rsidR="00FC1023">
        <w:fldChar w:fldCharType="end"/>
      </w:r>
      <w:r w:rsidR="00FC1023">
        <w:rPr>
          <w:rFonts w:hint="eastAsia"/>
        </w:rPr>
        <w:t>和</w:t>
      </w:r>
      <w:r w:rsidR="00FC1023">
        <w:fldChar w:fldCharType="begin"/>
      </w:r>
      <w:r w:rsidR="00FC1023">
        <w:instrText xml:space="preserve"> </w:instrText>
      </w:r>
      <w:r w:rsidR="00FC1023">
        <w:rPr>
          <w:rFonts w:hint="eastAsia"/>
        </w:rPr>
        <w:instrText>REF _Ref174358256 \h</w:instrText>
      </w:r>
      <w:r w:rsidR="00FC1023">
        <w:instrText xml:space="preserve"> </w:instrText>
      </w:r>
      <w:r w:rsidR="00FC1023">
        <w:fldChar w:fldCharType="separate"/>
      </w:r>
      <w:r w:rsidR="000F2689">
        <w:rPr>
          <w:rFonts w:hint="eastAsia"/>
        </w:rPr>
        <w:t>图</w:t>
      </w:r>
      <w:r w:rsidR="000F2689">
        <w:rPr>
          <w:rFonts w:hint="eastAsia"/>
        </w:rPr>
        <w:t xml:space="preserve"> </w:t>
      </w:r>
      <w:r w:rsidR="000F2689">
        <w:rPr>
          <w:noProof/>
        </w:rPr>
        <w:t>7</w:t>
      </w:r>
      <w:r w:rsidR="00FC1023">
        <w:fldChar w:fldCharType="end"/>
      </w:r>
      <w:r w:rsidR="00FC1023" w:rsidRPr="00116F7D">
        <w:rPr>
          <w:rFonts w:hint="eastAsia"/>
        </w:rPr>
        <w:t>所示</w:t>
      </w:r>
      <w:r w:rsidR="00FC1023">
        <w:rPr>
          <w:rFonts w:hint="eastAsia"/>
        </w:rPr>
        <w:t>。结果表明，所有路径系数均显著为正。</w:t>
      </w:r>
    </w:p>
    <w:p w14:paraId="54F7D8C3" w14:textId="2CE37837" w:rsidR="003346B5" w:rsidRDefault="00FC1023" w:rsidP="003346B5">
      <w:pPr>
        <w:ind w:firstLine="420"/>
        <w:rPr>
          <w:rFonts w:ascii="Times" w:hAnsi="Times"/>
        </w:rPr>
      </w:pPr>
      <w:r>
        <w:rPr>
          <w:rFonts w:hint="eastAsia"/>
        </w:rPr>
        <w:t>进一步计算内生变量的决定系数</w:t>
      </w:r>
      <w:r>
        <w:rPr>
          <w:rFonts w:hint="eastAsia"/>
        </w:rPr>
        <w:t xml:space="preserve"> </w:t>
      </w:r>
      <w:r w:rsidRPr="004F20E1">
        <w:rPr>
          <w:rFonts w:hint="eastAsia"/>
          <w:i/>
          <w:iCs/>
        </w:rPr>
        <w:t>R</w:t>
      </w:r>
      <w:r w:rsidRPr="00DC6EEE">
        <w:rPr>
          <w:rFonts w:hint="eastAsia"/>
          <w:vertAlign w:val="superscript"/>
        </w:rPr>
        <w:t>2</w:t>
      </w:r>
      <w:r>
        <w:rPr>
          <w:rFonts w:hint="eastAsia"/>
        </w:rPr>
        <w:t>（</w:t>
      </w:r>
      <w:r>
        <w:rPr>
          <w:rFonts w:hint="eastAsia"/>
        </w:rPr>
        <w:t>Coefficient of Determination</w:t>
      </w:r>
      <w:r>
        <w:rPr>
          <w:rFonts w:hint="eastAsia"/>
        </w:rPr>
        <w:t>）（见</w:t>
      </w:r>
      <w:r>
        <w:fldChar w:fldCharType="begin"/>
      </w:r>
      <w:r>
        <w:instrText xml:space="preserve"> </w:instrText>
      </w:r>
      <w:r>
        <w:rPr>
          <w:rFonts w:hint="eastAsia"/>
        </w:rPr>
        <w:instrText>REF _Ref174358256 \h</w:instrText>
      </w:r>
      <w:r>
        <w:instrText xml:space="preserve"> </w:instrText>
      </w:r>
      <w:r>
        <w:fldChar w:fldCharType="separate"/>
      </w:r>
      <w:r w:rsidR="000F2689">
        <w:rPr>
          <w:rFonts w:hint="eastAsia"/>
        </w:rPr>
        <w:t>图</w:t>
      </w:r>
      <w:r w:rsidR="000F2689">
        <w:rPr>
          <w:rFonts w:hint="eastAsia"/>
        </w:rPr>
        <w:t xml:space="preserve"> </w:t>
      </w:r>
      <w:r w:rsidR="000F2689">
        <w:rPr>
          <w:noProof/>
        </w:rPr>
        <w:t>7</w:t>
      </w:r>
      <w:r>
        <w:fldChar w:fldCharType="end"/>
      </w:r>
      <w:r>
        <w:rPr>
          <w:rFonts w:hint="eastAsia"/>
        </w:rPr>
        <w:t>）</w:t>
      </w:r>
      <w:r w:rsidR="003346B5">
        <w:rPr>
          <w:rFonts w:hint="eastAsia"/>
        </w:rPr>
        <w:t>。</w:t>
      </w:r>
      <w:r w:rsidR="003346B5">
        <w:rPr>
          <w:rFonts w:hint="eastAsia"/>
          <w:iCs/>
        </w:rPr>
        <w:t>通常认为，</w:t>
      </w:r>
      <w:r w:rsidR="003346B5" w:rsidRPr="00985142">
        <w:rPr>
          <w:rFonts w:hint="eastAsia"/>
          <w:i/>
        </w:rPr>
        <w:t>R</w:t>
      </w:r>
      <w:r w:rsidR="003346B5" w:rsidRPr="00B22D4C">
        <w:rPr>
          <w:iCs/>
          <w:vertAlign w:val="superscript"/>
        </w:rPr>
        <w:t>2</w:t>
      </w:r>
      <w:r w:rsidR="003346B5" w:rsidRPr="00541135">
        <w:rPr>
          <w:rFonts w:hint="eastAsia"/>
        </w:rPr>
        <w:t>值</w:t>
      </w:r>
      <w:r w:rsidR="003346B5" w:rsidRPr="00A03BF0">
        <w:rPr>
          <w:rFonts w:hint="eastAsia"/>
        </w:rPr>
        <w:t>介于</w:t>
      </w:r>
      <w:r w:rsidR="003346B5" w:rsidRPr="00A03BF0">
        <w:rPr>
          <w:rFonts w:hint="eastAsia"/>
        </w:rPr>
        <w:t>0.33</w:t>
      </w:r>
      <w:r w:rsidR="003346B5" w:rsidRPr="00A03BF0">
        <w:rPr>
          <w:rFonts w:hint="eastAsia"/>
        </w:rPr>
        <w:t>至</w:t>
      </w:r>
      <w:r w:rsidR="003346B5" w:rsidRPr="00A03BF0">
        <w:rPr>
          <w:rFonts w:hint="eastAsia"/>
        </w:rPr>
        <w:t>0.67</w:t>
      </w:r>
      <w:r w:rsidR="003346B5" w:rsidRPr="00A03BF0">
        <w:rPr>
          <w:rFonts w:hint="eastAsia"/>
        </w:rPr>
        <w:t>之间</w:t>
      </w:r>
      <w:r w:rsidR="003346B5">
        <w:rPr>
          <w:rFonts w:hint="eastAsia"/>
        </w:rPr>
        <w:t>时</w:t>
      </w:r>
      <w:r w:rsidR="003346B5" w:rsidRPr="00A03BF0">
        <w:rPr>
          <w:rFonts w:hint="eastAsia"/>
        </w:rPr>
        <w:t>模型具有中等水平的解释力</w:t>
      </w:r>
      <w:r w:rsidR="003346B5">
        <w:rPr>
          <w:rFonts w:hint="eastAsia"/>
        </w:rPr>
        <w:t>；</w:t>
      </w:r>
      <w:r w:rsidR="003346B5" w:rsidRPr="00985142">
        <w:rPr>
          <w:rFonts w:hint="eastAsia"/>
          <w:i/>
        </w:rPr>
        <w:t>R</w:t>
      </w:r>
      <w:r w:rsidR="003346B5" w:rsidRPr="00B22D4C">
        <w:rPr>
          <w:iCs/>
          <w:vertAlign w:val="superscript"/>
        </w:rPr>
        <w:t>2</w:t>
      </w:r>
      <w:r w:rsidR="003346B5" w:rsidRPr="00541135">
        <w:rPr>
          <w:rFonts w:hint="eastAsia"/>
        </w:rPr>
        <w:t>值</w:t>
      </w:r>
      <w:r w:rsidR="003346B5">
        <w:rPr>
          <w:rFonts w:hint="eastAsia"/>
        </w:rPr>
        <w:t>超过</w:t>
      </w:r>
      <w:r w:rsidR="003346B5" w:rsidRPr="00541135">
        <w:rPr>
          <w:rFonts w:hint="eastAsia"/>
        </w:rPr>
        <w:t>0</w:t>
      </w:r>
      <w:r w:rsidR="003346B5" w:rsidRPr="00541135">
        <w:t>.67</w:t>
      </w:r>
      <w:r w:rsidR="003346B5">
        <w:rPr>
          <w:rFonts w:hint="eastAsia"/>
        </w:rPr>
        <w:t>时</w:t>
      </w:r>
      <w:r w:rsidR="003346B5" w:rsidRPr="00A03BF0">
        <w:rPr>
          <w:rFonts w:hint="eastAsia"/>
        </w:rPr>
        <w:t>模型的解释能力较强</w:t>
      </w:r>
      <w:r w:rsidR="003346B5" w:rsidRPr="00541135">
        <w:rPr>
          <w:rFonts w:hint="eastAsia"/>
        </w:rPr>
        <w:t>。</w:t>
      </w:r>
      <w:r w:rsidR="003346B5">
        <w:rPr>
          <w:rFonts w:ascii="Times" w:hAnsi="Times" w:hint="eastAsia"/>
        </w:rPr>
        <w:t>模型中各潜变量的决定系数均不低于</w:t>
      </w:r>
      <w:r w:rsidR="003346B5">
        <w:rPr>
          <w:rFonts w:ascii="Times" w:hAnsi="Times" w:hint="eastAsia"/>
        </w:rPr>
        <w:t>0.33</w:t>
      </w:r>
      <w:r w:rsidR="003346B5">
        <w:rPr>
          <w:rFonts w:ascii="Times" w:hAnsi="Times" w:hint="eastAsia"/>
        </w:rPr>
        <w:t>。</w:t>
      </w:r>
    </w:p>
    <w:p w14:paraId="3A80E239" w14:textId="4D2AC777" w:rsidR="003346B5" w:rsidRDefault="003346B5" w:rsidP="003346B5">
      <w:pPr>
        <w:ind w:firstLine="420"/>
        <w:rPr>
          <w:iCs/>
        </w:rPr>
      </w:pPr>
      <w:r>
        <w:rPr>
          <w:rFonts w:hint="eastAsia"/>
        </w:rPr>
        <w:t>随后，</w:t>
      </w:r>
      <w:r w:rsidRPr="00541135">
        <w:rPr>
          <w:rFonts w:hint="eastAsia"/>
        </w:rPr>
        <w:t>应用</w:t>
      </w:r>
      <w:r w:rsidRPr="00541135">
        <w:rPr>
          <w:rFonts w:hint="eastAsia"/>
        </w:rPr>
        <w:t>Blind</w:t>
      </w:r>
      <w:r w:rsidRPr="00541135">
        <w:t>folding</w:t>
      </w:r>
      <w:r>
        <w:rPr>
          <w:rFonts w:hint="eastAsia"/>
        </w:rPr>
        <w:t>方法，计算潜变量的</w:t>
      </w:r>
      <w:r w:rsidRPr="00541135">
        <w:rPr>
          <w:rFonts w:hint="eastAsia"/>
        </w:rPr>
        <w:t>预测相关性</w:t>
      </w:r>
      <w:r w:rsidRPr="00985142">
        <w:rPr>
          <w:i/>
        </w:rPr>
        <w:t>Q</w:t>
      </w:r>
      <w:r w:rsidRPr="00B22D4C">
        <w:rPr>
          <w:iCs/>
          <w:vertAlign w:val="superscript"/>
        </w:rPr>
        <w:t>2</w:t>
      </w:r>
      <w:r w:rsidRPr="00541135">
        <w:rPr>
          <w:rFonts w:hint="eastAsia"/>
        </w:rPr>
        <w:t>（</w:t>
      </w:r>
      <w:r w:rsidRPr="00541135">
        <w:t xml:space="preserve">Predictive </w:t>
      </w:r>
      <w:r>
        <w:rPr>
          <w:rFonts w:hint="eastAsia"/>
        </w:rPr>
        <w:t>r</w:t>
      </w:r>
      <w:r w:rsidRPr="00541135">
        <w:t>elevance</w:t>
      </w:r>
      <w:r w:rsidRPr="00541135">
        <w:rPr>
          <w:rFonts w:hint="eastAsia"/>
        </w:rPr>
        <w:t>）</w:t>
      </w:r>
      <w:r>
        <w:rPr>
          <w:rFonts w:hint="eastAsia"/>
        </w:rPr>
        <w:t>，以衡量</w:t>
      </w:r>
      <w:r w:rsidRPr="00541135">
        <w:rPr>
          <w:rFonts w:hint="eastAsia"/>
        </w:rPr>
        <w:t>结构模型</w:t>
      </w:r>
      <w:r>
        <w:rPr>
          <w:rFonts w:hint="eastAsia"/>
        </w:rPr>
        <w:t>的预测准确度。</w:t>
      </w:r>
      <w:r w:rsidRPr="00985142">
        <w:rPr>
          <w:i/>
        </w:rPr>
        <w:t>Q</w:t>
      </w:r>
      <w:r w:rsidRPr="00B22D4C">
        <w:rPr>
          <w:iCs/>
          <w:vertAlign w:val="superscript"/>
        </w:rPr>
        <w:t>2</w:t>
      </w:r>
      <w:r>
        <w:rPr>
          <w:rFonts w:hint="eastAsia"/>
          <w:iCs/>
        </w:rPr>
        <w:t>大于</w:t>
      </w:r>
      <w:r>
        <w:rPr>
          <w:rFonts w:hint="eastAsia"/>
          <w:iCs/>
        </w:rPr>
        <w:t>0</w:t>
      </w:r>
      <w:r w:rsidRPr="00E54B7B">
        <w:rPr>
          <w:rFonts w:hint="eastAsia"/>
          <w:iCs/>
        </w:rPr>
        <w:t>表明模型</w:t>
      </w:r>
      <w:r>
        <w:t>对相应潜变量具有一定预测能力</w:t>
      </w:r>
      <w:r>
        <w:fldChar w:fldCharType="begin"/>
      </w:r>
      <w:r w:rsidR="00E17813">
        <w:instrText xml:space="preserve"> ADDIN ZOTERO_ITEM CSL_CITATION {"citationID":"a3ij74b8gu","properties":{"formattedCitation":"\\super [107]\\nosupersub{}","plainCitation":"[107]","noteIndex":0},"citationItems":[{"id":2738,"uris":["http://zotero.org/users/13172592/items/IXKCVSNK"],"itemData":{"id":2738,"type":"article-journal","abstract":"Purpose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This paper provides an overview of previously and recently proposed metrics as well as rules of thumb for evaluating the research results based on the application of PLS-SEM. Findings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Methodological developments associated with PLS-SEM are rapidly emerging. The metrics reported in this paper are useful for current applications, but must always be up to date with the latest developments in the PLS-SEM method. Originality/value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solutions.","container-title":"European Business Review","DOI":"10.1108/EBR-11-2018-0203","ISSN":"0955-534X","issue":"1","language":"en","note":"publisher: Emerald Publishing Limited","page":"2-24","source":"4","title":"When to use and how to report the results of PLS-SEM","volume":"31","author":[{"family":"Hair","given":"Joseph F."},{"family":"Risher","given":"Jeffrey J."},{"family":"Sarstedt","given":"Marko"},{"family":"Ringle","given":"Christian M."}],"issued":{"date-parts":[["2019",1,1]]}}}],"schema":"https://github.com/citation-style-language/schema/raw/master/csl-citation.json"} </w:instrText>
      </w:r>
      <w:r>
        <w:fldChar w:fldCharType="separate"/>
      </w:r>
      <w:r w:rsidR="00E17813" w:rsidRPr="00E17813">
        <w:rPr>
          <w:rFonts w:cs="Times New Roman"/>
          <w:kern w:val="0"/>
          <w:vertAlign w:val="superscript"/>
        </w:rPr>
        <w:t>[107]</w:t>
      </w:r>
      <w:r>
        <w:fldChar w:fldCharType="end"/>
      </w:r>
      <w:r w:rsidRPr="00541135">
        <w:rPr>
          <w:rFonts w:hint="eastAsia"/>
        </w:rPr>
        <w:t>。</w:t>
      </w:r>
      <w:r>
        <w:fldChar w:fldCharType="begin"/>
      </w:r>
      <w:r>
        <w:instrText xml:space="preserve"> </w:instrText>
      </w:r>
      <w:r>
        <w:rPr>
          <w:rFonts w:hint="eastAsia"/>
        </w:rPr>
        <w:instrText>REF _Ref174358256 \h</w:instrText>
      </w:r>
      <w:r>
        <w:instrText xml:space="preserve"> </w:instrText>
      </w:r>
      <w:r>
        <w:fldChar w:fldCharType="separate"/>
      </w:r>
      <w:r w:rsidR="000F2689">
        <w:rPr>
          <w:rFonts w:hint="eastAsia"/>
        </w:rPr>
        <w:t>图</w:t>
      </w:r>
      <w:r w:rsidR="000F2689">
        <w:rPr>
          <w:rFonts w:hint="eastAsia"/>
        </w:rPr>
        <w:t xml:space="preserve"> </w:t>
      </w:r>
      <w:r w:rsidR="000F2689">
        <w:rPr>
          <w:noProof/>
        </w:rPr>
        <w:t>7</w:t>
      </w:r>
      <w:r>
        <w:fldChar w:fldCharType="end"/>
      </w:r>
      <w:r>
        <w:rPr>
          <w:rFonts w:hint="eastAsia"/>
        </w:rPr>
        <w:t>中各潜变量</w:t>
      </w:r>
      <w:r w:rsidRPr="00985142">
        <w:rPr>
          <w:i/>
        </w:rPr>
        <w:t>Q</w:t>
      </w:r>
      <w:r w:rsidRPr="00B22D4C">
        <w:rPr>
          <w:iCs/>
          <w:vertAlign w:val="superscript"/>
        </w:rPr>
        <w:t>2</w:t>
      </w:r>
      <w:r>
        <w:rPr>
          <w:rFonts w:hint="eastAsia"/>
          <w:iCs/>
        </w:rPr>
        <w:t>均大于</w:t>
      </w:r>
      <w:r>
        <w:rPr>
          <w:rFonts w:hint="eastAsia"/>
          <w:iCs/>
        </w:rPr>
        <w:t>0</w:t>
      </w:r>
      <w:r>
        <w:rPr>
          <w:rFonts w:hint="eastAsia"/>
          <w:iCs/>
        </w:rPr>
        <w:t>，表明模型总体预测能力良好。</w:t>
      </w:r>
    </w:p>
    <w:p w14:paraId="0A72E3AF" w14:textId="5040CC7A" w:rsidR="00FC1023" w:rsidRDefault="003346B5" w:rsidP="00FD5AAE">
      <w:pPr>
        <w:spacing w:afterLines="50" w:after="156"/>
        <w:ind w:firstLine="420"/>
      </w:pPr>
      <w:r w:rsidRPr="00304442">
        <w:rPr>
          <w:rFonts w:hint="eastAsia"/>
          <w:iCs/>
        </w:rPr>
        <w:t>模型适配度</w:t>
      </w:r>
      <w:r>
        <w:rPr>
          <w:rFonts w:hint="eastAsia"/>
          <w:iCs/>
        </w:rPr>
        <w:t>通过</w:t>
      </w:r>
      <w:r w:rsidRPr="00304442">
        <w:rPr>
          <w:rFonts w:hint="eastAsia"/>
          <w:iCs/>
        </w:rPr>
        <w:t>模型拟合的标准化均方根残差</w:t>
      </w:r>
      <w:r>
        <w:rPr>
          <w:rFonts w:hint="eastAsia"/>
          <w:iCs/>
        </w:rPr>
        <w:t>（</w:t>
      </w:r>
      <w:r w:rsidRPr="00304442">
        <w:rPr>
          <w:iCs/>
        </w:rPr>
        <w:t>Standardized</w:t>
      </w:r>
      <w:r>
        <w:rPr>
          <w:iCs/>
        </w:rPr>
        <w:t xml:space="preserve"> </w:t>
      </w:r>
      <w:r w:rsidRPr="00304442">
        <w:rPr>
          <w:iCs/>
        </w:rPr>
        <w:t>Root Mean Squared</w:t>
      </w:r>
      <w:r>
        <w:rPr>
          <w:iCs/>
        </w:rPr>
        <w:t xml:space="preserve"> </w:t>
      </w:r>
      <w:r w:rsidRPr="00304442">
        <w:rPr>
          <w:iCs/>
        </w:rPr>
        <w:t>Resid</w:t>
      </w:r>
      <w:r w:rsidRPr="00304442">
        <w:rPr>
          <w:rFonts w:hint="eastAsia"/>
          <w:iCs/>
        </w:rPr>
        <w:t>ual</w:t>
      </w:r>
      <w:r>
        <w:rPr>
          <w:rFonts w:hint="eastAsia"/>
          <w:iCs/>
        </w:rPr>
        <w:t>，</w:t>
      </w:r>
      <w:r w:rsidRPr="00304442">
        <w:rPr>
          <w:rFonts w:hint="eastAsia"/>
          <w:iCs/>
        </w:rPr>
        <w:t>SRMR</w:t>
      </w:r>
      <w:r>
        <w:rPr>
          <w:rFonts w:hint="eastAsia"/>
          <w:iCs/>
        </w:rPr>
        <w:t>）</w:t>
      </w:r>
      <w:r w:rsidRPr="00304442">
        <w:rPr>
          <w:rFonts w:hint="eastAsia"/>
          <w:iCs/>
        </w:rPr>
        <w:t>评估</w:t>
      </w:r>
      <w:r>
        <w:rPr>
          <w:rFonts w:hint="eastAsia"/>
          <w:iCs/>
        </w:rPr>
        <w:t>，</w:t>
      </w:r>
      <w:r w:rsidRPr="00304442">
        <w:rPr>
          <w:rFonts w:hint="eastAsia"/>
          <w:iCs/>
        </w:rPr>
        <w:t>SRMR</w:t>
      </w:r>
      <w:r>
        <w:rPr>
          <w:rFonts w:hint="eastAsia"/>
          <w:iCs/>
        </w:rPr>
        <w:t>小于</w:t>
      </w:r>
      <w:r w:rsidRPr="00304442">
        <w:rPr>
          <w:rFonts w:hint="eastAsia"/>
          <w:iCs/>
        </w:rPr>
        <w:t>0.080</w:t>
      </w:r>
      <w:r w:rsidRPr="00304442">
        <w:rPr>
          <w:rFonts w:hint="eastAsia"/>
          <w:iCs/>
        </w:rPr>
        <w:t>时模型适配度满足要求</w:t>
      </w:r>
      <w:r>
        <w:fldChar w:fldCharType="begin"/>
      </w:r>
      <w:r w:rsidR="00E17813">
        <w:instrText xml:space="preserve"> ADDIN ZOTERO_ITEM CSL_CITATION {"citationID":"iWSvVz4E","properties":{"formattedCitation":"\\super [107]\\nosupersub{}","plainCitation":"[107]","noteIndex":0},"citationItems":[{"id":2738,"uris":["http://zotero.org/users/13172592/items/IXKCVSNK"],"itemData":{"id":2738,"type":"article-journal","abstract":"Purpose The purpose of this paper is to provide a comprehensive, yet concise, overview of the considerations and metrics required for partial least squares structural equation modeling (PLS-SEM) analysis and result reporting. Preliminary considerations are summarized first, including reasons for choosing PLS-SEM, recommended sample size in selected contexts, distributional assumptions, use of secondary data, statistical power and the need for goodness-of-fit testing. Next, the metrics as well as the rules of thumb that should be applied to assess the PLS-SEM results are covered. Besides presenting established PLS-SEM evaluation criteria, the overview includes the following new guidelines: PLSpredict (i.e., a novel approach for assessing a model’s out-of-sample prediction), metrics for model comparisons, and several complementary methods for checking the results’ robustness. Design/methodology/approach This paper provides an overview of previously and recently proposed metrics as well as rules of thumb for evaluating the research results based on the application of PLS-SEM. Findings Most of the previously applied metrics for evaluating PLS-SEM results are still relevant. Nevertheless, scholars need to be knowledgeable about recently proposed metrics (e.g. model comparison criteria) and methods (e.g. endogeneity assessment, latent class analysis and PLSpredict), and when and how to apply them to extend their analyses. Research limitations/implications Methodological developments associated with PLS-SEM are rapidly emerging. The metrics reported in this paper are useful for current applications, but must always be up to date with the latest developments in the PLS-SEM method. Originality/value In light of more recent research and methodological developments in the PLS-SEM domain, guidelines for the method’s use need to be continuously extended and updated. This paper is the most current and comprehensive summary of the PLS-SEM method and the metrics applied to assess its solutions.","container-title":"European Business Review","DOI":"10.1108/EBR-11-2018-0203","ISSN":"0955-534X","issue":"1","language":"en","note":"publisher: Emerald Publishing Limited","page":"2-24","source":"4","title":"When to use and how to report the results of PLS-SEM","volume":"31","author":[{"family":"Hair","given":"Joseph F."},{"family":"Risher","given":"Jeffrey J."},{"family":"Sarstedt","given":"Marko"},{"family":"Ringle","given":"Christian M."}],"issued":{"date-parts":[["2019",1,1]]}}}],"schema":"https://github.com/citation-style-language/schema/raw/master/csl-citation.json"} </w:instrText>
      </w:r>
      <w:r>
        <w:fldChar w:fldCharType="separate"/>
      </w:r>
      <w:r w:rsidR="00E17813" w:rsidRPr="00E17813">
        <w:rPr>
          <w:rFonts w:cs="Times New Roman"/>
          <w:kern w:val="0"/>
          <w:vertAlign w:val="superscript"/>
        </w:rPr>
        <w:t>[107]</w:t>
      </w:r>
      <w:r>
        <w:fldChar w:fldCharType="end"/>
      </w:r>
      <w:r w:rsidRPr="00304442">
        <w:rPr>
          <w:rFonts w:hint="eastAsia"/>
          <w:iCs/>
        </w:rPr>
        <w:t>。本研究模型</w:t>
      </w:r>
      <w:r w:rsidRPr="00304442">
        <w:rPr>
          <w:rFonts w:hint="eastAsia"/>
          <w:iCs/>
        </w:rPr>
        <w:t>SRMR</w:t>
      </w:r>
      <w:r w:rsidRPr="00304442">
        <w:rPr>
          <w:rFonts w:hint="eastAsia"/>
          <w:iCs/>
        </w:rPr>
        <w:t>为</w:t>
      </w:r>
      <w:r w:rsidRPr="00304442">
        <w:rPr>
          <w:rFonts w:hint="eastAsia"/>
          <w:iCs/>
        </w:rPr>
        <w:t>0.0</w:t>
      </w:r>
      <w:r>
        <w:rPr>
          <w:rFonts w:hint="eastAsia"/>
          <w:iCs/>
        </w:rPr>
        <w:t>39</w:t>
      </w:r>
      <w:r>
        <w:rPr>
          <w:rFonts w:hint="eastAsia"/>
          <w:iCs/>
        </w:rPr>
        <w:t>，</w:t>
      </w:r>
      <w:r w:rsidRPr="00304442">
        <w:rPr>
          <w:rFonts w:hint="eastAsia"/>
          <w:iCs/>
        </w:rPr>
        <w:t>模型适配度</w:t>
      </w:r>
      <w:r>
        <w:rPr>
          <w:rFonts w:hint="eastAsia"/>
          <w:iCs/>
        </w:rPr>
        <w:t>较好</w:t>
      </w:r>
      <w:r w:rsidR="00FC1023" w:rsidRPr="00EF6774">
        <w:rPr>
          <w:rFonts w:hint="eastAsia"/>
        </w:rPr>
        <w:t>。</w:t>
      </w:r>
    </w:p>
    <w:p w14:paraId="6EAA5136" w14:textId="77777777" w:rsidR="009D2DF3" w:rsidRDefault="009D2DF3" w:rsidP="00E17813">
      <w:pPr>
        <w:pStyle w:val="2"/>
      </w:pPr>
      <w:r>
        <w:rPr>
          <w:rFonts w:hint="eastAsia"/>
        </w:rPr>
        <w:t>清洁能源基地一体化</w:t>
      </w:r>
      <w:r w:rsidRPr="00874FF0">
        <w:rPr>
          <w:rFonts w:hint="eastAsia"/>
        </w:rPr>
        <w:t>管理</w:t>
      </w:r>
      <w:r>
        <w:rPr>
          <w:rFonts w:hint="eastAsia"/>
        </w:rPr>
        <w:t>因素总效应分析</w:t>
      </w:r>
    </w:p>
    <w:p w14:paraId="0C411ED6" w14:textId="57DDF796" w:rsidR="009D2DF3" w:rsidRDefault="009D2DF3" w:rsidP="009D2DF3">
      <w:pPr>
        <w:ind w:firstLine="420"/>
      </w:pPr>
      <w:r>
        <w:rPr>
          <w:rFonts w:ascii="Times" w:hAnsi="Times" w:hint="eastAsia"/>
        </w:rPr>
        <w:t>潜</w:t>
      </w:r>
      <w:r w:rsidRPr="00541135">
        <w:rPr>
          <w:rFonts w:ascii="Times" w:hAnsi="Times" w:hint="eastAsia"/>
        </w:rPr>
        <w:t>变量间的总效应</w:t>
      </w:r>
      <w:r>
        <w:rPr>
          <w:rFonts w:ascii="Times" w:hAnsi="Times" w:hint="eastAsia"/>
        </w:rPr>
        <w:t>为直接效应和间接效应的总和，</w:t>
      </w:r>
      <w:r>
        <w:rPr>
          <w:rFonts w:hint="eastAsia"/>
        </w:rPr>
        <w:t>如</w:t>
      </w:r>
      <w:r>
        <w:fldChar w:fldCharType="begin"/>
      </w:r>
      <w:r>
        <w:instrText xml:space="preserve"> </w:instrText>
      </w:r>
      <w:r>
        <w:rPr>
          <w:rFonts w:hint="eastAsia"/>
        </w:rPr>
        <w:instrText>REF _Ref200172389 \h</w:instrText>
      </w:r>
      <w:r>
        <w:instrText xml:space="preserve"> </w:instrText>
      </w:r>
      <w:r>
        <w:fldChar w:fldCharType="separate"/>
      </w:r>
      <w:r w:rsidR="000F2689">
        <w:rPr>
          <w:rFonts w:hint="eastAsia"/>
        </w:rPr>
        <w:t>表</w:t>
      </w:r>
      <w:r w:rsidR="000F2689">
        <w:rPr>
          <w:rFonts w:hint="eastAsia"/>
        </w:rPr>
        <w:t xml:space="preserve"> </w:t>
      </w:r>
      <w:r w:rsidR="000F2689">
        <w:rPr>
          <w:noProof/>
        </w:rPr>
        <w:t>13</w:t>
      </w:r>
      <w:r>
        <w:fldChar w:fldCharType="end"/>
      </w:r>
      <w:r>
        <w:rPr>
          <w:rFonts w:hint="eastAsia"/>
        </w:rPr>
        <w:t>所示</w:t>
      </w:r>
      <w:r>
        <w:rPr>
          <w:rFonts w:ascii="Times" w:hAnsi="Times" w:hint="eastAsia"/>
        </w:rPr>
        <w:t>。在清洁能源基地一体化管理</w:t>
      </w:r>
      <w:r w:rsidRPr="00FF2BF3">
        <w:rPr>
          <w:rFonts w:ascii="Times" w:hAnsi="Times" w:hint="eastAsia"/>
        </w:rPr>
        <w:t>理论</w:t>
      </w:r>
      <w:r>
        <w:rPr>
          <w:rFonts w:ascii="Times" w:hAnsi="Times" w:hint="eastAsia"/>
        </w:rPr>
        <w:t>模型的输入因素中，</w:t>
      </w:r>
      <w:r w:rsidRPr="00A7500B">
        <w:rPr>
          <w:rFonts w:hint="eastAsia"/>
        </w:rPr>
        <w:t>业主项目群管理能力</w:t>
      </w:r>
      <w:r>
        <w:rPr>
          <w:rFonts w:hint="eastAsia"/>
        </w:rPr>
        <w:t>对</w:t>
      </w:r>
      <w:r>
        <w:rPr>
          <w:rFonts w:ascii="Times" w:hAnsi="Times" w:hint="eastAsia"/>
        </w:rPr>
        <w:t>项目群实施（</w:t>
      </w:r>
      <w:r w:rsidRPr="00F83966">
        <w:t>0.489***</w:t>
      </w:r>
      <w:r>
        <w:rPr>
          <w:rFonts w:ascii="Times" w:hAnsi="Times" w:hint="eastAsia"/>
        </w:rPr>
        <w:t>）、项目群运营（</w:t>
      </w:r>
      <w:r w:rsidRPr="00CD4032">
        <w:rPr>
          <w:rFonts w:ascii="Times" w:hAnsi="Times"/>
        </w:rPr>
        <w:t>0.712***</w:t>
      </w:r>
      <w:r>
        <w:rPr>
          <w:rFonts w:ascii="Times" w:hAnsi="Times" w:hint="eastAsia"/>
        </w:rPr>
        <w:t>）与项目群绩效（</w:t>
      </w:r>
      <w:r w:rsidRPr="00CD4032">
        <w:rPr>
          <w:rFonts w:ascii="Times" w:hAnsi="Times"/>
        </w:rPr>
        <w:t>0.626***</w:t>
      </w:r>
      <w:r>
        <w:rPr>
          <w:rFonts w:ascii="Times" w:hAnsi="Times" w:hint="eastAsia"/>
        </w:rPr>
        <w:t>）</w:t>
      </w:r>
      <w:r>
        <w:rPr>
          <w:rFonts w:hint="eastAsia"/>
        </w:rPr>
        <w:t>的总效应系数最大，既突出了业主能力对提升项目群开发水平的重要性，也强调了应从项目群视角对清洁能源基地开发进行一体</w:t>
      </w:r>
      <w:r>
        <w:rPr>
          <w:rFonts w:hint="eastAsia"/>
        </w:rPr>
        <w:t>化管理。已有研究也指出</w:t>
      </w:r>
      <w:r>
        <w:t>业主在工程项目管理中扮演关键角色</w:t>
      </w:r>
      <w:r>
        <w:rPr>
          <w:rFonts w:hint="eastAsia"/>
        </w:rPr>
        <w:t>，提升业主能力对保障项目目标的实现至关重要</w:t>
      </w:r>
      <w:r>
        <w:fldChar w:fldCharType="begin"/>
      </w:r>
      <w:r w:rsidR="00E17813">
        <w:instrText xml:space="preserve"> ADDIN ZOTERO_ITEM CSL_CITATION {"citationID":"a1r4fc620cd","properties":{"formattedCitation":"\\super [6,7,109]\\nosupersub{}","plainCitation":"[6,7,109]","noteIndex":0},"citationItems":[{"id":3569,"uris":["http://zotero.org/users/13172592/items/F7J8MSXL"],"itemData":{"id":3569,"type":"article-journal","abstract":"Public clients in the construction sector face a number of challenges in designing, procuring and managing major construction projects. The client’s role in bringing about project delivery has more recently been emphasized, particularly with respect to developing capabilities that facilitate the coordinating of projects through its different phases. In line with these developments, this paper sets out to examine the management of capabilities in a client organization through the lens of the dynamic capabilities framework. In particular, what is investigated is how the client organization senses, seizes and transforms opportunities. In pursuit of this objective, an exploratory case study approach is adopted which examines one of Sweden’s largest public client organizations. The study explores the concept of dynamic capabilities and its applicability to the public construction context. Although the usefulness of dynamic capabilities as an interpretive framework is recognized, it is suggested that the concept of dynamic capabilities is inadequate for addressing the specific context in which public client organizations operate. Particularly with respect to the project-based characteristic of these organizations and the difficulty in framing what constitutes “competitive advantage” for public organizations.","container-title":"Construction Management and Economics","DOI":"10.1080/01446193.2017.1309441","ISSN":"0144-6193, 1466-433X","issue":"7","journalAbbreviation":"Construction Management and Economics","language":"en","page":"420-431","source":"3","title":"Applying the dynamic capabilities framework in the case of a large public construction client","volume":"35","author":[{"family":"Adam","given":"Abderisak"},{"family":"Lindahl","given":"Göran"}],"issued":{"date-parts":[["2017",7,3]]}}},{"id":3564,"uris":["http://zotero.org/users/13172592/items/5TDVMB9T"],"itemData":{"id":3564,"type":"article-journal","abstract":"While risk and uncertainty management have received much attention within construction management research, management of information interpretation remains unexplored. Situations that are generally overlooked are those where increased amounts and flow of information are not the solution to the human problem of managing multiple meanings of information and conflicting interpretations, i.e. ‘equivocality’. The aim is to identify and differentiate between construction clients’ uncertainty and equivocality about industrialized construction in Sweden, and, in the light of those findings, to evaluate clients’ current information processing practice on investment decisions in new-build in order to assess and discuss clients’ ability to manage uncertainty and equivocality. Based on information processing theory, analysis of aggregated data from three previous studies shows that there is a need to manage both uncertainty and equivocality. At the same time, clients’ ability to do this is found to be limited. Consequently, when industrialized construction moves clients beyond their current frame of reference, clients’ information processing practice does not support decision making. It is also proposed that differentiating between uncertainty and equivocality will enable a more profound understanding of the sequential order for information processing, i.e. that one must define questions (reduce equivocality) before one can find answers to the questions (reduce uncertainty).","container-title":"Construction Management and Economics","DOI":"10.1080/01446193.2011.595423","ISSN":"0144-6193","issue":"7","language":"en","note":"publisher: Routledge\n_eprint: https://doi.org/10.1080/01446193.2011.595423\nTLDR: It is proposed that differentiating between uncertainty and equivocality will enable a more profound understanding of the sequential order for information processing, i.e. that one must define questions before one can find answers to the questions.","page":"753-764","source":"3","title":"Construction clients’ ability to manage uncertainty and equivocality","volume":"29","author":[{"family":"Levander","given":"Erika"},{"family":"Engström","given":"Susanne"},{"family":"Sardén","given":"Ylva"},{"family":"Stehn","given":"Lars"}],"issued":{"date-parts":[["2011",7,1]]}}},{"id":2695,"uris":["http://zotero.org/users/13172592/items/G5B2KIFG"],"itemData":{"id":2695,"type":"article-journal","abstract":"Research on the management of major projects is one of the main themes of Peter Morris' work. We address this theme in the context of transportation i…","call-number":"1","container-title":"International Journal of Project Management","DOI":"10.1016/j.ijproman.2015.02.002","ISSN":"0263-7863","issue":"2","language":"en","note":"publisher: Pergamon","page":"271-281","source":"7.4","title":"Owner project capabilities for infrastructure development: A review and development of the “strong owner” concept","title-short":"Owner project capabilities for infrastructure development","volume":"34","author":[{"family":"Winch","given":"Graham"},{"family":"Leiringer","given":"Roine"}],"issued":{"date-parts":[["2016",2,1]]}}}],"schema":"https://github.com/citation-style-language/schema/raw/master/csl-citation.json"} </w:instrText>
      </w:r>
      <w:r>
        <w:fldChar w:fldCharType="separate"/>
      </w:r>
      <w:r w:rsidR="00E17813" w:rsidRPr="00E17813">
        <w:rPr>
          <w:rFonts w:cs="Times New Roman"/>
          <w:kern w:val="0"/>
          <w:vertAlign w:val="superscript"/>
        </w:rPr>
        <w:t>[6,7,109]</w:t>
      </w:r>
      <w:r>
        <w:fldChar w:fldCharType="end"/>
      </w:r>
      <w:r>
        <w:rPr>
          <w:rFonts w:hint="eastAsia"/>
        </w:rPr>
        <w:t>。</w:t>
      </w:r>
      <w:r>
        <w:rPr>
          <w:rFonts w:ascii="Times" w:hAnsi="Times" w:hint="eastAsia"/>
        </w:rPr>
        <w:t>此外，清洁能源基地开发</w:t>
      </w:r>
      <w:r w:rsidRPr="00A7500B">
        <w:rPr>
          <w:rFonts w:hint="eastAsia"/>
        </w:rPr>
        <w:t>外部条件</w:t>
      </w:r>
      <w:r>
        <w:rPr>
          <w:rFonts w:hint="eastAsia"/>
        </w:rPr>
        <w:t>（</w:t>
      </w:r>
      <w:r w:rsidRPr="00F83966">
        <w:t>0.496***</w:t>
      </w:r>
      <w:r>
        <w:rPr>
          <w:rFonts w:hint="eastAsia"/>
        </w:rPr>
        <w:t>）对</w:t>
      </w:r>
      <w:r w:rsidRPr="00A7500B">
        <w:rPr>
          <w:rFonts w:hint="eastAsia"/>
        </w:rPr>
        <w:t>管理制度</w:t>
      </w:r>
      <w:r>
        <w:rPr>
          <w:rFonts w:hint="eastAsia"/>
        </w:rPr>
        <w:t>的总效应相比</w:t>
      </w:r>
      <w:r w:rsidRPr="00A7500B">
        <w:rPr>
          <w:rFonts w:hint="eastAsia"/>
        </w:rPr>
        <w:t>业主项目群管理能力</w:t>
      </w:r>
      <w:r>
        <w:rPr>
          <w:rFonts w:hint="eastAsia"/>
        </w:rPr>
        <w:t>（</w:t>
      </w:r>
      <w:r w:rsidRPr="00F83966">
        <w:t>0.473***</w:t>
      </w:r>
      <w:r>
        <w:rPr>
          <w:rFonts w:hint="eastAsia"/>
        </w:rPr>
        <w:t>）较大。该结果表明支持的政策与市场条件、成熟的行业标准对</w:t>
      </w:r>
      <w:r>
        <w:rPr>
          <w:rFonts w:ascii="Times" w:hAnsi="Times" w:hint="eastAsia"/>
        </w:rPr>
        <w:t>清洁能源基地</w:t>
      </w:r>
      <w:r>
        <w:rPr>
          <w:rFonts w:hint="eastAsia"/>
        </w:rPr>
        <w:t>管理制度的制定具有重要影响。</w:t>
      </w:r>
    </w:p>
    <w:p w14:paraId="224BB6F9" w14:textId="2982B879" w:rsidR="009D2DF3" w:rsidRPr="009D2DF3" w:rsidRDefault="009D2DF3" w:rsidP="009D2DF3">
      <w:pPr>
        <w:ind w:firstLine="420"/>
      </w:pPr>
      <w:r>
        <w:rPr>
          <w:rFonts w:ascii="Times" w:hAnsi="Times" w:hint="eastAsia"/>
        </w:rPr>
        <w:t>在清洁能源基地一体化管理</w:t>
      </w:r>
      <w:r w:rsidRPr="00FF2BF3">
        <w:rPr>
          <w:rFonts w:ascii="Times" w:hAnsi="Times" w:hint="eastAsia"/>
        </w:rPr>
        <w:t>理论</w:t>
      </w:r>
      <w:r>
        <w:rPr>
          <w:rFonts w:ascii="Times" w:hAnsi="Times" w:hint="eastAsia"/>
        </w:rPr>
        <w:t>模型的过程因素中，资源配置对项目群实施的总效应更大（</w:t>
      </w:r>
      <w:r w:rsidRPr="00F83966">
        <w:t>0.724***</w:t>
      </w:r>
      <w:r>
        <w:rPr>
          <w:rFonts w:hint="eastAsia"/>
        </w:rPr>
        <w:t>&gt;</w:t>
      </w:r>
      <w:r w:rsidRPr="00F83966">
        <w:t>0.097*</w:t>
      </w:r>
      <w:r>
        <w:rPr>
          <w:rFonts w:ascii="Times" w:hAnsi="Times" w:hint="eastAsia"/>
        </w:rPr>
        <w:t>），而伙伴关系对项目群运营（</w:t>
      </w:r>
      <w:r w:rsidRPr="00F83966">
        <w:t>0.554***</w:t>
      </w:r>
      <w:r>
        <w:rPr>
          <w:rFonts w:hint="eastAsia"/>
        </w:rPr>
        <w:t>&gt;</w:t>
      </w:r>
      <w:r w:rsidRPr="00F83966">
        <w:t>0.152*</w:t>
      </w:r>
      <w:r>
        <w:rPr>
          <w:rFonts w:ascii="Times" w:hAnsi="Times" w:hint="eastAsia"/>
        </w:rPr>
        <w:t>）和项目群绩效（</w:t>
      </w:r>
      <w:r w:rsidRPr="00F83966">
        <w:t>0.433***</w:t>
      </w:r>
      <w:r>
        <w:rPr>
          <w:rFonts w:hint="eastAsia"/>
        </w:rPr>
        <w:t>&gt;</w:t>
      </w:r>
      <w:r w:rsidRPr="00F83966">
        <w:t>0.253**</w:t>
      </w:r>
      <w:r>
        <w:rPr>
          <w:rFonts w:ascii="Times" w:hAnsi="Times" w:hint="eastAsia"/>
        </w:rPr>
        <w:t>）的总效应更大。</w:t>
      </w:r>
      <w:r w:rsidRPr="00CD4032">
        <w:rPr>
          <w:rFonts w:ascii="Times" w:hAnsi="Times" w:hint="eastAsia"/>
        </w:rPr>
        <w:t>在清洁能源基地实施阶段，资源</w:t>
      </w:r>
      <w:r>
        <w:rPr>
          <w:rFonts w:ascii="Times" w:hAnsi="Times" w:hint="eastAsia"/>
        </w:rPr>
        <w:t>的及时供应与共享</w:t>
      </w:r>
      <w:r w:rsidRPr="00CD4032">
        <w:rPr>
          <w:rFonts w:ascii="Times" w:hAnsi="Times" w:hint="eastAsia"/>
        </w:rPr>
        <w:t>是项目</w:t>
      </w:r>
      <w:r>
        <w:rPr>
          <w:rFonts w:ascii="Times" w:hAnsi="Times" w:hint="eastAsia"/>
        </w:rPr>
        <w:t>群</w:t>
      </w:r>
      <w:r w:rsidRPr="00CD4032">
        <w:rPr>
          <w:rFonts w:ascii="Times" w:hAnsi="Times" w:hint="eastAsia"/>
        </w:rPr>
        <w:t>按计划顺利推进的关键因素。</w:t>
      </w:r>
      <w:r>
        <w:rPr>
          <w:rFonts w:ascii="Times" w:hAnsi="Times" w:hint="eastAsia"/>
        </w:rPr>
        <w:t>已有研究也指出资源合理配置对项目实施至关重要</w:t>
      </w:r>
      <w:r>
        <w:fldChar w:fldCharType="begin"/>
      </w:r>
      <w:r w:rsidR="00E17813">
        <w:instrText xml:space="preserve"> ADDIN ZOTERO_ITEM CSL_CITATION {"citationID":"AonRZ7KR","properties":{"formattedCitation":"\\super [3,55]\\nosupersub{}","plainCitation":"[3,55]","noteIndex":0},"citationItems":[{"id":3663,"uris":["http://zotero.org/users/13172592/items/KBFEHVJI"],"itemData":{"id":3663,"type":"article-journal","abstract":"Renewable energy is one of the most popular topics in utilization of the electric energy resources. There are various types of alternative energy, which can be used as electrical energy. However, the suitableness of the green energy in a certain country is depending on some criteria such as geographical location, the availability of energy and so on. In order to establish the renewable energy, a well-planned strategy and management must be acquired. The main objective of this paper is to analyse the causal relation of some important criteria of project planning and development of a wind energy project in Malaysia. By using a system dynamic approach, it is found that government policies, investment of renewable energy, energy demand, geographical location and fund management are the most important criteria that need to be considered among others. The diagram of causal relationship with reinforcing and balancing loop shows that the application of renewable energy in Malaysia is promising. In addition, the information of the criteria relationship is further investigated by using the stock flow diagram. From the diagram, the factors that affect project’s expenditure could be analysed. This is very important to a developing country where more budgets can be allocated for other facilities, cultures, infrastructure, science, and technology development. By utilise the renewable energy in Malaysia, the carbon dioxide emission can be reduced and contribution to a sustainable and long term alternative energy resources country.","container-title":"Renewable and Sustainable Energy Reviews","DOI":"10.1016/j.rser.2014.07.078","ISSN":"1364-0321","journalAbbreviation":"Renewable and Sustainable Energy Reviews","language":"en-US","page":"917-932","source":"ScienceDirect","title":"Renewable energy project: Project management, challenges and risk","title-short":"Renewable energy project","volume":"38","author":[{"family":"Goh","given":"H. H."},{"family":"Lee","given":"S. W."},{"family":"Chua","given":"Q. S."},{"family":"Goh","given":"K. C."},{"family":"Kok","given":"B. C."},{"family":"Teo","given":"K. T. K."}],"issued":{"date-parts":[["2014",10,1]]}}},{"id":2358,"uris":["http://zotero.org/users/13172592/items/E9Z93RH2"],"itemData":{"id":2358,"type":"article-journal","call-number":"4","container-title":"Journal of Asian Architecture and Building Engineering","DOI":"10.1080/13467581.2024.2329357","ISSN":"1346-7581, 1347-2852","journalAbbreviation":"Journal of Asian Architecture and Building Engineering","language":"en","page":"1-16","source":"1.3","title":"Effect of resource integration on organizational resilience of megaprojects: Role of dynamic capability and resource availability","title-short":"Effect of resource integration on organizational resilience of megaprojects","author":[{"family":"Wang","given":"Dedong"},{"family":"Zhao","given":"Xiaoru"}],"issued":{"date-parts":[["2024",3,17]]}}}],"schema":"https://github.com/citation-style-language/schema/raw/master/csl-citation.json"} </w:instrText>
      </w:r>
      <w:r>
        <w:fldChar w:fldCharType="separate"/>
      </w:r>
      <w:r w:rsidR="00E17813" w:rsidRPr="00E17813">
        <w:rPr>
          <w:rFonts w:cs="Times New Roman"/>
          <w:kern w:val="0"/>
          <w:vertAlign w:val="superscript"/>
        </w:rPr>
        <w:t>[3,55]</w:t>
      </w:r>
      <w:r>
        <w:fldChar w:fldCharType="end"/>
      </w:r>
      <w:r>
        <w:rPr>
          <w:rFonts w:ascii="Times" w:hAnsi="Times" w:hint="eastAsia"/>
        </w:rPr>
        <w:t>，并提出在</w:t>
      </w:r>
      <w:r>
        <w:rPr>
          <w:shd w:val="clear" w:color="auto" w:fill="FFFFFF"/>
        </w:rPr>
        <w:t>项目群管理中</w:t>
      </w:r>
      <w:r>
        <w:rPr>
          <w:rFonts w:hint="eastAsia"/>
          <w:shd w:val="clear" w:color="auto" w:fill="FFFFFF"/>
        </w:rPr>
        <w:t>应不断优化资源配置，及时解决开发过程中遇到的问题，并灵活</w:t>
      </w:r>
      <w:r>
        <w:rPr>
          <w:shd w:val="clear" w:color="auto" w:fill="FFFFFF"/>
        </w:rPr>
        <w:t>应对</w:t>
      </w:r>
      <w:r>
        <w:rPr>
          <w:rFonts w:hint="eastAsia"/>
          <w:shd w:val="clear" w:color="auto" w:fill="FFFFFF"/>
        </w:rPr>
        <w:t>外部环境的变动。</w:t>
      </w:r>
      <w:r w:rsidRPr="00CD4032">
        <w:rPr>
          <w:rFonts w:ascii="Times" w:hAnsi="Times" w:hint="eastAsia"/>
        </w:rPr>
        <w:t>当清洁能源基地完成建设进入运营阶段</w:t>
      </w:r>
      <w:r>
        <w:rPr>
          <w:rFonts w:ascii="Times" w:hAnsi="Times" w:hint="eastAsia"/>
        </w:rPr>
        <w:t>，</w:t>
      </w:r>
      <w:r w:rsidRPr="00CD4032">
        <w:rPr>
          <w:rFonts w:ascii="Times" w:hAnsi="Times" w:hint="eastAsia"/>
        </w:rPr>
        <w:t>管理重点</w:t>
      </w:r>
      <w:r>
        <w:rPr>
          <w:rFonts w:ascii="Times" w:hAnsi="Times" w:hint="eastAsia"/>
        </w:rPr>
        <w:t>需</w:t>
      </w:r>
      <w:r w:rsidRPr="00CD4032">
        <w:rPr>
          <w:rFonts w:ascii="Times" w:hAnsi="Times" w:hint="eastAsia"/>
        </w:rPr>
        <w:t>从物理资源的配置转向</w:t>
      </w:r>
      <w:r>
        <w:rPr>
          <w:rFonts w:ascii="Times" w:hAnsi="Times" w:hint="eastAsia"/>
        </w:rPr>
        <w:t>多项目联合运行、多能互补系统建设，以及电力</w:t>
      </w:r>
      <w:r w:rsidRPr="00CD4032">
        <w:rPr>
          <w:rFonts w:ascii="Times" w:hAnsi="Times" w:hint="eastAsia"/>
        </w:rPr>
        <w:t>市场</w:t>
      </w:r>
      <w:r>
        <w:rPr>
          <w:rFonts w:ascii="Times" w:hAnsi="Times" w:hint="eastAsia"/>
        </w:rPr>
        <w:t>参与上。建立各方间良好的合作伙伴关系能够提高项目间联合调度水平，也有助于推进</w:t>
      </w:r>
      <w:r>
        <w:rPr>
          <w:rFonts w:hint="eastAsia"/>
        </w:rPr>
        <w:t>运行</w:t>
      </w:r>
      <w:r>
        <w:rPr>
          <w:rFonts w:ascii="Times" w:hAnsi="Times" w:hint="eastAsia"/>
        </w:rPr>
        <w:t>单位与政府、电网单位的沟通协作，以及时抓住市场机遇，提升项目群收益。在清洁能源基地开发背景下，项目群运营相比于项目群实施对项目群绩效的影响更大（</w:t>
      </w:r>
      <w:r w:rsidRPr="00F83966">
        <w:t>0.747***</w:t>
      </w:r>
      <w:r>
        <w:rPr>
          <w:rFonts w:hint="eastAsia"/>
        </w:rPr>
        <w:t>&gt;</w:t>
      </w:r>
      <w:r w:rsidRPr="00F821C6">
        <w:t>0.193**</w:t>
      </w:r>
      <w:r>
        <w:rPr>
          <w:rFonts w:ascii="Times" w:hAnsi="Times" w:hint="eastAsia"/>
        </w:rPr>
        <w:t>），表明清洁能源基地重视电力生产、市场交易、降低碳排放等方面的绩效。</w:t>
      </w:r>
      <w:r w:rsidRPr="009E59A6">
        <w:rPr>
          <w:rFonts w:ascii="Times" w:hAnsi="Times" w:hint="eastAsia"/>
        </w:rPr>
        <w:t>伙伴关系也因此相比于资源配置对清洁能源基地绩效的总效应</w:t>
      </w:r>
      <w:r>
        <w:rPr>
          <w:rFonts w:ascii="Times" w:hAnsi="Times" w:hint="eastAsia"/>
        </w:rPr>
        <w:t>更大。已有研究也验</w:t>
      </w:r>
      <w:r>
        <w:rPr>
          <w:rFonts w:ascii="Times" w:hAnsi="Times" w:hint="eastAsia"/>
        </w:rPr>
        <w:lastRenderedPageBreak/>
        <w:t>证了伙伴关系能够显著提升清洁能源基地多能互补水平，并最终作用于电站的运营绩效，与本研究的</w:t>
      </w:r>
      <w:r>
        <w:rPr>
          <w:rFonts w:ascii="Times" w:hAnsi="Times" w:hint="eastAsia"/>
        </w:rPr>
        <w:t>观点一致</w:t>
      </w:r>
      <w:r>
        <w:rPr>
          <w:rFonts w:ascii="Times" w:hAnsi="Times"/>
        </w:rPr>
        <w:fldChar w:fldCharType="begin"/>
      </w:r>
      <w:r w:rsidR="00E17813">
        <w:rPr>
          <w:rFonts w:ascii="Times" w:hAnsi="Times"/>
        </w:rPr>
        <w:instrText xml:space="preserve"> ADDIN ZOTERO_ITEM CSL_CITATION {"citationID":"a1qer6snh0f","properties":{"formattedCitation":"\\super [110]\\nosupersub{}","plainCitation":"[110]","noteIndex":0},"citationItems":[{"id":4094,"uris":["http://zotero.org/users/13172592/items/66ZLG8RK"],"item</w:instrText>
      </w:r>
      <w:r w:rsidR="00E17813">
        <w:rPr>
          <w:rFonts w:ascii="Times" w:hAnsi="Times" w:hint="eastAsia"/>
        </w:rPr>
        <w:instrText>Data":{"id":4094,"type":"thesis","event-place":"</w:instrText>
      </w:r>
      <w:r w:rsidR="00E17813">
        <w:rPr>
          <w:rFonts w:ascii="Times" w:hAnsi="Times" w:hint="eastAsia"/>
        </w:rPr>
        <w:instrText>北京</w:instrText>
      </w:r>
      <w:r w:rsidR="00E17813">
        <w:rPr>
          <w:rFonts w:ascii="Times" w:hAnsi="Times" w:hint="eastAsia"/>
        </w:rPr>
        <w:instrText>","publisher":"</w:instrText>
      </w:r>
      <w:r w:rsidR="00E17813">
        <w:rPr>
          <w:rFonts w:ascii="Times" w:hAnsi="Times" w:hint="eastAsia"/>
        </w:rPr>
        <w:instrText>清华大学</w:instrText>
      </w:r>
      <w:r w:rsidR="00E17813">
        <w:rPr>
          <w:rFonts w:ascii="Times" w:hAnsi="Times" w:hint="eastAsia"/>
        </w:rPr>
        <w:instrText>","publisher-place":"</w:instrText>
      </w:r>
      <w:r w:rsidR="00E17813">
        <w:rPr>
          <w:rFonts w:ascii="Times" w:hAnsi="Times" w:hint="eastAsia"/>
        </w:rPr>
        <w:instrText>北京</w:instrText>
      </w:r>
      <w:r w:rsidR="00E17813">
        <w:rPr>
          <w:rFonts w:ascii="Times" w:hAnsi="Times" w:hint="eastAsia"/>
        </w:rPr>
        <w:instrText>","title":"</w:instrText>
      </w:r>
      <w:r w:rsidR="00E17813">
        <w:rPr>
          <w:rFonts w:ascii="Times" w:hAnsi="Times" w:hint="eastAsia"/>
        </w:rPr>
        <w:instrText>多能互补视角下清洁能源电站一体化运营管理研究</w:instrText>
      </w:r>
      <w:r w:rsidR="00E17813">
        <w:rPr>
          <w:rFonts w:ascii="Times" w:hAnsi="Times" w:hint="eastAsia"/>
        </w:rPr>
        <w:instrText>","author":[{"literal":"</w:instrText>
      </w:r>
      <w:r w:rsidR="00E17813">
        <w:rPr>
          <w:rFonts w:ascii="Times" w:hAnsi="Times" w:hint="eastAsia"/>
        </w:rPr>
        <w:instrText>孟祥鑫</w:instrText>
      </w:r>
      <w:r w:rsidR="00E17813">
        <w:rPr>
          <w:rFonts w:ascii="Times" w:hAnsi="Times" w:hint="eastAsia"/>
        </w:rPr>
        <w:instrText>"}],"issued":{"date-parts":[["2024"]]}}}],"schema":"https://github.com/citation-style-language/schema/r</w:instrText>
      </w:r>
      <w:r w:rsidR="00E17813">
        <w:rPr>
          <w:rFonts w:ascii="Times" w:hAnsi="Times"/>
        </w:rPr>
        <w:instrText xml:space="preserve">aw/master/csl-citation.json"} </w:instrText>
      </w:r>
      <w:r>
        <w:rPr>
          <w:rFonts w:ascii="Times" w:hAnsi="Times"/>
        </w:rPr>
        <w:fldChar w:fldCharType="separate"/>
      </w:r>
      <w:r w:rsidR="00E17813" w:rsidRPr="00E17813">
        <w:rPr>
          <w:rFonts w:cs="Times New Roman"/>
          <w:kern w:val="0"/>
          <w:vertAlign w:val="superscript"/>
        </w:rPr>
        <w:t>[110]</w:t>
      </w:r>
      <w:r>
        <w:rPr>
          <w:rFonts w:ascii="Times" w:hAnsi="Times"/>
        </w:rPr>
        <w:fldChar w:fldCharType="end"/>
      </w:r>
      <w:r>
        <w:rPr>
          <w:rFonts w:ascii="Times" w:hAnsi="Times" w:hint="eastAsia"/>
        </w:rPr>
        <w:t>。</w:t>
      </w:r>
    </w:p>
    <w:p w14:paraId="4117D5C0" w14:textId="0BC57615" w:rsidR="009D2DF3" w:rsidRDefault="009D2DF3" w:rsidP="00FD5AAE">
      <w:pPr>
        <w:spacing w:afterLines="50" w:after="156"/>
        <w:ind w:firstLine="360"/>
        <w:rPr>
          <w:sz w:val="18"/>
          <w:szCs w:val="20"/>
        </w:rPr>
        <w:sectPr w:rsidR="009D2DF3" w:rsidSect="00FC1023">
          <w:type w:val="continuous"/>
          <w:pgSz w:w="11906" w:h="16838"/>
          <w:pgMar w:top="1440" w:right="1106" w:bottom="1440" w:left="1106" w:header="851" w:footer="992" w:gutter="0"/>
          <w:cols w:num="2" w:space="425"/>
          <w:titlePg/>
          <w:docGrid w:type="linesAndChars" w:linePitch="312"/>
        </w:sectPr>
      </w:pPr>
    </w:p>
    <w:p w14:paraId="7C537194" w14:textId="736E2B30" w:rsidR="00A46094" w:rsidRPr="00A46094" w:rsidRDefault="00A46094" w:rsidP="00EB718D">
      <w:pPr>
        <w:pStyle w:val="afa"/>
        <w:keepNext/>
        <w:spacing w:beforeLines="50" w:before="156"/>
      </w:pPr>
      <w:bookmarkStart w:id="31" w:name="_Ref174358244"/>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12</w:t>
      </w:r>
      <w:r>
        <w:fldChar w:fldCharType="end"/>
      </w:r>
      <w:bookmarkEnd w:id="31"/>
      <w:r>
        <w:rPr>
          <w:rFonts w:hint="eastAsia"/>
        </w:rPr>
        <w:t xml:space="preserve"> </w:t>
      </w:r>
      <w:r w:rsidRPr="00A46094">
        <w:rPr>
          <w:rFonts w:hint="eastAsia"/>
        </w:rPr>
        <w:t>结构模型检验结果</w:t>
      </w:r>
    </w:p>
    <w:tbl>
      <w:tblPr>
        <w:tblStyle w:val="af2"/>
        <w:tblW w:w="5000" w:type="pct"/>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4963"/>
        <w:gridCol w:w="1842"/>
        <w:gridCol w:w="1417"/>
        <w:gridCol w:w="1472"/>
      </w:tblGrid>
      <w:tr w:rsidR="00A46094" w:rsidRPr="003E17F3" w14:paraId="583FB4E3" w14:textId="77777777" w:rsidTr="00503EFF">
        <w:trPr>
          <w:trHeight w:val="293"/>
        </w:trPr>
        <w:tc>
          <w:tcPr>
            <w:tcW w:w="2560" w:type="pct"/>
            <w:tcBorders>
              <w:top w:val="single" w:sz="12" w:space="0" w:color="auto"/>
              <w:bottom w:val="single" w:sz="4" w:space="0" w:color="auto"/>
            </w:tcBorders>
            <w:vAlign w:val="center"/>
            <w:hideMark/>
          </w:tcPr>
          <w:p w14:paraId="3940DEE9" w14:textId="77777777" w:rsidR="006201E9" w:rsidRPr="003E17F3" w:rsidRDefault="006201E9" w:rsidP="006201E9">
            <w:pPr>
              <w:ind w:firstLineChars="0" w:firstLine="0"/>
              <w:jc w:val="center"/>
              <w:rPr>
                <w:b/>
                <w:bCs/>
                <w:szCs w:val="21"/>
              </w:rPr>
            </w:pPr>
            <w:r w:rsidRPr="003E17F3">
              <w:rPr>
                <w:rFonts w:hint="eastAsia"/>
                <w:b/>
                <w:bCs/>
                <w:szCs w:val="21"/>
              </w:rPr>
              <w:t>假设</w:t>
            </w:r>
          </w:p>
        </w:tc>
        <w:tc>
          <w:tcPr>
            <w:tcW w:w="950" w:type="pct"/>
            <w:tcBorders>
              <w:top w:val="single" w:sz="12" w:space="0" w:color="auto"/>
              <w:bottom w:val="single" w:sz="4" w:space="0" w:color="auto"/>
            </w:tcBorders>
            <w:vAlign w:val="center"/>
            <w:hideMark/>
          </w:tcPr>
          <w:p w14:paraId="08B46C49" w14:textId="77777777" w:rsidR="006201E9" w:rsidRPr="003E17F3" w:rsidRDefault="006201E9" w:rsidP="006201E9">
            <w:pPr>
              <w:ind w:firstLineChars="0" w:firstLine="0"/>
              <w:jc w:val="center"/>
              <w:rPr>
                <w:b/>
                <w:bCs/>
                <w:szCs w:val="21"/>
              </w:rPr>
            </w:pPr>
            <w:r w:rsidRPr="003E17F3">
              <w:rPr>
                <w:rFonts w:hint="eastAsia"/>
                <w:b/>
                <w:bCs/>
                <w:szCs w:val="21"/>
              </w:rPr>
              <w:t>标准化路径系数</w:t>
            </w:r>
          </w:p>
        </w:tc>
        <w:tc>
          <w:tcPr>
            <w:tcW w:w="731" w:type="pct"/>
            <w:tcBorders>
              <w:top w:val="single" w:sz="12" w:space="0" w:color="auto"/>
              <w:bottom w:val="single" w:sz="4" w:space="0" w:color="auto"/>
            </w:tcBorders>
            <w:vAlign w:val="center"/>
            <w:hideMark/>
          </w:tcPr>
          <w:p w14:paraId="0CAAE59E" w14:textId="77777777" w:rsidR="006201E9" w:rsidRPr="003E17F3" w:rsidRDefault="006201E9" w:rsidP="006201E9">
            <w:pPr>
              <w:ind w:firstLineChars="0" w:firstLine="0"/>
              <w:jc w:val="center"/>
              <w:rPr>
                <w:b/>
                <w:bCs/>
                <w:i/>
                <w:iCs/>
                <w:szCs w:val="21"/>
              </w:rPr>
            </w:pPr>
            <w:r w:rsidRPr="003E17F3">
              <w:rPr>
                <w:b/>
                <w:bCs/>
                <w:i/>
                <w:iCs/>
                <w:szCs w:val="21"/>
              </w:rPr>
              <w:t>p</w:t>
            </w:r>
          </w:p>
        </w:tc>
        <w:tc>
          <w:tcPr>
            <w:tcW w:w="759" w:type="pct"/>
            <w:tcBorders>
              <w:top w:val="single" w:sz="12" w:space="0" w:color="auto"/>
              <w:bottom w:val="single" w:sz="4" w:space="0" w:color="auto"/>
            </w:tcBorders>
            <w:vAlign w:val="center"/>
            <w:hideMark/>
          </w:tcPr>
          <w:p w14:paraId="1337A19D" w14:textId="77777777" w:rsidR="006201E9" w:rsidRPr="003E17F3" w:rsidRDefault="006201E9" w:rsidP="006201E9">
            <w:pPr>
              <w:ind w:firstLineChars="0" w:firstLine="0"/>
              <w:jc w:val="center"/>
              <w:rPr>
                <w:b/>
                <w:bCs/>
                <w:szCs w:val="21"/>
              </w:rPr>
            </w:pPr>
            <w:r w:rsidRPr="003E17F3">
              <w:rPr>
                <w:rFonts w:hint="eastAsia"/>
                <w:b/>
                <w:bCs/>
                <w:szCs w:val="21"/>
              </w:rPr>
              <w:t>结论</w:t>
            </w:r>
          </w:p>
        </w:tc>
      </w:tr>
      <w:tr w:rsidR="003346B5" w:rsidRPr="003E17F3" w14:paraId="732BE78E" w14:textId="77777777" w:rsidTr="002D1967">
        <w:trPr>
          <w:trHeight w:val="285"/>
        </w:trPr>
        <w:tc>
          <w:tcPr>
            <w:tcW w:w="2560" w:type="pct"/>
            <w:tcBorders>
              <w:top w:val="single" w:sz="4" w:space="0" w:color="auto"/>
            </w:tcBorders>
            <w:hideMark/>
          </w:tcPr>
          <w:p w14:paraId="1F0B52CA" w14:textId="2D247A36" w:rsidR="003346B5" w:rsidRPr="003E17F3" w:rsidRDefault="003346B5" w:rsidP="003346B5">
            <w:pPr>
              <w:ind w:firstLineChars="0" w:firstLine="0"/>
              <w:rPr>
                <w:szCs w:val="21"/>
              </w:rPr>
            </w:pPr>
            <w:r>
              <w:rPr>
                <w:rFonts w:hint="eastAsia"/>
              </w:rPr>
              <w:t>假设</w:t>
            </w:r>
            <w:r>
              <w:rPr>
                <w:rFonts w:hint="eastAsia"/>
              </w:rPr>
              <w:t>1</w:t>
            </w:r>
            <w:r>
              <w:rPr>
                <w:rFonts w:hint="eastAsia"/>
              </w:rPr>
              <w:t>：</w:t>
            </w:r>
            <w:r w:rsidRPr="00321A3D">
              <w:rPr>
                <w:rFonts w:hint="eastAsia"/>
              </w:rPr>
              <w:t>外部条件</w:t>
            </w:r>
            <w:r>
              <w:rPr>
                <w:rFonts w:hint="eastAsia"/>
              </w:rPr>
              <w:t>→管理制度</w:t>
            </w:r>
          </w:p>
        </w:tc>
        <w:tc>
          <w:tcPr>
            <w:tcW w:w="950" w:type="pct"/>
            <w:tcBorders>
              <w:top w:val="single" w:sz="4" w:space="0" w:color="auto"/>
            </w:tcBorders>
            <w:vAlign w:val="center"/>
            <w:hideMark/>
          </w:tcPr>
          <w:p w14:paraId="1073DF8F" w14:textId="6E5EC8EA" w:rsidR="003346B5" w:rsidRPr="003E17F3" w:rsidRDefault="003346B5" w:rsidP="003346B5">
            <w:pPr>
              <w:ind w:firstLineChars="0" w:firstLine="0"/>
              <w:jc w:val="center"/>
              <w:rPr>
                <w:szCs w:val="21"/>
              </w:rPr>
            </w:pPr>
            <w:r w:rsidRPr="0037360E">
              <w:t>0.496</w:t>
            </w:r>
          </w:p>
        </w:tc>
        <w:tc>
          <w:tcPr>
            <w:tcW w:w="731" w:type="pct"/>
            <w:tcBorders>
              <w:top w:val="single" w:sz="4" w:space="0" w:color="auto"/>
            </w:tcBorders>
            <w:vAlign w:val="center"/>
            <w:hideMark/>
          </w:tcPr>
          <w:p w14:paraId="48543210" w14:textId="715C7FBE"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tcBorders>
              <w:top w:val="single" w:sz="4" w:space="0" w:color="auto"/>
            </w:tcBorders>
            <w:vAlign w:val="center"/>
            <w:hideMark/>
          </w:tcPr>
          <w:p w14:paraId="611163BB"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3D98C7A6" w14:textId="77777777" w:rsidTr="002D1967">
        <w:trPr>
          <w:trHeight w:val="285"/>
        </w:trPr>
        <w:tc>
          <w:tcPr>
            <w:tcW w:w="2560" w:type="pct"/>
            <w:hideMark/>
          </w:tcPr>
          <w:p w14:paraId="765F1EA1" w14:textId="740DCD70" w:rsidR="003346B5" w:rsidRPr="003E17F3" w:rsidRDefault="003346B5" w:rsidP="003346B5">
            <w:pPr>
              <w:ind w:firstLineChars="0" w:firstLine="0"/>
              <w:rPr>
                <w:szCs w:val="21"/>
              </w:rPr>
            </w:pPr>
            <w:r>
              <w:rPr>
                <w:rFonts w:hint="eastAsia"/>
              </w:rPr>
              <w:t>假设</w:t>
            </w:r>
            <w:r>
              <w:rPr>
                <w:rFonts w:hint="eastAsia"/>
              </w:rPr>
              <w:t>2</w:t>
            </w:r>
            <w:r>
              <w:rPr>
                <w:rFonts w:hint="eastAsia"/>
              </w:rPr>
              <w:t>：</w:t>
            </w:r>
            <w:r w:rsidRPr="00321A3D">
              <w:rPr>
                <w:rFonts w:hint="eastAsia"/>
              </w:rPr>
              <w:t>业主项目群管理能力</w:t>
            </w:r>
            <w:r>
              <w:rPr>
                <w:rFonts w:hint="eastAsia"/>
              </w:rPr>
              <w:t>→管理制度</w:t>
            </w:r>
          </w:p>
        </w:tc>
        <w:tc>
          <w:tcPr>
            <w:tcW w:w="950" w:type="pct"/>
            <w:vAlign w:val="center"/>
            <w:hideMark/>
          </w:tcPr>
          <w:p w14:paraId="3A2703FE" w14:textId="1EAF69E4" w:rsidR="003346B5" w:rsidRPr="003E17F3" w:rsidRDefault="003346B5" w:rsidP="003346B5">
            <w:pPr>
              <w:ind w:firstLineChars="0" w:firstLine="0"/>
              <w:jc w:val="center"/>
              <w:rPr>
                <w:szCs w:val="21"/>
              </w:rPr>
            </w:pPr>
            <w:r w:rsidRPr="0037360E">
              <w:t>0.473</w:t>
            </w:r>
          </w:p>
        </w:tc>
        <w:tc>
          <w:tcPr>
            <w:tcW w:w="731" w:type="pct"/>
            <w:vAlign w:val="center"/>
            <w:hideMark/>
          </w:tcPr>
          <w:p w14:paraId="05D10AB5" w14:textId="2E3446BF"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hideMark/>
          </w:tcPr>
          <w:p w14:paraId="3F9476A7"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0EC3ADF2" w14:textId="77777777" w:rsidTr="002D1967">
        <w:trPr>
          <w:trHeight w:val="285"/>
        </w:trPr>
        <w:tc>
          <w:tcPr>
            <w:tcW w:w="2560" w:type="pct"/>
            <w:hideMark/>
          </w:tcPr>
          <w:p w14:paraId="2930031F" w14:textId="61BB9D33" w:rsidR="003346B5" w:rsidRPr="003E17F3" w:rsidRDefault="003346B5" w:rsidP="003346B5">
            <w:pPr>
              <w:ind w:firstLineChars="0" w:firstLine="0"/>
              <w:rPr>
                <w:szCs w:val="21"/>
              </w:rPr>
            </w:pPr>
            <w:r>
              <w:rPr>
                <w:rFonts w:hint="eastAsia"/>
              </w:rPr>
              <w:t>假设</w:t>
            </w:r>
            <w:r>
              <w:rPr>
                <w:rFonts w:hint="eastAsia"/>
              </w:rPr>
              <w:t>3</w:t>
            </w:r>
            <w:r>
              <w:rPr>
                <w:rFonts w:hint="eastAsia"/>
              </w:rPr>
              <w:t>：</w:t>
            </w:r>
            <w:r w:rsidRPr="00321A3D">
              <w:rPr>
                <w:rFonts w:hint="eastAsia"/>
              </w:rPr>
              <w:t>外部条件</w:t>
            </w:r>
            <w:r>
              <w:rPr>
                <w:rFonts w:hint="eastAsia"/>
              </w:rPr>
              <w:t>→</w:t>
            </w:r>
            <w:r w:rsidRPr="00321A3D">
              <w:rPr>
                <w:rFonts w:hint="eastAsia"/>
              </w:rPr>
              <w:t>资源配置</w:t>
            </w:r>
          </w:p>
        </w:tc>
        <w:tc>
          <w:tcPr>
            <w:tcW w:w="950" w:type="pct"/>
            <w:vAlign w:val="center"/>
            <w:hideMark/>
          </w:tcPr>
          <w:p w14:paraId="31F4919B" w14:textId="639997B7" w:rsidR="003346B5" w:rsidRPr="003E17F3" w:rsidRDefault="003346B5" w:rsidP="003346B5">
            <w:pPr>
              <w:ind w:firstLineChars="0" w:firstLine="0"/>
              <w:jc w:val="center"/>
              <w:rPr>
                <w:szCs w:val="21"/>
              </w:rPr>
            </w:pPr>
            <w:r w:rsidRPr="0037360E">
              <w:t>0.175</w:t>
            </w:r>
          </w:p>
        </w:tc>
        <w:tc>
          <w:tcPr>
            <w:tcW w:w="731" w:type="pct"/>
            <w:vAlign w:val="center"/>
            <w:hideMark/>
          </w:tcPr>
          <w:p w14:paraId="0E82BCE1" w14:textId="3771294A" w:rsidR="003346B5" w:rsidRPr="003E17F3" w:rsidRDefault="003346B5" w:rsidP="003346B5">
            <w:pPr>
              <w:ind w:firstLineChars="0" w:firstLine="0"/>
              <w:jc w:val="center"/>
              <w:rPr>
                <w:szCs w:val="21"/>
              </w:rPr>
            </w:pPr>
            <w:r w:rsidRPr="00755091">
              <w:t>0.001</w:t>
            </w:r>
          </w:p>
        </w:tc>
        <w:tc>
          <w:tcPr>
            <w:tcW w:w="759" w:type="pct"/>
            <w:vAlign w:val="center"/>
            <w:hideMark/>
          </w:tcPr>
          <w:p w14:paraId="4894C7D9"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56C73EE8" w14:textId="77777777" w:rsidTr="002D1967">
        <w:trPr>
          <w:trHeight w:val="285"/>
        </w:trPr>
        <w:tc>
          <w:tcPr>
            <w:tcW w:w="2560" w:type="pct"/>
            <w:hideMark/>
          </w:tcPr>
          <w:p w14:paraId="03F4D5CA" w14:textId="395B5CF9" w:rsidR="003346B5" w:rsidRPr="003E17F3" w:rsidRDefault="003346B5" w:rsidP="003346B5">
            <w:pPr>
              <w:ind w:firstLineChars="0" w:firstLine="0"/>
              <w:rPr>
                <w:szCs w:val="21"/>
              </w:rPr>
            </w:pPr>
            <w:r>
              <w:rPr>
                <w:rFonts w:hint="eastAsia"/>
              </w:rPr>
              <w:t>假设</w:t>
            </w:r>
            <w:r>
              <w:rPr>
                <w:rFonts w:hint="eastAsia"/>
              </w:rPr>
              <w:t>4</w:t>
            </w:r>
            <w:r>
              <w:rPr>
                <w:rFonts w:hint="eastAsia"/>
              </w:rPr>
              <w:t>：管理制度→</w:t>
            </w:r>
            <w:r w:rsidRPr="00321A3D">
              <w:rPr>
                <w:rFonts w:hint="eastAsia"/>
              </w:rPr>
              <w:t>资源配置</w:t>
            </w:r>
          </w:p>
        </w:tc>
        <w:tc>
          <w:tcPr>
            <w:tcW w:w="950" w:type="pct"/>
            <w:vAlign w:val="center"/>
            <w:hideMark/>
          </w:tcPr>
          <w:p w14:paraId="62BA54B0" w14:textId="0BC20F7A" w:rsidR="003346B5" w:rsidRPr="003E17F3" w:rsidRDefault="003346B5" w:rsidP="003346B5">
            <w:pPr>
              <w:ind w:firstLineChars="0" w:firstLine="0"/>
              <w:jc w:val="center"/>
              <w:rPr>
                <w:szCs w:val="21"/>
              </w:rPr>
            </w:pPr>
            <w:r w:rsidRPr="0037360E">
              <w:t>0.399</w:t>
            </w:r>
          </w:p>
        </w:tc>
        <w:tc>
          <w:tcPr>
            <w:tcW w:w="731" w:type="pct"/>
            <w:vAlign w:val="center"/>
            <w:hideMark/>
          </w:tcPr>
          <w:p w14:paraId="214FC785" w14:textId="29D8548C"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hideMark/>
          </w:tcPr>
          <w:p w14:paraId="0CA5FC28"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1180F7BD" w14:textId="77777777" w:rsidTr="002D1967">
        <w:trPr>
          <w:trHeight w:val="285"/>
        </w:trPr>
        <w:tc>
          <w:tcPr>
            <w:tcW w:w="2560" w:type="pct"/>
            <w:hideMark/>
          </w:tcPr>
          <w:p w14:paraId="34C522D9" w14:textId="42754A62" w:rsidR="003346B5" w:rsidRPr="003E17F3" w:rsidRDefault="003346B5" w:rsidP="003346B5">
            <w:pPr>
              <w:ind w:firstLineChars="0" w:firstLine="0"/>
              <w:rPr>
                <w:szCs w:val="21"/>
              </w:rPr>
            </w:pPr>
            <w:r>
              <w:rPr>
                <w:rFonts w:hint="eastAsia"/>
              </w:rPr>
              <w:t>假设</w:t>
            </w:r>
            <w:r>
              <w:rPr>
                <w:rFonts w:hint="eastAsia"/>
              </w:rPr>
              <w:t>5</w:t>
            </w:r>
            <w:r>
              <w:rPr>
                <w:rFonts w:hint="eastAsia"/>
              </w:rPr>
              <w:t>：</w:t>
            </w:r>
            <w:r w:rsidRPr="00321A3D">
              <w:rPr>
                <w:rFonts w:hint="eastAsia"/>
              </w:rPr>
              <w:t>业主项目群管理能力</w:t>
            </w:r>
            <w:r>
              <w:rPr>
                <w:rFonts w:hint="eastAsia"/>
              </w:rPr>
              <w:t>→</w:t>
            </w:r>
            <w:r w:rsidRPr="00321A3D">
              <w:rPr>
                <w:rFonts w:hint="eastAsia"/>
              </w:rPr>
              <w:t>资源配置</w:t>
            </w:r>
          </w:p>
        </w:tc>
        <w:tc>
          <w:tcPr>
            <w:tcW w:w="950" w:type="pct"/>
            <w:vAlign w:val="center"/>
            <w:hideMark/>
          </w:tcPr>
          <w:p w14:paraId="09D6AD23" w14:textId="06546E05" w:rsidR="003346B5" w:rsidRPr="003E17F3" w:rsidRDefault="003346B5" w:rsidP="003346B5">
            <w:pPr>
              <w:ind w:firstLineChars="0" w:firstLine="0"/>
              <w:jc w:val="center"/>
              <w:rPr>
                <w:szCs w:val="21"/>
              </w:rPr>
            </w:pPr>
            <w:r w:rsidRPr="0037360E">
              <w:t>0.398</w:t>
            </w:r>
          </w:p>
        </w:tc>
        <w:tc>
          <w:tcPr>
            <w:tcW w:w="731" w:type="pct"/>
            <w:vAlign w:val="center"/>
            <w:hideMark/>
          </w:tcPr>
          <w:p w14:paraId="0BBCC413" w14:textId="3418F2A1"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hideMark/>
          </w:tcPr>
          <w:p w14:paraId="63BAD4C2"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29CFCBBB" w14:textId="77777777" w:rsidTr="002D1967">
        <w:trPr>
          <w:trHeight w:val="285"/>
        </w:trPr>
        <w:tc>
          <w:tcPr>
            <w:tcW w:w="2560" w:type="pct"/>
            <w:hideMark/>
          </w:tcPr>
          <w:p w14:paraId="1BACB84C" w14:textId="4B6B0C7D" w:rsidR="003346B5" w:rsidRPr="003E17F3" w:rsidRDefault="003346B5" w:rsidP="003346B5">
            <w:pPr>
              <w:ind w:firstLineChars="0" w:firstLine="0"/>
              <w:rPr>
                <w:szCs w:val="21"/>
              </w:rPr>
            </w:pPr>
            <w:r>
              <w:rPr>
                <w:rFonts w:hint="eastAsia"/>
              </w:rPr>
              <w:t>假设</w:t>
            </w:r>
            <w:r>
              <w:rPr>
                <w:rFonts w:hint="eastAsia"/>
              </w:rPr>
              <w:t>6</w:t>
            </w:r>
            <w:r>
              <w:rPr>
                <w:rFonts w:hint="eastAsia"/>
              </w:rPr>
              <w:t>：管理制度→</w:t>
            </w:r>
            <w:r w:rsidRPr="00321A3D">
              <w:rPr>
                <w:rFonts w:hint="eastAsia"/>
              </w:rPr>
              <w:t>伙伴关系</w:t>
            </w:r>
          </w:p>
        </w:tc>
        <w:tc>
          <w:tcPr>
            <w:tcW w:w="950" w:type="pct"/>
            <w:vAlign w:val="center"/>
            <w:hideMark/>
          </w:tcPr>
          <w:p w14:paraId="4C26FCA6" w14:textId="5AE05B8A" w:rsidR="003346B5" w:rsidRPr="003E17F3" w:rsidRDefault="003346B5" w:rsidP="003346B5">
            <w:pPr>
              <w:ind w:firstLineChars="0" w:firstLine="0"/>
              <w:jc w:val="center"/>
              <w:rPr>
                <w:szCs w:val="21"/>
              </w:rPr>
            </w:pPr>
            <w:r w:rsidRPr="0037360E">
              <w:t>0.186</w:t>
            </w:r>
          </w:p>
        </w:tc>
        <w:tc>
          <w:tcPr>
            <w:tcW w:w="731" w:type="pct"/>
            <w:vAlign w:val="center"/>
            <w:hideMark/>
          </w:tcPr>
          <w:p w14:paraId="0EB73942" w14:textId="53A80A6A" w:rsidR="003346B5" w:rsidRPr="003E17F3" w:rsidRDefault="003346B5" w:rsidP="003346B5">
            <w:pPr>
              <w:ind w:firstLineChars="0" w:firstLine="0"/>
              <w:jc w:val="center"/>
              <w:rPr>
                <w:szCs w:val="21"/>
              </w:rPr>
            </w:pPr>
            <w:r w:rsidRPr="00755091">
              <w:t>0.006</w:t>
            </w:r>
          </w:p>
        </w:tc>
        <w:tc>
          <w:tcPr>
            <w:tcW w:w="759" w:type="pct"/>
            <w:vAlign w:val="center"/>
            <w:hideMark/>
          </w:tcPr>
          <w:p w14:paraId="261C615C"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2E962AAC" w14:textId="77777777" w:rsidTr="002D1967">
        <w:trPr>
          <w:trHeight w:val="285"/>
        </w:trPr>
        <w:tc>
          <w:tcPr>
            <w:tcW w:w="2560" w:type="pct"/>
            <w:hideMark/>
          </w:tcPr>
          <w:p w14:paraId="23C79F73" w14:textId="532DDB37" w:rsidR="003346B5" w:rsidRPr="003E17F3" w:rsidRDefault="003346B5" w:rsidP="003346B5">
            <w:pPr>
              <w:ind w:firstLineChars="0" w:firstLine="0"/>
              <w:rPr>
                <w:szCs w:val="21"/>
              </w:rPr>
            </w:pPr>
            <w:r>
              <w:rPr>
                <w:rFonts w:hint="eastAsia"/>
              </w:rPr>
              <w:t>假设</w:t>
            </w:r>
            <w:r>
              <w:rPr>
                <w:rFonts w:hint="eastAsia"/>
              </w:rPr>
              <w:t>7</w:t>
            </w:r>
            <w:r>
              <w:rPr>
                <w:rFonts w:hint="eastAsia"/>
              </w:rPr>
              <w:t>：</w:t>
            </w:r>
            <w:r w:rsidRPr="00321A3D">
              <w:rPr>
                <w:rFonts w:hint="eastAsia"/>
              </w:rPr>
              <w:t>业主项目群管理能力</w:t>
            </w:r>
            <w:r>
              <w:rPr>
                <w:rFonts w:hint="eastAsia"/>
              </w:rPr>
              <w:t>→</w:t>
            </w:r>
            <w:r w:rsidRPr="00321A3D">
              <w:rPr>
                <w:rFonts w:hint="eastAsia"/>
              </w:rPr>
              <w:t>伙伴关系</w:t>
            </w:r>
          </w:p>
        </w:tc>
        <w:tc>
          <w:tcPr>
            <w:tcW w:w="950" w:type="pct"/>
            <w:vAlign w:val="center"/>
            <w:hideMark/>
          </w:tcPr>
          <w:p w14:paraId="3C3CC270" w14:textId="21659E2C" w:rsidR="003346B5" w:rsidRPr="003E17F3" w:rsidRDefault="003346B5" w:rsidP="003346B5">
            <w:pPr>
              <w:ind w:firstLineChars="0" w:firstLine="0"/>
              <w:jc w:val="center"/>
              <w:rPr>
                <w:szCs w:val="21"/>
              </w:rPr>
            </w:pPr>
            <w:r w:rsidRPr="0037360E">
              <w:t>0.570</w:t>
            </w:r>
          </w:p>
        </w:tc>
        <w:tc>
          <w:tcPr>
            <w:tcW w:w="731" w:type="pct"/>
            <w:vAlign w:val="center"/>
            <w:hideMark/>
          </w:tcPr>
          <w:p w14:paraId="01FC1D5B" w14:textId="6BA4DAEF"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hideMark/>
          </w:tcPr>
          <w:p w14:paraId="3FFED74B" w14:textId="77777777"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41D4D007" w14:textId="77777777" w:rsidTr="002D1967">
        <w:trPr>
          <w:trHeight w:val="285"/>
        </w:trPr>
        <w:tc>
          <w:tcPr>
            <w:tcW w:w="2560" w:type="pct"/>
          </w:tcPr>
          <w:p w14:paraId="30F77FE9" w14:textId="5271B701" w:rsidR="003346B5" w:rsidRPr="003E17F3" w:rsidRDefault="003346B5" w:rsidP="003346B5">
            <w:pPr>
              <w:ind w:firstLineChars="0" w:firstLine="0"/>
              <w:rPr>
                <w:szCs w:val="21"/>
              </w:rPr>
            </w:pPr>
            <w:r>
              <w:rPr>
                <w:rFonts w:hint="eastAsia"/>
              </w:rPr>
              <w:t>假设</w:t>
            </w:r>
            <w:r>
              <w:rPr>
                <w:rFonts w:hint="eastAsia"/>
              </w:rPr>
              <w:t>8</w:t>
            </w:r>
            <w:r>
              <w:rPr>
                <w:rFonts w:hint="eastAsia"/>
              </w:rPr>
              <w:t>：</w:t>
            </w:r>
            <w:r w:rsidRPr="00321A3D">
              <w:rPr>
                <w:rFonts w:hint="eastAsia"/>
              </w:rPr>
              <w:t>外部条件</w:t>
            </w:r>
            <w:r>
              <w:rPr>
                <w:rFonts w:hint="eastAsia"/>
              </w:rPr>
              <w:t>→</w:t>
            </w:r>
            <w:r w:rsidRPr="00321A3D">
              <w:rPr>
                <w:rFonts w:hint="eastAsia"/>
              </w:rPr>
              <w:t>项目</w:t>
            </w:r>
            <w:r>
              <w:rPr>
                <w:rFonts w:hint="eastAsia"/>
              </w:rPr>
              <w:t>群</w:t>
            </w:r>
            <w:r w:rsidRPr="00321A3D">
              <w:rPr>
                <w:rFonts w:hint="eastAsia"/>
              </w:rPr>
              <w:t>实施</w:t>
            </w:r>
          </w:p>
        </w:tc>
        <w:tc>
          <w:tcPr>
            <w:tcW w:w="950" w:type="pct"/>
            <w:vAlign w:val="center"/>
          </w:tcPr>
          <w:p w14:paraId="21F2D55A" w14:textId="6F8683F7" w:rsidR="003346B5" w:rsidRPr="003E17F3" w:rsidRDefault="003346B5" w:rsidP="003346B5">
            <w:pPr>
              <w:ind w:firstLineChars="0" w:firstLine="0"/>
              <w:jc w:val="center"/>
              <w:rPr>
                <w:szCs w:val="21"/>
              </w:rPr>
            </w:pPr>
            <w:r w:rsidRPr="0037360E">
              <w:t>0.170</w:t>
            </w:r>
          </w:p>
        </w:tc>
        <w:tc>
          <w:tcPr>
            <w:tcW w:w="731" w:type="pct"/>
            <w:vAlign w:val="center"/>
          </w:tcPr>
          <w:p w14:paraId="7BEFB103" w14:textId="2E6FF8D6"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tcPr>
          <w:p w14:paraId="3566BFB2" w14:textId="3AE865C0"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3B494E71" w14:textId="77777777" w:rsidTr="002D1967">
        <w:trPr>
          <w:trHeight w:val="285"/>
        </w:trPr>
        <w:tc>
          <w:tcPr>
            <w:tcW w:w="2560" w:type="pct"/>
          </w:tcPr>
          <w:p w14:paraId="0AF6F5F7" w14:textId="16819C6F" w:rsidR="003346B5" w:rsidRPr="003E17F3" w:rsidRDefault="003346B5" w:rsidP="003346B5">
            <w:pPr>
              <w:ind w:firstLineChars="0" w:firstLine="0"/>
              <w:rPr>
                <w:szCs w:val="21"/>
              </w:rPr>
            </w:pPr>
            <w:r>
              <w:rPr>
                <w:rFonts w:hint="eastAsia"/>
              </w:rPr>
              <w:t>假设</w:t>
            </w:r>
            <w:r>
              <w:rPr>
                <w:rFonts w:hint="eastAsia"/>
              </w:rPr>
              <w:t>9</w:t>
            </w:r>
            <w:r>
              <w:rPr>
                <w:rFonts w:hint="eastAsia"/>
              </w:rPr>
              <w:t>：</w:t>
            </w:r>
            <w:r w:rsidRPr="00321A3D">
              <w:rPr>
                <w:rFonts w:hint="eastAsia"/>
              </w:rPr>
              <w:t>资源配置</w:t>
            </w:r>
            <w:r>
              <w:rPr>
                <w:rFonts w:hint="eastAsia"/>
              </w:rPr>
              <w:t>→</w:t>
            </w:r>
            <w:r w:rsidRPr="00321A3D">
              <w:rPr>
                <w:rFonts w:hint="eastAsia"/>
              </w:rPr>
              <w:t>项目</w:t>
            </w:r>
            <w:r>
              <w:rPr>
                <w:rFonts w:hint="eastAsia"/>
              </w:rPr>
              <w:t>群</w:t>
            </w:r>
            <w:r w:rsidRPr="00321A3D">
              <w:rPr>
                <w:rFonts w:hint="eastAsia"/>
              </w:rPr>
              <w:t>实施</w:t>
            </w:r>
          </w:p>
        </w:tc>
        <w:tc>
          <w:tcPr>
            <w:tcW w:w="950" w:type="pct"/>
            <w:vAlign w:val="center"/>
          </w:tcPr>
          <w:p w14:paraId="3F46B2F6" w14:textId="055B11FD" w:rsidR="003346B5" w:rsidRPr="003E17F3" w:rsidRDefault="003346B5" w:rsidP="003346B5">
            <w:pPr>
              <w:ind w:firstLineChars="0" w:firstLine="0"/>
              <w:jc w:val="center"/>
              <w:rPr>
                <w:szCs w:val="21"/>
              </w:rPr>
            </w:pPr>
            <w:r w:rsidRPr="0037360E">
              <w:t>0.724</w:t>
            </w:r>
          </w:p>
        </w:tc>
        <w:tc>
          <w:tcPr>
            <w:tcW w:w="731" w:type="pct"/>
            <w:vAlign w:val="center"/>
          </w:tcPr>
          <w:p w14:paraId="164C63FB" w14:textId="18AA06E1"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tcPr>
          <w:p w14:paraId="0BA45B25" w14:textId="00945A42"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087DA0E0" w14:textId="77777777" w:rsidTr="002D1967">
        <w:trPr>
          <w:trHeight w:val="285"/>
        </w:trPr>
        <w:tc>
          <w:tcPr>
            <w:tcW w:w="2560" w:type="pct"/>
          </w:tcPr>
          <w:p w14:paraId="123B4B20" w14:textId="11CDCB37" w:rsidR="003346B5" w:rsidRPr="003E17F3" w:rsidRDefault="003346B5" w:rsidP="003346B5">
            <w:pPr>
              <w:ind w:firstLineChars="0" w:firstLine="0"/>
              <w:rPr>
                <w:szCs w:val="21"/>
              </w:rPr>
            </w:pPr>
            <w:r>
              <w:rPr>
                <w:rFonts w:hint="eastAsia"/>
              </w:rPr>
              <w:t>假设</w:t>
            </w:r>
            <w:r>
              <w:rPr>
                <w:rFonts w:hint="eastAsia"/>
              </w:rPr>
              <w:t>10</w:t>
            </w:r>
            <w:r>
              <w:rPr>
                <w:rFonts w:hint="eastAsia"/>
              </w:rPr>
              <w:t>：</w:t>
            </w:r>
            <w:r w:rsidRPr="00321A3D">
              <w:rPr>
                <w:rFonts w:hint="eastAsia"/>
              </w:rPr>
              <w:t>伙伴关系</w:t>
            </w:r>
            <w:r>
              <w:rPr>
                <w:rFonts w:hint="eastAsia"/>
              </w:rPr>
              <w:t>→</w:t>
            </w:r>
            <w:r w:rsidRPr="00321A3D">
              <w:rPr>
                <w:rFonts w:hint="eastAsia"/>
              </w:rPr>
              <w:t>项目</w:t>
            </w:r>
            <w:r>
              <w:rPr>
                <w:rFonts w:hint="eastAsia"/>
              </w:rPr>
              <w:t>群</w:t>
            </w:r>
            <w:r w:rsidRPr="00321A3D">
              <w:rPr>
                <w:rFonts w:hint="eastAsia"/>
              </w:rPr>
              <w:t>实施</w:t>
            </w:r>
          </w:p>
        </w:tc>
        <w:tc>
          <w:tcPr>
            <w:tcW w:w="950" w:type="pct"/>
            <w:vAlign w:val="center"/>
          </w:tcPr>
          <w:p w14:paraId="07BDB7BC" w14:textId="1EF9A837" w:rsidR="003346B5" w:rsidRPr="003E17F3" w:rsidRDefault="003346B5" w:rsidP="003346B5">
            <w:pPr>
              <w:ind w:firstLineChars="0" w:firstLine="0"/>
              <w:jc w:val="center"/>
              <w:rPr>
                <w:szCs w:val="21"/>
              </w:rPr>
            </w:pPr>
            <w:r w:rsidRPr="0037360E">
              <w:t>0.097</w:t>
            </w:r>
          </w:p>
        </w:tc>
        <w:tc>
          <w:tcPr>
            <w:tcW w:w="731" w:type="pct"/>
            <w:vAlign w:val="center"/>
          </w:tcPr>
          <w:p w14:paraId="143E681D" w14:textId="4DD6B71C" w:rsidR="003346B5" w:rsidRPr="003E17F3" w:rsidRDefault="003346B5" w:rsidP="003346B5">
            <w:pPr>
              <w:ind w:firstLineChars="0" w:firstLine="0"/>
              <w:jc w:val="center"/>
              <w:rPr>
                <w:szCs w:val="21"/>
              </w:rPr>
            </w:pPr>
            <w:r w:rsidRPr="00755091">
              <w:t>0.040</w:t>
            </w:r>
          </w:p>
        </w:tc>
        <w:tc>
          <w:tcPr>
            <w:tcW w:w="759" w:type="pct"/>
            <w:vAlign w:val="center"/>
          </w:tcPr>
          <w:p w14:paraId="392CD895" w14:textId="565751D8"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13225107" w14:textId="77777777" w:rsidTr="002D1967">
        <w:trPr>
          <w:trHeight w:val="285"/>
        </w:trPr>
        <w:tc>
          <w:tcPr>
            <w:tcW w:w="2560" w:type="pct"/>
          </w:tcPr>
          <w:p w14:paraId="14BA7F86" w14:textId="6AB71866" w:rsidR="003346B5" w:rsidRPr="003E17F3" w:rsidRDefault="003346B5" w:rsidP="003346B5">
            <w:pPr>
              <w:ind w:firstLineChars="0" w:firstLine="0"/>
              <w:rPr>
                <w:szCs w:val="21"/>
              </w:rPr>
            </w:pPr>
            <w:r>
              <w:rPr>
                <w:rFonts w:hint="eastAsia"/>
              </w:rPr>
              <w:t>假设</w:t>
            </w:r>
            <w:r>
              <w:rPr>
                <w:rFonts w:hint="eastAsia"/>
              </w:rPr>
              <w:t>11</w:t>
            </w:r>
            <w:r>
              <w:rPr>
                <w:rFonts w:hint="eastAsia"/>
              </w:rPr>
              <w:t>：</w:t>
            </w:r>
            <w:r w:rsidRPr="00321A3D">
              <w:rPr>
                <w:rFonts w:hint="eastAsia"/>
              </w:rPr>
              <w:t>业主项目群管理能力</w:t>
            </w:r>
            <w:r>
              <w:rPr>
                <w:rFonts w:hint="eastAsia"/>
              </w:rPr>
              <w:t>→</w:t>
            </w:r>
            <w:r w:rsidRPr="00321A3D">
              <w:rPr>
                <w:rFonts w:hint="eastAsia"/>
              </w:rPr>
              <w:t>项目</w:t>
            </w:r>
            <w:r>
              <w:rPr>
                <w:rFonts w:hint="eastAsia"/>
              </w:rPr>
              <w:t>群</w:t>
            </w:r>
            <w:r w:rsidRPr="00321A3D">
              <w:rPr>
                <w:rFonts w:hint="eastAsia"/>
              </w:rPr>
              <w:t>运营</w:t>
            </w:r>
          </w:p>
        </w:tc>
        <w:tc>
          <w:tcPr>
            <w:tcW w:w="950" w:type="pct"/>
            <w:vAlign w:val="center"/>
          </w:tcPr>
          <w:p w14:paraId="51BB01EF" w14:textId="0D2FF9C5" w:rsidR="003346B5" w:rsidRPr="003E17F3" w:rsidRDefault="003346B5" w:rsidP="003346B5">
            <w:pPr>
              <w:ind w:firstLineChars="0" w:firstLine="0"/>
              <w:jc w:val="center"/>
              <w:rPr>
                <w:szCs w:val="21"/>
              </w:rPr>
            </w:pPr>
            <w:r w:rsidRPr="0037360E">
              <w:t>0.258</w:t>
            </w:r>
          </w:p>
        </w:tc>
        <w:tc>
          <w:tcPr>
            <w:tcW w:w="731" w:type="pct"/>
            <w:vAlign w:val="center"/>
          </w:tcPr>
          <w:p w14:paraId="0E4607E4" w14:textId="413B910D" w:rsidR="003346B5" w:rsidRPr="003E17F3" w:rsidRDefault="003346B5" w:rsidP="003346B5">
            <w:pPr>
              <w:ind w:firstLineChars="0" w:firstLine="0"/>
              <w:jc w:val="center"/>
              <w:rPr>
                <w:szCs w:val="21"/>
              </w:rPr>
            </w:pPr>
            <w:r w:rsidRPr="00755091">
              <w:t>0.006</w:t>
            </w:r>
          </w:p>
        </w:tc>
        <w:tc>
          <w:tcPr>
            <w:tcW w:w="759" w:type="pct"/>
            <w:vAlign w:val="center"/>
          </w:tcPr>
          <w:p w14:paraId="2FA9760B" w14:textId="6EEBAA54"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053197A1" w14:textId="77777777" w:rsidTr="002D1967">
        <w:trPr>
          <w:trHeight w:val="285"/>
        </w:trPr>
        <w:tc>
          <w:tcPr>
            <w:tcW w:w="2560" w:type="pct"/>
          </w:tcPr>
          <w:p w14:paraId="5144241E" w14:textId="048D9F96" w:rsidR="003346B5" w:rsidRPr="003E17F3" w:rsidRDefault="003346B5" w:rsidP="003346B5">
            <w:pPr>
              <w:ind w:firstLineChars="0" w:firstLine="0"/>
              <w:rPr>
                <w:szCs w:val="21"/>
              </w:rPr>
            </w:pPr>
            <w:r>
              <w:rPr>
                <w:rFonts w:hint="eastAsia"/>
              </w:rPr>
              <w:t>假设</w:t>
            </w:r>
            <w:r>
              <w:rPr>
                <w:rFonts w:hint="eastAsia"/>
              </w:rPr>
              <w:t>12</w:t>
            </w:r>
            <w:r>
              <w:rPr>
                <w:rFonts w:hint="eastAsia"/>
              </w:rPr>
              <w:t>：</w:t>
            </w:r>
            <w:r w:rsidRPr="00321A3D">
              <w:rPr>
                <w:rFonts w:hint="eastAsia"/>
              </w:rPr>
              <w:t>资源配置</w:t>
            </w:r>
            <w:r>
              <w:rPr>
                <w:rFonts w:hint="eastAsia"/>
              </w:rPr>
              <w:t>→</w:t>
            </w:r>
            <w:r w:rsidRPr="00321A3D">
              <w:rPr>
                <w:rFonts w:hint="eastAsia"/>
              </w:rPr>
              <w:t>项目</w:t>
            </w:r>
            <w:r>
              <w:rPr>
                <w:rFonts w:hint="eastAsia"/>
              </w:rPr>
              <w:t>群</w:t>
            </w:r>
            <w:r w:rsidRPr="00321A3D">
              <w:rPr>
                <w:rFonts w:hint="eastAsia"/>
              </w:rPr>
              <w:t>运营</w:t>
            </w:r>
          </w:p>
        </w:tc>
        <w:tc>
          <w:tcPr>
            <w:tcW w:w="950" w:type="pct"/>
            <w:vAlign w:val="center"/>
          </w:tcPr>
          <w:p w14:paraId="3E2A85FD" w14:textId="482FE6A1" w:rsidR="003346B5" w:rsidRPr="003E17F3" w:rsidRDefault="003346B5" w:rsidP="003346B5">
            <w:pPr>
              <w:ind w:firstLineChars="0" w:firstLine="0"/>
              <w:jc w:val="center"/>
              <w:rPr>
                <w:szCs w:val="21"/>
              </w:rPr>
            </w:pPr>
            <w:r w:rsidRPr="0037360E">
              <w:t>0.152</w:t>
            </w:r>
          </w:p>
        </w:tc>
        <w:tc>
          <w:tcPr>
            <w:tcW w:w="731" w:type="pct"/>
            <w:vAlign w:val="center"/>
          </w:tcPr>
          <w:p w14:paraId="006314C1" w14:textId="25387E6F" w:rsidR="003346B5" w:rsidRPr="003E17F3" w:rsidRDefault="003346B5" w:rsidP="003346B5">
            <w:pPr>
              <w:ind w:firstLineChars="0" w:firstLine="0"/>
              <w:jc w:val="center"/>
              <w:rPr>
                <w:szCs w:val="21"/>
              </w:rPr>
            </w:pPr>
            <w:r w:rsidRPr="00755091">
              <w:t>0.046</w:t>
            </w:r>
          </w:p>
        </w:tc>
        <w:tc>
          <w:tcPr>
            <w:tcW w:w="759" w:type="pct"/>
            <w:vAlign w:val="center"/>
          </w:tcPr>
          <w:p w14:paraId="741FDB6B" w14:textId="61F23C2B"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5E687E09" w14:textId="77777777" w:rsidTr="002D1967">
        <w:trPr>
          <w:trHeight w:val="285"/>
        </w:trPr>
        <w:tc>
          <w:tcPr>
            <w:tcW w:w="2560" w:type="pct"/>
          </w:tcPr>
          <w:p w14:paraId="70FBFD7B" w14:textId="70AF7D9C" w:rsidR="003346B5" w:rsidRPr="003E17F3" w:rsidRDefault="003346B5" w:rsidP="003346B5">
            <w:pPr>
              <w:ind w:firstLineChars="0" w:firstLine="0"/>
              <w:rPr>
                <w:szCs w:val="21"/>
              </w:rPr>
            </w:pPr>
            <w:r>
              <w:rPr>
                <w:rFonts w:hint="eastAsia"/>
              </w:rPr>
              <w:t>假设</w:t>
            </w:r>
            <w:r>
              <w:rPr>
                <w:rFonts w:hint="eastAsia"/>
              </w:rPr>
              <w:t>13</w:t>
            </w:r>
            <w:r>
              <w:rPr>
                <w:rFonts w:hint="eastAsia"/>
              </w:rPr>
              <w:t>：</w:t>
            </w:r>
            <w:r w:rsidRPr="00321A3D">
              <w:rPr>
                <w:rFonts w:hint="eastAsia"/>
              </w:rPr>
              <w:t>伙伴关系</w:t>
            </w:r>
            <w:r>
              <w:rPr>
                <w:rFonts w:hint="eastAsia"/>
              </w:rPr>
              <w:t>→</w:t>
            </w:r>
            <w:r w:rsidRPr="00321A3D">
              <w:rPr>
                <w:rFonts w:hint="eastAsia"/>
              </w:rPr>
              <w:t>项目</w:t>
            </w:r>
            <w:r>
              <w:rPr>
                <w:rFonts w:hint="eastAsia"/>
              </w:rPr>
              <w:t>群</w:t>
            </w:r>
            <w:r w:rsidRPr="00321A3D">
              <w:rPr>
                <w:rFonts w:hint="eastAsia"/>
              </w:rPr>
              <w:t>运营</w:t>
            </w:r>
          </w:p>
        </w:tc>
        <w:tc>
          <w:tcPr>
            <w:tcW w:w="950" w:type="pct"/>
            <w:vAlign w:val="center"/>
          </w:tcPr>
          <w:p w14:paraId="0E384D2D" w14:textId="1772C2AF" w:rsidR="003346B5" w:rsidRPr="003E17F3" w:rsidRDefault="003346B5" w:rsidP="003346B5">
            <w:pPr>
              <w:ind w:firstLineChars="0" w:firstLine="0"/>
              <w:jc w:val="center"/>
              <w:rPr>
                <w:szCs w:val="21"/>
              </w:rPr>
            </w:pPr>
            <w:r w:rsidRPr="0037360E">
              <w:t>0.554</w:t>
            </w:r>
          </w:p>
        </w:tc>
        <w:tc>
          <w:tcPr>
            <w:tcW w:w="731" w:type="pct"/>
            <w:vAlign w:val="center"/>
          </w:tcPr>
          <w:p w14:paraId="20F563A2" w14:textId="03573295"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tcPr>
          <w:p w14:paraId="00FBFEBE" w14:textId="24FB2DF1"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43153D1D" w14:textId="77777777" w:rsidTr="002D1967">
        <w:trPr>
          <w:trHeight w:val="285"/>
        </w:trPr>
        <w:tc>
          <w:tcPr>
            <w:tcW w:w="2560" w:type="pct"/>
          </w:tcPr>
          <w:p w14:paraId="314128AF" w14:textId="28A3748A" w:rsidR="003346B5" w:rsidRPr="003E17F3" w:rsidRDefault="003346B5" w:rsidP="003346B5">
            <w:pPr>
              <w:ind w:firstLineChars="0" w:firstLine="0"/>
              <w:rPr>
                <w:szCs w:val="21"/>
              </w:rPr>
            </w:pPr>
            <w:r>
              <w:rPr>
                <w:rFonts w:hint="eastAsia"/>
              </w:rPr>
              <w:t>假设</w:t>
            </w:r>
            <w:r>
              <w:rPr>
                <w:rFonts w:hint="eastAsia"/>
              </w:rPr>
              <w:t>14</w:t>
            </w:r>
            <w:r>
              <w:rPr>
                <w:rFonts w:hint="eastAsia"/>
              </w:rPr>
              <w:t>：</w:t>
            </w:r>
            <w:r w:rsidRPr="00321A3D">
              <w:rPr>
                <w:rFonts w:hint="eastAsia"/>
              </w:rPr>
              <w:t>项目实施</w:t>
            </w:r>
            <w:r>
              <w:rPr>
                <w:rFonts w:hint="eastAsia"/>
              </w:rPr>
              <w:t>→</w:t>
            </w:r>
            <w:r w:rsidRPr="00321A3D">
              <w:rPr>
                <w:rFonts w:hint="eastAsia"/>
              </w:rPr>
              <w:t>项目</w:t>
            </w:r>
            <w:r>
              <w:rPr>
                <w:rFonts w:hint="eastAsia"/>
              </w:rPr>
              <w:t>群</w:t>
            </w:r>
            <w:r w:rsidRPr="00321A3D">
              <w:rPr>
                <w:rFonts w:hint="eastAsia"/>
              </w:rPr>
              <w:t>绩效</w:t>
            </w:r>
          </w:p>
        </w:tc>
        <w:tc>
          <w:tcPr>
            <w:tcW w:w="950" w:type="pct"/>
            <w:vAlign w:val="center"/>
          </w:tcPr>
          <w:p w14:paraId="2BC286E2" w14:textId="21BA981E" w:rsidR="003346B5" w:rsidRPr="003E17F3" w:rsidRDefault="003346B5" w:rsidP="003346B5">
            <w:pPr>
              <w:ind w:firstLineChars="0" w:firstLine="0"/>
              <w:jc w:val="center"/>
              <w:rPr>
                <w:szCs w:val="21"/>
              </w:rPr>
            </w:pPr>
            <w:r w:rsidRPr="0037360E">
              <w:t>0.193</w:t>
            </w:r>
          </w:p>
        </w:tc>
        <w:tc>
          <w:tcPr>
            <w:tcW w:w="731" w:type="pct"/>
            <w:vAlign w:val="center"/>
          </w:tcPr>
          <w:p w14:paraId="60BD669D" w14:textId="433C31D4" w:rsidR="003346B5" w:rsidRPr="003E17F3" w:rsidRDefault="003346B5" w:rsidP="003346B5">
            <w:pPr>
              <w:ind w:firstLineChars="0" w:firstLine="0"/>
              <w:jc w:val="center"/>
              <w:rPr>
                <w:szCs w:val="21"/>
              </w:rPr>
            </w:pPr>
            <w:r w:rsidRPr="00755091">
              <w:t>0.007</w:t>
            </w:r>
          </w:p>
        </w:tc>
        <w:tc>
          <w:tcPr>
            <w:tcW w:w="759" w:type="pct"/>
            <w:vAlign w:val="center"/>
          </w:tcPr>
          <w:p w14:paraId="5D167F0F" w14:textId="531E34BE" w:rsidR="003346B5" w:rsidRPr="003E17F3" w:rsidRDefault="003346B5" w:rsidP="003346B5">
            <w:pPr>
              <w:ind w:firstLineChars="0" w:firstLine="0"/>
              <w:jc w:val="center"/>
              <w:rPr>
                <w:szCs w:val="21"/>
              </w:rPr>
            </w:pPr>
            <w:r w:rsidRPr="003E17F3">
              <w:rPr>
                <w:rFonts w:hint="eastAsia"/>
                <w:szCs w:val="21"/>
              </w:rPr>
              <w:t>通过验证</w:t>
            </w:r>
          </w:p>
        </w:tc>
      </w:tr>
      <w:tr w:rsidR="003346B5" w:rsidRPr="003E17F3" w14:paraId="55426A0A" w14:textId="77777777" w:rsidTr="002D1967">
        <w:trPr>
          <w:trHeight w:val="285"/>
        </w:trPr>
        <w:tc>
          <w:tcPr>
            <w:tcW w:w="2560" w:type="pct"/>
          </w:tcPr>
          <w:p w14:paraId="2920A661" w14:textId="0E6A8367" w:rsidR="003346B5" w:rsidRPr="003E17F3" w:rsidRDefault="003346B5" w:rsidP="003346B5">
            <w:pPr>
              <w:ind w:firstLineChars="0" w:firstLine="0"/>
              <w:rPr>
                <w:szCs w:val="21"/>
              </w:rPr>
            </w:pPr>
            <w:r>
              <w:rPr>
                <w:rFonts w:hint="eastAsia"/>
              </w:rPr>
              <w:t>假设</w:t>
            </w:r>
            <w:r>
              <w:rPr>
                <w:rFonts w:hint="eastAsia"/>
              </w:rPr>
              <w:t>15</w:t>
            </w:r>
            <w:r>
              <w:rPr>
                <w:rFonts w:hint="eastAsia"/>
              </w:rPr>
              <w:t>：</w:t>
            </w:r>
            <w:r w:rsidRPr="008600CD">
              <w:rPr>
                <w:rFonts w:hint="eastAsia"/>
              </w:rPr>
              <w:t>项目运营</w:t>
            </w:r>
            <w:r>
              <w:rPr>
                <w:rFonts w:hint="eastAsia"/>
              </w:rPr>
              <w:t>→</w:t>
            </w:r>
            <w:r w:rsidRPr="008600CD">
              <w:rPr>
                <w:rFonts w:hint="eastAsia"/>
              </w:rPr>
              <w:t>项目</w:t>
            </w:r>
            <w:r>
              <w:rPr>
                <w:rFonts w:hint="eastAsia"/>
              </w:rPr>
              <w:t>群</w:t>
            </w:r>
            <w:r w:rsidRPr="008600CD">
              <w:rPr>
                <w:rFonts w:hint="eastAsia"/>
              </w:rPr>
              <w:t>绩效</w:t>
            </w:r>
          </w:p>
        </w:tc>
        <w:tc>
          <w:tcPr>
            <w:tcW w:w="950" w:type="pct"/>
            <w:vAlign w:val="center"/>
          </w:tcPr>
          <w:p w14:paraId="649B9CC5" w14:textId="273FCB5B" w:rsidR="003346B5" w:rsidRPr="003E17F3" w:rsidRDefault="003346B5" w:rsidP="003346B5">
            <w:pPr>
              <w:ind w:firstLineChars="0" w:firstLine="0"/>
              <w:jc w:val="center"/>
              <w:rPr>
                <w:szCs w:val="21"/>
              </w:rPr>
            </w:pPr>
            <w:r w:rsidRPr="0037360E">
              <w:t>0.747</w:t>
            </w:r>
          </w:p>
        </w:tc>
        <w:tc>
          <w:tcPr>
            <w:tcW w:w="731" w:type="pct"/>
            <w:vAlign w:val="center"/>
          </w:tcPr>
          <w:p w14:paraId="40DA20FC" w14:textId="77507897" w:rsidR="003346B5" w:rsidRPr="003E17F3" w:rsidRDefault="003346B5" w:rsidP="003346B5">
            <w:pPr>
              <w:ind w:firstLineChars="0" w:firstLine="0"/>
              <w:jc w:val="center"/>
              <w:rPr>
                <w:szCs w:val="21"/>
              </w:rPr>
            </w:pPr>
            <w:r>
              <w:rPr>
                <w:rFonts w:hint="eastAsia"/>
              </w:rPr>
              <w:t xml:space="preserve">&lt; </w:t>
            </w:r>
            <w:r w:rsidRPr="00755091">
              <w:t>0.00</w:t>
            </w:r>
            <w:r>
              <w:rPr>
                <w:rFonts w:hint="eastAsia"/>
              </w:rPr>
              <w:t>1</w:t>
            </w:r>
          </w:p>
        </w:tc>
        <w:tc>
          <w:tcPr>
            <w:tcW w:w="759" w:type="pct"/>
            <w:vAlign w:val="center"/>
          </w:tcPr>
          <w:p w14:paraId="0B304136" w14:textId="7518DDBB" w:rsidR="003346B5" w:rsidRPr="003E17F3" w:rsidRDefault="003346B5" w:rsidP="003346B5">
            <w:pPr>
              <w:ind w:firstLineChars="0" w:firstLine="0"/>
              <w:jc w:val="center"/>
              <w:rPr>
                <w:szCs w:val="21"/>
              </w:rPr>
            </w:pPr>
            <w:r w:rsidRPr="003E17F3">
              <w:rPr>
                <w:rFonts w:hint="eastAsia"/>
                <w:szCs w:val="21"/>
              </w:rPr>
              <w:t>通过验证</w:t>
            </w:r>
          </w:p>
        </w:tc>
      </w:tr>
    </w:tbl>
    <w:p w14:paraId="1BB274B5" w14:textId="799F815B" w:rsidR="00F45B95" w:rsidRDefault="003346B5" w:rsidP="00EB718D">
      <w:pPr>
        <w:keepNext/>
        <w:spacing w:beforeLines="50" w:before="156"/>
        <w:ind w:firstLineChars="0" w:firstLine="0"/>
        <w:jc w:val="center"/>
      </w:pPr>
      <w:r>
        <w:rPr>
          <w:noProof/>
        </w:rPr>
        <w:drawing>
          <wp:inline distT="0" distB="0" distL="0" distR="0" wp14:anchorId="77326A01" wp14:editId="06D6DC3D">
            <wp:extent cx="4383641" cy="2093119"/>
            <wp:effectExtent l="0" t="0" r="0" b="2540"/>
            <wp:docPr id="912734751"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a:ext>
                      </a:extLst>
                    </a:blip>
                    <a:srcRect/>
                    <a:stretch>
                      <a:fillRect/>
                    </a:stretch>
                  </pic:blipFill>
                  <pic:spPr bwMode="auto">
                    <a:xfrm>
                      <a:off x="0" y="0"/>
                      <a:ext cx="4397127" cy="2099558"/>
                    </a:xfrm>
                    <a:prstGeom prst="rect">
                      <a:avLst/>
                    </a:prstGeom>
                    <a:noFill/>
                    <a:ln>
                      <a:noFill/>
                    </a:ln>
                  </pic:spPr>
                </pic:pic>
              </a:graphicData>
            </a:graphic>
          </wp:inline>
        </w:drawing>
      </w:r>
    </w:p>
    <w:p w14:paraId="4D7A1711" w14:textId="4A687572" w:rsidR="003E17F3" w:rsidRDefault="003E17F3" w:rsidP="003E17F3">
      <w:pPr>
        <w:ind w:firstLineChars="0" w:firstLine="0"/>
        <w:rPr>
          <w:rStyle w:val="fontstyle01"/>
          <w:rFonts w:hint="default"/>
          <w:sz w:val="20"/>
          <w:szCs w:val="20"/>
        </w:rPr>
      </w:pPr>
      <w:r w:rsidRPr="003E17F3">
        <w:rPr>
          <w:rStyle w:val="fontstyle01"/>
          <w:rFonts w:hint="default"/>
          <w:sz w:val="20"/>
          <w:szCs w:val="20"/>
        </w:rPr>
        <w:t>注：</w:t>
      </w:r>
      <w:r w:rsidRPr="003E17F3">
        <w:rPr>
          <w:rStyle w:val="fontstyle11"/>
          <w:sz w:val="20"/>
          <w:szCs w:val="20"/>
        </w:rPr>
        <w:t>***</w:t>
      </w:r>
      <w:r w:rsidRPr="003E17F3">
        <w:rPr>
          <w:rStyle w:val="fontstyle01"/>
          <w:rFonts w:hint="default"/>
          <w:sz w:val="20"/>
          <w:szCs w:val="20"/>
        </w:rPr>
        <w:t xml:space="preserve">表示在 </w:t>
      </w:r>
      <w:r w:rsidRPr="003E17F3">
        <w:rPr>
          <w:rStyle w:val="fontstyle11"/>
          <w:sz w:val="20"/>
          <w:szCs w:val="20"/>
        </w:rPr>
        <w:t xml:space="preserve">0.001 </w:t>
      </w:r>
      <w:r w:rsidRPr="003E17F3">
        <w:rPr>
          <w:rStyle w:val="fontstyle01"/>
          <w:rFonts w:hint="default"/>
          <w:sz w:val="20"/>
          <w:szCs w:val="20"/>
        </w:rPr>
        <w:t>水平上显著，</w:t>
      </w:r>
      <w:r w:rsidRPr="003E17F3">
        <w:rPr>
          <w:rStyle w:val="fontstyle11"/>
          <w:sz w:val="20"/>
          <w:szCs w:val="20"/>
        </w:rPr>
        <w:t>**</w:t>
      </w:r>
      <w:r w:rsidRPr="003E17F3">
        <w:rPr>
          <w:rStyle w:val="fontstyle01"/>
          <w:rFonts w:hint="default"/>
          <w:sz w:val="20"/>
          <w:szCs w:val="20"/>
        </w:rPr>
        <w:t xml:space="preserve">表示在 </w:t>
      </w:r>
      <w:r w:rsidRPr="003E17F3">
        <w:rPr>
          <w:rStyle w:val="fontstyle11"/>
          <w:sz w:val="20"/>
          <w:szCs w:val="20"/>
        </w:rPr>
        <w:t xml:space="preserve">0.01 </w:t>
      </w:r>
      <w:r w:rsidRPr="003E17F3">
        <w:rPr>
          <w:rStyle w:val="fontstyle01"/>
          <w:rFonts w:hint="default"/>
          <w:sz w:val="20"/>
          <w:szCs w:val="20"/>
        </w:rPr>
        <w:t>水平上显著，</w:t>
      </w:r>
      <w:r w:rsidRPr="003E17F3">
        <w:rPr>
          <w:rStyle w:val="fontstyle11"/>
          <w:sz w:val="20"/>
          <w:szCs w:val="20"/>
        </w:rPr>
        <w:t>*</w:t>
      </w:r>
      <w:r w:rsidRPr="003E17F3">
        <w:rPr>
          <w:rStyle w:val="fontstyle01"/>
          <w:rFonts w:hint="default"/>
          <w:sz w:val="20"/>
          <w:szCs w:val="20"/>
        </w:rPr>
        <w:t xml:space="preserve">表示在 </w:t>
      </w:r>
      <w:r w:rsidRPr="003E17F3">
        <w:rPr>
          <w:rStyle w:val="fontstyle11"/>
          <w:sz w:val="20"/>
          <w:szCs w:val="20"/>
        </w:rPr>
        <w:t xml:space="preserve">0.05 </w:t>
      </w:r>
      <w:r w:rsidRPr="003E17F3">
        <w:rPr>
          <w:rStyle w:val="fontstyle01"/>
          <w:rFonts w:hint="default"/>
          <w:sz w:val="20"/>
          <w:szCs w:val="20"/>
        </w:rPr>
        <w:t>水平上显著</w:t>
      </w:r>
    </w:p>
    <w:p w14:paraId="3C9D1A74" w14:textId="01E16EF0" w:rsidR="009D2DF3" w:rsidRPr="009D2DF3" w:rsidRDefault="00F45B95" w:rsidP="00E17813">
      <w:pPr>
        <w:pStyle w:val="afa"/>
        <w:spacing w:afterLines="50" w:after="156"/>
      </w:pPr>
      <w:bookmarkStart w:id="32" w:name="_Ref174358256"/>
      <w:r>
        <w:rPr>
          <w:rFonts w:hint="eastAsia"/>
        </w:rPr>
        <w:t>图</w:t>
      </w:r>
      <w:r>
        <w:rPr>
          <w:rFonts w:hint="eastAsia"/>
        </w:rPr>
        <w:t xml:space="preserve"> </w:t>
      </w:r>
      <w:r>
        <w:fldChar w:fldCharType="begin"/>
      </w:r>
      <w:r>
        <w:instrText xml:space="preserve"> </w:instrText>
      </w:r>
      <w:r>
        <w:rPr>
          <w:rFonts w:hint="eastAsia"/>
        </w:rPr>
        <w:instrText xml:space="preserve">SEQ </w:instrText>
      </w:r>
      <w:r>
        <w:rPr>
          <w:rFonts w:hint="eastAsia"/>
        </w:rPr>
        <w:instrText>图</w:instrText>
      </w:r>
      <w:r>
        <w:rPr>
          <w:rFonts w:hint="eastAsia"/>
        </w:rPr>
        <w:instrText xml:space="preserve"> \* ARABIC</w:instrText>
      </w:r>
      <w:r>
        <w:instrText xml:space="preserve"> </w:instrText>
      </w:r>
      <w:r>
        <w:fldChar w:fldCharType="separate"/>
      </w:r>
      <w:r w:rsidR="000F2689">
        <w:rPr>
          <w:noProof/>
        </w:rPr>
        <w:t>7</w:t>
      </w:r>
      <w:r>
        <w:fldChar w:fldCharType="end"/>
      </w:r>
      <w:bookmarkEnd w:id="32"/>
      <w:r>
        <w:rPr>
          <w:rFonts w:hint="eastAsia"/>
        </w:rPr>
        <w:t xml:space="preserve"> </w:t>
      </w:r>
      <w:r w:rsidR="003346B5">
        <w:rPr>
          <w:rFonts w:hint="eastAsia"/>
        </w:rPr>
        <w:t>清洁能源基地一体化</w:t>
      </w:r>
      <w:r w:rsidR="003346B5" w:rsidRPr="00874FF0">
        <w:rPr>
          <w:rFonts w:hint="eastAsia"/>
        </w:rPr>
        <w:t>管理</w:t>
      </w:r>
      <w:r w:rsidR="003346B5" w:rsidRPr="00FF2BF3">
        <w:rPr>
          <w:rFonts w:hint="eastAsia"/>
        </w:rPr>
        <w:t>理论</w:t>
      </w:r>
      <w:r w:rsidR="003346B5" w:rsidRPr="00874FF0">
        <w:rPr>
          <w:rFonts w:hint="eastAsia"/>
        </w:rPr>
        <w:t>模型</w:t>
      </w:r>
      <w:r w:rsidR="003346B5">
        <w:rPr>
          <w:rFonts w:hint="eastAsia"/>
        </w:rPr>
        <w:t>检验结果</w:t>
      </w:r>
    </w:p>
    <w:p w14:paraId="3F0BD508" w14:textId="7B941DB4" w:rsidR="009D2DF3" w:rsidRPr="00A46094" w:rsidRDefault="009D2DF3" w:rsidP="00E17813">
      <w:pPr>
        <w:pStyle w:val="afa"/>
        <w:keepNext/>
      </w:pPr>
      <w:bookmarkStart w:id="33" w:name="_Ref200172389"/>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13</w:t>
      </w:r>
      <w:r>
        <w:fldChar w:fldCharType="end"/>
      </w:r>
      <w:bookmarkEnd w:id="33"/>
      <w:r>
        <w:rPr>
          <w:rFonts w:hint="eastAsia"/>
        </w:rPr>
        <w:t xml:space="preserve"> </w:t>
      </w:r>
      <w:r w:rsidRPr="00541135">
        <w:rPr>
          <w:rFonts w:ascii="Times" w:hAnsi="Times" w:hint="eastAsia"/>
        </w:rPr>
        <w:t>各</w:t>
      </w:r>
      <w:r>
        <w:rPr>
          <w:rFonts w:ascii="Times" w:hAnsi="Times" w:hint="eastAsia"/>
        </w:rPr>
        <w:t>潜</w:t>
      </w:r>
      <w:r w:rsidRPr="00541135">
        <w:rPr>
          <w:rFonts w:ascii="Times" w:hAnsi="Times" w:hint="eastAsia"/>
        </w:rPr>
        <w:t>变量间的总效应</w:t>
      </w:r>
    </w:p>
    <w:tbl>
      <w:tblPr>
        <w:tblStyle w:val="aff4"/>
        <w:tblW w:w="5000" w:type="pct"/>
        <w:tblLook w:val="04A0" w:firstRow="1" w:lastRow="0" w:firstColumn="1" w:lastColumn="0" w:noHBand="0" w:noVBand="1"/>
      </w:tblPr>
      <w:tblGrid>
        <w:gridCol w:w="2289"/>
        <w:gridCol w:w="1091"/>
        <w:gridCol w:w="1091"/>
        <w:gridCol w:w="1092"/>
        <w:gridCol w:w="1377"/>
        <w:gridCol w:w="1377"/>
        <w:gridCol w:w="1377"/>
      </w:tblGrid>
      <w:tr w:rsidR="009D2DF3" w:rsidRPr="009D2DF3" w14:paraId="5F442B66" w14:textId="77777777" w:rsidTr="009D2DF3">
        <w:trPr>
          <w:cnfStyle w:val="100000000000" w:firstRow="1" w:lastRow="0" w:firstColumn="0" w:lastColumn="0" w:oddVBand="0" w:evenVBand="0" w:oddHBand="0" w:evenHBand="0" w:firstRowFirstColumn="0" w:firstRowLastColumn="0" w:lastRowFirstColumn="0" w:lastRowLastColumn="0"/>
          <w:trHeight w:val="20"/>
        </w:trPr>
        <w:tc>
          <w:tcPr>
            <w:tcW w:w="1181" w:type="pct"/>
          </w:tcPr>
          <w:p w14:paraId="0256C799" w14:textId="77777777" w:rsidR="009D2DF3" w:rsidRPr="009D2DF3" w:rsidRDefault="009D2DF3" w:rsidP="009D2DF3">
            <w:pPr>
              <w:pStyle w:val="table"/>
              <w:spacing w:before="0" w:after="0"/>
              <w:jc w:val="both"/>
              <w:rPr>
                <w:sz w:val="21"/>
                <w:szCs w:val="21"/>
              </w:rPr>
            </w:pPr>
            <w:r w:rsidRPr="009D2DF3">
              <w:rPr>
                <w:rFonts w:hint="eastAsia"/>
                <w:sz w:val="21"/>
                <w:szCs w:val="21"/>
              </w:rPr>
              <w:t>潜变量</w:t>
            </w:r>
          </w:p>
        </w:tc>
        <w:tc>
          <w:tcPr>
            <w:tcW w:w="563" w:type="pct"/>
          </w:tcPr>
          <w:p w14:paraId="5633DC3F" w14:textId="72BC6693" w:rsidR="009D2DF3" w:rsidRPr="009D2DF3" w:rsidRDefault="009D2DF3" w:rsidP="009D2DF3">
            <w:pPr>
              <w:pStyle w:val="table"/>
              <w:spacing w:before="0" w:after="0"/>
              <w:rPr>
                <w:sz w:val="21"/>
                <w:szCs w:val="21"/>
              </w:rPr>
            </w:pPr>
            <w:r w:rsidRPr="009D2DF3">
              <w:rPr>
                <w:rFonts w:hint="eastAsia"/>
                <w:sz w:val="21"/>
                <w:szCs w:val="21"/>
              </w:rPr>
              <w:t>管理制度</w:t>
            </w:r>
          </w:p>
        </w:tc>
        <w:tc>
          <w:tcPr>
            <w:tcW w:w="563" w:type="pct"/>
          </w:tcPr>
          <w:p w14:paraId="1E95486A" w14:textId="40B80831" w:rsidR="009D2DF3" w:rsidRPr="009D2DF3" w:rsidRDefault="009D2DF3" w:rsidP="009D2DF3">
            <w:pPr>
              <w:pStyle w:val="table"/>
              <w:spacing w:before="0" w:after="0"/>
              <w:rPr>
                <w:sz w:val="21"/>
                <w:szCs w:val="21"/>
              </w:rPr>
            </w:pPr>
            <w:r w:rsidRPr="009D2DF3">
              <w:rPr>
                <w:rFonts w:hint="eastAsia"/>
                <w:sz w:val="21"/>
                <w:szCs w:val="21"/>
              </w:rPr>
              <w:t>资源配置</w:t>
            </w:r>
          </w:p>
        </w:tc>
        <w:tc>
          <w:tcPr>
            <w:tcW w:w="563" w:type="pct"/>
          </w:tcPr>
          <w:p w14:paraId="6007C7B9" w14:textId="6F1F2421" w:rsidR="009D2DF3" w:rsidRPr="009D2DF3" w:rsidRDefault="009D2DF3" w:rsidP="009D2DF3">
            <w:pPr>
              <w:pStyle w:val="table"/>
              <w:spacing w:before="0" w:after="0"/>
              <w:rPr>
                <w:sz w:val="21"/>
                <w:szCs w:val="21"/>
              </w:rPr>
            </w:pPr>
            <w:r w:rsidRPr="009D2DF3">
              <w:rPr>
                <w:rFonts w:hint="eastAsia"/>
                <w:sz w:val="21"/>
                <w:szCs w:val="21"/>
              </w:rPr>
              <w:t>伙伴关系</w:t>
            </w:r>
          </w:p>
        </w:tc>
        <w:tc>
          <w:tcPr>
            <w:tcW w:w="710" w:type="pct"/>
          </w:tcPr>
          <w:p w14:paraId="2585ED69" w14:textId="77777777" w:rsidR="009D2DF3" w:rsidRPr="009D2DF3" w:rsidRDefault="009D2DF3" w:rsidP="009D2DF3">
            <w:pPr>
              <w:pStyle w:val="table"/>
              <w:spacing w:before="0" w:after="0"/>
              <w:rPr>
                <w:sz w:val="21"/>
                <w:szCs w:val="21"/>
              </w:rPr>
            </w:pPr>
            <w:r w:rsidRPr="009D2DF3">
              <w:rPr>
                <w:rFonts w:hint="eastAsia"/>
                <w:sz w:val="21"/>
                <w:szCs w:val="21"/>
              </w:rPr>
              <w:t>项目群实施</w:t>
            </w:r>
          </w:p>
        </w:tc>
        <w:tc>
          <w:tcPr>
            <w:tcW w:w="710" w:type="pct"/>
          </w:tcPr>
          <w:p w14:paraId="1DF18986" w14:textId="77777777" w:rsidR="009D2DF3" w:rsidRPr="009D2DF3" w:rsidRDefault="009D2DF3" w:rsidP="009D2DF3">
            <w:pPr>
              <w:pStyle w:val="table"/>
              <w:spacing w:before="0" w:after="0"/>
              <w:rPr>
                <w:sz w:val="21"/>
                <w:szCs w:val="21"/>
              </w:rPr>
            </w:pPr>
            <w:r w:rsidRPr="009D2DF3">
              <w:rPr>
                <w:rFonts w:hint="eastAsia"/>
                <w:sz w:val="21"/>
                <w:szCs w:val="21"/>
              </w:rPr>
              <w:t>项目群运营</w:t>
            </w:r>
          </w:p>
        </w:tc>
        <w:tc>
          <w:tcPr>
            <w:tcW w:w="710" w:type="pct"/>
          </w:tcPr>
          <w:p w14:paraId="56358BE1" w14:textId="77777777" w:rsidR="009D2DF3" w:rsidRPr="009D2DF3" w:rsidRDefault="009D2DF3" w:rsidP="009D2DF3">
            <w:pPr>
              <w:pStyle w:val="table"/>
              <w:spacing w:before="0" w:after="0"/>
              <w:rPr>
                <w:sz w:val="21"/>
                <w:szCs w:val="21"/>
              </w:rPr>
            </w:pPr>
            <w:r w:rsidRPr="009D2DF3">
              <w:rPr>
                <w:rFonts w:hint="eastAsia"/>
                <w:sz w:val="21"/>
                <w:szCs w:val="21"/>
              </w:rPr>
              <w:t>项目群绩效</w:t>
            </w:r>
          </w:p>
        </w:tc>
      </w:tr>
      <w:tr w:rsidR="009D2DF3" w:rsidRPr="009D2DF3" w14:paraId="07336D47" w14:textId="77777777" w:rsidTr="009D2DF3">
        <w:trPr>
          <w:trHeight w:val="20"/>
        </w:trPr>
        <w:tc>
          <w:tcPr>
            <w:tcW w:w="1181" w:type="pct"/>
            <w:tcBorders>
              <w:top w:val="single" w:sz="4" w:space="0" w:color="auto"/>
            </w:tcBorders>
          </w:tcPr>
          <w:p w14:paraId="5541E123"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外部条件</w:t>
            </w:r>
          </w:p>
        </w:tc>
        <w:tc>
          <w:tcPr>
            <w:tcW w:w="563" w:type="pct"/>
            <w:tcBorders>
              <w:top w:val="single" w:sz="4" w:space="0" w:color="auto"/>
            </w:tcBorders>
          </w:tcPr>
          <w:p w14:paraId="5B66E9EF"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0.496***</w:t>
            </w:r>
          </w:p>
        </w:tc>
        <w:tc>
          <w:tcPr>
            <w:tcW w:w="563" w:type="pct"/>
            <w:tcBorders>
              <w:top w:val="single" w:sz="4" w:space="0" w:color="auto"/>
            </w:tcBorders>
          </w:tcPr>
          <w:p w14:paraId="16295716"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0.372***</w:t>
            </w:r>
          </w:p>
        </w:tc>
        <w:tc>
          <w:tcPr>
            <w:tcW w:w="563" w:type="pct"/>
            <w:tcBorders>
              <w:top w:val="single" w:sz="4" w:space="0" w:color="auto"/>
            </w:tcBorders>
          </w:tcPr>
          <w:p w14:paraId="4AFE91A0"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0.092**</w:t>
            </w:r>
          </w:p>
        </w:tc>
        <w:tc>
          <w:tcPr>
            <w:tcW w:w="710" w:type="pct"/>
            <w:tcBorders>
              <w:top w:val="single" w:sz="4" w:space="0" w:color="auto"/>
            </w:tcBorders>
          </w:tcPr>
          <w:p w14:paraId="23258E87"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0.448***</w:t>
            </w:r>
          </w:p>
        </w:tc>
        <w:tc>
          <w:tcPr>
            <w:tcW w:w="710" w:type="pct"/>
            <w:tcBorders>
              <w:top w:val="single" w:sz="4" w:space="0" w:color="auto"/>
            </w:tcBorders>
          </w:tcPr>
          <w:p w14:paraId="72D99DFE"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0.108**</w:t>
            </w:r>
          </w:p>
        </w:tc>
        <w:tc>
          <w:tcPr>
            <w:tcW w:w="710" w:type="pct"/>
            <w:tcBorders>
              <w:top w:val="single" w:sz="4" w:space="0" w:color="auto"/>
            </w:tcBorders>
          </w:tcPr>
          <w:p w14:paraId="218F0805"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0.167***</w:t>
            </w:r>
          </w:p>
        </w:tc>
      </w:tr>
      <w:tr w:rsidR="009D2DF3" w:rsidRPr="009D2DF3" w14:paraId="651BA02A" w14:textId="77777777" w:rsidTr="009D2DF3">
        <w:trPr>
          <w:trHeight w:val="20"/>
        </w:trPr>
        <w:tc>
          <w:tcPr>
            <w:tcW w:w="1181" w:type="pct"/>
          </w:tcPr>
          <w:p w14:paraId="5AF3FEE1"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业主项目群管理能力</w:t>
            </w:r>
          </w:p>
        </w:tc>
        <w:tc>
          <w:tcPr>
            <w:tcW w:w="563" w:type="pct"/>
          </w:tcPr>
          <w:p w14:paraId="5D85DF85"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0.473***</w:t>
            </w:r>
          </w:p>
        </w:tc>
        <w:tc>
          <w:tcPr>
            <w:tcW w:w="563" w:type="pct"/>
          </w:tcPr>
          <w:p w14:paraId="73DCCCBA"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0.587***</w:t>
            </w:r>
          </w:p>
        </w:tc>
        <w:tc>
          <w:tcPr>
            <w:tcW w:w="563" w:type="pct"/>
          </w:tcPr>
          <w:p w14:paraId="78A6EC7C"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0.658***</w:t>
            </w:r>
          </w:p>
        </w:tc>
        <w:tc>
          <w:tcPr>
            <w:tcW w:w="710" w:type="pct"/>
          </w:tcPr>
          <w:p w14:paraId="36CB470F"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0.489***</w:t>
            </w:r>
          </w:p>
        </w:tc>
        <w:tc>
          <w:tcPr>
            <w:tcW w:w="710" w:type="pct"/>
          </w:tcPr>
          <w:p w14:paraId="2F71E796"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0.712***</w:t>
            </w:r>
          </w:p>
        </w:tc>
        <w:tc>
          <w:tcPr>
            <w:tcW w:w="710" w:type="pct"/>
          </w:tcPr>
          <w:p w14:paraId="3FCE36DD"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0.626***</w:t>
            </w:r>
          </w:p>
        </w:tc>
      </w:tr>
      <w:tr w:rsidR="009D2DF3" w:rsidRPr="009D2DF3" w14:paraId="6BD691BB" w14:textId="77777777" w:rsidTr="009D2DF3">
        <w:trPr>
          <w:trHeight w:val="20"/>
        </w:trPr>
        <w:tc>
          <w:tcPr>
            <w:tcW w:w="1181" w:type="pct"/>
          </w:tcPr>
          <w:p w14:paraId="6FDC49F7"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管理制度</w:t>
            </w:r>
          </w:p>
        </w:tc>
        <w:tc>
          <w:tcPr>
            <w:tcW w:w="563" w:type="pct"/>
          </w:tcPr>
          <w:p w14:paraId="710E7958"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53522578"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0.399***</w:t>
            </w:r>
          </w:p>
        </w:tc>
        <w:tc>
          <w:tcPr>
            <w:tcW w:w="563" w:type="pct"/>
          </w:tcPr>
          <w:p w14:paraId="11745A38"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0.186**</w:t>
            </w:r>
          </w:p>
        </w:tc>
        <w:tc>
          <w:tcPr>
            <w:tcW w:w="710" w:type="pct"/>
          </w:tcPr>
          <w:p w14:paraId="37B5BFDB"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0.307***</w:t>
            </w:r>
          </w:p>
        </w:tc>
        <w:tc>
          <w:tcPr>
            <w:tcW w:w="710" w:type="pct"/>
          </w:tcPr>
          <w:p w14:paraId="528E0029"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0.164**</w:t>
            </w:r>
          </w:p>
        </w:tc>
        <w:tc>
          <w:tcPr>
            <w:tcW w:w="710" w:type="pct"/>
          </w:tcPr>
          <w:p w14:paraId="2CA9094D"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0.182***</w:t>
            </w:r>
          </w:p>
        </w:tc>
      </w:tr>
      <w:tr w:rsidR="009D2DF3" w:rsidRPr="009D2DF3" w14:paraId="652F75D0" w14:textId="77777777" w:rsidTr="009D2DF3">
        <w:trPr>
          <w:trHeight w:val="20"/>
        </w:trPr>
        <w:tc>
          <w:tcPr>
            <w:tcW w:w="1181" w:type="pct"/>
          </w:tcPr>
          <w:p w14:paraId="21A1AD12"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资源配置</w:t>
            </w:r>
          </w:p>
        </w:tc>
        <w:tc>
          <w:tcPr>
            <w:tcW w:w="563" w:type="pct"/>
          </w:tcPr>
          <w:p w14:paraId="52794203"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10E648F5"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6D8986A3"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4FFF1ECA"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0.724***</w:t>
            </w:r>
          </w:p>
        </w:tc>
        <w:tc>
          <w:tcPr>
            <w:tcW w:w="710" w:type="pct"/>
          </w:tcPr>
          <w:p w14:paraId="094D03BA"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0.152*</w:t>
            </w:r>
          </w:p>
        </w:tc>
        <w:tc>
          <w:tcPr>
            <w:tcW w:w="710" w:type="pct"/>
          </w:tcPr>
          <w:p w14:paraId="6A94AFF7"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0.253**</w:t>
            </w:r>
          </w:p>
        </w:tc>
      </w:tr>
      <w:tr w:rsidR="009D2DF3" w:rsidRPr="009D2DF3" w14:paraId="12049619" w14:textId="77777777" w:rsidTr="009D2DF3">
        <w:trPr>
          <w:trHeight w:val="20"/>
        </w:trPr>
        <w:tc>
          <w:tcPr>
            <w:tcW w:w="1181" w:type="pct"/>
          </w:tcPr>
          <w:p w14:paraId="68C799A8"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伙伴关系</w:t>
            </w:r>
          </w:p>
        </w:tc>
        <w:tc>
          <w:tcPr>
            <w:tcW w:w="563" w:type="pct"/>
          </w:tcPr>
          <w:p w14:paraId="4C5EADDA"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67406CA5"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2D94D7B9"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4224AF9F"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0.097*</w:t>
            </w:r>
          </w:p>
        </w:tc>
        <w:tc>
          <w:tcPr>
            <w:tcW w:w="710" w:type="pct"/>
          </w:tcPr>
          <w:p w14:paraId="14723151"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0.554***</w:t>
            </w:r>
          </w:p>
        </w:tc>
        <w:tc>
          <w:tcPr>
            <w:tcW w:w="710" w:type="pct"/>
          </w:tcPr>
          <w:p w14:paraId="7BDABFFF"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0.433***</w:t>
            </w:r>
          </w:p>
        </w:tc>
      </w:tr>
      <w:tr w:rsidR="009D2DF3" w:rsidRPr="009D2DF3" w14:paraId="390517D2" w14:textId="77777777" w:rsidTr="009D2DF3">
        <w:trPr>
          <w:trHeight w:val="20"/>
        </w:trPr>
        <w:tc>
          <w:tcPr>
            <w:tcW w:w="1181" w:type="pct"/>
          </w:tcPr>
          <w:p w14:paraId="54FEE551"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项目群实施</w:t>
            </w:r>
          </w:p>
        </w:tc>
        <w:tc>
          <w:tcPr>
            <w:tcW w:w="563" w:type="pct"/>
          </w:tcPr>
          <w:p w14:paraId="51B04305"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7207F48D"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363DA7FB"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76620B3E"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2A56392B"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48DBF2F9"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0.193**</w:t>
            </w:r>
          </w:p>
        </w:tc>
      </w:tr>
      <w:tr w:rsidR="009D2DF3" w:rsidRPr="009D2DF3" w14:paraId="4ED6D8B8" w14:textId="77777777" w:rsidTr="009D2DF3">
        <w:trPr>
          <w:trHeight w:val="20"/>
        </w:trPr>
        <w:tc>
          <w:tcPr>
            <w:tcW w:w="1181" w:type="pct"/>
          </w:tcPr>
          <w:p w14:paraId="136F9335" w14:textId="77777777" w:rsidR="009D2DF3" w:rsidRPr="009D2DF3" w:rsidRDefault="009D2DF3" w:rsidP="009D2DF3">
            <w:pPr>
              <w:pStyle w:val="table"/>
              <w:adjustRightInd/>
              <w:snapToGrid/>
              <w:spacing w:before="0" w:after="0"/>
              <w:jc w:val="both"/>
              <w:rPr>
                <w:sz w:val="21"/>
                <w:szCs w:val="21"/>
              </w:rPr>
            </w:pPr>
            <w:r w:rsidRPr="009D2DF3">
              <w:rPr>
                <w:rFonts w:hint="eastAsia"/>
                <w:sz w:val="21"/>
                <w:szCs w:val="21"/>
              </w:rPr>
              <w:t>项目群运营</w:t>
            </w:r>
          </w:p>
        </w:tc>
        <w:tc>
          <w:tcPr>
            <w:tcW w:w="563" w:type="pct"/>
          </w:tcPr>
          <w:p w14:paraId="3A6F0968"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50C8BA9D"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563" w:type="pct"/>
          </w:tcPr>
          <w:p w14:paraId="3FABFF16"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4465D7F7"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121B0AEE" w14:textId="77777777" w:rsidR="009D2DF3" w:rsidRPr="009D2DF3" w:rsidRDefault="009D2DF3" w:rsidP="009D2DF3">
            <w:pPr>
              <w:pStyle w:val="table"/>
              <w:adjustRightInd/>
              <w:snapToGrid/>
              <w:spacing w:before="0" w:after="0"/>
              <w:rPr>
                <w:rFonts w:cs="Times New Roman"/>
                <w:color w:val="000000" w:themeColor="text1"/>
                <w:sz w:val="21"/>
                <w:szCs w:val="21"/>
              </w:rPr>
            </w:pPr>
          </w:p>
        </w:tc>
        <w:tc>
          <w:tcPr>
            <w:tcW w:w="710" w:type="pct"/>
          </w:tcPr>
          <w:p w14:paraId="327F0B07" w14:textId="77777777" w:rsidR="009D2DF3" w:rsidRPr="009D2DF3" w:rsidRDefault="009D2DF3" w:rsidP="009D2DF3">
            <w:pPr>
              <w:pStyle w:val="table"/>
              <w:adjustRightInd/>
              <w:snapToGrid/>
              <w:spacing w:before="0" w:after="0"/>
              <w:rPr>
                <w:rFonts w:cs="Times New Roman"/>
                <w:color w:val="000000" w:themeColor="text1"/>
                <w:sz w:val="21"/>
                <w:szCs w:val="21"/>
              </w:rPr>
            </w:pPr>
            <w:r w:rsidRPr="009D2DF3">
              <w:rPr>
                <w:sz w:val="21"/>
                <w:szCs w:val="21"/>
              </w:rPr>
              <w:t>0.747***</w:t>
            </w:r>
          </w:p>
        </w:tc>
      </w:tr>
    </w:tbl>
    <w:p w14:paraId="57978F4B" w14:textId="7009B0CC" w:rsidR="00116F7D" w:rsidRDefault="00116F7D" w:rsidP="009D2DF3">
      <w:pPr>
        <w:pStyle w:val="2"/>
        <w:numPr>
          <w:ilvl w:val="0"/>
          <w:numId w:val="0"/>
        </w:numPr>
        <w:sectPr w:rsidR="00116F7D" w:rsidSect="00116F7D">
          <w:type w:val="continuous"/>
          <w:pgSz w:w="11906" w:h="16838"/>
          <w:pgMar w:top="1440" w:right="1106" w:bottom="1440" w:left="1106" w:header="851" w:footer="992" w:gutter="0"/>
          <w:cols w:space="425"/>
          <w:titlePg/>
          <w:docGrid w:type="linesAndChars" w:linePitch="312"/>
        </w:sectPr>
      </w:pPr>
    </w:p>
    <w:p w14:paraId="555A51D1" w14:textId="221C29BB" w:rsidR="003B1990" w:rsidRDefault="009D2DF3" w:rsidP="003B1990">
      <w:pPr>
        <w:pStyle w:val="2"/>
      </w:pPr>
      <w:bookmarkStart w:id="34" w:name="_Toc198492820"/>
      <w:r>
        <w:rPr>
          <w:rFonts w:hint="eastAsia"/>
        </w:rPr>
        <w:t>清洁能源基地一体化管理路径分析</w:t>
      </w:r>
      <w:bookmarkEnd w:id="34"/>
    </w:p>
    <w:p w14:paraId="1CFF6723" w14:textId="458A247F" w:rsidR="009D2DF3" w:rsidRDefault="009D2DF3" w:rsidP="009D2DF3">
      <w:pPr>
        <w:ind w:firstLine="420"/>
      </w:pPr>
      <w:r>
        <w:rPr>
          <w:rFonts w:hint="eastAsia"/>
        </w:rPr>
        <w:t>为探究</w:t>
      </w:r>
      <w:r w:rsidRPr="00153F94">
        <w:rPr>
          <w:rFonts w:hint="eastAsia"/>
        </w:rPr>
        <w:t>清洁能源基地一体化管理</w:t>
      </w:r>
      <w:r>
        <w:rPr>
          <w:rFonts w:hint="eastAsia"/>
        </w:rPr>
        <w:t>的完整路径，</w:t>
      </w:r>
      <w:r>
        <w:rPr>
          <w:rFonts w:hint="eastAsia"/>
        </w:rPr>
        <w:t>应</w:t>
      </w:r>
      <w:r w:rsidRPr="00541135">
        <w:rPr>
          <w:rFonts w:hint="eastAsia"/>
        </w:rPr>
        <w:t>用</w:t>
      </w:r>
      <w:r w:rsidRPr="00541135">
        <w:t>B</w:t>
      </w:r>
      <w:r w:rsidRPr="00541135">
        <w:rPr>
          <w:rFonts w:hint="eastAsia"/>
        </w:rPr>
        <w:t>ootstrapping</w:t>
      </w:r>
      <w:r>
        <w:rPr>
          <w:rFonts w:hint="eastAsia"/>
        </w:rPr>
        <w:t>方法</w:t>
      </w:r>
      <w:r w:rsidRPr="00112557">
        <w:rPr>
          <w:rFonts w:hint="eastAsia"/>
        </w:rPr>
        <w:t>进行</w:t>
      </w:r>
      <w:r w:rsidRPr="00112557">
        <w:rPr>
          <w:rFonts w:hint="eastAsia"/>
        </w:rPr>
        <w:t>5000</w:t>
      </w:r>
      <w:r w:rsidRPr="00112557">
        <w:rPr>
          <w:rFonts w:hint="eastAsia"/>
        </w:rPr>
        <w:t>次重复抽样</w:t>
      </w:r>
      <w:r>
        <w:rPr>
          <w:rFonts w:hint="eastAsia"/>
        </w:rPr>
        <w:t>，</w:t>
      </w:r>
      <w:r w:rsidRPr="00541135">
        <w:rPr>
          <w:rFonts w:hint="eastAsia"/>
        </w:rPr>
        <w:t>对</w:t>
      </w:r>
      <w:r>
        <w:rPr>
          <w:rFonts w:hint="eastAsia"/>
        </w:rPr>
        <w:t>清洁能源基地一体化管理输入</w:t>
      </w:r>
      <w:r w:rsidRPr="00293D31">
        <w:rPr>
          <w:rFonts w:hint="eastAsia"/>
        </w:rPr>
        <w:t>因素</w:t>
      </w:r>
      <w:r>
        <w:rPr>
          <w:rFonts w:hint="eastAsia"/>
        </w:rPr>
        <w:t>对项目群绩效的</w:t>
      </w:r>
      <w:r>
        <w:rPr>
          <w:rFonts w:hint="eastAsia"/>
        </w:rPr>
        <w:lastRenderedPageBreak/>
        <w:t>作用</w:t>
      </w:r>
      <w:r w:rsidRPr="00541135">
        <w:rPr>
          <w:rFonts w:hint="eastAsia"/>
        </w:rPr>
        <w:t>路径进行显著性检验</w:t>
      </w:r>
      <w:r>
        <w:rPr>
          <w:rFonts w:hint="eastAsia"/>
        </w:rPr>
        <w:t>。</w:t>
      </w:r>
      <w:r w:rsidRPr="00541135">
        <w:rPr>
          <w:rFonts w:ascii="Times" w:hAnsi="Times" w:hint="eastAsia"/>
        </w:rPr>
        <w:t>路径检验结果显示，</w:t>
      </w:r>
      <w:r w:rsidRPr="00153F94">
        <w:rPr>
          <w:rFonts w:hint="eastAsia"/>
        </w:rPr>
        <w:t>清洁能源基地</w:t>
      </w:r>
      <w:r>
        <w:rPr>
          <w:rFonts w:hint="eastAsia"/>
        </w:rPr>
        <w:t>开发</w:t>
      </w:r>
      <w:r w:rsidRPr="00153F94">
        <w:rPr>
          <w:rFonts w:ascii="Times" w:hAnsi="Times" w:hint="eastAsia"/>
        </w:rPr>
        <w:t>外部条件</w:t>
      </w:r>
      <w:r w:rsidR="00EB718D">
        <w:rPr>
          <w:rFonts w:ascii="Times" w:hAnsi="Times" w:hint="eastAsia"/>
        </w:rPr>
        <w:t>、业主项目群管理能力</w:t>
      </w:r>
      <w:r w:rsidRPr="00541135">
        <w:rPr>
          <w:rFonts w:ascii="Times" w:hAnsi="Times" w:hint="eastAsia"/>
        </w:rPr>
        <w:t>对项</w:t>
      </w:r>
      <w:r>
        <w:rPr>
          <w:rFonts w:hint="eastAsia"/>
        </w:rPr>
        <w:t>目群</w:t>
      </w:r>
      <w:r w:rsidRPr="00541135">
        <w:rPr>
          <w:rFonts w:ascii="Times" w:hAnsi="Times" w:hint="eastAsia"/>
        </w:rPr>
        <w:t>绩效影响的各条路径中，有</w:t>
      </w:r>
      <w:r>
        <w:rPr>
          <w:rFonts w:ascii="Times" w:hAnsi="Times" w:hint="eastAsia"/>
        </w:rPr>
        <w:t>4</w:t>
      </w:r>
      <w:r w:rsidRPr="00541135">
        <w:rPr>
          <w:rFonts w:ascii="Times" w:hAnsi="Times" w:hint="eastAsia"/>
        </w:rPr>
        <w:t>条路径通过了显著性检验，具体</w:t>
      </w:r>
      <w:r w:rsidRPr="00541135">
        <w:rPr>
          <w:rFonts w:hint="eastAsia"/>
        </w:rPr>
        <w:t>如</w:t>
      </w:r>
      <w:r>
        <w:fldChar w:fldCharType="begin"/>
      </w:r>
      <w:r>
        <w:instrText xml:space="preserve"> </w:instrText>
      </w:r>
      <w:r>
        <w:rPr>
          <w:rFonts w:hint="eastAsia"/>
        </w:rPr>
        <w:instrText>REF _Ref200172781 \h</w:instrText>
      </w:r>
      <w:r>
        <w:instrText xml:space="preserve"> </w:instrText>
      </w:r>
      <w:r>
        <w:fldChar w:fldCharType="separate"/>
      </w:r>
      <w:r w:rsidR="000F2689">
        <w:rPr>
          <w:rFonts w:hint="eastAsia"/>
        </w:rPr>
        <w:t>表</w:t>
      </w:r>
      <w:r w:rsidR="000F2689">
        <w:rPr>
          <w:rFonts w:hint="eastAsia"/>
        </w:rPr>
        <w:t xml:space="preserve"> </w:t>
      </w:r>
      <w:r w:rsidR="000F2689">
        <w:rPr>
          <w:noProof/>
        </w:rPr>
        <w:t>14</w:t>
      </w:r>
      <w:r>
        <w:fldChar w:fldCharType="end"/>
      </w:r>
      <w:r w:rsidRPr="00541135">
        <w:rPr>
          <w:rFonts w:hint="eastAsia"/>
        </w:rPr>
        <w:t>所示。</w:t>
      </w:r>
    </w:p>
    <w:p w14:paraId="6F8ACE56" w14:textId="3EAAD7C2" w:rsidR="009D2DF3" w:rsidRPr="00A46094" w:rsidRDefault="009D2DF3" w:rsidP="00EB718D">
      <w:pPr>
        <w:pStyle w:val="afa"/>
        <w:keepNext/>
        <w:spacing w:beforeLines="50" w:before="156"/>
      </w:pPr>
      <w:bookmarkStart w:id="35" w:name="_Ref200172781"/>
      <w:r>
        <w:rPr>
          <w:rFonts w:hint="eastAsia"/>
        </w:rPr>
        <w:t>表</w:t>
      </w:r>
      <w:r>
        <w:rPr>
          <w:rFonts w:hint="eastAsia"/>
        </w:rPr>
        <w:t xml:space="preserve"> </w:t>
      </w:r>
      <w:r>
        <w:fldChar w:fldCharType="begin"/>
      </w:r>
      <w:r>
        <w:instrText xml:space="preserve"> </w:instrText>
      </w:r>
      <w:r>
        <w:rPr>
          <w:rFonts w:hint="eastAsia"/>
        </w:rPr>
        <w:instrText xml:space="preserve">SEQ </w:instrText>
      </w:r>
      <w:r>
        <w:rPr>
          <w:rFonts w:hint="eastAsia"/>
        </w:rPr>
        <w:instrText>表</w:instrText>
      </w:r>
      <w:r>
        <w:rPr>
          <w:rFonts w:hint="eastAsia"/>
        </w:rPr>
        <w:instrText xml:space="preserve"> \* ARABIC</w:instrText>
      </w:r>
      <w:r>
        <w:instrText xml:space="preserve"> </w:instrText>
      </w:r>
      <w:r>
        <w:fldChar w:fldCharType="separate"/>
      </w:r>
      <w:r w:rsidR="000F2689">
        <w:rPr>
          <w:noProof/>
        </w:rPr>
        <w:t>14</w:t>
      </w:r>
      <w:r>
        <w:fldChar w:fldCharType="end"/>
      </w:r>
      <w:bookmarkEnd w:id="35"/>
      <w:r>
        <w:rPr>
          <w:rFonts w:hint="eastAsia"/>
        </w:rPr>
        <w:t xml:space="preserve"> </w:t>
      </w:r>
      <w:r>
        <w:rPr>
          <w:rFonts w:hint="eastAsia"/>
        </w:rPr>
        <w:t>清洁能源基地一体化</w:t>
      </w:r>
      <w:r w:rsidRPr="00153F94">
        <w:rPr>
          <w:rFonts w:hint="eastAsia"/>
        </w:rPr>
        <w:t>管理</w:t>
      </w:r>
      <w:r>
        <w:rPr>
          <w:rFonts w:hint="eastAsia"/>
        </w:rPr>
        <w:t>机理及其效应量</w:t>
      </w:r>
    </w:p>
    <w:tbl>
      <w:tblPr>
        <w:tblStyle w:val="af2"/>
        <w:tblW w:w="0" w:type="auto"/>
        <w:tblInd w:w="0" w:type="dxa"/>
        <w:tblBorders>
          <w:top w:val="single" w:sz="12" w:space="0" w:color="auto"/>
          <w:left w:val="none" w:sz="0" w:space="0" w:color="auto"/>
          <w:bottom w:val="single" w:sz="12" w:space="0" w:color="auto"/>
          <w:right w:val="none" w:sz="0" w:space="0" w:color="auto"/>
          <w:insideH w:val="none" w:sz="0" w:space="0" w:color="auto"/>
          <w:insideV w:val="none" w:sz="0" w:space="0" w:color="auto"/>
        </w:tblBorders>
        <w:tblLook w:val="04A0" w:firstRow="1" w:lastRow="0" w:firstColumn="1" w:lastColumn="0" w:noHBand="0" w:noVBand="1"/>
      </w:tblPr>
      <w:tblGrid>
        <w:gridCol w:w="3686"/>
        <w:gridCol w:w="948"/>
      </w:tblGrid>
      <w:tr w:rsidR="009D2DF3" w:rsidRPr="009D2DF3" w14:paraId="12CCA4E7" w14:textId="77777777" w:rsidTr="009D2DF3">
        <w:trPr>
          <w:trHeight w:val="20"/>
        </w:trPr>
        <w:tc>
          <w:tcPr>
            <w:tcW w:w="3686" w:type="dxa"/>
            <w:tcBorders>
              <w:top w:val="single" w:sz="12" w:space="0" w:color="auto"/>
              <w:bottom w:val="single" w:sz="8" w:space="0" w:color="auto"/>
            </w:tcBorders>
            <w:vAlign w:val="center"/>
          </w:tcPr>
          <w:p w14:paraId="4448908B" w14:textId="77777777" w:rsidR="009D2DF3" w:rsidRPr="009D2DF3" w:rsidRDefault="009D2DF3" w:rsidP="009D2DF3">
            <w:pPr>
              <w:pStyle w:val="table"/>
              <w:spacing w:before="0" w:after="0"/>
              <w:rPr>
                <w:b/>
                <w:bCs/>
                <w:sz w:val="21"/>
                <w:szCs w:val="21"/>
              </w:rPr>
            </w:pPr>
            <w:r w:rsidRPr="009D2DF3">
              <w:rPr>
                <w:rFonts w:hint="eastAsia"/>
                <w:b/>
                <w:bCs/>
                <w:sz w:val="21"/>
                <w:szCs w:val="21"/>
              </w:rPr>
              <w:t>路径</w:t>
            </w:r>
          </w:p>
        </w:tc>
        <w:tc>
          <w:tcPr>
            <w:tcW w:w="948" w:type="dxa"/>
            <w:tcBorders>
              <w:top w:val="single" w:sz="12" w:space="0" w:color="auto"/>
              <w:bottom w:val="single" w:sz="8" w:space="0" w:color="auto"/>
            </w:tcBorders>
            <w:vAlign w:val="center"/>
          </w:tcPr>
          <w:p w14:paraId="2EDDECA8" w14:textId="77777777" w:rsidR="009D2DF3" w:rsidRPr="009D2DF3" w:rsidRDefault="009D2DF3" w:rsidP="009D2DF3">
            <w:pPr>
              <w:pStyle w:val="table"/>
              <w:spacing w:before="0" w:after="0"/>
              <w:rPr>
                <w:b/>
                <w:bCs/>
                <w:sz w:val="21"/>
                <w:szCs w:val="21"/>
              </w:rPr>
            </w:pPr>
            <w:r w:rsidRPr="009D2DF3">
              <w:rPr>
                <w:rFonts w:hint="eastAsia"/>
                <w:b/>
                <w:bCs/>
                <w:sz w:val="21"/>
                <w:szCs w:val="21"/>
              </w:rPr>
              <w:t>效应量</w:t>
            </w:r>
          </w:p>
        </w:tc>
      </w:tr>
      <w:tr w:rsidR="009D2DF3" w:rsidRPr="009D2DF3" w14:paraId="16FAF0DA" w14:textId="77777777" w:rsidTr="009D2DF3">
        <w:trPr>
          <w:trHeight w:val="20"/>
        </w:trPr>
        <w:tc>
          <w:tcPr>
            <w:tcW w:w="3686" w:type="dxa"/>
            <w:vAlign w:val="center"/>
          </w:tcPr>
          <w:p w14:paraId="4FDEEA6A" w14:textId="77777777" w:rsidR="009D2DF3" w:rsidRPr="009D2DF3" w:rsidRDefault="009D2DF3" w:rsidP="009D2DF3">
            <w:pPr>
              <w:pStyle w:val="table"/>
              <w:spacing w:before="0" w:after="0"/>
              <w:jc w:val="both"/>
              <w:rPr>
                <w:sz w:val="21"/>
                <w:szCs w:val="21"/>
              </w:rPr>
            </w:pPr>
            <w:r w:rsidRPr="009D2DF3">
              <w:rPr>
                <w:rFonts w:hint="eastAsia"/>
                <w:color w:val="000000"/>
                <w:sz w:val="21"/>
                <w:szCs w:val="21"/>
              </w:rPr>
              <w:t>路径</w:t>
            </w:r>
            <w:r w:rsidRPr="009D2DF3">
              <w:rPr>
                <w:rFonts w:hint="eastAsia"/>
                <w:color w:val="000000"/>
                <w:sz w:val="21"/>
                <w:szCs w:val="21"/>
              </w:rPr>
              <w:t>A</w:t>
            </w:r>
            <w:r w:rsidRPr="009D2DF3">
              <w:rPr>
                <w:rFonts w:hint="eastAsia"/>
                <w:color w:val="000000"/>
                <w:sz w:val="21"/>
                <w:szCs w:val="21"/>
              </w:rPr>
              <w:t>：外部条件→管理制度→伙伴关系→项目群运营→项目群绩效</w:t>
            </w:r>
          </w:p>
        </w:tc>
        <w:tc>
          <w:tcPr>
            <w:tcW w:w="948" w:type="dxa"/>
          </w:tcPr>
          <w:p w14:paraId="35D3BCB3" w14:textId="77777777" w:rsidR="009D2DF3" w:rsidRPr="009D2DF3" w:rsidRDefault="009D2DF3" w:rsidP="009D2DF3">
            <w:pPr>
              <w:pStyle w:val="table"/>
              <w:spacing w:before="0" w:after="0"/>
              <w:rPr>
                <w:color w:val="000000"/>
                <w:sz w:val="21"/>
                <w:szCs w:val="21"/>
              </w:rPr>
            </w:pPr>
            <w:r w:rsidRPr="009D2DF3">
              <w:rPr>
                <w:rFonts w:hint="eastAsia"/>
                <w:sz w:val="21"/>
                <w:szCs w:val="21"/>
              </w:rPr>
              <w:t>0.038</w:t>
            </w:r>
          </w:p>
        </w:tc>
      </w:tr>
      <w:tr w:rsidR="009D2DF3" w:rsidRPr="009D2DF3" w14:paraId="0196023F" w14:textId="77777777" w:rsidTr="009D2DF3">
        <w:trPr>
          <w:trHeight w:val="20"/>
        </w:trPr>
        <w:tc>
          <w:tcPr>
            <w:tcW w:w="3686" w:type="dxa"/>
            <w:vAlign w:val="center"/>
          </w:tcPr>
          <w:p w14:paraId="33F69C29" w14:textId="77777777" w:rsidR="009D2DF3" w:rsidRPr="009D2DF3" w:rsidRDefault="009D2DF3" w:rsidP="009D2DF3">
            <w:pPr>
              <w:pStyle w:val="table"/>
              <w:spacing w:before="0" w:after="0"/>
              <w:jc w:val="both"/>
              <w:rPr>
                <w:sz w:val="21"/>
                <w:szCs w:val="21"/>
              </w:rPr>
            </w:pPr>
            <w:r w:rsidRPr="009D2DF3">
              <w:rPr>
                <w:rFonts w:hint="eastAsia"/>
                <w:color w:val="000000"/>
                <w:sz w:val="21"/>
                <w:szCs w:val="21"/>
              </w:rPr>
              <w:t>路径</w:t>
            </w:r>
            <w:r w:rsidRPr="009D2DF3">
              <w:rPr>
                <w:rFonts w:hint="eastAsia"/>
                <w:color w:val="000000"/>
                <w:sz w:val="21"/>
                <w:szCs w:val="21"/>
              </w:rPr>
              <w:t>B</w:t>
            </w:r>
            <w:r w:rsidRPr="009D2DF3">
              <w:rPr>
                <w:rFonts w:hint="eastAsia"/>
                <w:color w:val="000000"/>
                <w:sz w:val="21"/>
                <w:szCs w:val="21"/>
              </w:rPr>
              <w:t>：</w:t>
            </w:r>
            <w:r w:rsidRPr="009D2DF3">
              <w:rPr>
                <w:rFonts w:hint="eastAsia"/>
                <w:sz w:val="21"/>
                <w:szCs w:val="21"/>
              </w:rPr>
              <w:t>外部条件→（管理制度）→（资源配置）→项目群实施→项目群绩效</w:t>
            </w:r>
          </w:p>
        </w:tc>
        <w:tc>
          <w:tcPr>
            <w:tcW w:w="948" w:type="dxa"/>
          </w:tcPr>
          <w:p w14:paraId="16D196E1" w14:textId="77777777" w:rsidR="009D2DF3" w:rsidRPr="009D2DF3" w:rsidRDefault="009D2DF3" w:rsidP="009D2DF3">
            <w:pPr>
              <w:pStyle w:val="table"/>
              <w:spacing w:before="0" w:after="0"/>
              <w:rPr>
                <w:sz w:val="21"/>
                <w:szCs w:val="21"/>
              </w:rPr>
            </w:pPr>
            <w:r w:rsidRPr="009D2DF3">
              <w:rPr>
                <w:rFonts w:hint="eastAsia"/>
                <w:color w:val="000000"/>
                <w:sz w:val="21"/>
                <w:szCs w:val="21"/>
              </w:rPr>
              <w:t>0.085</w:t>
            </w:r>
          </w:p>
        </w:tc>
      </w:tr>
      <w:tr w:rsidR="009D2DF3" w:rsidRPr="009D2DF3" w14:paraId="16337104" w14:textId="77777777" w:rsidTr="009D2DF3">
        <w:trPr>
          <w:trHeight w:val="20"/>
        </w:trPr>
        <w:tc>
          <w:tcPr>
            <w:tcW w:w="3686" w:type="dxa"/>
            <w:vAlign w:val="center"/>
          </w:tcPr>
          <w:p w14:paraId="72E0C974" w14:textId="77777777" w:rsidR="009D2DF3" w:rsidRPr="009D2DF3" w:rsidRDefault="009D2DF3" w:rsidP="009D2DF3">
            <w:pPr>
              <w:pStyle w:val="table"/>
              <w:spacing w:before="0" w:after="0"/>
              <w:jc w:val="both"/>
              <w:rPr>
                <w:sz w:val="21"/>
                <w:szCs w:val="21"/>
              </w:rPr>
            </w:pPr>
            <w:r w:rsidRPr="009D2DF3">
              <w:rPr>
                <w:rFonts w:hint="eastAsia"/>
                <w:color w:val="000000"/>
                <w:sz w:val="21"/>
                <w:szCs w:val="21"/>
              </w:rPr>
              <w:t>路径</w:t>
            </w:r>
            <w:r w:rsidRPr="009D2DF3">
              <w:rPr>
                <w:rFonts w:hint="eastAsia"/>
                <w:color w:val="000000"/>
                <w:sz w:val="21"/>
                <w:szCs w:val="21"/>
              </w:rPr>
              <w:t>C</w:t>
            </w:r>
            <w:r w:rsidRPr="009D2DF3">
              <w:rPr>
                <w:rFonts w:hint="eastAsia"/>
                <w:color w:val="000000"/>
                <w:sz w:val="21"/>
                <w:szCs w:val="21"/>
              </w:rPr>
              <w:t>：</w:t>
            </w:r>
            <w:r w:rsidRPr="009D2DF3">
              <w:rPr>
                <w:rFonts w:hint="eastAsia"/>
                <w:sz w:val="21"/>
                <w:szCs w:val="21"/>
              </w:rPr>
              <w:t>业主项目群管理能力→（伙伴关系）→项目群运营→项目群绩效</w:t>
            </w:r>
          </w:p>
        </w:tc>
        <w:tc>
          <w:tcPr>
            <w:tcW w:w="948" w:type="dxa"/>
          </w:tcPr>
          <w:p w14:paraId="349D6B8B" w14:textId="77777777" w:rsidR="009D2DF3" w:rsidRPr="009D2DF3" w:rsidRDefault="009D2DF3" w:rsidP="009D2DF3">
            <w:pPr>
              <w:pStyle w:val="table"/>
              <w:spacing w:before="0" w:after="0"/>
              <w:rPr>
                <w:sz w:val="21"/>
                <w:szCs w:val="21"/>
              </w:rPr>
            </w:pPr>
            <w:r w:rsidRPr="009D2DF3">
              <w:rPr>
                <w:rFonts w:hint="eastAsia"/>
                <w:color w:val="000000"/>
                <w:sz w:val="21"/>
                <w:szCs w:val="21"/>
              </w:rPr>
              <w:t>0.429</w:t>
            </w:r>
          </w:p>
        </w:tc>
      </w:tr>
      <w:tr w:rsidR="009D2DF3" w:rsidRPr="009D2DF3" w14:paraId="32CDC1A3" w14:textId="77777777" w:rsidTr="009D2DF3">
        <w:trPr>
          <w:trHeight w:val="20"/>
        </w:trPr>
        <w:tc>
          <w:tcPr>
            <w:tcW w:w="3686" w:type="dxa"/>
            <w:vAlign w:val="center"/>
          </w:tcPr>
          <w:p w14:paraId="4E835ECC" w14:textId="77777777" w:rsidR="009D2DF3" w:rsidRPr="009D2DF3" w:rsidRDefault="009D2DF3" w:rsidP="009D2DF3">
            <w:pPr>
              <w:pStyle w:val="table"/>
              <w:spacing w:before="0" w:after="0"/>
              <w:jc w:val="both"/>
              <w:rPr>
                <w:color w:val="000000"/>
                <w:sz w:val="21"/>
                <w:szCs w:val="21"/>
              </w:rPr>
            </w:pPr>
            <w:r w:rsidRPr="009D2DF3">
              <w:rPr>
                <w:rFonts w:hint="eastAsia"/>
                <w:color w:val="000000"/>
                <w:sz w:val="21"/>
                <w:szCs w:val="21"/>
              </w:rPr>
              <w:t>路径</w:t>
            </w:r>
            <w:r w:rsidRPr="009D2DF3">
              <w:rPr>
                <w:rFonts w:hint="eastAsia"/>
                <w:color w:val="000000"/>
                <w:sz w:val="21"/>
                <w:szCs w:val="21"/>
              </w:rPr>
              <w:t>D</w:t>
            </w:r>
            <w:r w:rsidRPr="009D2DF3">
              <w:rPr>
                <w:rFonts w:hint="eastAsia"/>
                <w:color w:val="000000"/>
                <w:sz w:val="21"/>
                <w:szCs w:val="21"/>
              </w:rPr>
              <w:t>：</w:t>
            </w:r>
            <w:r w:rsidRPr="009D2DF3">
              <w:rPr>
                <w:rFonts w:hint="eastAsia"/>
                <w:sz w:val="21"/>
                <w:szCs w:val="21"/>
              </w:rPr>
              <w:t>业主项目群管理能力→（管理制度）→资源配置→项目群实施→项目群绩效</w:t>
            </w:r>
          </w:p>
        </w:tc>
        <w:tc>
          <w:tcPr>
            <w:tcW w:w="948" w:type="dxa"/>
          </w:tcPr>
          <w:p w14:paraId="20D8A8BB" w14:textId="77777777" w:rsidR="009D2DF3" w:rsidRPr="009D2DF3" w:rsidRDefault="009D2DF3" w:rsidP="009D2DF3">
            <w:pPr>
              <w:pStyle w:val="table"/>
              <w:spacing w:before="0" w:after="0"/>
              <w:rPr>
                <w:color w:val="000000"/>
                <w:sz w:val="21"/>
                <w:szCs w:val="21"/>
              </w:rPr>
            </w:pPr>
            <w:r w:rsidRPr="009D2DF3">
              <w:rPr>
                <w:rFonts w:hint="eastAsia"/>
                <w:color w:val="000000"/>
                <w:sz w:val="21"/>
                <w:szCs w:val="21"/>
              </w:rPr>
              <w:t>0.082</w:t>
            </w:r>
          </w:p>
        </w:tc>
      </w:tr>
    </w:tbl>
    <w:p w14:paraId="1B9B7EE5" w14:textId="77777777" w:rsidR="009D2DF3" w:rsidRPr="009D2DF3" w:rsidRDefault="009D2DF3" w:rsidP="009D2DF3">
      <w:pPr>
        <w:ind w:firstLineChars="0" w:firstLine="0"/>
      </w:pPr>
    </w:p>
    <w:p w14:paraId="44AB2DD0" w14:textId="3797C9BF" w:rsidR="009D2DF3" w:rsidRDefault="008A0775" w:rsidP="009D2DF3">
      <w:pPr>
        <w:pStyle w:val="3"/>
      </w:pPr>
      <w:r w:rsidRPr="008A0775">
        <w:rPr>
          <w:rFonts w:hint="eastAsia"/>
        </w:rPr>
        <w:t>路径</w:t>
      </w:r>
      <w:r w:rsidRPr="008A0775">
        <w:rPr>
          <w:rFonts w:hint="eastAsia"/>
        </w:rPr>
        <w:t>A</w:t>
      </w:r>
      <w:r w:rsidRPr="008A0775">
        <w:rPr>
          <w:rFonts w:hint="eastAsia"/>
        </w:rPr>
        <w:t>：</w:t>
      </w:r>
      <w:r w:rsidR="009D2DF3" w:rsidRPr="009D2DF3">
        <w:rPr>
          <w:rFonts w:hint="eastAsia"/>
        </w:rPr>
        <w:t>外部条件→管理制度→伙伴关系→项目群运营→项目群绩效</w:t>
      </w:r>
    </w:p>
    <w:p w14:paraId="03786BBF" w14:textId="67E97BE8" w:rsidR="00C610A6" w:rsidRDefault="009D2DF3" w:rsidP="009D2DF3">
      <w:pPr>
        <w:ind w:firstLine="420"/>
      </w:pPr>
      <w:r w:rsidRPr="00735B8B">
        <w:rPr>
          <w:rFonts w:hint="eastAsia"/>
        </w:rPr>
        <w:t>适宜的自然条件与合理的征地移民政策，以及完善的配套基础设施，为清洁能源基地的顺利开发奠定了坚实基础。支持</w:t>
      </w:r>
      <w:r>
        <w:rPr>
          <w:rFonts w:hint="eastAsia"/>
        </w:rPr>
        <w:t>的</w:t>
      </w:r>
      <w:r w:rsidRPr="00735B8B">
        <w:rPr>
          <w:rFonts w:hint="eastAsia"/>
        </w:rPr>
        <w:t>政策环境与完善的清洁能源电力市场参与机制</w:t>
      </w:r>
      <w:r>
        <w:rPr>
          <w:rFonts w:hint="eastAsia"/>
        </w:rPr>
        <w:t>，</w:t>
      </w:r>
      <w:r w:rsidRPr="00735B8B">
        <w:rPr>
          <w:rFonts w:hint="eastAsia"/>
        </w:rPr>
        <w:t>为基地的建设与运营提供了规制</w:t>
      </w:r>
      <w:r>
        <w:rPr>
          <w:rFonts w:hint="eastAsia"/>
        </w:rPr>
        <w:t>支撑</w:t>
      </w:r>
      <w:r w:rsidRPr="00735B8B">
        <w:rPr>
          <w:rFonts w:hint="eastAsia"/>
        </w:rPr>
        <w:t>。</w:t>
      </w:r>
      <w:r>
        <w:rPr>
          <w:rFonts w:hint="eastAsia"/>
        </w:rPr>
        <w:t>例如，</w:t>
      </w:r>
      <w:r w:rsidRPr="00135155">
        <w:rPr>
          <w:rFonts w:hint="eastAsia"/>
        </w:rPr>
        <w:t>“十四五”规划提出加快推进清洁能源基地建设，通过多能互补模式提升清洁能源消纳能力。这一政策导向推动了清洁能源基地优化水、风、光、储等多能源的协同调度模式，促进了项目群联合运营机制的制定，</w:t>
      </w:r>
      <w:r>
        <w:rPr>
          <w:rFonts w:hint="eastAsia"/>
        </w:rPr>
        <w:t>促使各电站运行单位相互协作，以</w:t>
      </w:r>
      <w:r w:rsidRPr="00135155">
        <w:rPr>
          <w:rFonts w:hint="eastAsia"/>
        </w:rPr>
        <w:t>保障</w:t>
      </w:r>
      <w:r>
        <w:rPr>
          <w:rFonts w:hint="eastAsia"/>
        </w:rPr>
        <w:t>基地</w:t>
      </w:r>
      <w:r w:rsidRPr="00135155">
        <w:rPr>
          <w:rFonts w:hint="eastAsia"/>
        </w:rPr>
        <w:t>电力供给的稳定性</w:t>
      </w:r>
      <w:r>
        <w:rPr>
          <w:rFonts w:hint="eastAsia"/>
        </w:rPr>
        <w:t>。</w:t>
      </w:r>
      <w:r w:rsidRPr="00135155">
        <w:rPr>
          <w:rFonts w:hint="eastAsia"/>
        </w:rPr>
        <w:t>此外，在外部政策支持与内部管理制度协同作用下，</w:t>
      </w:r>
      <w:r>
        <w:rPr>
          <w:rFonts w:hint="eastAsia"/>
        </w:rPr>
        <w:t>运行</w:t>
      </w:r>
      <w:r w:rsidRPr="00135155">
        <w:rPr>
          <w:rFonts w:hint="eastAsia"/>
        </w:rPr>
        <w:t>单位、政府、电网公司等关键利益相关方</w:t>
      </w:r>
      <w:r>
        <w:rPr>
          <w:rFonts w:hint="eastAsia"/>
        </w:rPr>
        <w:t>也</w:t>
      </w:r>
      <w:r w:rsidRPr="00135155">
        <w:rPr>
          <w:rFonts w:hint="eastAsia"/>
        </w:rPr>
        <w:t>能够</w:t>
      </w:r>
      <w:r>
        <w:rPr>
          <w:rFonts w:hint="eastAsia"/>
        </w:rPr>
        <w:t>构建良好的伙伴关系</w:t>
      </w:r>
      <w:r w:rsidRPr="00735B8B">
        <w:rPr>
          <w:rFonts w:hint="eastAsia"/>
        </w:rPr>
        <w:t>，共同促进</w:t>
      </w:r>
      <w:r>
        <w:rPr>
          <w:rFonts w:hint="eastAsia"/>
        </w:rPr>
        <w:t>清洁</w:t>
      </w:r>
      <w:r w:rsidRPr="00735B8B">
        <w:rPr>
          <w:rFonts w:hint="eastAsia"/>
        </w:rPr>
        <w:t>能源的高效并网</w:t>
      </w:r>
      <w:r>
        <w:rPr>
          <w:rFonts w:hint="eastAsia"/>
        </w:rPr>
        <w:t>与</w:t>
      </w:r>
      <w:r w:rsidRPr="00735B8B">
        <w:rPr>
          <w:rFonts w:hint="eastAsia"/>
        </w:rPr>
        <w:t>消纳。</w:t>
      </w:r>
      <w:r>
        <w:rPr>
          <w:rFonts w:hint="eastAsia"/>
        </w:rPr>
        <w:t>最终，</w:t>
      </w:r>
      <w:r w:rsidRPr="00135155">
        <w:rPr>
          <w:rFonts w:hint="eastAsia"/>
        </w:rPr>
        <w:t>项目群运营</w:t>
      </w:r>
      <w:r>
        <w:rPr>
          <w:rFonts w:hint="eastAsia"/>
        </w:rPr>
        <w:t>水平的提升能够提高清洁能源的利用率，降低运营成本，保障基地并网并参与电力市场交易，进而提升清洁能源基地</w:t>
      </w:r>
      <w:r w:rsidRPr="003C11CD">
        <w:rPr>
          <w:rFonts w:hint="eastAsia"/>
        </w:rPr>
        <w:t>绩效。</w:t>
      </w:r>
    </w:p>
    <w:p w14:paraId="4799AAB9" w14:textId="552371DD" w:rsidR="00211FFD" w:rsidRDefault="00211FFD" w:rsidP="009D2DF3">
      <w:pPr>
        <w:pStyle w:val="3"/>
        <w:rPr>
          <w:szCs w:val="21"/>
        </w:rPr>
      </w:pPr>
      <w:r w:rsidRPr="008A0775">
        <w:rPr>
          <w:rFonts w:hint="eastAsia"/>
        </w:rPr>
        <w:t>路径</w:t>
      </w:r>
      <w:r>
        <w:rPr>
          <w:rFonts w:hint="eastAsia"/>
        </w:rPr>
        <w:t>B</w:t>
      </w:r>
      <w:r w:rsidRPr="008A0775">
        <w:rPr>
          <w:rFonts w:hint="eastAsia"/>
        </w:rPr>
        <w:t>：</w:t>
      </w:r>
      <w:r w:rsidR="009D2DF3" w:rsidRPr="009D2DF3">
        <w:rPr>
          <w:rFonts w:hint="eastAsia"/>
        </w:rPr>
        <w:t>外部条件→（管理制度）→（资源配置）→项目群实施→项目群绩效</w:t>
      </w:r>
    </w:p>
    <w:p w14:paraId="7E1C52B2" w14:textId="77777777" w:rsidR="009D2DF3" w:rsidRDefault="009D2DF3" w:rsidP="009D2DF3">
      <w:pPr>
        <w:ind w:firstLine="420"/>
      </w:pPr>
      <w:r w:rsidRPr="005C51C0">
        <w:rPr>
          <w:rFonts w:hint="eastAsia"/>
        </w:rPr>
        <w:t>首先，清洁能源基地的外部条件能够直接影响项目群的实施水平，进而提升项目群绩效。适宜的建设环境</w:t>
      </w:r>
      <w:r>
        <w:rPr>
          <w:rFonts w:hint="eastAsia"/>
        </w:rPr>
        <w:t>、良好的征地移民条件</w:t>
      </w:r>
      <w:r w:rsidRPr="005C51C0">
        <w:rPr>
          <w:rFonts w:hint="eastAsia"/>
        </w:rPr>
        <w:t>、丰富的资源禀赋及其互补特性</w:t>
      </w:r>
      <w:r>
        <w:rPr>
          <w:rFonts w:hint="eastAsia"/>
        </w:rPr>
        <w:t>是</w:t>
      </w:r>
      <w:r w:rsidRPr="005C51C0">
        <w:rPr>
          <w:rFonts w:hint="eastAsia"/>
        </w:rPr>
        <w:t>清洁能源基地</w:t>
      </w:r>
      <w:r>
        <w:rPr>
          <w:rFonts w:hint="eastAsia"/>
        </w:rPr>
        <w:t>具备技术可行性并</w:t>
      </w:r>
      <w:r w:rsidRPr="005C51C0">
        <w:rPr>
          <w:rFonts w:hint="eastAsia"/>
        </w:rPr>
        <w:t>顺利</w:t>
      </w:r>
      <w:r>
        <w:rPr>
          <w:rFonts w:hint="eastAsia"/>
        </w:rPr>
        <w:t>开工</w:t>
      </w:r>
      <w:r w:rsidRPr="005C51C0">
        <w:rPr>
          <w:rFonts w:hint="eastAsia"/>
        </w:rPr>
        <w:t>的基础。</w:t>
      </w:r>
      <w:r>
        <w:rPr>
          <w:rFonts w:hint="eastAsia"/>
        </w:rPr>
        <w:t>良好的外部条件也</w:t>
      </w:r>
      <w:r w:rsidRPr="005C51C0">
        <w:rPr>
          <w:rFonts w:hint="eastAsia"/>
        </w:rPr>
        <w:t>能够有效降低设计、施工、采购环节的技术复杂性，从而提升</w:t>
      </w:r>
      <w:r>
        <w:rPr>
          <w:rFonts w:hint="eastAsia"/>
        </w:rPr>
        <w:t>清洁能源基地</w:t>
      </w:r>
      <w:r w:rsidRPr="005C51C0">
        <w:rPr>
          <w:rFonts w:hint="eastAsia"/>
        </w:rPr>
        <w:t>的实施水平</w:t>
      </w:r>
      <w:r>
        <w:rPr>
          <w:rFonts w:hint="eastAsia"/>
        </w:rPr>
        <w:t>，</w:t>
      </w:r>
      <w:r w:rsidRPr="005C51C0">
        <w:rPr>
          <w:rFonts w:hint="eastAsia"/>
        </w:rPr>
        <w:t>节约建设成本、降低安全风</w:t>
      </w:r>
      <w:r w:rsidRPr="005C51C0">
        <w:rPr>
          <w:rFonts w:hint="eastAsia"/>
        </w:rPr>
        <w:t>险、保障施工进度与质量，</w:t>
      </w:r>
      <w:r>
        <w:rPr>
          <w:rFonts w:hint="eastAsia"/>
        </w:rPr>
        <w:t>进而</w:t>
      </w:r>
      <w:r w:rsidRPr="005C51C0">
        <w:rPr>
          <w:rFonts w:hint="eastAsia"/>
        </w:rPr>
        <w:t>提升项目群绩效。其次，适宜的自然环境</w:t>
      </w:r>
      <w:r>
        <w:rPr>
          <w:rFonts w:hint="eastAsia"/>
        </w:rPr>
        <w:t>与</w:t>
      </w:r>
      <w:r w:rsidRPr="005C51C0">
        <w:rPr>
          <w:rFonts w:hint="eastAsia"/>
        </w:rPr>
        <w:t>完善的交通基础设施</w:t>
      </w:r>
      <w:r>
        <w:rPr>
          <w:rFonts w:hint="eastAsia"/>
        </w:rPr>
        <w:t>能够</w:t>
      </w:r>
      <w:r w:rsidRPr="005C51C0">
        <w:rPr>
          <w:rFonts w:hint="eastAsia"/>
        </w:rPr>
        <w:t>提高设备与材料的运输效率，确保资源能够精准、高效地调度和投入，从而保障</w:t>
      </w:r>
      <w:r>
        <w:rPr>
          <w:rFonts w:hint="eastAsia"/>
        </w:rPr>
        <w:t>清洁能源基地实施</w:t>
      </w:r>
      <w:r w:rsidRPr="005C51C0">
        <w:rPr>
          <w:rFonts w:hint="eastAsia"/>
        </w:rPr>
        <w:t>的顺利推进，</w:t>
      </w:r>
      <w:r>
        <w:rPr>
          <w:rFonts w:hint="eastAsia"/>
        </w:rPr>
        <w:t>并</w:t>
      </w:r>
      <w:r w:rsidRPr="005C51C0">
        <w:rPr>
          <w:rFonts w:hint="eastAsia"/>
        </w:rPr>
        <w:t>最终</w:t>
      </w:r>
      <w:r>
        <w:rPr>
          <w:rFonts w:hint="eastAsia"/>
        </w:rPr>
        <w:t>实现</w:t>
      </w:r>
      <w:r w:rsidRPr="005C51C0">
        <w:rPr>
          <w:rFonts w:hint="eastAsia"/>
        </w:rPr>
        <w:t>项目群绩效的提升。</w:t>
      </w:r>
      <w:r>
        <w:rPr>
          <w:rFonts w:hint="eastAsia"/>
        </w:rPr>
        <w:t>此外，</w:t>
      </w:r>
      <w:r w:rsidRPr="005C51C0">
        <w:rPr>
          <w:rFonts w:hint="eastAsia"/>
        </w:rPr>
        <w:t>良好的外部环境为清洁能源基地的开发提供了技术支持、财税优惠、人才引进等政策保障，并促使基地制定系统化的专业技能培训与知识管理制度，以高效整合和利用内外部资源。</w:t>
      </w:r>
      <w:r>
        <w:t>在此基础上，</w:t>
      </w:r>
      <w:r w:rsidRPr="009D2DF3">
        <w:rPr>
          <w:rStyle w:val="a3"/>
          <w:b w:val="0"/>
          <w:bCs w:val="0"/>
        </w:rPr>
        <w:t>合理的资源配置</w:t>
      </w:r>
      <w:r w:rsidRPr="009D2DF3">
        <w:rPr>
          <w:rStyle w:val="a3"/>
          <w:rFonts w:hint="eastAsia"/>
          <w:b w:val="0"/>
          <w:bCs w:val="0"/>
        </w:rPr>
        <w:t>能够提高</w:t>
      </w:r>
      <w:r w:rsidRPr="00250D44">
        <w:t>项目群实施</w:t>
      </w:r>
      <w:r>
        <w:rPr>
          <w:rFonts w:hint="eastAsia"/>
        </w:rPr>
        <w:t>效率，</w:t>
      </w:r>
      <w:r w:rsidRPr="005C51C0">
        <w:rPr>
          <w:rFonts w:hint="eastAsia"/>
        </w:rPr>
        <w:t>降低施工成本，</w:t>
      </w:r>
      <w:r>
        <w:rPr>
          <w:rFonts w:hint="eastAsia"/>
        </w:rPr>
        <w:t>并</w:t>
      </w:r>
      <w:r w:rsidRPr="005C51C0">
        <w:rPr>
          <w:rFonts w:hint="eastAsia"/>
        </w:rPr>
        <w:t>进一步提升项目群绩效</w:t>
      </w:r>
      <w:r>
        <w:rPr>
          <w:rFonts w:hint="eastAsia"/>
        </w:rPr>
        <w:t>。</w:t>
      </w:r>
    </w:p>
    <w:p w14:paraId="3040A20D" w14:textId="4BD3FE15" w:rsidR="009D2DF3" w:rsidRDefault="009D2DF3" w:rsidP="009D2DF3">
      <w:pPr>
        <w:pStyle w:val="3"/>
      </w:pPr>
      <w:r w:rsidRPr="009D2DF3">
        <w:rPr>
          <w:rFonts w:hint="eastAsia"/>
        </w:rPr>
        <w:t>路径</w:t>
      </w:r>
      <w:r w:rsidRPr="009D2DF3">
        <w:rPr>
          <w:rFonts w:hint="eastAsia"/>
        </w:rPr>
        <w:t>C</w:t>
      </w:r>
      <w:r w:rsidRPr="009D2DF3">
        <w:rPr>
          <w:rFonts w:hint="eastAsia"/>
        </w:rPr>
        <w:t>：业主项目群管理能力→（伙伴关系）→项目群运营→项目群绩效</w:t>
      </w:r>
    </w:p>
    <w:p w14:paraId="5E54BF81" w14:textId="7C5187C3" w:rsidR="009D2DF3" w:rsidRDefault="009D2DF3" w:rsidP="009D2DF3">
      <w:pPr>
        <w:ind w:firstLine="420"/>
      </w:pPr>
      <w:r w:rsidRPr="009D2DF3">
        <w:rPr>
          <w:rFonts w:hint="eastAsia"/>
        </w:rPr>
        <w:t>业主是清洁能源基地运营的核心相关方，其项目群管理能力能够直接影响清洁能源基地的运营水平，并作用于项目群绩效。首先，业主通过提升信息技术应用能力，建设智能调度系统，能够实时监测各电站运营情况，提升出力预测精度，从而提高对风、光出力波动性的调节能力，并及时响应负荷变化。业主的动态管理能力不仅能够及时跟踪前沿技术发展，通过应用先进技术提升运行效率，也有助于精准识别并解决运营过程中出现的问题，从而确保基地的安全稳定运行。整体而言，上述作用不仅能够减少弃风、弃光，促进清洁能源消纳，还能够降低运维成本，进而提高项目群绩效。其次，业主通过推动利益相关各方沟通协作，构建跨组织、跨项目的协同机制，有助于提升清洁能源基地中各电站的协同运营水平。业主通过建立统一的信息共享平台，也能够推动各电站间实时共享运行数据、市场交易信息，从而提升各子项目在多能互补、并网调度、灵活交易等方面的协同效率。此外，业主加强与电网企业、政府监管机构、市场运营主体的合作，则有助于清洁能源基地顺利并网，及时优化电力市场参与策略，最终提升项目群绩效。</w:t>
      </w:r>
    </w:p>
    <w:p w14:paraId="5C1A5146" w14:textId="5D3D208B" w:rsidR="009D2DF3" w:rsidRDefault="009D2DF3" w:rsidP="009D2DF3">
      <w:pPr>
        <w:pStyle w:val="3"/>
      </w:pPr>
      <w:r w:rsidRPr="009D2DF3">
        <w:rPr>
          <w:rFonts w:hint="eastAsia"/>
        </w:rPr>
        <w:t>路径</w:t>
      </w:r>
      <w:r w:rsidRPr="009D2DF3">
        <w:rPr>
          <w:rFonts w:hint="eastAsia"/>
        </w:rPr>
        <w:t>D</w:t>
      </w:r>
      <w:r w:rsidRPr="009D2DF3">
        <w:rPr>
          <w:rFonts w:hint="eastAsia"/>
        </w:rPr>
        <w:t>：业主项目群管理能力→（管理制度）→资源配置→项目群实施→项目群绩效</w:t>
      </w:r>
    </w:p>
    <w:p w14:paraId="40593DDE" w14:textId="77777777" w:rsidR="009D2DF3" w:rsidRPr="00FC565D" w:rsidRDefault="009D2DF3" w:rsidP="009D2DF3">
      <w:pPr>
        <w:ind w:firstLine="420"/>
        <w:rPr>
          <w:color w:val="FF0000"/>
        </w:rPr>
      </w:pPr>
      <w:r w:rsidRPr="00D454D2">
        <w:rPr>
          <w:rFonts w:hint="eastAsia"/>
        </w:rPr>
        <w:t>在清洁能源基地一体化管理过程中，业主的目标管理能力发挥着关键作用。清洁能源基地的开发涉及水、风、光、储等多项目的同步推进与协同管理，业主需精准识别各阶段资金、设备、人力及技术需求，并通过优化资源配置策略，确保各子项目按计划推进，减少资源错配，提高项目群实施效率，最终提升项目群绩效。业主的动态感知与调整能力使其能够精准监测资源需求变化，并及时优化配置</w:t>
      </w:r>
      <w:r w:rsidRPr="00D454D2">
        <w:rPr>
          <w:rFonts w:hint="eastAsia"/>
        </w:rPr>
        <w:lastRenderedPageBreak/>
        <w:t>策略，以提升整体施工效率。此外，业主借助信息技术构建数字化资源管理平台，</w:t>
      </w:r>
      <w:r>
        <w:rPr>
          <w:rFonts w:hint="eastAsia"/>
        </w:rPr>
        <w:t>能够</w:t>
      </w:r>
      <w:r w:rsidRPr="00D454D2">
        <w:rPr>
          <w:rFonts w:hint="eastAsia"/>
        </w:rPr>
        <w:t>实现资源配置过程的可视化与智能化管理，</w:t>
      </w:r>
      <w:r>
        <w:rPr>
          <w:rFonts w:hint="eastAsia"/>
        </w:rPr>
        <w:t>有效提升</w:t>
      </w:r>
      <w:r w:rsidRPr="00D454D2">
        <w:rPr>
          <w:rFonts w:hint="eastAsia"/>
        </w:rPr>
        <w:t>资源利用</w:t>
      </w:r>
      <w:r>
        <w:rPr>
          <w:rFonts w:hint="eastAsia"/>
        </w:rPr>
        <w:t>效率</w:t>
      </w:r>
      <w:r w:rsidRPr="00D454D2">
        <w:rPr>
          <w:rFonts w:hint="eastAsia"/>
        </w:rPr>
        <w:t>，并确保项目群高效</w:t>
      </w:r>
      <w:r>
        <w:rPr>
          <w:rFonts w:hint="eastAsia"/>
        </w:rPr>
        <w:t>开发</w:t>
      </w:r>
      <w:r w:rsidRPr="00DE0C6C">
        <w:rPr>
          <w:rFonts w:hint="eastAsia"/>
        </w:rPr>
        <w:t>。</w:t>
      </w:r>
    </w:p>
    <w:p w14:paraId="2F9C3ED1" w14:textId="3AA74384" w:rsidR="009D2DF3" w:rsidRPr="009D2DF3" w:rsidRDefault="009D2DF3" w:rsidP="009D2DF3">
      <w:pPr>
        <w:ind w:firstLineChars="202" w:firstLine="424"/>
      </w:pPr>
      <w:r>
        <w:rPr>
          <w:rFonts w:hint="eastAsia"/>
        </w:rPr>
        <w:t>业主也能够通过建立专业技术培训、外部专家咨询机制，</w:t>
      </w:r>
      <w:r w:rsidRPr="00A963C8">
        <w:rPr>
          <w:rFonts w:hint="eastAsia"/>
        </w:rPr>
        <w:t>及时引入外部</w:t>
      </w:r>
      <w:r>
        <w:rPr>
          <w:rFonts w:hint="eastAsia"/>
        </w:rPr>
        <w:t>技术支持，提高清洁能源基地的实施水平，保障施工进度，进一步提升基地的整体绩效。在采购管理方面，业主从项目群视角构建系统的采购管理体系，能够统筹调配场内物资，提高资源利用效率；通过建立考核评估与激励机制，则有助于优化供应商选择，</w:t>
      </w:r>
      <w:r w:rsidRPr="009921E9">
        <w:rPr>
          <w:rFonts w:hint="eastAsia"/>
        </w:rPr>
        <w:t>确保设备与材料的质量，同时提升采购方案的经济性</w:t>
      </w:r>
      <w:r>
        <w:rPr>
          <w:rFonts w:hint="eastAsia"/>
        </w:rPr>
        <w:t>。总体上</w:t>
      </w:r>
      <w:r w:rsidRPr="004F4960">
        <w:rPr>
          <w:rFonts w:hint="eastAsia"/>
        </w:rPr>
        <w:t>，</w:t>
      </w:r>
      <w:r>
        <w:rPr>
          <w:rFonts w:hint="eastAsia"/>
        </w:rPr>
        <w:t>上述作用能够提高资源利用效率，</w:t>
      </w:r>
      <w:r>
        <w:t>降低</w:t>
      </w:r>
      <w:r>
        <w:rPr>
          <w:rFonts w:hint="eastAsia"/>
        </w:rPr>
        <w:t>建设</w:t>
      </w:r>
      <w:r>
        <w:t>成本，</w:t>
      </w:r>
      <w:r>
        <w:rPr>
          <w:rFonts w:hint="eastAsia"/>
        </w:rPr>
        <w:t>进而提升</w:t>
      </w:r>
      <w:r>
        <w:t>清洁能源基地</w:t>
      </w:r>
      <w:r>
        <w:rPr>
          <w:rFonts w:hint="eastAsia"/>
        </w:rPr>
        <w:t>绩效。</w:t>
      </w:r>
    </w:p>
    <w:p w14:paraId="47D0AAC2" w14:textId="7CBBFB50" w:rsidR="00304090" w:rsidRDefault="00FD3419" w:rsidP="00166AE2">
      <w:pPr>
        <w:pStyle w:val="1"/>
      </w:pPr>
      <w:r w:rsidRPr="00FD3419">
        <w:rPr>
          <w:rFonts w:hint="eastAsia"/>
        </w:rPr>
        <w:t>清洁能源基地一体化管理策略</w:t>
      </w:r>
    </w:p>
    <w:p w14:paraId="2F2453C0" w14:textId="10123B9B" w:rsidR="00FD3419" w:rsidRDefault="00FD3419" w:rsidP="00FD3419">
      <w:pPr>
        <w:ind w:firstLine="422"/>
        <w:rPr>
          <w:b/>
          <w:bCs/>
        </w:rPr>
      </w:pPr>
      <w:r w:rsidRPr="006C35E9">
        <w:rPr>
          <w:rFonts w:hint="eastAsia"/>
          <w:b/>
          <w:bCs/>
        </w:rPr>
        <w:t>（</w:t>
      </w:r>
      <w:r>
        <w:rPr>
          <w:rFonts w:hint="eastAsia"/>
          <w:b/>
          <w:bCs/>
        </w:rPr>
        <w:t>1</w:t>
      </w:r>
      <w:r w:rsidRPr="006C35E9">
        <w:rPr>
          <w:rFonts w:hint="eastAsia"/>
          <w:b/>
          <w:bCs/>
        </w:rPr>
        <w:t>）提高</w:t>
      </w:r>
      <w:r w:rsidRPr="00FD3419">
        <w:rPr>
          <w:rFonts w:cs="Times New Roman" w:hint="eastAsia"/>
          <w:b/>
          <w:bCs/>
        </w:rPr>
        <w:t>多能互补系统建设</w:t>
      </w:r>
      <w:r>
        <w:rPr>
          <w:rFonts w:cs="Times New Roman" w:hint="eastAsia"/>
          <w:b/>
          <w:bCs/>
        </w:rPr>
        <w:t>水平</w:t>
      </w:r>
      <w:r>
        <w:rPr>
          <w:rFonts w:hint="eastAsia"/>
        </w:rPr>
        <w:t>：根据调研结果，清洁能源基地运营方面，</w:t>
      </w:r>
      <w:r>
        <w:rPr>
          <w:rFonts w:hint="eastAsia"/>
          <w:color w:val="000000"/>
        </w:rPr>
        <w:t>水风光储多能互补得分最低</w:t>
      </w:r>
      <w:r>
        <w:rPr>
          <w:rFonts w:hint="eastAsia"/>
        </w:rPr>
        <w:t>（见</w:t>
      </w:r>
      <w:r>
        <w:fldChar w:fldCharType="begin"/>
      </w:r>
      <w:r>
        <w:instrText xml:space="preserve"> </w:instrText>
      </w:r>
      <w:r>
        <w:rPr>
          <w:rFonts w:hint="eastAsia"/>
        </w:rPr>
        <w:instrText>REF _Ref200169756 \h</w:instrText>
      </w:r>
      <w:r>
        <w:instrText xml:space="preserve"> </w:instrText>
      </w:r>
      <w:r>
        <w:fldChar w:fldCharType="separate"/>
      </w:r>
      <w:r w:rsidR="000F2689">
        <w:rPr>
          <w:rFonts w:hint="eastAsia"/>
        </w:rPr>
        <w:t>表</w:t>
      </w:r>
      <w:r w:rsidR="000F2689">
        <w:rPr>
          <w:rFonts w:hint="eastAsia"/>
        </w:rPr>
        <w:t xml:space="preserve"> </w:t>
      </w:r>
      <w:r w:rsidR="000F2689">
        <w:rPr>
          <w:noProof/>
        </w:rPr>
        <w:t>8</w:t>
      </w:r>
      <w:r>
        <w:fldChar w:fldCharType="end"/>
      </w:r>
      <w:r>
        <w:rPr>
          <w:rFonts w:hint="eastAsia"/>
        </w:rPr>
        <w:t>）；业主项目群管理能力方面，</w:t>
      </w:r>
      <w:r w:rsidRPr="00435F90">
        <w:rPr>
          <w:rFonts w:hint="eastAsia"/>
          <w:bCs/>
        </w:rPr>
        <w:t>水风光储多能互补智能管控</w:t>
      </w:r>
      <w:r>
        <w:rPr>
          <w:rFonts w:hint="eastAsia"/>
          <w:bCs/>
        </w:rPr>
        <w:t>得分最低，</w:t>
      </w:r>
      <w:r>
        <w:t>在系统集成、出力预测精度及调度优化算法等</w:t>
      </w:r>
      <w:r>
        <w:rPr>
          <w:rFonts w:hint="eastAsia"/>
        </w:rPr>
        <w:t>方面的水平亟待提升（见</w:t>
      </w:r>
      <w:r>
        <w:fldChar w:fldCharType="begin"/>
      </w:r>
      <w:r>
        <w:instrText xml:space="preserve"> </w:instrText>
      </w:r>
      <w:r>
        <w:rPr>
          <w:rFonts w:hint="eastAsia"/>
        </w:rPr>
        <w:instrText>REF _Ref174346061 \h</w:instrText>
      </w:r>
      <w:r>
        <w:instrText xml:space="preserve"> </w:instrText>
      </w:r>
      <w:r>
        <w:fldChar w:fldCharType="separate"/>
      </w:r>
      <w:r w:rsidR="000F2689">
        <w:rPr>
          <w:rFonts w:hint="eastAsia"/>
        </w:rPr>
        <w:t>表</w:t>
      </w:r>
      <w:r w:rsidR="000F2689">
        <w:rPr>
          <w:rFonts w:hint="eastAsia"/>
        </w:rPr>
        <w:t xml:space="preserve"> </w:t>
      </w:r>
      <w:r w:rsidR="000F2689">
        <w:rPr>
          <w:noProof/>
        </w:rPr>
        <w:t>3</w:t>
      </w:r>
      <w:r>
        <w:fldChar w:fldCharType="end"/>
      </w:r>
      <w:r>
        <w:rPr>
          <w:rFonts w:hint="eastAsia"/>
        </w:rPr>
        <w:t>）。因此，需</w:t>
      </w:r>
      <w:r w:rsidRPr="00C273DF">
        <w:rPr>
          <w:rFonts w:hint="eastAsia"/>
        </w:rPr>
        <w:t>加强政府、企业、</w:t>
      </w:r>
      <w:r>
        <w:rPr>
          <w:rFonts w:hint="eastAsia"/>
        </w:rPr>
        <w:t>高校</w:t>
      </w:r>
      <w:r w:rsidRPr="00C273DF">
        <w:rPr>
          <w:rFonts w:hint="eastAsia"/>
        </w:rPr>
        <w:t>、研究机构之间的技术协作，针对多能互补系统开展核心技术攻关</w:t>
      </w:r>
      <w:r>
        <w:rPr>
          <w:rFonts w:hint="eastAsia"/>
        </w:rPr>
        <w:t>。</w:t>
      </w:r>
      <w:r>
        <w:t>通过政府扶持、企业试点等方式，加速多能互补技术的产业化落地</w:t>
      </w:r>
      <w:r w:rsidR="00537C96">
        <w:rPr>
          <w:rFonts w:hint="eastAsia"/>
        </w:rPr>
        <w:t>。同时，</w:t>
      </w:r>
      <w:r w:rsidRPr="00C273DF">
        <w:rPr>
          <w:rFonts w:hint="eastAsia"/>
        </w:rPr>
        <w:t>推动多能互补示范工程建设</w:t>
      </w:r>
      <w:r w:rsidRPr="00A96DD0">
        <w:rPr>
          <w:rFonts w:hint="eastAsia"/>
        </w:rPr>
        <w:t>，为行业提供可复制、可推广的工程实践经验</w:t>
      </w:r>
      <w:r>
        <w:rPr>
          <w:rFonts w:hint="eastAsia"/>
        </w:rPr>
        <w:t>。</w:t>
      </w:r>
    </w:p>
    <w:p w14:paraId="7E157B39" w14:textId="0953E259" w:rsidR="006C35E9" w:rsidRPr="006C35E9" w:rsidRDefault="006C35E9" w:rsidP="006C35E9">
      <w:pPr>
        <w:ind w:firstLine="422"/>
      </w:pPr>
      <w:r w:rsidRPr="006C35E9">
        <w:rPr>
          <w:rFonts w:hint="eastAsia"/>
          <w:b/>
          <w:bCs/>
        </w:rPr>
        <w:t>（</w:t>
      </w:r>
      <w:r w:rsidR="00FD3419">
        <w:rPr>
          <w:rFonts w:hint="eastAsia"/>
          <w:b/>
          <w:bCs/>
        </w:rPr>
        <w:t>2</w:t>
      </w:r>
      <w:r w:rsidRPr="006C35E9">
        <w:rPr>
          <w:rFonts w:hint="eastAsia"/>
          <w:b/>
          <w:bCs/>
        </w:rPr>
        <w:t>）</w:t>
      </w:r>
      <w:r w:rsidR="00FD3419">
        <w:rPr>
          <w:rFonts w:cs="Times New Roman" w:hint="eastAsia"/>
          <w:b/>
          <w:bCs/>
        </w:rPr>
        <w:t>加强清洁能源基地项目群数字化管理</w:t>
      </w:r>
      <w:r>
        <w:rPr>
          <w:rFonts w:cs="Times New Roman" w:hint="eastAsia"/>
        </w:rPr>
        <w:t>：</w:t>
      </w:r>
      <w:r w:rsidR="00FD3419">
        <w:rPr>
          <w:rFonts w:hint="eastAsia"/>
        </w:rPr>
        <w:t>清洁能源基地建设周期长，需进行多个电站的联合开发，以及众多相关方的统筹管理。因此，清洁能源基地在开发过程中涉及复杂的业务流程、组织架构和大量的工程信息。随着我国信息技术、计算资源的不断进步，在项目群层面建立统一的信息系统，提升数字化管理能力，能够有效提高管理效率，协助业主从战略视角对项目群进行调控</w:t>
      </w:r>
      <w:r w:rsidR="00471D48">
        <w:rPr>
          <w:rFonts w:hint="eastAsia"/>
        </w:rPr>
        <w:t>。</w:t>
      </w:r>
    </w:p>
    <w:p w14:paraId="0252E141" w14:textId="0C73FA32" w:rsidR="006C35E9" w:rsidRDefault="006C35E9" w:rsidP="006C35E9">
      <w:pPr>
        <w:ind w:firstLine="422"/>
        <w:rPr>
          <w:rFonts w:cs="Times New Roman"/>
        </w:rPr>
      </w:pPr>
      <w:r w:rsidRPr="006C35E9">
        <w:rPr>
          <w:rFonts w:hint="eastAsia"/>
          <w:b/>
          <w:bCs/>
        </w:rPr>
        <w:t>（</w:t>
      </w:r>
      <w:r w:rsidRPr="006C35E9">
        <w:rPr>
          <w:rFonts w:hint="eastAsia"/>
          <w:b/>
          <w:bCs/>
        </w:rPr>
        <w:t>3</w:t>
      </w:r>
      <w:r w:rsidRPr="006C35E9">
        <w:rPr>
          <w:rFonts w:hint="eastAsia"/>
          <w:b/>
          <w:bCs/>
        </w:rPr>
        <w:t>）</w:t>
      </w:r>
      <w:bookmarkStart w:id="36" w:name="_Toc198492847"/>
      <w:r w:rsidR="00FD3419">
        <w:rPr>
          <w:rFonts w:cs="Times New Roman" w:hint="eastAsia"/>
          <w:b/>
          <w:bCs/>
        </w:rPr>
        <w:t>推进</w:t>
      </w:r>
      <w:r w:rsidR="00FD3419" w:rsidRPr="00FD3419">
        <w:rPr>
          <w:rFonts w:hint="eastAsia"/>
          <w:b/>
          <w:bCs/>
        </w:rPr>
        <w:t>设计、采购、施工、运维一体化管理</w:t>
      </w:r>
      <w:bookmarkEnd w:id="36"/>
      <w:r>
        <w:rPr>
          <w:rFonts w:cs="Times New Roman" w:hint="eastAsia"/>
        </w:rPr>
        <w:t>：</w:t>
      </w:r>
      <w:r w:rsidR="00FD3419">
        <w:t>清洁能源基地各环节</w:t>
      </w:r>
      <w:r w:rsidR="00FD3419">
        <w:rPr>
          <w:rFonts w:hint="eastAsia"/>
        </w:rPr>
        <w:t>、各</w:t>
      </w:r>
      <w:r w:rsidR="00FD3419">
        <w:t>项目</w:t>
      </w:r>
      <w:r w:rsidR="00FD3419">
        <w:rPr>
          <w:rFonts w:hint="eastAsia"/>
        </w:rPr>
        <w:t>间信息反馈不及时、管理边界模糊</w:t>
      </w:r>
      <w:r w:rsidR="00FD3419">
        <w:t>，</w:t>
      </w:r>
      <w:r w:rsidR="00FD3419">
        <w:rPr>
          <w:rFonts w:hint="eastAsia"/>
        </w:rPr>
        <w:t>将</w:t>
      </w:r>
      <w:r w:rsidR="00FD3419">
        <w:t>引发资源浪费、调度冲突以及运营效率低下等问题</w:t>
      </w:r>
      <w:r w:rsidR="00FD3419">
        <w:rPr>
          <w:rFonts w:hint="eastAsia"/>
        </w:rPr>
        <w:t>。</w:t>
      </w:r>
      <w:r w:rsidR="00FD3419" w:rsidRPr="0075739A">
        <w:rPr>
          <w:rFonts w:hint="eastAsia"/>
        </w:rPr>
        <w:t>需</w:t>
      </w:r>
      <w:r w:rsidR="00537C96" w:rsidRPr="00C273DF">
        <w:rPr>
          <w:rFonts w:hint="eastAsia"/>
        </w:rPr>
        <w:t>明确清洁能源基地内各电站建设与运维需求</w:t>
      </w:r>
      <w:r w:rsidR="00537C96">
        <w:rPr>
          <w:rFonts w:hint="eastAsia"/>
        </w:rPr>
        <w:t>，</w:t>
      </w:r>
      <w:r w:rsidR="00FD3419" w:rsidRPr="0075739A">
        <w:t>采用一体化管理策略，从全生命周期的视角统筹清洁能源基地的</w:t>
      </w:r>
      <w:r w:rsidR="00FD3419" w:rsidRPr="00FD3419">
        <w:rPr>
          <w:rStyle w:val="a3"/>
          <w:b w:val="0"/>
          <w:bCs w:val="0"/>
        </w:rPr>
        <w:t>设计、采购、施工及运维</w:t>
      </w:r>
      <w:r w:rsidR="00FD3419" w:rsidRPr="00FD3419">
        <w:t>，</w:t>
      </w:r>
      <w:r w:rsidR="00FD3419" w:rsidRPr="0075739A">
        <w:t>确保各环节高效衔接，提高清洁能源基地</w:t>
      </w:r>
      <w:r w:rsidR="00FD3419">
        <w:rPr>
          <w:rFonts w:hint="eastAsia"/>
        </w:rPr>
        <w:t>绩效。</w:t>
      </w:r>
    </w:p>
    <w:p w14:paraId="1DC27159" w14:textId="054F6031" w:rsidR="006C35E9" w:rsidRDefault="006C35E9" w:rsidP="006D6E88">
      <w:pPr>
        <w:ind w:firstLine="422"/>
      </w:pPr>
      <w:r w:rsidRPr="006C35E9">
        <w:rPr>
          <w:rFonts w:hint="eastAsia"/>
          <w:b/>
          <w:bCs/>
        </w:rPr>
        <w:t>（</w:t>
      </w:r>
      <w:r w:rsidRPr="006C35E9">
        <w:rPr>
          <w:rFonts w:hint="eastAsia"/>
          <w:b/>
          <w:bCs/>
        </w:rPr>
        <w:t>4</w:t>
      </w:r>
      <w:r w:rsidRPr="006C35E9">
        <w:rPr>
          <w:rFonts w:hint="eastAsia"/>
          <w:b/>
          <w:bCs/>
        </w:rPr>
        <w:t>）</w:t>
      </w:r>
      <w:r w:rsidR="00537C96">
        <w:rPr>
          <w:rFonts w:hint="eastAsia"/>
          <w:b/>
          <w:bCs/>
        </w:rPr>
        <w:t>构建</w:t>
      </w:r>
      <w:r w:rsidR="00537C96" w:rsidRPr="00537C96">
        <w:rPr>
          <w:rFonts w:hint="eastAsia"/>
          <w:b/>
          <w:bCs/>
        </w:rPr>
        <w:t>业主、政府、电网公司、当地居民</w:t>
      </w:r>
      <w:r w:rsidR="00537C96" w:rsidRPr="00537C96">
        <w:rPr>
          <w:rFonts w:hint="eastAsia"/>
          <w:b/>
          <w:bCs/>
        </w:rPr>
        <w:t>伙伴关系</w:t>
      </w:r>
      <w:r>
        <w:rPr>
          <w:rFonts w:hint="eastAsia"/>
        </w:rPr>
        <w:t>：</w:t>
      </w:r>
      <w:r w:rsidR="00537C96" w:rsidRPr="005B06A8">
        <w:rPr>
          <w:rFonts w:cs="Times New Roman" w:hint="eastAsia"/>
          <w:kern w:val="0"/>
          <w:szCs w:val="20"/>
        </w:rPr>
        <w:t>清洁能源基地开发</w:t>
      </w:r>
      <w:r w:rsidR="00537C96">
        <w:rPr>
          <w:rFonts w:cs="Times New Roman" w:hint="eastAsia"/>
          <w:kern w:val="0"/>
          <w:szCs w:val="20"/>
        </w:rPr>
        <w:t>作为我国推进能源结构转型的重要战略举措</w:t>
      </w:r>
      <w:r w:rsidR="00537C96" w:rsidRPr="00DA6DE8">
        <w:rPr>
          <w:rFonts w:hint="eastAsia"/>
        </w:rPr>
        <w:t>，其规划、建设和运营涉及政府、电网公司及当地居民等多个利益相关方</w:t>
      </w:r>
      <w:r w:rsidR="00471D48">
        <w:rPr>
          <w:rFonts w:hint="eastAsia"/>
        </w:rPr>
        <w:t>。</w:t>
      </w:r>
      <w:r w:rsidR="00537C96" w:rsidRPr="00DA6DE8">
        <w:rPr>
          <w:rFonts w:hint="eastAsia"/>
        </w:rPr>
        <w:t>这些主体虽不直接参与项目投资与建设，但对项目的审批落地、并网消纳、社会接受度及长期可持续运营起</w:t>
      </w:r>
      <w:r w:rsidR="00537C96">
        <w:rPr>
          <w:rFonts w:hint="eastAsia"/>
        </w:rPr>
        <w:t>到</w:t>
      </w:r>
      <w:r w:rsidR="00537C96" w:rsidRPr="00DA6DE8">
        <w:rPr>
          <w:rFonts w:hint="eastAsia"/>
        </w:rPr>
        <w:t>至关重要的作用。</w:t>
      </w:r>
      <w:r w:rsidR="00537C96">
        <w:rPr>
          <w:rFonts w:hint="eastAsia"/>
        </w:rPr>
        <w:t>应</w:t>
      </w:r>
      <w:r w:rsidR="00537C96" w:rsidRPr="00C273DF">
        <w:rPr>
          <w:rFonts w:hint="eastAsia"/>
        </w:rPr>
        <w:t>加强业主与政府的沟通与协作，确保基地规划符合相关制度需求，提高审批效率</w:t>
      </w:r>
      <w:r w:rsidR="00537C96">
        <w:rPr>
          <w:rFonts w:hint="eastAsia"/>
        </w:rPr>
        <w:t>；并</w:t>
      </w:r>
      <w:r w:rsidR="00537C96" w:rsidRPr="00C273DF">
        <w:rPr>
          <w:rFonts w:hint="eastAsia"/>
        </w:rPr>
        <w:t>强化业主与电网公司的协同，确保电网基础设施建设完善，优化新能源并网策略</w:t>
      </w:r>
      <w:r w:rsidR="00537C96">
        <w:rPr>
          <w:rFonts w:hint="eastAsia"/>
        </w:rPr>
        <w:t>。此外，也应</w:t>
      </w:r>
      <w:r w:rsidR="00537C96" w:rsidRPr="00C273DF">
        <w:rPr>
          <w:rFonts w:hint="eastAsia"/>
        </w:rPr>
        <w:t>重视清洁能源基地开发的环境与社会影响评估，充分考虑当地居民利益</w:t>
      </w:r>
      <w:r w:rsidR="00537C96">
        <w:rPr>
          <w:rFonts w:hint="eastAsia"/>
        </w:rPr>
        <w:t>以及</w:t>
      </w:r>
      <w:r w:rsidR="00537C96" w:rsidRPr="00C273DF">
        <w:rPr>
          <w:rFonts w:hint="eastAsia"/>
        </w:rPr>
        <w:t>地方经济发展</w:t>
      </w:r>
      <w:r w:rsidR="00537C96">
        <w:rPr>
          <w:rFonts w:hint="eastAsia"/>
        </w:rPr>
        <w:t>。</w:t>
      </w:r>
    </w:p>
    <w:p w14:paraId="19CB77C7" w14:textId="579E5934" w:rsidR="006F7763" w:rsidRDefault="006F7763" w:rsidP="006D6E88">
      <w:pPr>
        <w:ind w:firstLine="422"/>
      </w:pPr>
      <w:r w:rsidRPr="006F7763">
        <w:rPr>
          <w:rFonts w:hint="eastAsia"/>
          <w:b/>
          <w:bCs/>
        </w:rPr>
        <w:t>（</w:t>
      </w:r>
      <w:r w:rsidRPr="006F7763">
        <w:rPr>
          <w:rFonts w:hint="eastAsia"/>
          <w:b/>
          <w:bCs/>
        </w:rPr>
        <w:t>5</w:t>
      </w:r>
      <w:r w:rsidRPr="006F7763">
        <w:rPr>
          <w:rFonts w:hint="eastAsia"/>
          <w:b/>
          <w:bCs/>
        </w:rPr>
        <w:t>）动态优化项目群管理</w:t>
      </w:r>
      <w:r>
        <w:rPr>
          <w:rFonts w:hint="eastAsia"/>
          <w:b/>
          <w:bCs/>
        </w:rPr>
        <w:t>策略</w:t>
      </w:r>
      <w:r>
        <w:rPr>
          <w:rFonts w:hint="eastAsia"/>
        </w:rPr>
        <w:t>：清洁能源基地建设周期长，面临的技术、管理挑战多。业主的动态优化与创新能力是提升项目群管理效率的重要因素。然而调研结果显示，当前清洁能源基地业主在动态</w:t>
      </w:r>
      <w:r>
        <w:t>优化管理策略</w:t>
      </w:r>
      <w:r>
        <w:rPr>
          <w:rFonts w:hint="eastAsia"/>
        </w:rPr>
        <w:t>、开展</w:t>
      </w:r>
      <w:r>
        <w:t>技术</w:t>
      </w:r>
      <w:r>
        <w:rPr>
          <w:rFonts w:hint="eastAsia"/>
        </w:rPr>
        <w:t>与管理</w:t>
      </w:r>
      <w:r>
        <w:t>创新</w:t>
      </w:r>
      <w:r>
        <w:rPr>
          <w:rFonts w:hint="eastAsia"/>
        </w:rPr>
        <w:t>方面仍有不足（</w:t>
      </w:r>
      <w:r>
        <w:fldChar w:fldCharType="begin"/>
      </w:r>
      <w:r>
        <w:instrText xml:space="preserve"> </w:instrText>
      </w:r>
      <w:r>
        <w:rPr>
          <w:rFonts w:hint="eastAsia"/>
        </w:rPr>
        <w:instrText>REF _Ref174346061 \h</w:instrText>
      </w:r>
      <w:r>
        <w:instrText xml:space="preserve"> </w:instrText>
      </w:r>
      <w:r>
        <w:fldChar w:fldCharType="separate"/>
      </w:r>
      <w:r w:rsidR="000F2689">
        <w:rPr>
          <w:rFonts w:hint="eastAsia"/>
        </w:rPr>
        <w:t>表</w:t>
      </w:r>
      <w:r w:rsidR="000F2689">
        <w:rPr>
          <w:rFonts w:hint="eastAsia"/>
        </w:rPr>
        <w:t xml:space="preserve"> </w:t>
      </w:r>
      <w:r w:rsidR="000F2689">
        <w:rPr>
          <w:noProof/>
        </w:rPr>
        <w:t>3</w:t>
      </w:r>
      <w:r>
        <w:fldChar w:fldCharType="end"/>
      </w:r>
      <w:r>
        <w:rPr>
          <w:rFonts w:hint="eastAsia"/>
        </w:rPr>
        <w:t>）。</w:t>
      </w:r>
      <w:r>
        <w:t>因此，</w:t>
      </w:r>
      <w:r>
        <w:rPr>
          <w:rFonts w:hint="eastAsia"/>
        </w:rPr>
        <w:t>需</w:t>
      </w:r>
      <w:r w:rsidRPr="00C273DF">
        <w:rPr>
          <w:rFonts w:hint="eastAsia"/>
        </w:rPr>
        <w:t>实时采集、分析项目群的建设与运行数据</w:t>
      </w:r>
      <w:r>
        <w:rPr>
          <w:rFonts w:hint="eastAsia"/>
        </w:rPr>
        <w:t>，</w:t>
      </w:r>
      <w:r w:rsidRPr="00C273DF">
        <w:rPr>
          <w:rFonts w:hint="eastAsia"/>
        </w:rPr>
        <w:t>制定多层级、多元化的考核评估体系与激励机制，</w:t>
      </w:r>
      <w:r>
        <w:rPr>
          <w:rFonts w:hint="eastAsia"/>
        </w:rPr>
        <w:t>并建立完善的</w:t>
      </w:r>
      <w:r w:rsidRPr="006F7763">
        <w:rPr>
          <w:rStyle w:val="a3"/>
          <w:b w:val="0"/>
          <w:bCs w:val="0"/>
        </w:rPr>
        <w:t>反馈与优化机制</w:t>
      </w:r>
      <w:r w:rsidRPr="00777FBE">
        <w:t>，</w:t>
      </w:r>
      <w:r>
        <w:rPr>
          <w:rFonts w:hint="eastAsia"/>
        </w:rPr>
        <w:t>以促进</w:t>
      </w:r>
      <w:r w:rsidRPr="00777FBE">
        <w:rPr>
          <w:rFonts w:hint="eastAsia"/>
        </w:rPr>
        <w:t>信息流通、经验共享、知识积累</w:t>
      </w:r>
      <w:r>
        <w:rPr>
          <w:rFonts w:hint="eastAsia"/>
        </w:rPr>
        <w:t>，进而实现开发技术与组织管理水平的持续提升。</w:t>
      </w:r>
    </w:p>
    <w:p w14:paraId="009C4E68" w14:textId="29BE27E0" w:rsidR="00166AE2" w:rsidRDefault="00166AE2" w:rsidP="00166AE2">
      <w:pPr>
        <w:pStyle w:val="1"/>
      </w:pPr>
      <w:r>
        <w:rPr>
          <w:rFonts w:hint="eastAsia"/>
        </w:rPr>
        <w:t>结论</w:t>
      </w:r>
    </w:p>
    <w:p w14:paraId="31C630A6" w14:textId="78D84425" w:rsidR="006F7763" w:rsidRDefault="006F7763" w:rsidP="006F7763">
      <w:pPr>
        <w:ind w:firstLine="420"/>
        <w:rPr>
          <w:rFonts w:cs="Times New Roman"/>
        </w:rPr>
      </w:pPr>
      <w:r>
        <w:rPr>
          <w:rFonts w:cs="Times New Roman" w:hint="eastAsia"/>
        </w:rPr>
        <w:t>本研究首先通过调研与访谈明确了</w:t>
      </w:r>
      <w:r w:rsidRPr="00FD3419">
        <w:rPr>
          <w:rFonts w:hint="eastAsia"/>
        </w:rPr>
        <w:t>清洁能源基地一体化</w:t>
      </w:r>
      <w:r>
        <w:rPr>
          <w:rFonts w:hint="eastAsia"/>
        </w:rPr>
        <w:t>管理需求，主要包括</w:t>
      </w:r>
      <w:r>
        <w:rPr>
          <w:rFonts w:ascii="Times" w:hAnsi="Times" w:hint="eastAsia"/>
        </w:rPr>
        <w:t>“</w:t>
      </w:r>
      <w:r w:rsidRPr="00475C2C">
        <w:rPr>
          <w:rFonts w:ascii="Times" w:hAnsi="Times" w:hint="eastAsia"/>
        </w:rPr>
        <w:t>实施一体化管理</w:t>
      </w:r>
      <w:r>
        <w:rPr>
          <w:rFonts w:ascii="Times" w:hAnsi="Times" w:hint="eastAsia"/>
        </w:rPr>
        <w:t>”、“</w:t>
      </w:r>
      <w:r w:rsidRPr="00475C2C">
        <w:rPr>
          <w:rFonts w:ascii="Times" w:hAnsi="Times" w:hint="eastAsia"/>
        </w:rPr>
        <w:t>关注外部需求</w:t>
      </w:r>
      <w:r>
        <w:rPr>
          <w:rFonts w:ascii="Times" w:hAnsi="Times" w:hint="eastAsia"/>
        </w:rPr>
        <w:t>”、“</w:t>
      </w:r>
      <w:r w:rsidRPr="00475C2C">
        <w:rPr>
          <w:rFonts w:ascii="Times" w:hAnsi="Times" w:hint="eastAsia"/>
        </w:rPr>
        <w:t>健全管理体系</w:t>
      </w:r>
      <w:r>
        <w:rPr>
          <w:rFonts w:ascii="Times" w:hAnsi="Times" w:hint="eastAsia"/>
        </w:rPr>
        <w:t>”与“</w:t>
      </w:r>
      <w:r w:rsidRPr="00475C2C">
        <w:rPr>
          <w:rFonts w:ascii="Times" w:hAnsi="Times" w:hint="eastAsia"/>
        </w:rPr>
        <w:t>攻克技术瓶颈</w:t>
      </w:r>
      <w:r>
        <w:rPr>
          <w:rFonts w:ascii="Times" w:hAnsi="Times" w:hint="eastAsia"/>
        </w:rPr>
        <w:t>”四方面</w:t>
      </w:r>
      <w:r>
        <w:rPr>
          <w:rFonts w:hint="eastAsia"/>
        </w:rPr>
        <w:t>。进一步</w:t>
      </w:r>
      <w:r>
        <w:rPr>
          <w:rFonts w:ascii="Times" w:hAnsi="Times" w:hint="eastAsia"/>
        </w:rPr>
        <w:t>从项目群管理视角辨识了</w:t>
      </w:r>
      <w:r w:rsidRPr="00475C2C">
        <w:rPr>
          <w:rFonts w:ascii="Times" w:hAnsi="Times" w:hint="eastAsia"/>
        </w:rPr>
        <w:t>清洁能源基地一体化管理关键因素</w:t>
      </w:r>
      <w:r>
        <w:rPr>
          <w:rFonts w:ascii="Times" w:hAnsi="Times" w:hint="eastAsia"/>
        </w:rPr>
        <w:t>，包括</w:t>
      </w:r>
      <w:r w:rsidRPr="004359EA">
        <w:rPr>
          <w:rFonts w:hint="eastAsia"/>
        </w:rPr>
        <w:t>外部环境、业主项目群管理能力</w:t>
      </w:r>
      <w:r>
        <w:rPr>
          <w:rFonts w:hint="eastAsia"/>
        </w:rPr>
        <w:t>、</w:t>
      </w:r>
      <w:r w:rsidRPr="004359EA">
        <w:rPr>
          <w:rFonts w:hint="eastAsia"/>
        </w:rPr>
        <w:t>管理制度</w:t>
      </w:r>
      <w:r>
        <w:rPr>
          <w:rFonts w:hint="eastAsia"/>
        </w:rPr>
        <w:t>、</w:t>
      </w:r>
      <w:r w:rsidRPr="006E31D6">
        <w:rPr>
          <w:rFonts w:hint="eastAsia"/>
        </w:rPr>
        <w:t>资源配置</w:t>
      </w:r>
      <w:r>
        <w:rPr>
          <w:rFonts w:hint="eastAsia"/>
        </w:rPr>
        <w:t>、</w:t>
      </w:r>
      <w:r w:rsidRPr="006E31D6">
        <w:rPr>
          <w:rFonts w:hint="eastAsia"/>
        </w:rPr>
        <w:t>伙伴关系</w:t>
      </w:r>
      <w:r>
        <w:rPr>
          <w:rFonts w:hint="eastAsia"/>
        </w:rPr>
        <w:t>、项目群实施、项目群运营与项目群绩效</w:t>
      </w:r>
      <w:r w:rsidR="006430DC">
        <w:rPr>
          <w:rFonts w:ascii="Times" w:hAnsi="Times" w:hint="eastAsia"/>
        </w:rPr>
        <w:t>，并揭示了现状、问题及其成因</w:t>
      </w:r>
      <w:r>
        <w:rPr>
          <w:rFonts w:hint="eastAsia"/>
        </w:rPr>
        <w:t>。</w:t>
      </w:r>
    </w:p>
    <w:p w14:paraId="5AF5B5C4" w14:textId="5B1D605A" w:rsidR="006F7763" w:rsidRDefault="006F7763" w:rsidP="00166AE2">
      <w:pPr>
        <w:ind w:firstLine="420"/>
        <w:rPr>
          <w:rFonts w:cs="Times New Roman"/>
        </w:rPr>
      </w:pPr>
      <w:r>
        <w:rPr>
          <w:rFonts w:hint="eastAsia"/>
        </w:rPr>
        <w:t>其次，构建了</w:t>
      </w:r>
      <w:r w:rsidRPr="006C487E">
        <w:rPr>
          <w:rFonts w:hint="eastAsia"/>
        </w:rPr>
        <w:t>清洁能源基地一体化管理理论</w:t>
      </w:r>
      <w:r>
        <w:rPr>
          <w:rFonts w:hint="eastAsia"/>
        </w:rPr>
        <w:t>模型，分析了关键因素间的相互作用关系，揭示了</w:t>
      </w:r>
      <w:r>
        <w:rPr>
          <w:rFonts w:hint="eastAsia"/>
        </w:rPr>
        <w:t>4</w:t>
      </w:r>
      <w:r>
        <w:rPr>
          <w:rFonts w:hint="eastAsia"/>
        </w:rPr>
        <w:t>条</w:t>
      </w:r>
      <w:r w:rsidRPr="006C487E">
        <w:rPr>
          <w:rFonts w:hint="eastAsia"/>
        </w:rPr>
        <w:t>清洁能源基地一体化管理</w:t>
      </w:r>
      <w:r>
        <w:rPr>
          <w:rFonts w:hint="eastAsia"/>
        </w:rPr>
        <w:t>机理</w:t>
      </w:r>
      <w:r>
        <w:rPr>
          <w:rFonts w:cs="Times New Roman" w:hint="eastAsia"/>
        </w:rPr>
        <w:t>：</w:t>
      </w:r>
      <w:r>
        <w:rPr>
          <w:rFonts w:hint="eastAsia"/>
        </w:rPr>
        <w:t>路径</w:t>
      </w:r>
      <w:r>
        <w:rPr>
          <w:rFonts w:hint="eastAsia"/>
        </w:rPr>
        <w:t>A</w:t>
      </w:r>
      <w:r>
        <w:rPr>
          <w:rFonts w:hint="eastAsia"/>
        </w:rPr>
        <w:t>“</w:t>
      </w:r>
      <w:r w:rsidRPr="006C487E">
        <w:rPr>
          <w:rFonts w:hint="eastAsia"/>
        </w:rPr>
        <w:t>外部条件</w:t>
      </w:r>
      <w:r w:rsidRPr="006C487E">
        <w:rPr>
          <w:rFonts w:hint="eastAsia"/>
        </w:rPr>
        <w:t xml:space="preserve"> </w:t>
      </w:r>
      <w:r w:rsidRPr="006C487E">
        <w:rPr>
          <w:rFonts w:hint="eastAsia"/>
        </w:rPr>
        <w:t>→</w:t>
      </w:r>
      <w:r w:rsidRPr="006C487E">
        <w:rPr>
          <w:rFonts w:hint="eastAsia"/>
        </w:rPr>
        <w:t xml:space="preserve"> </w:t>
      </w:r>
      <w:r w:rsidRPr="006C487E">
        <w:rPr>
          <w:rFonts w:hint="eastAsia"/>
        </w:rPr>
        <w:t>管理制度</w:t>
      </w:r>
      <w:r w:rsidRPr="006C487E">
        <w:rPr>
          <w:rFonts w:hint="eastAsia"/>
        </w:rPr>
        <w:t xml:space="preserve"> </w:t>
      </w:r>
      <w:r w:rsidRPr="006C487E">
        <w:rPr>
          <w:rFonts w:hint="eastAsia"/>
        </w:rPr>
        <w:t>→</w:t>
      </w:r>
      <w:r w:rsidRPr="006C487E">
        <w:rPr>
          <w:rFonts w:hint="eastAsia"/>
        </w:rPr>
        <w:t xml:space="preserve"> </w:t>
      </w:r>
      <w:r w:rsidRPr="006C487E">
        <w:rPr>
          <w:rFonts w:hint="eastAsia"/>
        </w:rPr>
        <w:t>伙伴关系</w:t>
      </w:r>
      <w:r w:rsidRPr="006C487E">
        <w:rPr>
          <w:rFonts w:hint="eastAsia"/>
        </w:rPr>
        <w:t xml:space="preserve"> </w:t>
      </w:r>
      <w:r w:rsidRPr="006C487E">
        <w:rPr>
          <w:rFonts w:hint="eastAsia"/>
        </w:rPr>
        <w:t>→</w:t>
      </w:r>
      <w:r w:rsidRPr="006C487E">
        <w:rPr>
          <w:rFonts w:hint="eastAsia"/>
        </w:rPr>
        <w:t xml:space="preserve"> </w:t>
      </w:r>
      <w:r w:rsidRPr="006C487E">
        <w:rPr>
          <w:rFonts w:hint="eastAsia"/>
        </w:rPr>
        <w:t>项目群运营</w:t>
      </w:r>
      <w:r w:rsidRPr="006C487E">
        <w:rPr>
          <w:rFonts w:hint="eastAsia"/>
        </w:rPr>
        <w:t xml:space="preserve"> </w:t>
      </w:r>
      <w:r w:rsidRPr="006C487E">
        <w:rPr>
          <w:rFonts w:hint="eastAsia"/>
        </w:rPr>
        <w:t>→</w:t>
      </w:r>
      <w:r w:rsidRPr="006C487E">
        <w:rPr>
          <w:rFonts w:hint="eastAsia"/>
        </w:rPr>
        <w:t xml:space="preserve"> </w:t>
      </w:r>
      <w:r w:rsidRPr="006C487E">
        <w:rPr>
          <w:rFonts w:hint="eastAsia"/>
        </w:rPr>
        <w:t>项目群绩效</w:t>
      </w:r>
      <w:r>
        <w:rPr>
          <w:rFonts w:hint="eastAsia"/>
        </w:rPr>
        <w:t>”；路径</w:t>
      </w:r>
      <w:r>
        <w:rPr>
          <w:rFonts w:hint="eastAsia"/>
        </w:rPr>
        <w:t>B</w:t>
      </w:r>
      <w:r>
        <w:rPr>
          <w:rFonts w:hint="eastAsia"/>
        </w:rPr>
        <w:t>“</w:t>
      </w:r>
      <w:r w:rsidRPr="006C487E">
        <w:rPr>
          <w:rFonts w:hint="eastAsia"/>
        </w:rPr>
        <w:t>外部条件</w:t>
      </w:r>
      <w:r w:rsidRPr="006C487E">
        <w:rPr>
          <w:rFonts w:hint="eastAsia"/>
        </w:rPr>
        <w:t xml:space="preserve"> </w:t>
      </w:r>
      <w:r w:rsidRPr="006C487E">
        <w:rPr>
          <w:rFonts w:hint="eastAsia"/>
        </w:rPr>
        <w:t>→（管理制度）→（资源配置）→</w:t>
      </w:r>
      <w:r w:rsidRPr="006C487E">
        <w:rPr>
          <w:rFonts w:hint="eastAsia"/>
        </w:rPr>
        <w:t xml:space="preserve"> </w:t>
      </w:r>
      <w:r w:rsidRPr="006C487E">
        <w:rPr>
          <w:rFonts w:hint="eastAsia"/>
        </w:rPr>
        <w:t>项目群实施</w:t>
      </w:r>
      <w:r w:rsidRPr="006C487E">
        <w:rPr>
          <w:rFonts w:hint="eastAsia"/>
        </w:rPr>
        <w:t xml:space="preserve"> </w:t>
      </w:r>
      <w:r w:rsidRPr="006C487E">
        <w:rPr>
          <w:rFonts w:hint="eastAsia"/>
        </w:rPr>
        <w:t>→</w:t>
      </w:r>
      <w:r w:rsidRPr="006C487E">
        <w:rPr>
          <w:rFonts w:hint="eastAsia"/>
        </w:rPr>
        <w:t xml:space="preserve"> </w:t>
      </w:r>
      <w:r w:rsidRPr="006C487E">
        <w:rPr>
          <w:rFonts w:hint="eastAsia"/>
        </w:rPr>
        <w:t>项目群绩效</w:t>
      </w:r>
      <w:r>
        <w:rPr>
          <w:rFonts w:hint="eastAsia"/>
        </w:rPr>
        <w:t>”；路径</w:t>
      </w:r>
      <w:r>
        <w:rPr>
          <w:rFonts w:hint="eastAsia"/>
        </w:rPr>
        <w:t>C</w:t>
      </w:r>
      <w:r>
        <w:rPr>
          <w:rFonts w:hint="eastAsia"/>
        </w:rPr>
        <w:t>“</w:t>
      </w:r>
      <w:r w:rsidRPr="006C487E">
        <w:rPr>
          <w:rFonts w:hint="eastAsia"/>
        </w:rPr>
        <w:t>业主项目群管理能力→（伙伴关系）→项目群运营→项目群绩效</w:t>
      </w:r>
      <w:r>
        <w:rPr>
          <w:rFonts w:hint="eastAsia"/>
        </w:rPr>
        <w:t>”；路径</w:t>
      </w:r>
      <w:r>
        <w:rPr>
          <w:rFonts w:hint="eastAsia"/>
        </w:rPr>
        <w:t>D</w:t>
      </w:r>
      <w:r>
        <w:rPr>
          <w:rFonts w:hint="eastAsia"/>
        </w:rPr>
        <w:t>“</w:t>
      </w:r>
      <w:r w:rsidRPr="006C487E">
        <w:rPr>
          <w:rFonts w:hint="eastAsia"/>
        </w:rPr>
        <w:t>业主项目群管理能力</w:t>
      </w:r>
      <w:r w:rsidRPr="006C487E">
        <w:rPr>
          <w:rFonts w:hint="eastAsia"/>
        </w:rPr>
        <w:t xml:space="preserve"> </w:t>
      </w:r>
      <w:r w:rsidRPr="006C487E">
        <w:rPr>
          <w:rFonts w:hint="eastAsia"/>
        </w:rPr>
        <w:t>→</w:t>
      </w:r>
      <w:r w:rsidRPr="006C487E">
        <w:rPr>
          <w:rFonts w:hint="eastAsia"/>
        </w:rPr>
        <w:t xml:space="preserve"> </w:t>
      </w:r>
      <w:r w:rsidRPr="006C487E">
        <w:rPr>
          <w:rFonts w:hint="eastAsia"/>
        </w:rPr>
        <w:t>（管理制度）→</w:t>
      </w:r>
      <w:r>
        <w:rPr>
          <w:rFonts w:hint="eastAsia"/>
        </w:rPr>
        <w:t xml:space="preserve"> </w:t>
      </w:r>
      <w:r w:rsidRPr="006C487E">
        <w:rPr>
          <w:rFonts w:hint="eastAsia"/>
        </w:rPr>
        <w:t>资源配置</w:t>
      </w:r>
      <w:r w:rsidRPr="006C487E">
        <w:rPr>
          <w:rFonts w:hint="eastAsia"/>
        </w:rPr>
        <w:t xml:space="preserve"> </w:t>
      </w:r>
      <w:r w:rsidRPr="006C487E">
        <w:rPr>
          <w:rFonts w:hint="eastAsia"/>
        </w:rPr>
        <w:t>→</w:t>
      </w:r>
      <w:r w:rsidRPr="006C487E">
        <w:rPr>
          <w:rFonts w:hint="eastAsia"/>
        </w:rPr>
        <w:t xml:space="preserve"> </w:t>
      </w:r>
      <w:r w:rsidRPr="006C487E">
        <w:rPr>
          <w:rFonts w:hint="eastAsia"/>
        </w:rPr>
        <w:t>项目群实施</w:t>
      </w:r>
      <w:r w:rsidRPr="006C487E">
        <w:rPr>
          <w:rFonts w:hint="eastAsia"/>
        </w:rPr>
        <w:t xml:space="preserve"> </w:t>
      </w:r>
      <w:r w:rsidRPr="006C487E">
        <w:rPr>
          <w:rFonts w:hint="eastAsia"/>
        </w:rPr>
        <w:t>→</w:t>
      </w:r>
      <w:r w:rsidRPr="006C487E">
        <w:rPr>
          <w:rFonts w:hint="eastAsia"/>
        </w:rPr>
        <w:t xml:space="preserve"> </w:t>
      </w:r>
      <w:r w:rsidRPr="006C487E">
        <w:rPr>
          <w:rFonts w:hint="eastAsia"/>
        </w:rPr>
        <w:t>项目群绩效</w:t>
      </w:r>
      <w:r>
        <w:rPr>
          <w:rFonts w:hint="eastAsia"/>
        </w:rPr>
        <w:t>”。</w:t>
      </w:r>
      <w:r w:rsidRPr="00AC715B">
        <w:rPr>
          <w:rFonts w:hint="eastAsia"/>
        </w:rPr>
        <w:t>各作用路径中，业主项目群管理能力通过提升项目群运营水平，作用于项目群绩效的路径总效应最大</w:t>
      </w:r>
      <w:r>
        <w:rPr>
          <w:rFonts w:hint="eastAsia"/>
        </w:rPr>
        <w:t>（见</w:t>
      </w:r>
      <w:r>
        <w:fldChar w:fldCharType="begin"/>
      </w:r>
      <w:r>
        <w:instrText xml:space="preserve"> </w:instrText>
      </w:r>
      <w:r>
        <w:rPr>
          <w:rFonts w:hint="eastAsia"/>
        </w:rPr>
        <w:instrText>REF _Ref200172781 \h</w:instrText>
      </w:r>
      <w:r>
        <w:instrText xml:space="preserve"> </w:instrText>
      </w:r>
      <w:r>
        <w:fldChar w:fldCharType="separate"/>
      </w:r>
      <w:r w:rsidR="000F2689">
        <w:rPr>
          <w:rFonts w:hint="eastAsia"/>
        </w:rPr>
        <w:t>表</w:t>
      </w:r>
      <w:r w:rsidR="000F2689">
        <w:rPr>
          <w:rFonts w:hint="eastAsia"/>
        </w:rPr>
        <w:t xml:space="preserve"> </w:t>
      </w:r>
      <w:r w:rsidR="000F2689">
        <w:rPr>
          <w:noProof/>
        </w:rPr>
        <w:t>14</w:t>
      </w:r>
      <w:r>
        <w:fldChar w:fldCharType="end"/>
      </w:r>
      <w:r>
        <w:rPr>
          <w:rFonts w:hint="eastAsia"/>
        </w:rPr>
        <w:t>）。</w:t>
      </w:r>
    </w:p>
    <w:p w14:paraId="3652DAE5" w14:textId="3BC77578" w:rsidR="0023312C" w:rsidRDefault="006F7763" w:rsidP="00E108CB">
      <w:pPr>
        <w:ind w:firstLine="420"/>
        <w:rPr>
          <w:szCs w:val="21"/>
        </w:rPr>
      </w:pPr>
      <w:r>
        <w:rPr>
          <w:rFonts w:hint="eastAsia"/>
        </w:rPr>
        <w:t>基于以上研究结论，本文提出了清洁能源基地</w:t>
      </w:r>
      <w:r>
        <w:rPr>
          <w:rFonts w:hint="eastAsia"/>
        </w:rPr>
        <w:lastRenderedPageBreak/>
        <w:t>一体化管理建议</w:t>
      </w:r>
      <w:r w:rsidR="00E108CB">
        <w:rPr>
          <w:rFonts w:hint="eastAsia"/>
        </w:rPr>
        <w:t>，包括：提高多能互补系统建设水平；加强清洁能源基地项目群数字化管理；推进设计、采购、施工、运维一体化管理；构建业主、政府、电网公司、当地居民伙伴关系；动态优化项目群管理策略</w:t>
      </w:r>
      <w:r>
        <w:rPr>
          <w:rFonts w:hint="eastAsia"/>
        </w:rPr>
        <w:t>。</w:t>
      </w:r>
    </w:p>
    <w:p w14:paraId="69E0F3C3" w14:textId="5254D403" w:rsidR="00C57685" w:rsidRDefault="00F705C1" w:rsidP="00E108CB">
      <w:pPr>
        <w:tabs>
          <w:tab w:val="left" w:pos="0"/>
          <w:tab w:val="left" w:pos="735"/>
        </w:tabs>
        <w:spacing w:line="360" w:lineRule="exact"/>
        <w:ind w:firstLine="420"/>
      </w:pPr>
      <w:bookmarkStart w:id="37" w:name="_Hlk88060790"/>
      <w:r>
        <w:rPr>
          <w:rFonts w:hint="eastAsia"/>
          <w:szCs w:val="21"/>
        </w:rPr>
        <w:t>以上研究成果可为</w:t>
      </w:r>
      <w:r w:rsidR="00E108CB">
        <w:rPr>
          <w:rFonts w:hint="eastAsia"/>
          <w:szCs w:val="21"/>
        </w:rPr>
        <w:t>清洁能源基地一体化管理</w:t>
      </w:r>
      <w:r>
        <w:rPr>
          <w:rFonts w:hint="eastAsia"/>
          <w:szCs w:val="21"/>
        </w:rPr>
        <w:t>提供理论与实践指导。</w:t>
      </w:r>
      <w:r>
        <w:rPr>
          <w:szCs w:val="21"/>
        </w:rPr>
        <w:t>未来可</w:t>
      </w:r>
      <w:r w:rsidR="00E108CB" w:rsidRPr="008C75C7">
        <w:rPr>
          <w:rFonts w:hint="eastAsia"/>
        </w:rPr>
        <w:t>充分考虑不同清洁能源基地在建设规模、管理模式</w:t>
      </w:r>
      <w:r w:rsidR="00E108CB">
        <w:rPr>
          <w:rFonts w:hint="eastAsia"/>
        </w:rPr>
        <w:t>、</w:t>
      </w:r>
      <w:r w:rsidR="00E108CB" w:rsidRPr="008C75C7">
        <w:rPr>
          <w:rFonts w:hint="eastAsia"/>
        </w:rPr>
        <w:t>利益相关方组成等方面的差异，系统分析不同文化背景下清洁能源基地一体化管理影响因素及其之间的作用关系</w:t>
      </w:r>
      <w:r>
        <w:rPr>
          <w:rFonts w:hint="eastAsia"/>
          <w:szCs w:val="21"/>
        </w:rPr>
        <w:t>。</w:t>
      </w:r>
      <w:bookmarkEnd w:id="37"/>
      <w:r w:rsidR="00E108CB">
        <w:rPr>
          <w:rFonts w:hint="eastAsia"/>
          <w:szCs w:val="21"/>
        </w:rPr>
        <w:t>也可</w:t>
      </w:r>
      <w:r w:rsidR="00E108CB" w:rsidRPr="00D11247">
        <w:rPr>
          <w:rFonts w:hint="eastAsia"/>
        </w:rPr>
        <w:t>考虑更多的输入因素，引入项目规模、承包模式等调节变量</w:t>
      </w:r>
      <w:r w:rsidR="00E108CB" w:rsidRPr="004E48EC">
        <w:rPr>
          <w:rFonts w:hint="eastAsia"/>
        </w:rPr>
        <w:t>，</w:t>
      </w:r>
      <w:r w:rsidR="00E108CB">
        <w:rPr>
          <w:rFonts w:hint="eastAsia"/>
        </w:rPr>
        <w:t>以</w:t>
      </w:r>
      <w:r w:rsidR="00E108CB" w:rsidRPr="00D11247">
        <w:rPr>
          <w:rFonts w:hint="eastAsia"/>
        </w:rPr>
        <w:t>完善理论模型中的作用机理，</w:t>
      </w:r>
      <w:r w:rsidR="00E108CB">
        <w:rPr>
          <w:rFonts w:hint="eastAsia"/>
        </w:rPr>
        <w:t>并</w:t>
      </w:r>
      <w:r w:rsidR="00E108CB" w:rsidRPr="00D11247">
        <w:rPr>
          <w:rFonts w:hint="eastAsia"/>
        </w:rPr>
        <w:t>提升模型与不同类型清洁能源基地开发实践的匹配程度</w:t>
      </w:r>
      <w:r w:rsidR="00E108CB">
        <w:rPr>
          <w:rFonts w:hint="eastAsia"/>
        </w:rPr>
        <w:t>。</w:t>
      </w:r>
    </w:p>
    <w:p w14:paraId="5B3A574F" w14:textId="77777777" w:rsidR="00B023A6" w:rsidRPr="00166AE2" w:rsidRDefault="00B023A6" w:rsidP="00E108CB">
      <w:pPr>
        <w:tabs>
          <w:tab w:val="left" w:pos="0"/>
          <w:tab w:val="left" w:pos="735"/>
        </w:tabs>
        <w:spacing w:line="360" w:lineRule="exact"/>
        <w:ind w:firstLine="420"/>
      </w:pPr>
    </w:p>
    <w:p w14:paraId="5731C6F4" w14:textId="66AD6FEF" w:rsidR="00450B4D" w:rsidRPr="00FD5AAE" w:rsidRDefault="00450B4D" w:rsidP="00FD5AAE">
      <w:pPr>
        <w:tabs>
          <w:tab w:val="left" w:pos="0"/>
        </w:tabs>
        <w:spacing w:line="240" w:lineRule="atLeast"/>
        <w:ind w:firstLineChars="0" w:firstLine="0"/>
        <w:jc w:val="center"/>
        <w:rPr>
          <w:rFonts w:eastAsia="黑体"/>
          <w:szCs w:val="21"/>
        </w:rPr>
      </w:pPr>
      <w:r w:rsidRPr="00FD5AAE">
        <w:rPr>
          <w:rFonts w:eastAsia="黑体"/>
          <w:szCs w:val="21"/>
        </w:rPr>
        <w:t>参考文献（</w:t>
      </w:r>
      <w:r w:rsidRPr="00FD5AAE">
        <w:rPr>
          <w:rFonts w:eastAsia="黑体"/>
          <w:szCs w:val="21"/>
        </w:rPr>
        <w:t>References</w:t>
      </w:r>
      <w:r w:rsidRPr="00FD5AAE">
        <w:rPr>
          <w:rFonts w:eastAsia="黑体"/>
          <w:szCs w:val="21"/>
        </w:rPr>
        <w:t>）</w:t>
      </w:r>
    </w:p>
    <w:p w14:paraId="12372BFE" w14:textId="77777777" w:rsidR="00E17813" w:rsidRPr="00E17813" w:rsidRDefault="002F3722" w:rsidP="00143B30">
      <w:pPr>
        <w:pStyle w:val="aff"/>
        <w:ind w:left="425" w:hangingChars="236" w:hanging="425"/>
        <w:contextualSpacing/>
        <w:mirrorIndents/>
        <w:rPr>
          <w:rFonts w:cs="Times New Roman"/>
          <w:kern w:val="0"/>
        </w:rPr>
      </w:pPr>
      <w:r>
        <w:fldChar w:fldCharType="begin"/>
      </w:r>
      <w:r w:rsidR="00E17813">
        <w:instrText xml:space="preserve"> ADDIN ZOTERO_BIBL {"uncited":[],"omitted":[],"custom":[]} CSL_BIBLIOGRAPHY </w:instrText>
      </w:r>
      <w:r>
        <w:fldChar w:fldCharType="separate"/>
      </w:r>
      <w:r w:rsidR="00E17813" w:rsidRPr="00E17813">
        <w:rPr>
          <w:rFonts w:cs="Times New Roman"/>
          <w:kern w:val="0"/>
        </w:rPr>
        <w:t>[1]</w:t>
      </w:r>
      <w:r w:rsidR="00E17813" w:rsidRPr="00E17813">
        <w:rPr>
          <w:rFonts w:cs="Times New Roman"/>
          <w:kern w:val="0"/>
        </w:rPr>
        <w:tab/>
        <w:t>IEA. Renewables 2022[R]. Paris: International Energy Agency, 2022.</w:t>
      </w:r>
    </w:p>
    <w:p w14:paraId="699F7973" w14:textId="1B54F6FC" w:rsidR="00E17813" w:rsidRDefault="00E17813" w:rsidP="00143B30">
      <w:pPr>
        <w:pStyle w:val="aff"/>
        <w:ind w:left="425" w:hangingChars="236" w:hanging="425"/>
        <w:contextualSpacing/>
        <w:mirrorIndents/>
        <w:rPr>
          <w:rFonts w:cs="Times New Roman"/>
          <w:kern w:val="0"/>
        </w:rPr>
      </w:pPr>
      <w:r w:rsidRPr="00E17813">
        <w:rPr>
          <w:rFonts w:cs="Times New Roman"/>
          <w:kern w:val="0"/>
        </w:rPr>
        <w:t>[2]</w:t>
      </w:r>
      <w:r w:rsidRPr="00E17813">
        <w:rPr>
          <w:rFonts w:cs="Times New Roman"/>
          <w:kern w:val="0"/>
        </w:rPr>
        <w:tab/>
      </w:r>
      <w:r w:rsidRPr="00E17813">
        <w:rPr>
          <w:rFonts w:cs="Times New Roman"/>
          <w:kern w:val="0"/>
        </w:rPr>
        <w:t>辛禾</w:t>
      </w:r>
      <w:r w:rsidRPr="00E17813">
        <w:rPr>
          <w:rFonts w:cs="Times New Roman"/>
          <w:kern w:val="0"/>
        </w:rPr>
        <w:t xml:space="preserve">. </w:t>
      </w:r>
      <w:r w:rsidRPr="00E17813">
        <w:rPr>
          <w:rFonts w:cs="Times New Roman"/>
          <w:kern w:val="0"/>
        </w:rPr>
        <w:t>考虑多能互补的清洁能源协同优化调度及效益均衡研究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华北电力大学</w:t>
      </w:r>
      <w:r w:rsidRPr="00E17813">
        <w:rPr>
          <w:rFonts w:cs="Times New Roman"/>
          <w:kern w:val="0"/>
        </w:rPr>
        <w:t>, 2019.</w:t>
      </w:r>
    </w:p>
    <w:p w14:paraId="2593E223" w14:textId="13AAEE59" w:rsidR="002D1967" w:rsidRPr="002D1967" w:rsidRDefault="002D1967" w:rsidP="002D1967">
      <w:pPr>
        <w:pStyle w:val="aff"/>
        <w:ind w:leftChars="202" w:left="424" w:firstLineChars="0" w:firstLine="1"/>
        <w:contextualSpacing/>
        <w:mirrorIndents/>
        <w:rPr>
          <w:rFonts w:cs="Times New Roman"/>
          <w:kern w:val="0"/>
        </w:rPr>
      </w:pPr>
      <w:r w:rsidRPr="002D1967">
        <w:rPr>
          <w:rFonts w:cs="Times New Roman" w:hint="eastAsia"/>
          <w:kern w:val="0"/>
        </w:rPr>
        <w:t>X</w:t>
      </w:r>
      <w:r w:rsidRPr="002D1967">
        <w:rPr>
          <w:rFonts w:cs="Times New Roman"/>
          <w:kern w:val="0"/>
        </w:rPr>
        <w:t>IN H</w:t>
      </w:r>
      <w:r>
        <w:rPr>
          <w:rFonts w:cs="Times New Roman"/>
          <w:kern w:val="0"/>
        </w:rPr>
        <w:t xml:space="preserve">. </w:t>
      </w:r>
      <w:r w:rsidRPr="002D1967">
        <w:rPr>
          <w:rFonts w:cs="Times New Roman"/>
          <w:kern w:val="0"/>
        </w:rPr>
        <w:t xml:space="preserve">The </w:t>
      </w:r>
      <w:r>
        <w:rPr>
          <w:rFonts w:cs="Times New Roman" w:hint="eastAsia"/>
          <w:kern w:val="0"/>
        </w:rPr>
        <w:t>s</w:t>
      </w:r>
      <w:r w:rsidRPr="002D1967">
        <w:rPr>
          <w:rFonts w:cs="Times New Roman"/>
          <w:kern w:val="0"/>
        </w:rPr>
        <w:t>ynergetic optimal scheduling and benefit</w:t>
      </w:r>
      <w:r>
        <w:rPr>
          <w:rFonts w:cs="Times New Roman"/>
          <w:kern w:val="0"/>
        </w:rPr>
        <w:t xml:space="preserve"> </w:t>
      </w:r>
      <w:r w:rsidRPr="002D1967">
        <w:rPr>
          <w:rFonts w:cs="Times New Roman"/>
          <w:kern w:val="0"/>
        </w:rPr>
        <w:t>equilibrium model for clean energy absorptive</w:t>
      </w:r>
      <w:r>
        <w:rPr>
          <w:rFonts w:cs="Times New Roman"/>
          <w:kern w:val="0"/>
        </w:rPr>
        <w:t xml:space="preserve"> </w:t>
      </w:r>
      <w:r w:rsidRPr="002D1967">
        <w:rPr>
          <w:rFonts w:cs="Times New Roman"/>
          <w:kern w:val="0"/>
        </w:rPr>
        <w:t>considering multi-energy hybrid</w:t>
      </w:r>
      <w:r>
        <w:rPr>
          <w:rFonts w:cs="Times New Roman"/>
          <w:kern w:val="0"/>
        </w:rPr>
        <w:t xml:space="preserve"> [D]. Beijing: </w:t>
      </w:r>
      <w:r w:rsidR="001B5CD5">
        <w:rPr>
          <w:rFonts w:cs="Times New Roman"/>
          <w:kern w:val="0"/>
        </w:rPr>
        <w:t>North China Electric Power University, 2019. (in Chinese)</w:t>
      </w:r>
    </w:p>
    <w:p w14:paraId="26032A3D" w14:textId="15F206C9"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w:t>
      </w:r>
      <w:r w:rsidRPr="00E17813">
        <w:rPr>
          <w:rFonts w:cs="Times New Roman"/>
          <w:kern w:val="0"/>
        </w:rPr>
        <w:tab/>
        <w:t xml:space="preserve">GOH H H, LEE S W, CHUA Q S, </w:t>
      </w:r>
      <w:r w:rsidR="00A00BBB">
        <w:rPr>
          <w:rFonts w:cs="Times New Roman" w:hint="eastAsia"/>
          <w:kern w:val="0"/>
        </w:rPr>
        <w:t>et al</w:t>
      </w:r>
      <w:r w:rsidRPr="00E17813">
        <w:rPr>
          <w:rFonts w:cs="Times New Roman"/>
          <w:kern w:val="0"/>
        </w:rPr>
        <w:t xml:space="preserve">. Renewable energy project: Project management, challenges and risk[J]. Renewable and Sustainable Energy Reviews, 2014, 38: 917-932. </w:t>
      </w:r>
    </w:p>
    <w:p w14:paraId="62782A7E" w14:textId="1F868415"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w:t>
      </w:r>
      <w:r w:rsidRPr="00E17813">
        <w:rPr>
          <w:rFonts w:cs="Times New Roman"/>
          <w:kern w:val="0"/>
        </w:rPr>
        <w:tab/>
        <w:t xml:space="preserve">IKEJEMBA E C X, MPUAN P B, SCHUUR P C, </w:t>
      </w:r>
      <w:r w:rsidR="00143B30">
        <w:rPr>
          <w:rFonts w:cs="Times New Roman"/>
          <w:kern w:val="0"/>
        </w:rPr>
        <w:t>et al</w:t>
      </w:r>
      <w:r w:rsidRPr="00E17813">
        <w:rPr>
          <w:rFonts w:cs="Times New Roman"/>
          <w:kern w:val="0"/>
        </w:rPr>
        <w:t>. The empirical reality &amp; sustainable management failures of renewable energy projects in Sub-Saharan Africa (part 1 of 2)[J]. Renewable Energy, 2017, 102: 234-240.</w:t>
      </w:r>
    </w:p>
    <w:p w14:paraId="370316CA" w14:textId="0685D281"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w:t>
      </w:r>
      <w:r w:rsidRPr="00E17813">
        <w:rPr>
          <w:rFonts w:cs="Times New Roman"/>
          <w:kern w:val="0"/>
        </w:rPr>
        <w:tab/>
        <w:t>MAQBOOL R. Efficiency and effectiveness of factors affecting renewable energy projects: An empirical perspective[J]. Energy, 2018, 158: 944-956.</w:t>
      </w:r>
    </w:p>
    <w:p w14:paraId="0C8E1642" w14:textId="775505F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w:t>
      </w:r>
      <w:r w:rsidRPr="00E17813">
        <w:rPr>
          <w:rFonts w:cs="Times New Roman"/>
          <w:kern w:val="0"/>
        </w:rPr>
        <w:tab/>
        <w:t xml:space="preserve">LEVANDER E, ENGSTRÖM S, SARDÉN Y, </w:t>
      </w:r>
      <w:r w:rsidR="00143B30">
        <w:rPr>
          <w:rFonts w:cs="Times New Roman"/>
          <w:kern w:val="0"/>
        </w:rPr>
        <w:t>et al</w:t>
      </w:r>
      <w:r w:rsidRPr="00E17813">
        <w:rPr>
          <w:rFonts w:cs="Times New Roman"/>
          <w:kern w:val="0"/>
        </w:rPr>
        <w:t>. Construction clients’ ability to manage uncertainty and equivocality[J]. Construction Management and Economics, 2011, 29(7): 753-764.</w:t>
      </w:r>
    </w:p>
    <w:p w14:paraId="41F89168" w14:textId="13D33F8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w:t>
      </w:r>
      <w:r w:rsidRPr="00E17813">
        <w:rPr>
          <w:rFonts w:cs="Times New Roman"/>
          <w:kern w:val="0"/>
        </w:rPr>
        <w:tab/>
        <w:t xml:space="preserve">ADAM A, LINDAHL G. Applying the dynamic capabilities framework in the case of a large public construction client[J]. Construction Management and Economics, 2017, 35(7): 420-431. </w:t>
      </w:r>
    </w:p>
    <w:p w14:paraId="77EF1BCB" w14:textId="2A3A0E9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w:t>
      </w:r>
      <w:r w:rsidRPr="00E17813">
        <w:rPr>
          <w:rFonts w:cs="Times New Roman"/>
          <w:kern w:val="0"/>
        </w:rPr>
        <w:tab/>
        <w:t xml:space="preserve">Cleaner production, project management and strategic drivers: An empirical study[J]. Journal of Cleaner Production, 2017, 141: 881-890. </w:t>
      </w:r>
    </w:p>
    <w:p w14:paraId="2B0A32DC" w14:textId="104F89A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w:t>
      </w:r>
      <w:r w:rsidRPr="00E17813">
        <w:rPr>
          <w:rFonts w:cs="Times New Roman"/>
          <w:kern w:val="0"/>
        </w:rPr>
        <w:tab/>
        <w:t xml:space="preserve">CHA Y, KIM J, HYUN C, </w:t>
      </w:r>
      <w:r w:rsidR="00143B30">
        <w:rPr>
          <w:rFonts w:cs="Times New Roman"/>
          <w:kern w:val="0"/>
        </w:rPr>
        <w:t>et al</w:t>
      </w:r>
      <w:r w:rsidRPr="00E17813">
        <w:rPr>
          <w:rFonts w:cs="Times New Roman"/>
          <w:kern w:val="0"/>
        </w:rPr>
        <w:t xml:space="preserve">. Development of a program definition rating index for the performance prediction of construction programs[J]. Sustainability, 2018, 10(8): 2747. </w:t>
      </w:r>
    </w:p>
    <w:p w14:paraId="414DDBFE" w14:textId="5661C096"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w:t>
      </w:r>
      <w:r w:rsidRPr="00E17813">
        <w:rPr>
          <w:rFonts w:cs="Times New Roman"/>
          <w:kern w:val="0"/>
        </w:rPr>
        <w:tab/>
        <w:t xml:space="preserve">FREDERIKSEN N, GOTTLIEB S C, LEIRINGER R. Organising for infrastructure development programmes: </w:t>
      </w:r>
      <w:r w:rsidRPr="00E17813">
        <w:rPr>
          <w:rFonts w:cs="Times New Roman"/>
          <w:kern w:val="0"/>
        </w:rPr>
        <w:t xml:space="preserve">Governing internal logic multiplicity across organisational spaces[J]. International Journal of Project Management, 2021, 39(3): 223-235. </w:t>
      </w:r>
    </w:p>
    <w:p w14:paraId="62FD7058" w14:textId="7F26154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[11]</w:t>
      </w:r>
      <w:r w:rsidRPr="00E17813">
        <w:rPr>
          <w:rFonts w:cs="Times New Roman"/>
          <w:kern w:val="0"/>
        </w:rPr>
        <w:tab/>
        <w:t>HU Y, CHAN A P C, LE Y. Understanding the determinants of program organization for construction megaproject success: Case study of the Shanghai Expo construction[J]. Journal of Management in Engineering, 2015, 31(5): 05014019.</w:t>
      </w:r>
    </w:p>
    <w:p w14:paraId="2FCBCE57" w14:textId="7777777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[12]</w:t>
      </w:r>
      <w:r w:rsidRPr="00E17813">
        <w:rPr>
          <w:rFonts w:cs="Times New Roman"/>
          <w:kern w:val="0"/>
        </w:rPr>
        <w:tab/>
        <w:t>PMI. A guide to the project management body of knowledge and the standard for project management[M]. Seventh Edition. Pennsylvania: Project Management Institute, Inc, 2021.</w:t>
      </w:r>
    </w:p>
    <w:p w14:paraId="38B7A870" w14:textId="730C30D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[13]</w:t>
      </w:r>
      <w:r w:rsidRPr="00E17813">
        <w:rPr>
          <w:rFonts w:cs="Times New Roman"/>
          <w:kern w:val="0"/>
        </w:rPr>
        <w:tab/>
        <w:t xml:space="preserve">PARTINGTON D, PELLEGRINELLI S, YOUNG M. Attributes and levels of programme management competence: An interpretive study[J]. International Journal of Project Management, 2005, 23(2): 87-95. </w:t>
      </w:r>
    </w:p>
    <w:p w14:paraId="78C59971" w14:textId="35BBA54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[14]</w:t>
      </w:r>
      <w:r w:rsidRPr="00E17813">
        <w:rPr>
          <w:rFonts w:cs="Times New Roman"/>
          <w:kern w:val="0"/>
        </w:rPr>
        <w:tab/>
        <w:t xml:space="preserve">PELLEGRINELLI S, MURRAY-WEBSTER R, TURNER N. Facilitating organizational ambidexterity through the complementary use of projects and programs[J]. International Journal of Project Management, 2015, 33(1): 153-164. </w:t>
      </w:r>
    </w:p>
    <w:p w14:paraId="4F9C6C33" w14:textId="7ABFFBD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[15]</w:t>
      </w:r>
      <w:r w:rsidRPr="00E17813">
        <w:rPr>
          <w:rFonts w:cs="Times New Roman"/>
          <w:kern w:val="0"/>
        </w:rPr>
        <w:tab/>
        <w:t xml:space="preserve">RIJKE J, VAN HERK S, ZEVENBERGEN C, </w:t>
      </w:r>
      <w:r w:rsidR="00143B30">
        <w:rPr>
          <w:rFonts w:cs="Times New Roman"/>
          <w:kern w:val="0"/>
        </w:rPr>
        <w:t>et al</w:t>
      </w:r>
      <w:r w:rsidRPr="00E17813">
        <w:rPr>
          <w:rFonts w:cs="Times New Roman"/>
          <w:kern w:val="0"/>
        </w:rPr>
        <w:t xml:space="preserve">. Adaptive programme management through a balanced performance/strategy-oriented focus[J]. International Journal of Project Management, 2014, 32(7): 1197-1209. </w:t>
      </w:r>
    </w:p>
    <w:p w14:paraId="3EEFCCF3" w14:textId="322D54A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[16]</w:t>
      </w:r>
      <w:r w:rsidRPr="00E17813">
        <w:rPr>
          <w:rFonts w:cs="Times New Roman"/>
          <w:kern w:val="0"/>
        </w:rPr>
        <w:tab/>
        <w:t xml:space="preserve">PELLEGRINELLI S. What’s in a name: Project or programme?[J]. International Journal of Project Management, 2011, 29(2): 232-240. </w:t>
      </w:r>
    </w:p>
    <w:p w14:paraId="109659C0" w14:textId="101553B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[17]</w:t>
      </w:r>
      <w:r w:rsidRPr="00E17813">
        <w:rPr>
          <w:rFonts w:cs="Times New Roman"/>
          <w:kern w:val="0"/>
        </w:rPr>
        <w:tab/>
        <w:t xml:space="preserve">ZAPALAC R, KUEMMLER K, MALAGON T. Establishing management information systems for multiproject programs[J]. Journal of Management in Engineering, 1994, 10(1): 37-42. </w:t>
      </w:r>
    </w:p>
    <w:p w14:paraId="72FDDB8F" w14:textId="1D39BDD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[18]</w:t>
      </w:r>
      <w:r w:rsidRPr="00E17813">
        <w:rPr>
          <w:rFonts w:cs="Times New Roman"/>
          <w:kern w:val="0"/>
        </w:rPr>
        <w:tab/>
        <w:t xml:space="preserve">KIM J H, YOON J Y, KIM K H, </w:t>
      </w:r>
      <w:r w:rsidR="00143B30">
        <w:rPr>
          <w:rFonts w:cs="Times New Roman"/>
          <w:kern w:val="0"/>
        </w:rPr>
        <w:t>et al</w:t>
      </w:r>
      <w:r w:rsidRPr="00E17813">
        <w:rPr>
          <w:rFonts w:cs="Times New Roman"/>
          <w:kern w:val="0"/>
        </w:rPr>
        <w:t>. A conceptual model of intelligent program management information systems (iPMIS) for urban renewal mega projects in Korea[J]. Journal of Asian Architecture and Building Engineering, 2009, 8(1): 57-64.</w:t>
      </w:r>
    </w:p>
    <w:p w14:paraId="0FDD01BA" w14:textId="4B35C96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[19]</w:t>
      </w:r>
      <w:r w:rsidRPr="00E17813">
        <w:rPr>
          <w:rFonts w:cs="Times New Roman"/>
          <w:kern w:val="0"/>
        </w:rPr>
        <w:tab/>
        <w:t xml:space="preserve">HU Y, CHAN A P C, LE Y, </w:t>
      </w:r>
      <w:r w:rsidR="00143B30">
        <w:rPr>
          <w:rFonts w:cs="Times New Roman"/>
          <w:kern w:val="0"/>
        </w:rPr>
        <w:t>et al</w:t>
      </w:r>
      <w:r w:rsidRPr="00E17813">
        <w:rPr>
          <w:rFonts w:cs="Times New Roman"/>
          <w:kern w:val="0"/>
        </w:rPr>
        <w:t>. Developing a program organization performance index for delivering construction megaprojects in China: Fuzzy synthetic evaluation analysis[J]. Journal of Management in Engineering, 2016, 32(4): 05016007.</w:t>
      </w:r>
    </w:p>
    <w:p w14:paraId="2C97EAF4" w14:textId="7777777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[20]</w:t>
      </w:r>
      <w:r w:rsidRPr="00E17813">
        <w:rPr>
          <w:rFonts w:cs="Times New Roman"/>
          <w:kern w:val="0"/>
        </w:rPr>
        <w:tab/>
        <w:t>PMI. The standard for program management[M]. Newtown Square, PA: Project Management Institute, 2017.</w:t>
      </w:r>
    </w:p>
    <w:p w14:paraId="5B1D56D3" w14:textId="697D94B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[21]</w:t>
      </w:r>
      <w:r w:rsidRPr="00E17813">
        <w:rPr>
          <w:rFonts w:cs="Times New Roman"/>
          <w:kern w:val="0"/>
        </w:rPr>
        <w:tab/>
        <w:t xml:space="preserve">DEMIRKESEN S, OZORHON B. Impact of integration management on construction project management performance[J]. International Journal of Project Management, 2017, 35(8): 1639-1654. </w:t>
      </w:r>
    </w:p>
    <w:p w14:paraId="0F98C1BC" w14:textId="11BF382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[22]</w:t>
      </w:r>
      <w:r w:rsidRPr="00E17813">
        <w:rPr>
          <w:rFonts w:cs="Times New Roman"/>
          <w:kern w:val="0"/>
        </w:rPr>
        <w:tab/>
        <w:t xml:space="preserve">ASIF M, FISSCHER O A M, DE BRUIJN E J, </w:t>
      </w:r>
      <w:r w:rsidR="00143B30">
        <w:rPr>
          <w:rFonts w:cs="Times New Roman"/>
          <w:kern w:val="0"/>
        </w:rPr>
        <w:t>et al</w:t>
      </w:r>
      <w:r w:rsidRPr="00E17813">
        <w:rPr>
          <w:rFonts w:cs="Times New Roman"/>
          <w:kern w:val="0"/>
        </w:rPr>
        <w:t xml:space="preserve">. Integration of management systems: A methodology for operational excellence and strategic flexibility[J]. Operations Management Research, 2010, 3(3-4): 146-160. </w:t>
      </w:r>
    </w:p>
    <w:p w14:paraId="724CFE0B" w14:textId="155F5910"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[23]</w:t>
      </w:r>
      <w:r w:rsidRPr="00E17813">
        <w:rPr>
          <w:rFonts w:cs="Times New Roman"/>
          <w:kern w:val="0"/>
        </w:rPr>
        <w:tab/>
        <w:t>BAIDEN B K, PRICE A D F, DAINTY A R J. The extent of team integration within construction projects[J]. International Journal of Project Management, 2006, 24(1): 13-23.</w:t>
      </w:r>
    </w:p>
    <w:p w14:paraId="0EBAE768" w14:textId="7760B1C1"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[24]</w:t>
      </w:r>
      <w:r w:rsidRPr="00E17813">
        <w:rPr>
          <w:rFonts w:cs="Times New Roman"/>
          <w:kern w:val="0"/>
        </w:rPr>
        <w:tab/>
        <w:t xml:space="preserve">BERTEAUX F, JAVERNICK-WILL A. Adaptation and </w:t>
      </w:r>
      <w:r w:rsidRPr="00E17813">
        <w:rPr>
          <w:rFonts w:cs="Times New Roman"/>
          <w:kern w:val="0"/>
        </w:rPr>
        <w:lastRenderedPageBreak/>
        <w:t>integration for multinational project-based organizations[J]. Journal of Management in Engineering, 2015, 31(6): 04015008.</w:t>
      </w:r>
    </w:p>
    <w:p w14:paraId="334C3A8D" w14:textId="53902C5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[25]</w:t>
      </w:r>
      <w:r w:rsidRPr="00E17813">
        <w:rPr>
          <w:rFonts w:cs="Times New Roman"/>
          <w:kern w:val="0"/>
        </w:rPr>
        <w:tab/>
        <w:t>SHEHU Z, AKINTOYE A. Major challenges to the successful implementation and practice of programme management in the construction environment: A critical analysis[J]. International Journal of Project Management, 2010, 28(1): 26-39.</w:t>
      </w:r>
    </w:p>
    <w:p w14:paraId="0E6F0ECA" w14:textId="5D02609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[26]</w:t>
      </w:r>
      <w:r w:rsidRPr="00E17813">
        <w:rPr>
          <w:rFonts w:cs="Times New Roman"/>
          <w:kern w:val="0"/>
        </w:rPr>
        <w:tab/>
        <w:t xml:space="preserve">VUORINEN L, MARTINSUO M. Program integration in multi-project change programs: Agency in integration practice[J]. International Journal of Project Management, 2018, 36(4): 583-599. </w:t>
      </w:r>
    </w:p>
    <w:p w14:paraId="55970D82" w14:textId="3F418B21"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[27]</w:t>
      </w:r>
      <w:r w:rsidRPr="00E17813">
        <w:rPr>
          <w:rFonts w:cs="Times New Roman"/>
          <w:kern w:val="0"/>
        </w:rPr>
        <w:tab/>
        <w:t>BIRKINSHAW J, BRESMAN H, HÅKANSON L. Managing the post-acquisition integration process: How the human integration and task integration processes interact to foster value creation[J]. Journal of Management Studies, 2000, 37(3): 395-425.</w:t>
      </w:r>
    </w:p>
    <w:p w14:paraId="1EEE21ED" w14:textId="0F996093"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[28]</w:t>
      </w:r>
      <w:r w:rsidRPr="00E17813">
        <w:rPr>
          <w:rFonts w:cs="Times New Roman"/>
          <w:kern w:val="0"/>
        </w:rPr>
        <w:tab/>
        <w:t xml:space="preserve">JIA G, CHEN Y, XUE X, </w:t>
      </w:r>
      <w:r w:rsidR="00143B30">
        <w:rPr>
          <w:rFonts w:cs="Times New Roman"/>
          <w:kern w:val="0"/>
        </w:rPr>
        <w:t>et al</w:t>
      </w:r>
      <w:r w:rsidRPr="00E17813">
        <w:rPr>
          <w:rFonts w:cs="Times New Roman"/>
          <w:kern w:val="0"/>
        </w:rPr>
        <w:t>. Program management organization maturity integrated model for mega construction programs in China[J]. International Journal of Project Management, 2011, 29(7): 834-845.</w:t>
      </w:r>
    </w:p>
    <w:p w14:paraId="30983194" w14:textId="56A9C665"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[29]</w:t>
      </w:r>
      <w:r w:rsidRPr="00E17813">
        <w:rPr>
          <w:rFonts w:cs="Times New Roman"/>
          <w:kern w:val="0"/>
        </w:rPr>
        <w:tab/>
        <w:t>MAQBOOL R, DENG X, RASHID Y. Stakeholders’ satisfaction as a key determinant of critical success factors in renewable energy projects[J]. Energy, Sustainability and Society, 2020, 10(1): 1-15.</w:t>
      </w:r>
    </w:p>
    <w:p w14:paraId="59B2C23F" w14:textId="4A2CF8EB"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[30]</w:t>
      </w:r>
      <w:r w:rsidRPr="00E17813">
        <w:rPr>
          <w:rFonts w:cs="Times New Roman"/>
          <w:kern w:val="0"/>
        </w:rPr>
        <w:tab/>
        <w:t xml:space="preserve">RASOOL S F, CHIN T, WANG M, </w:t>
      </w:r>
      <w:r w:rsidR="00143B30">
        <w:rPr>
          <w:rFonts w:cs="Times New Roman"/>
          <w:kern w:val="0"/>
        </w:rPr>
        <w:t>et al</w:t>
      </w:r>
      <w:r w:rsidRPr="00E17813">
        <w:rPr>
          <w:rFonts w:cs="Times New Roman"/>
          <w:kern w:val="0"/>
        </w:rPr>
        <w:t xml:space="preserve">. Exploring the role of organizational support, and critical success factors on renewable energy projects of Pakistan[J]. Energy, 2022, 243: 122765. </w:t>
      </w:r>
    </w:p>
    <w:p w14:paraId="39D2CFAA" w14:textId="3A561C40"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[31]</w:t>
      </w:r>
      <w:r w:rsidRPr="00E17813">
        <w:rPr>
          <w:rFonts w:cs="Times New Roman"/>
          <w:kern w:val="0"/>
        </w:rPr>
        <w:tab/>
        <w:t xml:space="preserve">ZAMAN S, WANG Z, RASOOL S F, </w:t>
      </w:r>
      <w:r w:rsidR="00143B30">
        <w:rPr>
          <w:rFonts w:cs="Times New Roman"/>
          <w:kern w:val="0"/>
        </w:rPr>
        <w:t>et al</w:t>
      </w:r>
      <w:r w:rsidRPr="00E17813">
        <w:rPr>
          <w:rFonts w:cs="Times New Roman"/>
          <w:kern w:val="0"/>
        </w:rPr>
        <w:t>. Impact of critical success factors and supportive leadership on sustainable success of renewable energy projects: Empirical evidence from Pakistan[J]. Energy Policy, 2022, 162: 112793.</w:t>
      </w:r>
    </w:p>
    <w:p w14:paraId="6775925C" w14:textId="148684A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[32]</w:t>
      </w:r>
      <w:r w:rsidRPr="00E17813">
        <w:rPr>
          <w:rFonts w:cs="Times New Roman"/>
          <w:kern w:val="0"/>
        </w:rPr>
        <w:tab/>
        <w:t xml:space="preserve">QIU L, HE L, LU H, </w:t>
      </w:r>
      <w:r w:rsidR="00143B30">
        <w:rPr>
          <w:rFonts w:cs="Times New Roman"/>
          <w:kern w:val="0"/>
        </w:rPr>
        <w:t>et al</w:t>
      </w:r>
      <w:r w:rsidRPr="00E17813">
        <w:rPr>
          <w:rFonts w:cs="Times New Roman"/>
          <w:kern w:val="0"/>
        </w:rPr>
        <w:t xml:space="preserve">. Systematic potential analysis on renewable energy centralized co-development at high altitude: A case study in Qinghai-Tibet plateau[J]. Energy Conversion and Management, 2022, 267: 115879. </w:t>
      </w:r>
    </w:p>
    <w:p w14:paraId="247CB8F4" w14:textId="079C3731"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[33]</w:t>
      </w:r>
      <w:r w:rsidRPr="00E17813">
        <w:rPr>
          <w:rFonts w:cs="Times New Roman"/>
          <w:kern w:val="0"/>
        </w:rPr>
        <w:tab/>
        <w:t>LEE H C, CHANG C T. Comparative analysis of MCDM methods for ranking renewable energy sources in Taiwan[J]. Renewable and Sustainable Energy Reviews, 2018, 92: 883-896.</w:t>
      </w:r>
    </w:p>
    <w:p w14:paraId="5FD020D6" w14:textId="0EFE069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[34]</w:t>
      </w:r>
      <w:r w:rsidRPr="00E17813">
        <w:rPr>
          <w:rFonts w:cs="Times New Roman"/>
          <w:kern w:val="0"/>
        </w:rPr>
        <w:tab/>
        <w:t xml:space="preserve">MA T, YANG H, LU L, </w:t>
      </w:r>
      <w:r w:rsidR="00143B30">
        <w:rPr>
          <w:rFonts w:cs="Times New Roman"/>
          <w:kern w:val="0"/>
        </w:rPr>
        <w:t>et al</w:t>
      </w:r>
      <w:r w:rsidRPr="00E17813">
        <w:rPr>
          <w:rFonts w:cs="Times New Roman"/>
          <w:kern w:val="0"/>
        </w:rPr>
        <w:t xml:space="preserve">. Technical feasibility study on a standalone hybrid solar-wind system with pumped hydro storage for a remote island in Hong Kong[J]. Renewable Energy, 2014, 69: 7-15. </w:t>
      </w:r>
    </w:p>
    <w:p w14:paraId="4E88946C" w14:textId="424F22F3"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[35]</w:t>
      </w:r>
      <w:r w:rsidRPr="00E17813">
        <w:rPr>
          <w:rFonts w:cs="Times New Roman"/>
          <w:kern w:val="0"/>
        </w:rPr>
        <w:tab/>
        <w:t xml:space="preserve">PIWOWAR-SULEJ K, SOŁTYSIK M, JAROSZ S, </w:t>
      </w:r>
      <w:r w:rsidR="00143B30">
        <w:rPr>
          <w:rFonts w:cs="Times New Roman"/>
          <w:kern w:val="0"/>
        </w:rPr>
        <w:t>et al</w:t>
      </w:r>
      <w:r w:rsidRPr="00E17813">
        <w:rPr>
          <w:rFonts w:cs="Times New Roman"/>
          <w:kern w:val="0"/>
        </w:rPr>
        <w:t xml:space="preserve">. The linkage between renewable energy and project management: What do we already know, and what are the future directions of research?[J]. Energies, 2023, 16(12): 4609. </w:t>
      </w:r>
    </w:p>
    <w:p w14:paraId="68B2D58A" w14:textId="70FC8D2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[36]</w:t>
      </w:r>
      <w:r w:rsidRPr="00E17813">
        <w:rPr>
          <w:rFonts w:cs="Times New Roman"/>
          <w:kern w:val="0"/>
        </w:rPr>
        <w:tab/>
        <w:t>KENNEDY S F, QAYYUM F. Land acquisition governance and its implications for renewable energy development in Indonesia and the Philippines[J]. Journal of Planning Education and Research, 2024, 44(4): 2056-2067.</w:t>
      </w:r>
    </w:p>
    <w:p w14:paraId="2FB6F4F6" w14:textId="23C113C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[37]</w:t>
      </w:r>
      <w:r w:rsidRPr="00E17813">
        <w:rPr>
          <w:rFonts w:cs="Times New Roman"/>
          <w:kern w:val="0"/>
        </w:rPr>
        <w:tab/>
        <w:t xml:space="preserve">NDI F A. Land acquisition, renewable energy development, </w:t>
      </w:r>
      <w:r w:rsidRPr="00E17813">
        <w:rPr>
          <w:rFonts w:cs="Times New Roman"/>
          <w:kern w:val="0"/>
        </w:rPr>
        <w:t xml:space="preserve">and livelihood transformation in rural Kenya: The case of the Kipeto wind energy project[J]. Energy Research &amp; Social Science, 2024, 112: 103530. </w:t>
      </w:r>
    </w:p>
    <w:p w14:paraId="18E05570" w14:textId="41215D2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[38]</w:t>
      </w:r>
      <w:r w:rsidRPr="00E17813">
        <w:rPr>
          <w:rFonts w:cs="Times New Roman"/>
          <w:kern w:val="0"/>
        </w:rPr>
        <w:tab/>
        <w:t xml:space="preserve">HUSSAIN S, XUETONG W, MAQBOOL R, </w:t>
      </w:r>
      <w:r w:rsidR="00143B30">
        <w:rPr>
          <w:rFonts w:cs="Times New Roman"/>
          <w:kern w:val="0"/>
        </w:rPr>
        <w:t>et al</w:t>
      </w:r>
      <w:r w:rsidRPr="00E17813">
        <w:rPr>
          <w:rFonts w:cs="Times New Roman"/>
          <w:kern w:val="0"/>
        </w:rPr>
        <w:t xml:space="preserve">. The influence of government support, organizational innovativeness and community participation in renewable energy project success: A case of Pakistan[J]. Energy, 2022, 239: 122172. </w:t>
      </w:r>
    </w:p>
    <w:p w14:paraId="713A7BE2" w14:textId="37FEF45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[39]</w:t>
      </w:r>
      <w:r w:rsidRPr="00E17813">
        <w:rPr>
          <w:rFonts w:cs="Times New Roman"/>
          <w:kern w:val="0"/>
        </w:rPr>
        <w:tab/>
        <w:t xml:space="preserve">DING Y, ZHANG X, ZHOU L, </w:t>
      </w:r>
      <w:r w:rsidR="00143B30">
        <w:rPr>
          <w:rFonts w:cs="Times New Roman"/>
          <w:kern w:val="0"/>
        </w:rPr>
        <w:t>et al</w:t>
      </w:r>
      <w:r w:rsidRPr="00E17813">
        <w:rPr>
          <w:rFonts w:cs="Times New Roman"/>
          <w:kern w:val="0"/>
        </w:rPr>
        <w:t xml:space="preserve">. Investment risk assessment of EPC power transmission and transformation projects under new energy grid connection based on the owner’s perspective[J]. Mathematical Problems in Engineering, 2022, 2022: 1-12. </w:t>
      </w:r>
    </w:p>
    <w:p w14:paraId="3DBEE3BA" w14:textId="5AC32BD9" w:rsidR="001B5CD5" w:rsidRDefault="00E17813" w:rsidP="00143B30">
      <w:pPr>
        <w:pStyle w:val="aff"/>
        <w:ind w:left="425" w:hangingChars="236" w:hanging="425"/>
        <w:contextualSpacing/>
        <w:mirrorIndents/>
        <w:rPr>
          <w:rFonts w:cs="Times New Roman"/>
          <w:kern w:val="0"/>
        </w:rPr>
      </w:pPr>
      <w:r w:rsidRPr="00E17813">
        <w:rPr>
          <w:rFonts w:cs="Times New Roman"/>
          <w:kern w:val="0"/>
        </w:rPr>
        <w:t>[40]</w:t>
      </w:r>
      <w:r w:rsidRPr="00E17813">
        <w:rPr>
          <w:rFonts w:cs="Times New Roman"/>
          <w:kern w:val="0"/>
        </w:rPr>
        <w:tab/>
      </w:r>
      <w:r w:rsidRPr="00E17813">
        <w:rPr>
          <w:rFonts w:cs="Times New Roman"/>
          <w:kern w:val="0"/>
        </w:rPr>
        <w:t>文云峰</w:t>
      </w:r>
      <w:r w:rsidRPr="00E17813">
        <w:rPr>
          <w:rFonts w:cs="Times New Roman"/>
          <w:kern w:val="0"/>
        </w:rPr>
        <w:t xml:space="preserve">, </w:t>
      </w:r>
      <w:r w:rsidRPr="00E17813">
        <w:rPr>
          <w:rFonts w:cs="Times New Roman"/>
          <w:kern w:val="0"/>
        </w:rPr>
        <w:t>杨伟峰</w:t>
      </w:r>
      <w:r w:rsidRPr="00E17813">
        <w:rPr>
          <w:rFonts w:cs="Times New Roman"/>
          <w:kern w:val="0"/>
        </w:rPr>
        <w:t xml:space="preserve">, </w:t>
      </w:r>
      <w:r w:rsidRPr="00E17813">
        <w:rPr>
          <w:rFonts w:cs="Times New Roman"/>
          <w:kern w:val="0"/>
        </w:rPr>
        <w:t>汪荣华</w:t>
      </w:r>
      <w:r w:rsidRPr="00E17813">
        <w:rPr>
          <w:rFonts w:cs="Times New Roman"/>
          <w:kern w:val="0"/>
        </w:rPr>
        <w:t xml:space="preserve">, </w:t>
      </w:r>
      <w:r w:rsidRPr="00E17813">
        <w:rPr>
          <w:rFonts w:cs="Times New Roman"/>
          <w:kern w:val="0"/>
        </w:rPr>
        <w:t>等</w:t>
      </w:r>
      <w:r w:rsidRPr="00E17813">
        <w:rPr>
          <w:rFonts w:cs="Times New Roman"/>
          <w:kern w:val="0"/>
        </w:rPr>
        <w:t xml:space="preserve">. </w:t>
      </w:r>
      <w:r w:rsidRPr="00E17813">
        <w:rPr>
          <w:rFonts w:cs="Times New Roman"/>
          <w:kern w:val="0"/>
        </w:rPr>
        <w:t>构建</w:t>
      </w:r>
      <w:r w:rsidRPr="00E17813">
        <w:rPr>
          <w:rFonts w:cs="Times New Roman"/>
          <w:kern w:val="0"/>
        </w:rPr>
        <w:t>100%</w:t>
      </w:r>
      <w:r w:rsidRPr="00E17813">
        <w:rPr>
          <w:rFonts w:cs="Times New Roman"/>
          <w:kern w:val="0"/>
        </w:rPr>
        <w:t>可再生能源电力系统述评与展望</w:t>
      </w:r>
      <w:r w:rsidRPr="00E17813">
        <w:rPr>
          <w:rFonts w:cs="Times New Roman"/>
          <w:kern w:val="0"/>
        </w:rPr>
        <w:t xml:space="preserve">[J]. </w:t>
      </w:r>
      <w:r w:rsidRPr="00E17813">
        <w:rPr>
          <w:rFonts w:cs="Times New Roman"/>
          <w:kern w:val="0"/>
        </w:rPr>
        <w:t>中国电机工程学报</w:t>
      </w:r>
      <w:r w:rsidRPr="00E17813">
        <w:rPr>
          <w:rFonts w:cs="Times New Roman"/>
          <w:kern w:val="0"/>
        </w:rPr>
        <w:t>, 2020, 40(6): 1843-1856.</w:t>
      </w:r>
    </w:p>
    <w:p w14:paraId="0C760518" w14:textId="1F3D7563" w:rsidR="001B5CD5" w:rsidRPr="001B5CD5" w:rsidRDefault="001B5CD5" w:rsidP="001B5CD5">
      <w:pPr>
        <w:adjustRightInd w:val="0"/>
        <w:snapToGrid w:val="0"/>
        <w:ind w:leftChars="202" w:left="424" w:firstLineChars="0" w:firstLine="0"/>
        <w:rPr>
          <w:rFonts w:cs="Times New Roman"/>
          <w:kern w:val="0"/>
          <w:sz w:val="18"/>
        </w:rPr>
      </w:pPr>
      <w:r w:rsidRPr="001B5CD5">
        <w:rPr>
          <w:rFonts w:cs="Times New Roman" w:hint="eastAsia"/>
          <w:kern w:val="0"/>
          <w:sz w:val="18"/>
        </w:rPr>
        <w:t>W</w:t>
      </w:r>
      <w:r w:rsidRPr="001B5CD5">
        <w:rPr>
          <w:rFonts w:cs="Times New Roman"/>
          <w:kern w:val="0"/>
          <w:sz w:val="18"/>
        </w:rPr>
        <w:t>EN Y F, YANG W F, WANG R H, et al. Review and prospect of toward 100% renewable energy power systems</w:t>
      </w:r>
      <w:r>
        <w:rPr>
          <w:rFonts w:cs="Times New Roman"/>
          <w:kern w:val="0"/>
          <w:sz w:val="18"/>
        </w:rPr>
        <w:t xml:space="preserve"> </w:t>
      </w:r>
      <w:r w:rsidRPr="001B5CD5">
        <w:rPr>
          <w:rFonts w:cs="Times New Roman"/>
          <w:kern w:val="0"/>
          <w:sz w:val="18"/>
        </w:rPr>
        <w:t>[J].</w:t>
      </w:r>
      <w:r>
        <w:rPr>
          <w:rFonts w:cs="Times New Roman"/>
          <w:kern w:val="0"/>
          <w:sz w:val="18"/>
        </w:rPr>
        <w:t xml:space="preserve"> </w:t>
      </w:r>
      <w:r w:rsidRPr="001B5CD5">
        <w:rPr>
          <w:rFonts w:cs="Times New Roman"/>
          <w:kern w:val="0"/>
          <w:sz w:val="18"/>
        </w:rPr>
        <w:t>Proceedings of the CSEE, 2020, 40(6): 1843-1856.</w:t>
      </w:r>
      <w:r>
        <w:rPr>
          <w:rFonts w:cs="Times New Roman"/>
          <w:kern w:val="0"/>
          <w:sz w:val="18"/>
        </w:rPr>
        <w:t xml:space="preserve"> (in Chinese)</w:t>
      </w:r>
    </w:p>
    <w:p w14:paraId="448B4C06" w14:textId="4AF155CC"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[41]</w:t>
      </w:r>
      <w:r w:rsidRPr="00E17813">
        <w:rPr>
          <w:rFonts w:cs="Times New Roman"/>
          <w:kern w:val="0"/>
        </w:rPr>
        <w:tab/>
        <w:t xml:space="preserve">FUJII H, SHINOZAKI A, KAGAWA S, </w:t>
      </w:r>
      <w:r w:rsidR="00143B30">
        <w:rPr>
          <w:rFonts w:cs="Times New Roman"/>
          <w:kern w:val="0"/>
        </w:rPr>
        <w:t>et al</w:t>
      </w:r>
      <w:r w:rsidRPr="00E17813">
        <w:rPr>
          <w:rFonts w:cs="Times New Roman"/>
          <w:kern w:val="0"/>
        </w:rPr>
        <w:t xml:space="preserve">. How does information and communication technology capital affect productivity in the energy sector? New evidence from 14 countries, considering the transition to renewable energy systems[J]. Energies, 2019, 12(9): 1786. </w:t>
      </w:r>
    </w:p>
    <w:p w14:paraId="2EF050A2" w14:textId="27754DE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[42]</w:t>
      </w:r>
      <w:r w:rsidRPr="00E17813">
        <w:rPr>
          <w:rFonts w:cs="Times New Roman"/>
          <w:kern w:val="0"/>
        </w:rPr>
        <w:tab/>
        <w:t xml:space="preserve">LEE C C, HE Z W, XIAO F. How does information and communication technology affect renewable energy technology innovation? International evidence[J]. Renewable Energy, 2022, 200: 546-557. </w:t>
      </w:r>
    </w:p>
    <w:p w14:paraId="54521125" w14:textId="5A3B364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[43]</w:t>
      </w:r>
      <w:r w:rsidRPr="00E17813">
        <w:rPr>
          <w:rFonts w:cs="Times New Roman"/>
          <w:kern w:val="0"/>
        </w:rPr>
        <w:tab/>
        <w:t>LIU Y, FENG C. Promoting renewable energy through national energy legislation[J]. Energy Economics, 2023, 118: 106504.</w:t>
      </w:r>
    </w:p>
    <w:p w14:paraId="6B689E6B" w14:textId="2C9DBF3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[44]</w:t>
      </w:r>
      <w:r w:rsidRPr="00E17813">
        <w:rPr>
          <w:rFonts w:cs="Times New Roman"/>
          <w:kern w:val="0"/>
        </w:rPr>
        <w:tab/>
        <w:t xml:space="preserve">WANG Y, TAGHIZADEH-HESARY F. Green bonds markets and renewable energy development: Policy integration for achieving carbon neutrality[J]. Energy Economics, 2023, 123: 106725. </w:t>
      </w:r>
    </w:p>
    <w:p w14:paraId="279250E1" w14:textId="7D9A4256"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[45]</w:t>
      </w:r>
      <w:r w:rsidRPr="00E17813">
        <w:rPr>
          <w:rFonts w:cs="Times New Roman"/>
          <w:kern w:val="0"/>
        </w:rPr>
        <w:tab/>
        <w:t xml:space="preserve">ZHANG D, ZHENG M, FENG G F, </w:t>
      </w:r>
      <w:r w:rsidR="00143B30">
        <w:rPr>
          <w:rFonts w:cs="Times New Roman"/>
          <w:kern w:val="0"/>
        </w:rPr>
        <w:t>et al</w:t>
      </w:r>
      <w:r w:rsidRPr="00E17813">
        <w:rPr>
          <w:rFonts w:cs="Times New Roman"/>
          <w:kern w:val="0"/>
        </w:rPr>
        <w:t xml:space="preserve">. Does an environmental policy bring to green innovation in renewable energy?[J]. Renewable Energy, 2022, 195: 1113-1124. </w:t>
      </w:r>
    </w:p>
    <w:p w14:paraId="333591B2" w14:textId="077921D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[46]</w:t>
      </w:r>
      <w:r w:rsidRPr="00E17813">
        <w:rPr>
          <w:rFonts w:cs="Times New Roman"/>
          <w:kern w:val="0"/>
        </w:rPr>
        <w:tab/>
        <w:t xml:space="preserve">TANG W, DUFFIELD C, YOUNG D. Partnering mechanism in construction: An empirical study on the Chinese construction industry[J]. Journal of Construction Engineering and Management, 2006, 132(3): 217-229. </w:t>
      </w:r>
    </w:p>
    <w:p w14:paraId="292317DB" w14:textId="4D1369F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[47]</w:t>
      </w:r>
      <w:r w:rsidRPr="00E17813">
        <w:rPr>
          <w:rFonts w:cs="Times New Roman"/>
          <w:kern w:val="0"/>
        </w:rPr>
        <w:tab/>
        <w:t xml:space="preserve">WANG S, TANG W, LI Y. Relationship between owners’ capabilities and project performance on development of hydropower projects in China[J]. Journal of Construction Engineering and Management, 2013, 139(9): 1168-1178. </w:t>
      </w:r>
    </w:p>
    <w:p w14:paraId="4256FD42" w14:textId="7CD4885C"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[48]</w:t>
      </w:r>
      <w:r w:rsidRPr="00E17813">
        <w:rPr>
          <w:rFonts w:cs="Times New Roman"/>
          <w:kern w:val="0"/>
        </w:rPr>
        <w:tab/>
        <w:t xml:space="preserve">PELLEGRINELLI S. Shaping context: The role and challenge for programmes[J]. International Journal of Project Management, 2002, 20(3): 229-233. </w:t>
      </w:r>
    </w:p>
    <w:p w14:paraId="1E3E9882" w14:textId="00801FA5"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[49]</w:t>
      </w:r>
      <w:r w:rsidRPr="00E17813">
        <w:rPr>
          <w:rFonts w:cs="Times New Roman"/>
          <w:kern w:val="0"/>
        </w:rPr>
        <w:tab/>
        <w:t xml:space="preserve">MAQBOOL R, RASHID Y, SULTANA S, </w:t>
      </w:r>
      <w:r w:rsidR="00143B30">
        <w:rPr>
          <w:rFonts w:cs="Times New Roman"/>
          <w:kern w:val="0"/>
        </w:rPr>
        <w:t>et al</w:t>
      </w:r>
      <w:r w:rsidRPr="00E17813">
        <w:rPr>
          <w:rFonts w:cs="Times New Roman"/>
          <w:kern w:val="0"/>
        </w:rPr>
        <w:t xml:space="preserve">. Identifying the critical success factors and their relevant aspects for renewable energy projects: An empirical perspective[J]. Journal of Civil Engineering and Management, 2018, 24(3): 223-237. </w:t>
      </w:r>
    </w:p>
    <w:p w14:paraId="626D6A4C" w14:textId="4E4AB7E9"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[50]</w:t>
      </w:r>
      <w:r w:rsidRPr="00E17813">
        <w:rPr>
          <w:rFonts w:cs="Times New Roman"/>
          <w:kern w:val="0"/>
        </w:rPr>
        <w:tab/>
        <w:t xml:space="preserve">ZHANG X, LIU M, LE Y, </w:t>
      </w:r>
      <w:r w:rsidR="00143B30">
        <w:rPr>
          <w:rFonts w:cs="Times New Roman"/>
          <w:kern w:val="0"/>
        </w:rPr>
        <w:t>et al</w:t>
      </w:r>
      <w:r w:rsidRPr="00E17813">
        <w:rPr>
          <w:rFonts w:cs="Times New Roman"/>
          <w:kern w:val="0"/>
        </w:rPr>
        <w:t xml:space="preserve">. Deconstructing organizational capabilities of megaproject owners: </w:t>
      </w:r>
      <w:r w:rsidRPr="00E17813">
        <w:rPr>
          <w:rFonts w:cs="Times New Roman"/>
          <w:kern w:val="0"/>
        </w:rPr>
        <w:lastRenderedPageBreak/>
        <w:t xml:space="preserve">Dimensions and levels[J]. Journal of Construction Engineering and Management, 2023, 149(7): 04023055. </w:t>
      </w:r>
    </w:p>
    <w:p w14:paraId="1A93D2DC" w14:textId="237E3D9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[51]</w:t>
      </w:r>
      <w:r w:rsidRPr="00E17813">
        <w:rPr>
          <w:rFonts w:cs="Times New Roman"/>
          <w:kern w:val="0"/>
        </w:rPr>
        <w:tab/>
        <w:t xml:space="preserve">GUO Y, MING B, HUANG Q, </w:t>
      </w:r>
      <w:r w:rsidR="00143B30">
        <w:rPr>
          <w:rFonts w:cs="Times New Roman"/>
          <w:kern w:val="0"/>
        </w:rPr>
        <w:t>et al</w:t>
      </w:r>
      <w:r w:rsidRPr="00E17813">
        <w:rPr>
          <w:rFonts w:cs="Times New Roman"/>
          <w:kern w:val="0"/>
        </w:rPr>
        <w:t>. Risk-averse day-ahead generation scheduling of hydro–wind–photovoltaic complementary systems considering the steady requirement of power delivery[J]. Applied Energy, 2022, 309: 118467.</w:t>
      </w:r>
    </w:p>
    <w:p w14:paraId="340CEEF4" w14:textId="3D0E786B"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[52]</w:t>
      </w:r>
      <w:r w:rsidRPr="00E17813">
        <w:rPr>
          <w:rFonts w:cs="Times New Roman"/>
          <w:kern w:val="0"/>
        </w:rPr>
        <w:tab/>
        <w:t xml:space="preserve">LU J, LIU Y, CAO H, </w:t>
      </w:r>
      <w:r w:rsidR="00143B30">
        <w:rPr>
          <w:rFonts w:cs="Times New Roman"/>
          <w:kern w:val="0"/>
        </w:rPr>
        <w:t>et al</w:t>
      </w:r>
      <w:r w:rsidRPr="00E17813">
        <w:rPr>
          <w:rFonts w:cs="Times New Roman"/>
          <w:kern w:val="0"/>
        </w:rPr>
        <w:t xml:space="preserve">. Mid-term scheduling and trading decisions for cascade hydropower stations considering multiple variable uncertainties[J]. Frontiers in Energy Research, 2023, 11: 1252624. </w:t>
      </w:r>
    </w:p>
    <w:p w14:paraId="6F37E6D9" w14:textId="13CD15D5" w:rsidR="00E17813" w:rsidRDefault="00E17813" w:rsidP="00143B30">
      <w:pPr>
        <w:pStyle w:val="aff"/>
        <w:ind w:left="425" w:hangingChars="236" w:hanging="425"/>
        <w:contextualSpacing/>
        <w:mirrorIndents/>
        <w:rPr>
          <w:rFonts w:cs="Times New Roman"/>
          <w:kern w:val="0"/>
        </w:rPr>
      </w:pPr>
      <w:r w:rsidRPr="00E17813">
        <w:rPr>
          <w:rFonts w:cs="Times New Roman"/>
          <w:kern w:val="0"/>
        </w:rPr>
        <w:t>[53]</w:t>
      </w:r>
      <w:r w:rsidRPr="00E17813">
        <w:rPr>
          <w:rFonts w:cs="Times New Roman"/>
          <w:kern w:val="0"/>
        </w:rPr>
        <w:tab/>
      </w:r>
      <w:r w:rsidRPr="00E17813">
        <w:rPr>
          <w:rFonts w:cs="Times New Roman"/>
          <w:kern w:val="0"/>
        </w:rPr>
        <w:t>刘扬</w:t>
      </w:r>
      <w:r w:rsidRPr="00E17813">
        <w:rPr>
          <w:rFonts w:cs="Times New Roman"/>
          <w:kern w:val="0"/>
        </w:rPr>
        <w:t xml:space="preserve">. </w:t>
      </w:r>
      <w:r w:rsidRPr="00E17813">
        <w:rPr>
          <w:rFonts w:cs="Times New Roman"/>
          <w:kern w:val="0"/>
        </w:rPr>
        <w:t>价值共创视角下水利水电工程设计管理研究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2023.</w:t>
      </w:r>
    </w:p>
    <w:p w14:paraId="3DCB4F11" w14:textId="109FDF76" w:rsidR="001B5CD5" w:rsidRPr="001B5CD5" w:rsidRDefault="001B5CD5" w:rsidP="00161A8A">
      <w:pPr>
        <w:pStyle w:val="aff"/>
        <w:ind w:leftChars="202" w:left="424" w:firstLineChars="0" w:firstLine="1"/>
        <w:contextualSpacing/>
        <w:mirrorIndents/>
        <w:rPr>
          <w:rFonts w:cs="Times New Roman"/>
          <w:kern w:val="0"/>
        </w:rPr>
      </w:pPr>
      <w:r w:rsidRPr="001B5CD5">
        <w:rPr>
          <w:rFonts w:cs="Times New Roman"/>
          <w:kern w:val="0"/>
        </w:rPr>
        <w:t>LIU Y.</w:t>
      </w:r>
      <w:r w:rsidR="00161A8A">
        <w:rPr>
          <w:rFonts w:cs="Times New Roman"/>
          <w:kern w:val="0"/>
        </w:rPr>
        <w:t xml:space="preserve"> </w:t>
      </w:r>
      <w:r w:rsidR="00161A8A" w:rsidRPr="00161A8A">
        <w:rPr>
          <w:rFonts w:cs="Times New Roman"/>
          <w:kern w:val="0"/>
        </w:rPr>
        <w:t>Design management in water conservancy and hydropower projects: From the perspective of value co-creation</w:t>
      </w:r>
      <w:r w:rsidR="00161A8A">
        <w:rPr>
          <w:rFonts w:cs="Times New Roman"/>
          <w:kern w:val="0"/>
        </w:rPr>
        <w:t xml:space="preserve"> [D]. Beijing: Tsinghua University, 2023. (in Chinese)</w:t>
      </w:r>
    </w:p>
    <w:p w14:paraId="4E9FF55D" w14:textId="604C74A0" w:rsidR="00E17813" w:rsidRDefault="00E17813" w:rsidP="00143B30">
      <w:pPr>
        <w:pStyle w:val="aff"/>
        <w:ind w:left="425" w:hangingChars="236" w:hanging="425"/>
        <w:contextualSpacing/>
        <w:mirrorIndents/>
        <w:rPr>
          <w:rFonts w:cs="Times New Roman"/>
          <w:kern w:val="0"/>
        </w:rPr>
      </w:pPr>
      <w:r w:rsidRPr="00E17813">
        <w:rPr>
          <w:rFonts w:cs="Times New Roman"/>
          <w:kern w:val="0"/>
        </w:rPr>
        <w:t>[54]</w:t>
      </w:r>
      <w:r w:rsidRPr="00E17813">
        <w:rPr>
          <w:rFonts w:cs="Times New Roman"/>
          <w:kern w:val="0"/>
        </w:rPr>
        <w:tab/>
      </w:r>
      <w:r w:rsidRPr="00E17813">
        <w:rPr>
          <w:rFonts w:cs="Times New Roman"/>
          <w:kern w:val="0"/>
        </w:rPr>
        <w:t>张亚坤</w:t>
      </w:r>
      <w:r w:rsidRPr="00E17813">
        <w:rPr>
          <w:rFonts w:cs="Times New Roman"/>
          <w:kern w:val="0"/>
        </w:rPr>
        <w:t xml:space="preserve">. </w:t>
      </w:r>
      <w:r w:rsidRPr="00E17813">
        <w:rPr>
          <w:rFonts w:cs="Times New Roman"/>
          <w:kern w:val="0"/>
        </w:rPr>
        <w:t>清洁能源工程科技创新机理研究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2024.</w:t>
      </w:r>
    </w:p>
    <w:p w14:paraId="70231841" w14:textId="0AFCE4E8" w:rsidR="00161A8A" w:rsidRPr="00161A8A" w:rsidRDefault="00161A8A" w:rsidP="00161A8A">
      <w:pPr>
        <w:pStyle w:val="aff"/>
        <w:ind w:leftChars="202" w:left="424" w:firstLineChars="0" w:firstLine="1"/>
        <w:contextualSpacing/>
        <w:mirrorIndents/>
        <w:rPr>
          <w:rFonts w:cs="Times New Roman"/>
          <w:kern w:val="0"/>
        </w:rPr>
      </w:pPr>
      <w:r w:rsidRPr="00161A8A">
        <w:rPr>
          <w:rFonts w:cs="Times New Roman"/>
          <w:kern w:val="0"/>
        </w:rPr>
        <w:t>ZHANG Y K. Research on innovation mechanism of clean energy projects</w:t>
      </w:r>
      <w:r>
        <w:rPr>
          <w:rFonts w:cs="Times New Roman"/>
          <w:kern w:val="0"/>
        </w:rPr>
        <w:t>. Beijing: Tsinghua University, 202</w:t>
      </w:r>
      <w:r w:rsidR="006D3442">
        <w:rPr>
          <w:rFonts w:cs="Times New Roman"/>
          <w:kern w:val="0"/>
        </w:rPr>
        <w:t>4</w:t>
      </w:r>
      <w:r>
        <w:rPr>
          <w:rFonts w:cs="Times New Roman"/>
          <w:kern w:val="0"/>
        </w:rPr>
        <w:t>. (in Chinese)</w:t>
      </w:r>
    </w:p>
    <w:p w14:paraId="6994C53A" w14:textId="6F2E662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[55]</w:t>
      </w:r>
      <w:r w:rsidRPr="00E17813">
        <w:rPr>
          <w:rFonts w:cs="Times New Roman"/>
          <w:kern w:val="0"/>
        </w:rPr>
        <w:tab/>
        <w:t xml:space="preserve">WANG D, ZHAO X. Effect of resource integration on organizational resilience of megaprojects: Role of dynamic capability and resource availability[J]. Journal of Asian Architecture and Building Engineering, 2024: 1-16. </w:t>
      </w:r>
    </w:p>
    <w:p w14:paraId="0B5F371D" w14:textId="6212CD39"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[56]</w:t>
      </w:r>
      <w:r w:rsidRPr="00E17813">
        <w:rPr>
          <w:rFonts w:cs="Times New Roman"/>
          <w:kern w:val="0"/>
        </w:rPr>
        <w:tab/>
        <w:t xml:space="preserve">TANG W, LI Z, QIANG M, </w:t>
      </w:r>
      <w:r w:rsidR="00143B30">
        <w:rPr>
          <w:rFonts w:cs="Times New Roman"/>
          <w:kern w:val="0"/>
        </w:rPr>
        <w:t>et al</w:t>
      </w:r>
      <w:r w:rsidRPr="00E17813">
        <w:rPr>
          <w:rFonts w:cs="Times New Roman"/>
          <w:kern w:val="0"/>
        </w:rPr>
        <w:t>. Risk management of hydropower development in China[J]. Energy, 2013, 60: 316-324.</w:t>
      </w:r>
    </w:p>
    <w:p w14:paraId="5ED1FC5F" w14:textId="0657EDBC"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[57]</w:t>
      </w:r>
      <w:r w:rsidRPr="00E17813">
        <w:rPr>
          <w:rFonts w:cs="Times New Roman"/>
          <w:kern w:val="0"/>
        </w:rPr>
        <w:tab/>
        <w:t xml:space="preserve">MOHAMED E, SERESHT N G, JAFARI P, </w:t>
      </w:r>
      <w:r w:rsidR="00143B30">
        <w:rPr>
          <w:rFonts w:cs="Times New Roman"/>
          <w:kern w:val="0"/>
        </w:rPr>
        <w:t>et al</w:t>
      </w:r>
      <w:r w:rsidRPr="00E17813">
        <w:rPr>
          <w:rFonts w:cs="Times New Roman"/>
          <w:kern w:val="0"/>
        </w:rPr>
        <w:t xml:space="preserve">. Risk assessment for onshore wind projects in Canada[J]. Renewable and Sustainable Energy Reviews, 2024, 191: 114145. </w:t>
      </w:r>
    </w:p>
    <w:p w14:paraId="38CBA220" w14:textId="7647F99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[58]</w:t>
      </w:r>
      <w:r w:rsidRPr="00E17813">
        <w:rPr>
          <w:rFonts w:cs="Times New Roman"/>
          <w:kern w:val="0"/>
        </w:rPr>
        <w:tab/>
        <w:t>MATINHEIKKI J, AALTONEN K, WALKER D. Politics, public servants, and profits: Institutional complexity and temporary hybridization in a public infrastructure alliance project[J]. International Journal of Project Management, 2019, 37(2): 298-317.</w:t>
      </w:r>
    </w:p>
    <w:p w14:paraId="771788C1" w14:textId="0DC19B36"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[59]</w:t>
      </w:r>
      <w:r w:rsidRPr="00E17813">
        <w:rPr>
          <w:rFonts w:cs="Times New Roman"/>
          <w:kern w:val="0"/>
        </w:rPr>
        <w:tab/>
        <w:t>FU C, LIU Y Q, SHAN M. Drivers of low-carbon practices in green supply chain management in construction industry: An empirical study in China[J]. Journal of Cleaner Production, 2023, 428: 139497.</w:t>
      </w:r>
    </w:p>
    <w:p w14:paraId="5CE639DD" w14:textId="2F06852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[60]</w:t>
      </w:r>
      <w:r w:rsidRPr="00E17813">
        <w:rPr>
          <w:rFonts w:cs="Times New Roman"/>
          <w:kern w:val="0"/>
        </w:rPr>
        <w:tab/>
        <w:t xml:space="preserve">ZHAO X, SUN C, ZHONG Z, </w:t>
      </w:r>
      <w:r w:rsidR="00143B30">
        <w:rPr>
          <w:rFonts w:cs="Times New Roman"/>
          <w:kern w:val="0"/>
        </w:rPr>
        <w:t>et al</w:t>
      </w:r>
      <w:r w:rsidRPr="00E17813">
        <w:rPr>
          <w:rFonts w:cs="Times New Roman"/>
          <w:kern w:val="0"/>
        </w:rPr>
        <w:t>. Effect of market structure on renewable energy development—A simulation study of a regional electricity market in China[J]. Renewable Energy, 2023, 215: 118911.</w:t>
      </w:r>
    </w:p>
    <w:p w14:paraId="0746C6E7" w14:textId="576C1991"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[61]</w:t>
      </w:r>
      <w:r w:rsidRPr="00E17813">
        <w:rPr>
          <w:rFonts w:cs="Times New Roman"/>
          <w:kern w:val="0"/>
        </w:rPr>
        <w:tab/>
        <w:t xml:space="preserve">DONASTORG A, RENUKAPPA S, SURESH S. Evaluating critical success factors for implementing renewable energy strategies in the Dominican Republic[J]. Renewable Energy, 2020, 149: 329-335. </w:t>
      </w:r>
    </w:p>
    <w:p w14:paraId="414949CF" w14:textId="691DBD4B"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[62]</w:t>
      </w:r>
      <w:r w:rsidRPr="00E17813">
        <w:rPr>
          <w:rFonts w:cs="Times New Roman"/>
          <w:kern w:val="0"/>
        </w:rPr>
        <w:tab/>
        <w:t xml:space="preserve">LIU M, ZHU Y, WEI J, </w:t>
      </w:r>
      <w:r w:rsidR="00143B30">
        <w:rPr>
          <w:rFonts w:cs="Times New Roman"/>
          <w:kern w:val="0"/>
        </w:rPr>
        <w:t>et al</w:t>
      </w:r>
      <w:r w:rsidRPr="00E17813">
        <w:rPr>
          <w:rFonts w:cs="Times New Roman"/>
          <w:kern w:val="0"/>
        </w:rPr>
        <w:t>. Impact of institutional pressures on external program manager involvement: Evidence from large projects in China[J]. Journal of Construction Engineering and Management, 2022, 148(9): 04022079.</w:t>
      </w:r>
    </w:p>
    <w:p w14:paraId="33A16563" w14:textId="34F3DC7C"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[63]</w:t>
      </w:r>
      <w:r w:rsidRPr="00E17813">
        <w:rPr>
          <w:rFonts w:cs="Times New Roman"/>
          <w:kern w:val="0"/>
        </w:rPr>
        <w:tab/>
        <w:t xml:space="preserve">SUN J, ZHANG P. Owner organization design for mega industrial construction projects[J]. International Journal of </w:t>
      </w:r>
      <w:r w:rsidRPr="00E17813">
        <w:rPr>
          <w:rFonts w:cs="Times New Roman"/>
          <w:kern w:val="0"/>
        </w:rPr>
        <w:t xml:space="preserve">Project Management, 2011, 29(7): 828-833. </w:t>
      </w:r>
    </w:p>
    <w:p w14:paraId="51BB62FA" w14:textId="0A5E4CA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[64]</w:t>
      </w:r>
      <w:r w:rsidRPr="00E17813">
        <w:rPr>
          <w:rFonts w:cs="Times New Roman"/>
          <w:kern w:val="0"/>
        </w:rPr>
        <w:tab/>
        <w:t xml:space="preserve">TRZECIAK M. Factors and areas of PgMO supporting the success of the program management in the construction sector[J]. Buildings, 2023, 13(5): 1336. </w:t>
      </w:r>
    </w:p>
    <w:p w14:paraId="1CD0ECC3" w14:textId="5EAF60B5"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[65]</w:t>
      </w:r>
      <w:r w:rsidRPr="00E17813">
        <w:rPr>
          <w:rFonts w:cs="Times New Roman"/>
          <w:kern w:val="0"/>
        </w:rPr>
        <w:tab/>
        <w:t xml:space="preserve">PINTO J K, SLEVIN D P, ENGLISH B. Trust in projects: An empirical assessment of owner/contractor relationships[J]. International Journal of Project Management, 2009, 27(6): 638-648. </w:t>
      </w:r>
    </w:p>
    <w:p w14:paraId="1617A373" w14:textId="091DE8E2"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[66]</w:t>
      </w:r>
      <w:r w:rsidRPr="00E17813">
        <w:rPr>
          <w:rFonts w:cs="Times New Roman"/>
          <w:kern w:val="0"/>
        </w:rPr>
        <w:tab/>
        <w:t xml:space="preserve">MARTINSUO M, AHOLA T. Multi-project management in inter-organizational contexts[J]. International Journal of Project Management, 2022, 40(7): 813-826. </w:t>
      </w:r>
    </w:p>
    <w:p w14:paraId="23E62581" w14:textId="5B7BD382"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[67]</w:t>
      </w:r>
      <w:r w:rsidRPr="00E17813">
        <w:rPr>
          <w:rFonts w:cs="Times New Roman"/>
          <w:kern w:val="0"/>
        </w:rPr>
        <w:tab/>
        <w:t xml:space="preserve">GATZERT N, KOSUB T. Risks and risk management of renewable energy projects: The case of onshore and offshore wind parks[J]. Renewable and Sustainable Energy Reviews, 2016, 60: 982-998. </w:t>
      </w:r>
    </w:p>
    <w:p w14:paraId="4F399E94" w14:textId="386DFEE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[68]</w:t>
      </w:r>
      <w:r w:rsidRPr="00E17813">
        <w:rPr>
          <w:rFonts w:cs="Times New Roman"/>
          <w:kern w:val="0"/>
        </w:rPr>
        <w:tab/>
        <w:t xml:space="preserve">TAN H, LI Z, WANG Q, </w:t>
      </w:r>
      <w:r w:rsidR="00143B30">
        <w:rPr>
          <w:rFonts w:cs="Times New Roman"/>
          <w:kern w:val="0"/>
        </w:rPr>
        <w:t>et al</w:t>
      </w:r>
      <w:r w:rsidRPr="00E17813">
        <w:rPr>
          <w:rFonts w:cs="Times New Roman"/>
          <w:kern w:val="0"/>
        </w:rPr>
        <w:t>. A novel forecast scenario-based robust energy management method for integrated rural energy systems with greenhouses[J]. Applied Energy, 2023, 330: 120343.</w:t>
      </w:r>
    </w:p>
    <w:p w14:paraId="70857000" w14:textId="6ED924E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[69]</w:t>
      </w:r>
      <w:r w:rsidRPr="00E17813">
        <w:rPr>
          <w:rFonts w:cs="Times New Roman"/>
          <w:kern w:val="0"/>
        </w:rPr>
        <w:tab/>
        <w:t>DJØRUP S, THELLUFSEN J Z, SORKNÆS P. The electricity market in a renewable energy system[J]. Energy, 2018, 162: 148-157.</w:t>
      </w:r>
    </w:p>
    <w:p w14:paraId="4A26A0D7" w14:textId="1B6ABB12"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[70]</w:t>
      </w:r>
      <w:r w:rsidRPr="00E17813">
        <w:rPr>
          <w:rFonts w:cs="Times New Roman"/>
          <w:kern w:val="0"/>
        </w:rPr>
        <w:tab/>
        <w:t xml:space="preserve">HARIS M, YANG Q. Investigating the moderating role of political factors on internal success factors and project success: Empirical evidence from Pakistan[J]. Sustainability, 2023, 15(11): 8910. </w:t>
      </w:r>
    </w:p>
    <w:p w14:paraId="46F54739" w14:textId="689757B6"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[71]</w:t>
      </w:r>
      <w:r w:rsidRPr="00E17813">
        <w:rPr>
          <w:rFonts w:cs="Times New Roman"/>
          <w:kern w:val="0"/>
        </w:rPr>
        <w:tab/>
        <w:t>DIMAGGIO P J, POWELL W W. The iron cage revisited: Institutional isomorphism and collective rationality in organizational fields[J]. American Sociological Review, 1983, 48(2): 147-160.</w:t>
      </w:r>
    </w:p>
    <w:p w14:paraId="4ABA3DDB" w14:textId="110CC779"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[72]</w:t>
      </w:r>
      <w:r w:rsidRPr="00E17813">
        <w:rPr>
          <w:rFonts w:cs="Times New Roman"/>
          <w:kern w:val="0"/>
        </w:rPr>
        <w:tab/>
        <w:t xml:space="preserve">MORRIS P W G, GERALDI J. Managing the institutional context for projects[J]. Project Management Journal, 2011, 42(6): 20-32. </w:t>
      </w:r>
    </w:p>
    <w:p w14:paraId="65E3E6D4" w14:textId="324D2514"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[73]</w:t>
      </w:r>
      <w:r w:rsidRPr="00E17813">
        <w:rPr>
          <w:rFonts w:cs="Times New Roman"/>
          <w:kern w:val="0"/>
        </w:rPr>
        <w:tab/>
        <w:t xml:space="preserve">SHEHU Z, AKINTOYE A. Construction programme management theory and practice: Contextual and pragmatic approach[J]. International Journal of Project Management, 2009, 27(7): 703-716. </w:t>
      </w:r>
    </w:p>
    <w:p w14:paraId="731B3EE9" w14:textId="54944BF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[74]</w:t>
      </w:r>
      <w:r w:rsidRPr="00E17813">
        <w:rPr>
          <w:rFonts w:cs="Times New Roman"/>
          <w:kern w:val="0"/>
        </w:rPr>
        <w:tab/>
        <w:t xml:space="preserve">SENARATNE S, SEXTON M. Managing construction project change: A knowledge management perspective[J]. Construction Management and Economics, 2008, 26(12): 1303-1311. </w:t>
      </w:r>
    </w:p>
    <w:p w14:paraId="7749600F" w14:textId="6C9347A7" w:rsidR="00E17813" w:rsidRDefault="00E17813" w:rsidP="00143B30">
      <w:pPr>
        <w:pStyle w:val="aff"/>
        <w:ind w:left="425" w:hangingChars="236" w:hanging="425"/>
        <w:contextualSpacing/>
        <w:mirrorIndents/>
        <w:rPr>
          <w:rFonts w:cs="Times New Roman"/>
          <w:kern w:val="0"/>
        </w:rPr>
      </w:pPr>
      <w:r w:rsidRPr="00E17813">
        <w:rPr>
          <w:rFonts w:cs="Times New Roman"/>
          <w:kern w:val="0"/>
        </w:rPr>
        <w:t>[75]</w:t>
      </w:r>
      <w:r w:rsidRPr="00E17813">
        <w:rPr>
          <w:rFonts w:cs="Times New Roman"/>
          <w:kern w:val="0"/>
        </w:rPr>
        <w:tab/>
      </w:r>
      <w:r w:rsidRPr="00E17813">
        <w:rPr>
          <w:rFonts w:cs="Times New Roman"/>
          <w:kern w:val="0"/>
        </w:rPr>
        <w:t>娄长圣</w:t>
      </w:r>
      <w:r w:rsidRPr="00E17813">
        <w:rPr>
          <w:rFonts w:cs="Times New Roman"/>
          <w:kern w:val="0"/>
        </w:rPr>
        <w:t xml:space="preserve">. </w:t>
      </w:r>
      <w:r w:rsidRPr="00E17813">
        <w:rPr>
          <w:rFonts w:cs="Times New Roman"/>
          <w:kern w:val="0"/>
        </w:rPr>
        <w:t>清洁能源项目风险管理研究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2024.</w:t>
      </w:r>
    </w:p>
    <w:p w14:paraId="6930B313" w14:textId="55E96358" w:rsidR="00515DAD" w:rsidRPr="00515DAD" w:rsidRDefault="00515DAD" w:rsidP="00515DAD">
      <w:pPr>
        <w:pStyle w:val="aff"/>
        <w:ind w:leftChars="202" w:left="424" w:firstLineChars="0" w:firstLine="1"/>
        <w:contextualSpacing/>
        <w:mirrorIndents/>
        <w:rPr>
          <w:rFonts w:cs="Times New Roman"/>
          <w:kern w:val="0"/>
        </w:rPr>
      </w:pPr>
      <w:r w:rsidRPr="00515DAD">
        <w:rPr>
          <w:rFonts w:cs="Times New Roman"/>
          <w:kern w:val="0"/>
        </w:rPr>
        <w:t>LOU C S. Research on risk management of clean energy projects</w:t>
      </w:r>
      <w:r w:rsidRPr="00E17813">
        <w:rPr>
          <w:rFonts w:cs="Times New Roman"/>
          <w:kern w:val="0"/>
        </w:rPr>
        <w:t xml:space="preserve">[D]. </w:t>
      </w:r>
      <w:r>
        <w:rPr>
          <w:rFonts w:cs="Times New Roman" w:hint="eastAsia"/>
          <w:kern w:val="0"/>
        </w:rPr>
        <w:t>B</w:t>
      </w:r>
      <w:r>
        <w:rPr>
          <w:rFonts w:cs="Times New Roman"/>
          <w:kern w:val="0"/>
        </w:rPr>
        <w:t>eijing</w:t>
      </w:r>
      <w:r w:rsidRPr="00E17813">
        <w:rPr>
          <w:rFonts w:cs="Times New Roman"/>
          <w:kern w:val="0"/>
        </w:rPr>
        <w:t xml:space="preserve">: </w:t>
      </w:r>
      <w:r>
        <w:rPr>
          <w:rFonts w:cs="Times New Roman" w:hint="eastAsia"/>
          <w:kern w:val="0"/>
        </w:rPr>
        <w:t>T</w:t>
      </w:r>
      <w:r>
        <w:rPr>
          <w:rFonts w:cs="Times New Roman"/>
          <w:kern w:val="0"/>
        </w:rPr>
        <w:t>singhua University</w:t>
      </w:r>
      <w:r w:rsidRPr="00E17813">
        <w:rPr>
          <w:rFonts w:cs="Times New Roman"/>
          <w:kern w:val="0"/>
        </w:rPr>
        <w:t>, 2024.</w:t>
      </w:r>
      <w:r>
        <w:rPr>
          <w:rFonts w:cs="Times New Roman"/>
          <w:kern w:val="0"/>
        </w:rPr>
        <w:t xml:space="preserve"> (in Chinese)</w:t>
      </w:r>
    </w:p>
    <w:p w14:paraId="54F7238C" w14:textId="58339C3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[76]</w:t>
      </w:r>
      <w:r w:rsidRPr="00E17813">
        <w:rPr>
          <w:rFonts w:cs="Times New Roman"/>
          <w:kern w:val="0"/>
        </w:rPr>
        <w:tab/>
        <w:t xml:space="preserve">TANG W, QIANG M, DUFFIELD C, </w:t>
      </w:r>
      <w:r w:rsidR="00143B30">
        <w:rPr>
          <w:rFonts w:cs="Times New Roman"/>
          <w:kern w:val="0"/>
        </w:rPr>
        <w:t>et al</w:t>
      </w:r>
      <w:r w:rsidRPr="00E17813">
        <w:rPr>
          <w:rFonts w:cs="Times New Roman"/>
          <w:kern w:val="0"/>
        </w:rPr>
        <w:t xml:space="preserve">. Enhancing total quality management by partnering in construction[J]. Journal of Professional Issues in Engineering Education and Practice, 2009, 135(4): 129-141. </w:t>
      </w:r>
    </w:p>
    <w:p w14:paraId="281B94B1" w14:textId="4EFE025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[77]</w:t>
      </w:r>
      <w:r w:rsidRPr="00E17813">
        <w:rPr>
          <w:rFonts w:cs="Times New Roman"/>
          <w:kern w:val="0"/>
        </w:rPr>
        <w:tab/>
        <w:t xml:space="preserve">DU L, TANG W, LIU C, </w:t>
      </w:r>
      <w:r w:rsidR="00143B30">
        <w:rPr>
          <w:rFonts w:cs="Times New Roman"/>
          <w:kern w:val="0"/>
        </w:rPr>
        <w:t>et al</w:t>
      </w:r>
      <w:r w:rsidRPr="00E17813">
        <w:rPr>
          <w:rFonts w:cs="Times New Roman"/>
          <w:kern w:val="0"/>
        </w:rPr>
        <w:t xml:space="preserve">. Enhancing engineer–procure–construct project performance by partnering in international markets: Perspective from Chinese construction companies[J]. International Journal of Project Management, 2016, 34(1): 30-43. </w:t>
      </w:r>
    </w:p>
    <w:p w14:paraId="4524142E" w14:textId="01AC9B33"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[78]</w:t>
      </w:r>
      <w:r w:rsidRPr="00E17813">
        <w:rPr>
          <w:rFonts w:cs="Times New Roman"/>
          <w:kern w:val="0"/>
        </w:rPr>
        <w:tab/>
        <w:t xml:space="preserve">LIU Y, TANG W, DUFFIELD C F, </w:t>
      </w:r>
      <w:r w:rsidR="00143B30">
        <w:rPr>
          <w:rFonts w:cs="Times New Roman"/>
          <w:kern w:val="0"/>
        </w:rPr>
        <w:t>et al</w:t>
      </w:r>
      <w:r w:rsidRPr="00E17813">
        <w:rPr>
          <w:rFonts w:cs="Times New Roman"/>
          <w:kern w:val="0"/>
        </w:rPr>
        <w:t xml:space="preserve">. Improving design by partnering in engineering–procurement–construction </w:t>
      </w:r>
      <w:r w:rsidRPr="00E17813">
        <w:rPr>
          <w:rFonts w:cs="Times New Roman"/>
          <w:kern w:val="0"/>
        </w:rPr>
        <w:lastRenderedPageBreak/>
        <w:t xml:space="preserve">(EPC) hydropower projects: A case study of a large-scale hydropower project in China[J]. Water, 2021, 13(23): 3410. </w:t>
      </w:r>
    </w:p>
    <w:p w14:paraId="1427064D" w14:textId="55CAB3F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[79]</w:t>
      </w:r>
      <w:r w:rsidRPr="00E17813">
        <w:rPr>
          <w:rFonts w:cs="Times New Roman"/>
          <w:kern w:val="0"/>
        </w:rPr>
        <w:tab/>
        <w:t xml:space="preserve">SHEN W, TANG W, WANG Y, </w:t>
      </w:r>
      <w:r w:rsidR="00143B30">
        <w:rPr>
          <w:rFonts w:cs="Times New Roman"/>
          <w:kern w:val="0"/>
        </w:rPr>
        <w:t>et al</w:t>
      </w:r>
      <w:r w:rsidRPr="00E17813">
        <w:rPr>
          <w:rFonts w:cs="Times New Roman"/>
          <w:kern w:val="0"/>
        </w:rPr>
        <w:t xml:space="preserve">. Managing interfaces in large-scale projects: The roles of formal governance and partnering[J]. Journal of Construction Engineering and Management, 2021, 147(7): 04021064. </w:t>
      </w:r>
    </w:p>
    <w:p w14:paraId="3829666E" w14:textId="5C66ECA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[80]</w:t>
      </w:r>
      <w:r w:rsidRPr="00E17813">
        <w:rPr>
          <w:rFonts w:cs="Times New Roman"/>
          <w:kern w:val="0"/>
        </w:rPr>
        <w:tab/>
        <w:t xml:space="preserve">XU Z, YIN Y, LI D, </w:t>
      </w:r>
      <w:r w:rsidR="00143B30">
        <w:rPr>
          <w:rFonts w:cs="Times New Roman"/>
          <w:kern w:val="0"/>
        </w:rPr>
        <w:t>et al</w:t>
      </w:r>
      <w:r w:rsidRPr="00E17813">
        <w:rPr>
          <w:rFonts w:cs="Times New Roman"/>
          <w:kern w:val="0"/>
        </w:rPr>
        <w:t xml:space="preserve">. Owner’s risk allocation and contractor’s role behavior in a project: A parallel-mediation model[J]. Engineering Management Journal, 2018, 30(1): 14-23. </w:t>
      </w:r>
    </w:p>
    <w:p w14:paraId="274B551E" w14:textId="73920FB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[81]</w:t>
      </w:r>
      <w:r w:rsidRPr="00E17813">
        <w:rPr>
          <w:rFonts w:cs="Times New Roman"/>
          <w:kern w:val="0"/>
        </w:rPr>
        <w:tab/>
        <w:t>XU X, MA L, DING L. A framework for BIM-enabled life-cycle information management of construction project[J]. International Journal of Advanced Robotic Systems, 2014, 11(8): 126.</w:t>
      </w:r>
    </w:p>
    <w:p w14:paraId="100D1A7F" w14:textId="4572F1F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[82]</w:t>
      </w:r>
      <w:r w:rsidRPr="00E17813">
        <w:rPr>
          <w:rFonts w:cs="Times New Roman"/>
          <w:kern w:val="0"/>
        </w:rPr>
        <w:tab/>
        <w:t xml:space="preserve">WANG S, SHEN W, TANG W, </w:t>
      </w:r>
      <w:r w:rsidR="00143B30">
        <w:rPr>
          <w:rFonts w:cs="Times New Roman"/>
          <w:kern w:val="0"/>
        </w:rPr>
        <w:t>et al</w:t>
      </w:r>
      <w:r w:rsidRPr="00E17813">
        <w:rPr>
          <w:rFonts w:cs="Times New Roman"/>
          <w:kern w:val="0"/>
        </w:rPr>
        <w:t>. Understanding the social network of stakeholders in hydropower project development: An owners’ view[J]. Renewable Energy, 2019, 132: 326-334.</w:t>
      </w:r>
    </w:p>
    <w:p w14:paraId="61BE2F42" w14:textId="65BA94C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[83]</w:t>
      </w:r>
      <w:r w:rsidRPr="00E17813">
        <w:rPr>
          <w:rFonts w:cs="Times New Roman"/>
          <w:kern w:val="0"/>
        </w:rPr>
        <w:tab/>
        <w:t xml:space="preserve">TIAN Z, HE Q, WANG T. How to mobilize owner-dynamic capabilities in megaprojects? A tripartite evolutionary game approach[J]. Engineering, Construction and Architectural Management, 2023, 32(3): 1478-1498. </w:t>
      </w:r>
    </w:p>
    <w:p w14:paraId="5827EEDC" w14:textId="41EAB1F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[84]</w:t>
      </w:r>
      <w:r w:rsidRPr="00E17813">
        <w:rPr>
          <w:rFonts w:cs="Times New Roman"/>
          <w:kern w:val="0"/>
        </w:rPr>
        <w:tab/>
        <w:t>LU S, HAO G. The influence of owner power in fostering contractor cooperation: Evidence from China[J]. International Journal of Project Management, 2013, 31(4): 522-531.</w:t>
      </w:r>
    </w:p>
    <w:p w14:paraId="0F035FBE" w14:textId="63BB485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[85]</w:t>
      </w:r>
      <w:r w:rsidRPr="00E17813">
        <w:rPr>
          <w:rFonts w:cs="Times New Roman"/>
          <w:kern w:val="0"/>
        </w:rPr>
        <w:tab/>
        <w:t xml:space="preserve">JOHNSEN T E, MIKKELSEN O S, WONG C Y. Strategies for complex supply networks: Findings from the offshore wind power industry[J]. Supply Chain Management: An International Journal, 2019, 24(6): 872-886. </w:t>
      </w:r>
    </w:p>
    <w:p w14:paraId="0F7CAC21" w14:textId="759513E9" w:rsidR="00E17813" w:rsidRDefault="00E17813" w:rsidP="00143B30">
      <w:pPr>
        <w:pStyle w:val="aff"/>
        <w:ind w:left="425" w:hangingChars="236" w:hanging="425"/>
        <w:contextualSpacing/>
        <w:mirrorIndents/>
        <w:rPr>
          <w:rFonts w:cs="Times New Roman"/>
          <w:kern w:val="0"/>
        </w:rPr>
      </w:pPr>
      <w:r w:rsidRPr="00E17813">
        <w:rPr>
          <w:rFonts w:cs="Times New Roman"/>
          <w:kern w:val="0"/>
        </w:rPr>
        <w:t>[86]</w:t>
      </w:r>
      <w:r w:rsidRPr="00E17813">
        <w:rPr>
          <w:rFonts w:cs="Times New Roman"/>
          <w:kern w:val="0"/>
        </w:rPr>
        <w:tab/>
      </w:r>
      <w:r w:rsidRPr="00E17813">
        <w:rPr>
          <w:rFonts w:cs="Times New Roman"/>
          <w:kern w:val="0"/>
        </w:rPr>
        <w:t>王姝力</w:t>
      </w:r>
      <w:r w:rsidRPr="00E17813">
        <w:rPr>
          <w:rFonts w:cs="Times New Roman"/>
          <w:kern w:val="0"/>
        </w:rPr>
        <w:t xml:space="preserve">. </w:t>
      </w:r>
      <w:r w:rsidRPr="00E17813">
        <w:rPr>
          <w:rFonts w:cs="Times New Roman"/>
          <w:kern w:val="0"/>
        </w:rPr>
        <w:t>基于供应链一体化的国际工程</w:t>
      </w:r>
      <w:r w:rsidRPr="00E17813">
        <w:rPr>
          <w:rFonts w:cs="Times New Roman"/>
          <w:kern w:val="0"/>
        </w:rPr>
        <w:t>EPC</w:t>
      </w:r>
      <w:r w:rsidRPr="00E17813">
        <w:rPr>
          <w:rFonts w:cs="Times New Roman"/>
          <w:kern w:val="0"/>
        </w:rPr>
        <w:t>项目采购管理研究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2016.</w:t>
      </w:r>
    </w:p>
    <w:p w14:paraId="7329D5E4" w14:textId="250D7458" w:rsidR="00515DAD" w:rsidRPr="00515DAD" w:rsidRDefault="00515DAD" w:rsidP="00515DAD">
      <w:pPr>
        <w:pStyle w:val="aff"/>
        <w:ind w:leftChars="202" w:left="424" w:firstLineChars="0" w:firstLine="1"/>
        <w:contextualSpacing/>
        <w:mirrorIndents/>
        <w:rPr>
          <w:rFonts w:cs="Times New Roman"/>
          <w:kern w:val="0"/>
        </w:rPr>
      </w:pPr>
      <w:r w:rsidRPr="00515DAD">
        <w:rPr>
          <w:rFonts w:cs="Times New Roman" w:hint="eastAsia"/>
          <w:kern w:val="0"/>
        </w:rPr>
        <w:t>W</w:t>
      </w:r>
      <w:r w:rsidRPr="00515DAD">
        <w:rPr>
          <w:rFonts w:cs="Times New Roman"/>
          <w:kern w:val="0"/>
        </w:rPr>
        <w:t xml:space="preserve">ANG S L. </w:t>
      </w:r>
      <w:r w:rsidR="00E87E7F" w:rsidRPr="00E87E7F">
        <w:rPr>
          <w:rFonts w:cs="Times New Roman"/>
          <w:kern w:val="0"/>
        </w:rPr>
        <w:t>Research on procurement management of international EPC projects from the perspective of supply chain integration</w:t>
      </w:r>
      <w:r w:rsidR="00E87E7F">
        <w:rPr>
          <w:rFonts w:cs="Times New Roman"/>
          <w:kern w:val="0"/>
        </w:rPr>
        <w:t xml:space="preserve">. </w:t>
      </w:r>
      <w:r>
        <w:rPr>
          <w:rFonts w:cs="Times New Roman" w:hint="eastAsia"/>
          <w:kern w:val="0"/>
        </w:rPr>
        <w:t>B</w:t>
      </w:r>
      <w:r>
        <w:rPr>
          <w:rFonts w:cs="Times New Roman"/>
          <w:kern w:val="0"/>
        </w:rPr>
        <w:t>eijing</w:t>
      </w:r>
      <w:r w:rsidRPr="00E17813">
        <w:rPr>
          <w:rFonts w:cs="Times New Roman"/>
          <w:kern w:val="0"/>
        </w:rPr>
        <w:t xml:space="preserve">: </w:t>
      </w:r>
      <w:r>
        <w:rPr>
          <w:rFonts w:cs="Times New Roman" w:hint="eastAsia"/>
          <w:kern w:val="0"/>
        </w:rPr>
        <w:t>T</w:t>
      </w:r>
      <w:r>
        <w:rPr>
          <w:rFonts w:cs="Times New Roman"/>
          <w:kern w:val="0"/>
        </w:rPr>
        <w:t>singhua University</w:t>
      </w:r>
      <w:r w:rsidRPr="00E17813">
        <w:rPr>
          <w:rFonts w:cs="Times New Roman"/>
          <w:kern w:val="0"/>
        </w:rPr>
        <w:t>, 20</w:t>
      </w:r>
      <w:r w:rsidR="00E87E7F">
        <w:rPr>
          <w:rFonts w:cs="Times New Roman"/>
          <w:kern w:val="0"/>
        </w:rPr>
        <w:t>16</w:t>
      </w:r>
      <w:r w:rsidRPr="00E17813">
        <w:rPr>
          <w:rFonts w:cs="Times New Roman"/>
          <w:kern w:val="0"/>
        </w:rPr>
        <w:t>.</w:t>
      </w:r>
      <w:r>
        <w:rPr>
          <w:rFonts w:cs="Times New Roman"/>
          <w:kern w:val="0"/>
        </w:rPr>
        <w:t xml:space="preserve"> (in Chinese)</w:t>
      </w:r>
    </w:p>
    <w:p w14:paraId="3CE438FE" w14:textId="22D3477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[87]</w:t>
      </w:r>
      <w:r w:rsidRPr="00E17813">
        <w:rPr>
          <w:rFonts w:cs="Times New Roman"/>
          <w:kern w:val="0"/>
        </w:rPr>
        <w:tab/>
        <w:t xml:space="preserve">SHEN W, TANG W, WANG S, </w:t>
      </w:r>
      <w:r w:rsidR="00143B30">
        <w:rPr>
          <w:rFonts w:cs="Times New Roman"/>
          <w:kern w:val="0"/>
        </w:rPr>
        <w:t>et al</w:t>
      </w:r>
      <w:r w:rsidRPr="00E17813">
        <w:rPr>
          <w:rFonts w:cs="Times New Roman"/>
          <w:kern w:val="0"/>
        </w:rPr>
        <w:t xml:space="preserve">. Enhancing trust-based interface management in international engineering-procurement-construction projects[J]. Journal of Construction Engineering and Management, 2017, 143(9): 04017061. </w:t>
      </w:r>
    </w:p>
    <w:p w14:paraId="1A6B3B4C" w14:textId="7DFA773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[88]</w:t>
      </w:r>
      <w:r w:rsidRPr="00E17813">
        <w:rPr>
          <w:rFonts w:cs="Times New Roman"/>
          <w:kern w:val="0"/>
        </w:rPr>
        <w:tab/>
        <w:t xml:space="preserve">ADEYINKA A M, ESAN O C, IJAOLA A O, </w:t>
      </w:r>
      <w:r w:rsidR="00143B30">
        <w:rPr>
          <w:rFonts w:cs="Times New Roman"/>
          <w:kern w:val="0"/>
        </w:rPr>
        <w:t>et al</w:t>
      </w:r>
      <w:r w:rsidRPr="00E17813">
        <w:rPr>
          <w:rFonts w:cs="Times New Roman"/>
          <w:kern w:val="0"/>
        </w:rPr>
        <w:t xml:space="preserve">. Advancements in hybrid energy storage systems for enhancing renewable energy-to-grid integration[J]. Sustainable Energy Research, 2024, 11(1): 1-23. </w:t>
      </w:r>
    </w:p>
    <w:p w14:paraId="1ECE8FFA" w14:textId="5F0F1F34" w:rsidR="00E17813" w:rsidRDefault="00E17813" w:rsidP="00143B30">
      <w:pPr>
        <w:pStyle w:val="aff"/>
        <w:ind w:left="425" w:hangingChars="236" w:hanging="425"/>
        <w:contextualSpacing/>
        <w:mirrorIndents/>
        <w:rPr>
          <w:rFonts w:cs="Times New Roman"/>
          <w:kern w:val="0"/>
        </w:rPr>
      </w:pPr>
      <w:r w:rsidRPr="00E17813">
        <w:rPr>
          <w:rFonts w:cs="Times New Roman"/>
          <w:kern w:val="0"/>
        </w:rPr>
        <w:t>[89]</w:t>
      </w:r>
      <w:r w:rsidRPr="00E17813">
        <w:rPr>
          <w:rFonts w:cs="Times New Roman"/>
          <w:kern w:val="0"/>
        </w:rPr>
        <w:tab/>
      </w:r>
      <w:r w:rsidRPr="00E17813">
        <w:rPr>
          <w:rFonts w:cs="Times New Roman"/>
          <w:kern w:val="0"/>
        </w:rPr>
        <w:t>张旭腾</w:t>
      </w:r>
      <w:r w:rsidRPr="00E17813">
        <w:rPr>
          <w:rFonts w:cs="Times New Roman"/>
          <w:kern w:val="0"/>
        </w:rPr>
        <w:t xml:space="preserve">. </w:t>
      </w:r>
      <w:r w:rsidRPr="00E17813">
        <w:rPr>
          <w:rFonts w:cs="Times New Roman"/>
          <w:kern w:val="0"/>
        </w:rPr>
        <w:t>工程建设企业创新机理研究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2022.</w:t>
      </w:r>
    </w:p>
    <w:p w14:paraId="622CF36B" w14:textId="5D3A95D2" w:rsidR="00E87E7F" w:rsidRPr="00E87E7F" w:rsidRDefault="00E87E7F" w:rsidP="00E87E7F">
      <w:pPr>
        <w:pStyle w:val="aff"/>
        <w:ind w:leftChars="202" w:left="424" w:firstLineChars="0" w:firstLine="1"/>
        <w:contextualSpacing/>
        <w:mirrorIndents/>
        <w:rPr>
          <w:rFonts w:cs="Times New Roman"/>
          <w:kern w:val="0"/>
        </w:rPr>
      </w:pPr>
      <w:r w:rsidRPr="00E87E7F">
        <w:rPr>
          <w:rFonts w:cs="Times New Roman"/>
          <w:kern w:val="0"/>
        </w:rPr>
        <w:t>ZHANG X T.</w:t>
      </w:r>
      <w:r w:rsidRPr="00E87E7F">
        <w:t xml:space="preserve"> </w:t>
      </w:r>
      <w:r w:rsidRPr="00E87E7F">
        <w:rPr>
          <w:rFonts w:cs="Times New Roman"/>
          <w:kern w:val="0"/>
        </w:rPr>
        <w:t>Research on the mechanism of company innovation in construction industry</w:t>
      </w:r>
      <w:r>
        <w:rPr>
          <w:rFonts w:cs="Times New Roman"/>
          <w:kern w:val="0"/>
        </w:rPr>
        <w:t xml:space="preserve">. </w:t>
      </w:r>
      <w:r>
        <w:rPr>
          <w:rFonts w:cs="Times New Roman" w:hint="eastAsia"/>
          <w:kern w:val="0"/>
        </w:rPr>
        <w:t>B</w:t>
      </w:r>
      <w:r>
        <w:rPr>
          <w:rFonts w:cs="Times New Roman"/>
          <w:kern w:val="0"/>
        </w:rPr>
        <w:t>eijing</w:t>
      </w:r>
      <w:r w:rsidRPr="00E17813">
        <w:rPr>
          <w:rFonts w:cs="Times New Roman"/>
          <w:kern w:val="0"/>
        </w:rPr>
        <w:t xml:space="preserve">: </w:t>
      </w:r>
      <w:r>
        <w:rPr>
          <w:rFonts w:cs="Times New Roman" w:hint="eastAsia"/>
          <w:kern w:val="0"/>
        </w:rPr>
        <w:t>T</w:t>
      </w:r>
      <w:r>
        <w:rPr>
          <w:rFonts w:cs="Times New Roman"/>
          <w:kern w:val="0"/>
        </w:rPr>
        <w:t>singhua University</w:t>
      </w:r>
      <w:r w:rsidRPr="00E17813">
        <w:rPr>
          <w:rFonts w:cs="Times New Roman"/>
          <w:kern w:val="0"/>
        </w:rPr>
        <w:t>, 20</w:t>
      </w:r>
      <w:r>
        <w:rPr>
          <w:rFonts w:cs="Times New Roman"/>
          <w:kern w:val="0"/>
        </w:rPr>
        <w:t>22</w:t>
      </w:r>
      <w:r w:rsidRPr="00E17813">
        <w:rPr>
          <w:rFonts w:cs="Times New Roman"/>
          <w:kern w:val="0"/>
        </w:rPr>
        <w:t>.</w:t>
      </w:r>
      <w:r>
        <w:rPr>
          <w:rFonts w:cs="Times New Roman"/>
          <w:kern w:val="0"/>
        </w:rPr>
        <w:t xml:space="preserve"> (in Chinese)</w:t>
      </w:r>
    </w:p>
    <w:p w14:paraId="75763A97" w14:textId="58989D9A"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[90]</w:t>
      </w:r>
      <w:r w:rsidRPr="00E17813">
        <w:rPr>
          <w:rFonts w:cs="Times New Roman"/>
          <w:kern w:val="0"/>
        </w:rPr>
        <w:tab/>
        <w:t xml:space="preserve">CHEN C, LIU H, XIAO Y, </w:t>
      </w:r>
      <w:r w:rsidR="00143B30">
        <w:rPr>
          <w:rFonts w:cs="Times New Roman"/>
          <w:kern w:val="0"/>
        </w:rPr>
        <w:t>et al</w:t>
      </w:r>
      <w:r w:rsidRPr="00E17813">
        <w:rPr>
          <w:rFonts w:cs="Times New Roman"/>
          <w:kern w:val="0"/>
        </w:rPr>
        <w:t>. Power generation scheduling for a hydro-wind-solar hybrid system: A systematic survey and prospect[J]. Energies, 2022, 15(22): 8747.</w:t>
      </w:r>
    </w:p>
    <w:p w14:paraId="53B2ABB7" w14:textId="2B927D18" w:rsidR="00E17813" w:rsidRDefault="00E17813" w:rsidP="00143B30">
      <w:pPr>
        <w:pStyle w:val="aff"/>
        <w:ind w:left="425" w:hangingChars="236" w:hanging="425"/>
        <w:contextualSpacing/>
        <w:mirrorIndents/>
        <w:rPr>
          <w:rFonts w:cs="Times New Roman"/>
          <w:kern w:val="0"/>
        </w:rPr>
      </w:pPr>
      <w:r w:rsidRPr="00E17813">
        <w:rPr>
          <w:rFonts w:cs="Times New Roman"/>
          <w:kern w:val="0"/>
        </w:rPr>
        <w:t>[91]</w:t>
      </w:r>
      <w:r w:rsidRPr="00E17813">
        <w:rPr>
          <w:rFonts w:cs="Times New Roman"/>
          <w:kern w:val="0"/>
        </w:rPr>
        <w:tab/>
      </w:r>
      <w:r w:rsidRPr="00E17813">
        <w:rPr>
          <w:rFonts w:cs="Times New Roman"/>
          <w:kern w:val="0"/>
        </w:rPr>
        <w:t>卓振宇</w:t>
      </w:r>
      <w:r w:rsidRPr="00E17813">
        <w:rPr>
          <w:rFonts w:cs="Times New Roman"/>
          <w:kern w:val="0"/>
        </w:rPr>
        <w:t xml:space="preserve">, </w:t>
      </w:r>
      <w:r w:rsidRPr="00E17813">
        <w:rPr>
          <w:rFonts w:cs="Times New Roman"/>
          <w:kern w:val="0"/>
        </w:rPr>
        <w:t>张宁</w:t>
      </w:r>
      <w:r w:rsidRPr="00E17813">
        <w:rPr>
          <w:rFonts w:cs="Times New Roman"/>
          <w:kern w:val="0"/>
        </w:rPr>
        <w:t xml:space="preserve">, </w:t>
      </w:r>
      <w:r w:rsidRPr="00E17813">
        <w:rPr>
          <w:rFonts w:cs="Times New Roman"/>
          <w:kern w:val="0"/>
        </w:rPr>
        <w:t>谢小荣</w:t>
      </w:r>
      <w:r w:rsidRPr="00E17813">
        <w:rPr>
          <w:rFonts w:cs="Times New Roman"/>
          <w:kern w:val="0"/>
        </w:rPr>
        <w:t xml:space="preserve">, </w:t>
      </w:r>
      <w:r w:rsidRPr="00E17813">
        <w:rPr>
          <w:rFonts w:cs="Times New Roman"/>
          <w:kern w:val="0"/>
        </w:rPr>
        <w:t>等</w:t>
      </w:r>
      <w:r w:rsidRPr="00E17813">
        <w:rPr>
          <w:rFonts w:cs="Times New Roman"/>
          <w:kern w:val="0"/>
        </w:rPr>
        <w:t xml:space="preserve">. </w:t>
      </w:r>
      <w:r w:rsidRPr="00E17813">
        <w:rPr>
          <w:rFonts w:cs="Times New Roman"/>
          <w:kern w:val="0"/>
        </w:rPr>
        <w:t>高比例可再生能源电力系统关键技术及发展挑战</w:t>
      </w:r>
      <w:r w:rsidRPr="00E17813">
        <w:rPr>
          <w:rFonts w:cs="Times New Roman"/>
          <w:kern w:val="0"/>
        </w:rPr>
        <w:t xml:space="preserve">[J]. </w:t>
      </w:r>
      <w:r w:rsidRPr="00E17813">
        <w:rPr>
          <w:rFonts w:cs="Times New Roman"/>
          <w:kern w:val="0"/>
        </w:rPr>
        <w:t>电力系统自动化</w:t>
      </w:r>
      <w:r w:rsidRPr="00E17813">
        <w:rPr>
          <w:rFonts w:cs="Times New Roman"/>
          <w:kern w:val="0"/>
        </w:rPr>
        <w:t xml:space="preserve">, 2021, 45(9): </w:t>
      </w:r>
      <w:r w:rsidRPr="00E17813">
        <w:rPr>
          <w:rFonts w:cs="Times New Roman"/>
          <w:kern w:val="0"/>
        </w:rPr>
        <w:t>171-191.</w:t>
      </w:r>
    </w:p>
    <w:p w14:paraId="2DD5D976" w14:textId="54FAE07B" w:rsidR="00E87E7F" w:rsidRPr="00E87E7F" w:rsidRDefault="00E87E7F" w:rsidP="00E87E7F">
      <w:pPr>
        <w:pStyle w:val="aff"/>
        <w:ind w:leftChars="202" w:left="424" w:firstLineChars="0" w:firstLine="1"/>
        <w:contextualSpacing/>
        <w:mirrorIndents/>
        <w:rPr>
          <w:rFonts w:cs="Times New Roman"/>
          <w:kern w:val="0"/>
        </w:rPr>
      </w:pPr>
      <w:r w:rsidRPr="00E87E7F">
        <w:rPr>
          <w:rFonts w:cs="Times New Roman" w:hint="eastAsia"/>
          <w:kern w:val="0"/>
        </w:rPr>
        <w:t>Z</w:t>
      </w:r>
      <w:r w:rsidRPr="00E87E7F">
        <w:rPr>
          <w:rFonts w:cs="Times New Roman"/>
          <w:kern w:val="0"/>
        </w:rPr>
        <w:t>HUO Z Y, ZHANG N, XIE X R, et al. key technologies and developing</w:t>
      </w:r>
      <w:r>
        <w:rPr>
          <w:rFonts w:cs="Times New Roman"/>
          <w:kern w:val="0"/>
        </w:rPr>
        <w:t xml:space="preserve"> </w:t>
      </w:r>
      <w:r w:rsidRPr="00E87E7F">
        <w:rPr>
          <w:rFonts w:cs="Times New Roman"/>
          <w:kern w:val="0"/>
        </w:rPr>
        <w:t>challenges of power system with</w:t>
      </w:r>
      <w:r>
        <w:rPr>
          <w:rFonts w:cs="Times New Roman"/>
          <w:kern w:val="0"/>
        </w:rPr>
        <w:t xml:space="preserve"> </w:t>
      </w:r>
      <w:r w:rsidRPr="00E87E7F">
        <w:rPr>
          <w:rFonts w:cs="Times New Roman"/>
          <w:kern w:val="0"/>
        </w:rPr>
        <w:t>high proportion of renewable</w:t>
      </w:r>
      <w:r>
        <w:rPr>
          <w:rFonts w:cs="Times New Roman"/>
          <w:kern w:val="0"/>
        </w:rPr>
        <w:t xml:space="preserve"> </w:t>
      </w:r>
      <w:r w:rsidRPr="00E87E7F">
        <w:rPr>
          <w:rFonts w:cs="Times New Roman"/>
          <w:kern w:val="0"/>
        </w:rPr>
        <w:t>energy</w:t>
      </w:r>
      <w:r>
        <w:rPr>
          <w:rFonts w:cs="Times New Roman"/>
          <w:kern w:val="0"/>
        </w:rPr>
        <w:t xml:space="preserve"> [J]. </w:t>
      </w:r>
      <w:r w:rsidRPr="00E87E7F">
        <w:rPr>
          <w:rFonts w:cs="Times New Roman"/>
          <w:kern w:val="0"/>
        </w:rPr>
        <w:t>Automation of Electric Power Systems, 2021, 45(9): 171-191.</w:t>
      </w:r>
      <w:r>
        <w:rPr>
          <w:rFonts w:cs="Times New Roman"/>
          <w:kern w:val="0"/>
        </w:rPr>
        <w:t xml:space="preserve"> (in Chinese)</w:t>
      </w:r>
    </w:p>
    <w:p w14:paraId="087264E0" w14:textId="71E30219"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[92]</w:t>
      </w:r>
      <w:r w:rsidRPr="00E17813">
        <w:rPr>
          <w:rFonts w:cs="Times New Roman"/>
          <w:kern w:val="0"/>
        </w:rPr>
        <w:tab/>
        <w:t xml:space="preserve">CUPPEN E, BOSCH-REKVELDT M G C, PIKAAR E, </w:t>
      </w:r>
      <w:r w:rsidR="00143B30">
        <w:rPr>
          <w:rFonts w:cs="Times New Roman"/>
          <w:kern w:val="0"/>
        </w:rPr>
        <w:t>et al</w:t>
      </w:r>
      <w:r w:rsidRPr="00E17813">
        <w:rPr>
          <w:rFonts w:cs="Times New Roman"/>
          <w:kern w:val="0"/>
        </w:rPr>
        <w:t xml:space="preserve">. Stakeholder engagement in large-scale energy infrastructure projects: Revealing perspectives using Q methodology[J]. International Journal of Project Management, 2016, 34(7): 1347-1359. </w:t>
      </w:r>
    </w:p>
    <w:p w14:paraId="27948D3D" w14:textId="69C2832C" w:rsidR="00E17813" w:rsidRPr="00E17813" w:rsidRDefault="00E17813" w:rsidP="00143B30">
      <w:pPr>
        <w:pStyle w:val="aff"/>
        <w:ind w:left="425" w:hangingChars="236" w:hanging="425"/>
        <w:contextualSpacing/>
        <w:mirrorIndents/>
        <w:rPr>
          <w:rFonts w:cs="Times New Roman"/>
          <w:kern w:val="0"/>
        </w:rPr>
      </w:pPr>
      <w:r w:rsidRPr="002F4CE6">
        <w:rPr>
          <w:rFonts w:cs="Times New Roman"/>
          <w:kern w:val="0"/>
        </w:rPr>
        <w:t>[93]</w:t>
      </w:r>
      <w:r w:rsidRPr="002F4CE6">
        <w:rPr>
          <w:rFonts w:cs="Times New Roman"/>
          <w:kern w:val="0"/>
        </w:rPr>
        <w:tab/>
        <w:t>GREEN J, MCMILLAN A. Operations management processes in the continuous production of renewable energy: The basic social process of proficient amalgamating[C]//Advances in Manufacturing Processes, Intelligent Methods and Systems in Production Engineering. Switzerland: Springer, Cham, 2022: 714-728.</w:t>
      </w:r>
      <w:r w:rsidRPr="00E17813">
        <w:rPr>
          <w:rFonts w:cs="Times New Roman"/>
          <w:kern w:val="0"/>
        </w:rPr>
        <w:t xml:space="preserve"> </w:t>
      </w:r>
    </w:p>
    <w:p w14:paraId="08FB28EB" w14:textId="7E09A05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[94]</w:t>
      </w:r>
      <w:r w:rsidRPr="00E17813">
        <w:rPr>
          <w:rFonts w:cs="Times New Roman"/>
          <w:kern w:val="0"/>
        </w:rPr>
        <w:tab/>
        <w:t xml:space="preserve">ŻYWIOŁEK J, ROSAK-SZYROCKA J, KHAN M A, </w:t>
      </w:r>
      <w:r w:rsidR="00143B30">
        <w:rPr>
          <w:rFonts w:cs="Times New Roman"/>
          <w:kern w:val="0"/>
        </w:rPr>
        <w:t>et al</w:t>
      </w:r>
      <w:r w:rsidRPr="00E17813">
        <w:rPr>
          <w:rFonts w:cs="Times New Roman"/>
          <w:kern w:val="0"/>
        </w:rPr>
        <w:t xml:space="preserve">. Trust in renewable energy as part of energy-saving knowledge[J]. Energies, 2022, 15(4): 1566. </w:t>
      </w:r>
    </w:p>
    <w:p w14:paraId="265D64FD" w14:textId="3782BBB5" w:rsidR="00E17813" w:rsidRDefault="00E17813" w:rsidP="00143B30">
      <w:pPr>
        <w:pStyle w:val="aff"/>
        <w:ind w:left="425" w:hangingChars="236" w:hanging="425"/>
        <w:contextualSpacing/>
        <w:mirrorIndents/>
        <w:rPr>
          <w:rFonts w:cs="Times New Roman"/>
          <w:kern w:val="0"/>
        </w:rPr>
      </w:pPr>
      <w:r w:rsidRPr="00E17813">
        <w:rPr>
          <w:rFonts w:cs="Times New Roman"/>
          <w:kern w:val="0"/>
        </w:rPr>
        <w:t>[95]</w:t>
      </w:r>
      <w:r w:rsidRPr="00E17813">
        <w:rPr>
          <w:rFonts w:cs="Times New Roman"/>
          <w:kern w:val="0"/>
        </w:rPr>
        <w:tab/>
      </w:r>
      <w:r w:rsidRPr="00E17813">
        <w:rPr>
          <w:rFonts w:cs="Times New Roman"/>
          <w:kern w:val="0"/>
        </w:rPr>
        <w:t>程浩忠</w:t>
      </w:r>
      <w:r w:rsidRPr="00E17813">
        <w:rPr>
          <w:rFonts w:cs="Times New Roman"/>
          <w:kern w:val="0"/>
        </w:rPr>
        <w:t xml:space="preserve">, </w:t>
      </w:r>
      <w:r w:rsidRPr="00E17813">
        <w:rPr>
          <w:rFonts w:cs="Times New Roman"/>
          <w:kern w:val="0"/>
        </w:rPr>
        <w:t>李隽</w:t>
      </w:r>
      <w:r w:rsidRPr="00E17813">
        <w:rPr>
          <w:rFonts w:cs="Times New Roman"/>
          <w:kern w:val="0"/>
        </w:rPr>
        <w:t xml:space="preserve">, </w:t>
      </w:r>
      <w:r w:rsidRPr="00E17813">
        <w:rPr>
          <w:rFonts w:cs="Times New Roman"/>
          <w:kern w:val="0"/>
        </w:rPr>
        <w:t>吴耀武</w:t>
      </w:r>
      <w:r w:rsidRPr="00E17813">
        <w:rPr>
          <w:rFonts w:cs="Times New Roman"/>
          <w:kern w:val="0"/>
        </w:rPr>
        <w:t xml:space="preserve">, </w:t>
      </w:r>
      <w:r w:rsidRPr="00E17813">
        <w:rPr>
          <w:rFonts w:cs="Times New Roman"/>
          <w:kern w:val="0"/>
        </w:rPr>
        <w:t>等</w:t>
      </w:r>
      <w:r w:rsidRPr="00E17813">
        <w:rPr>
          <w:rFonts w:cs="Times New Roman"/>
          <w:kern w:val="0"/>
        </w:rPr>
        <w:t xml:space="preserve">. </w:t>
      </w:r>
      <w:r w:rsidRPr="00E17813">
        <w:rPr>
          <w:rFonts w:cs="Times New Roman"/>
          <w:kern w:val="0"/>
        </w:rPr>
        <w:t>考虑高比例可再生能源的交直流输电网规划挑战与展望</w:t>
      </w:r>
      <w:r w:rsidRPr="00E17813">
        <w:rPr>
          <w:rFonts w:cs="Times New Roman"/>
          <w:kern w:val="0"/>
        </w:rPr>
        <w:t xml:space="preserve">[J]. </w:t>
      </w:r>
      <w:r w:rsidRPr="00E17813">
        <w:rPr>
          <w:rFonts w:cs="Times New Roman"/>
          <w:kern w:val="0"/>
        </w:rPr>
        <w:t>电力系统自动化</w:t>
      </w:r>
      <w:r w:rsidRPr="00E17813">
        <w:rPr>
          <w:rFonts w:cs="Times New Roman"/>
          <w:kern w:val="0"/>
        </w:rPr>
        <w:t>, 2017, 41(9): 19-27.</w:t>
      </w:r>
    </w:p>
    <w:p w14:paraId="2D67CD3F" w14:textId="1B4DB805" w:rsidR="00E87E7F" w:rsidRPr="00E87E7F" w:rsidRDefault="00E87E7F" w:rsidP="00E87E7F">
      <w:pPr>
        <w:pStyle w:val="aff"/>
        <w:ind w:leftChars="202" w:left="424" w:firstLineChars="0" w:firstLine="1"/>
        <w:contextualSpacing/>
        <w:mirrorIndents/>
        <w:rPr>
          <w:rFonts w:cs="Times New Roman"/>
          <w:kern w:val="0"/>
        </w:rPr>
      </w:pPr>
      <w:r w:rsidRPr="00E87E7F">
        <w:rPr>
          <w:rFonts w:cs="Times New Roman" w:hint="eastAsia"/>
          <w:kern w:val="0"/>
        </w:rPr>
        <w:t>C</w:t>
      </w:r>
      <w:r w:rsidRPr="00E87E7F">
        <w:rPr>
          <w:rFonts w:cs="Times New Roman"/>
          <w:kern w:val="0"/>
        </w:rPr>
        <w:t>HENG H Z, LI J, WU Y W, et al.</w:t>
      </w:r>
      <w:r w:rsidRPr="00E87E7F">
        <w:t xml:space="preserve"> </w:t>
      </w:r>
      <w:r w:rsidRPr="00E87E7F">
        <w:rPr>
          <w:rFonts w:cs="Times New Roman"/>
          <w:kern w:val="0"/>
        </w:rPr>
        <w:t>Challenges and prospects for</w:t>
      </w:r>
      <w:r>
        <w:rPr>
          <w:rFonts w:cs="Times New Roman"/>
          <w:kern w:val="0"/>
        </w:rPr>
        <w:t xml:space="preserve"> </w:t>
      </w:r>
      <w:r w:rsidR="009E42B6">
        <w:rPr>
          <w:rFonts w:cs="Times New Roman"/>
          <w:kern w:val="0"/>
        </w:rPr>
        <w:t>AC</w:t>
      </w:r>
      <w:r w:rsidRPr="00E87E7F">
        <w:rPr>
          <w:rFonts w:cs="Times New Roman"/>
          <w:kern w:val="0"/>
        </w:rPr>
        <w:t>/</w:t>
      </w:r>
      <w:r w:rsidR="009E42B6">
        <w:rPr>
          <w:rFonts w:cs="Times New Roman" w:hint="eastAsia"/>
          <w:kern w:val="0"/>
        </w:rPr>
        <w:t>DC</w:t>
      </w:r>
      <w:r w:rsidRPr="00E87E7F">
        <w:rPr>
          <w:rFonts w:cs="Times New Roman"/>
          <w:kern w:val="0"/>
        </w:rPr>
        <w:t xml:space="preserve"> transmission expansion</w:t>
      </w:r>
      <w:r>
        <w:rPr>
          <w:rFonts w:cs="Times New Roman"/>
          <w:kern w:val="0"/>
        </w:rPr>
        <w:t xml:space="preserve"> </w:t>
      </w:r>
      <w:r w:rsidRPr="00E87E7F">
        <w:rPr>
          <w:rFonts w:cs="Times New Roman"/>
          <w:kern w:val="0"/>
        </w:rPr>
        <w:t>planning considering high</w:t>
      </w:r>
      <w:r>
        <w:rPr>
          <w:rFonts w:cs="Times New Roman"/>
          <w:kern w:val="0"/>
        </w:rPr>
        <w:t xml:space="preserve"> </w:t>
      </w:r>
      <w:r w:rsidRPr="00E87E7F">
        <w:rPr>
          <w:rFonts w:cs="Times New Roman"/>
          <w:kern w:val="0"/>
        </w:rPr>
        <w:t xml:space="preserve">proportion of renewable energy </w:t>
      </w:r>
      <w:r w:rsidRPr="00E17813">
        <w:rPr>
          <w:rFonts w:cs="Times New Roman"/>
          <w:kern w:val="0"/>
        </w:rPr>
        <w:t>[J].</w:t>
      </w:r>
      <w:r w:rsidRPr="00E87E7F">
        <w:rPr>
          <w:rFonts w:cs="Times New Roman"/>
          <w:kern w:val="0"/>
        </w:rPr>
        <w:t xml:space="preserve"> Automation of Electric Power Systems, 2017, 41(9): 19-27.</w:t>
      </w:r>
      <w:r>
        <w:rPr>
          <w:rFonts w:cs="Times New Roman"/>
          <w:kern w:val="0"/>
        </w:rPr>
        <w:t xml:space="preserve"> (in Chinese)</w:t>
      </w:r>
    </w:p>
    <w:p w14:paraId="67F7F86D" w14:textId="3C468591" w:rsidR="00E17813" w:rsidRDefault="00E17813" w:rsidP="00143B30">
      <w:pPr>
        <w:pStyle w:val="aff"/>
        <w:ind w:left="425" w:hangingChars="236" w:hanging="425"/>
        <w:contextualSpacing/>
        <w:mirrorIndents/>
        <w:rPr>
          <w:rFonts w:cs="Times New Roman"/>
          <w:kern w:val="0"/>
        </w:rPr>
      </w:pPr>
      <w:r w:rsidRPr="00E17813">
        <w:rPr>
          <w:rFonts w:cs="Times New Roman"/>
          <w:kern w:val="0"/>
        </w:rPr>
        <w:t>[96]</w:t>
      </w:r>
      <w:r w:rsidRPr="00E17813">
        <w:rPr>
          <w:rFonts w:cs="Times New Roman"/>
          <w:kern w:val="0"/>
        </w:rPr>
        <w:tab/>
      </w:r>
      <w:r w:rsidRPr="00E17813">
        <w:rPr>
          <w:rFonts w:cs="Times New Roman"/>
          <w:kern w:val="0"/>
        </w:rPr>
        <w:t>王俊豪</w:t>
      </w:r>
      <w:r w:rsidRPr="00E17813">
        <w:rPr>
          <w:rFonts w:cs="Times New Roman"/>
          <w:kern w:val="0"/>
        </w:rPr>
        <w:t xml:space="preserve">, </w:t>
      </w:r>
      <w:r w:rsidRPr="00E17813">
        <w:rPr>
          <w:rFonts w:cs="Times New Roman"/>
          <w:kern w:val="0"/>
        </w:rPr>
        <w:t>金暄暄</w:t>
      </w:r>
      <w:r w:rsidRPr="00E17813">
        <w:rPr>
          <w:rFonts w:cs="Times New Roman"/>
          <w:kern w:val="0"/>
        </w:rPr>
        <w:t xml:space="preserve">, </w:t>
      </w:r>
      <w:r w:rsidRPr="00E17813">
        <w:rPr>
          <w:rFonts w:cs="Times New Roman"/>
          <w:kern w:val="0"/>
        </w:rPr>
        <w:t>刘相锋</w:t>
      </w:r>
      <w:r w:rsidRPr="00E17813">
        <w:rPr>
          <w:rFonts w:cs="Times New Roman"/>
          <w:kern w:val="0"/>
        </w:rPr>
        <w:t xml:space="preserve">. </w:t>
      </w:r>
      <w:r w:rsidRPr="00E17813">
        <w:rPr>
          <w:rFonts w:cs="Times New Roman"/>
          <w:kern w:val="0"/>
        </w:rPr>
        <w:t>电网企业纵向一体化、成本效率与主辅分离改革</w:t>
      </w:r>
      <w:r w:rsidRPr="00E17813">
        <w:rPr>
          <w:rFonts w:cs="Times New Roman"/>
          <w:kern w:val="0"/>
        </w:rPr>
        <w:t xml:space="preserve">[J]. </w:t>
      </w:r>
      <w:r w:rsidRPr="00E17813">
        <w:rPr>
          <w:rFonts w:cs="Times New Roman"/>
          <w:kern w:val="0"/>
        </w:rPr>
        <w:t>中国工业经济</w:t>
      </w:r>
      <w:r w:rsidRPr="00E17813">
        <w:rPr>
          <w:rFonts w:cs="Times New Roman"/>
          <w:kern w:val="0"/>
        </w:rPr>
        <w:t>, 2021(3): 42-60.</w:t>
      </w:r>
    </w:p>
    <w:p w14:paraId="7D46D48F" w14:textId="3B97DC3F" w:rsidR="00601356" w:rsidRPr="00601356" w:rsidRDefault="00E87E7F" w:rsidP="00601356">
      <w:pPr>
        <w:pStyle w:val="aff"/>
        <w:ind w:leftChars="202" w:left="424" w:firstLineChars="0" w:firstLine="1"/>
        <w:contextualSpacing/>
        <w:mirrorIndents/>
        <w:rPr>
          <w:rFonts w:cs="Times New Roman"/>
          <w:kern w:val="0"/>
        </w:rPr>
      </w:pPr>
      <w:r w:rsidRPr="00E87E7F">
        <w:rPr>
          <w:rFonts w:cs="Times New Roman" w:hint="eastAsia"/>
          <w:kern w:val="0"/>
        </w:rPr>
        <w:t>W</w:t>
      </w:r>
      <w:r w:rsidRPr="00E87E7F">
        <w:rPr>
          <w:rFonts w:cs="Times New Roman"/>
          <w:kern w:val="0"/>
        </w:rPr>
        <w:t xml:space="preserve">ANG J H, JIN X X, LIU X F. </w:t>
      </w:r>
      <w:r w:rsidR="00601356" w:rsidRPr="00601356">
        <w:rPr>
          <w:rFonts w:cs="Times New Roman"/>
          <w:kern w:val="0"/>
        </w:rPr>
        <w:t>Vertical integration, cost-</w:t>
      </w:r>
    </w:p>
    <w:p w14:paraId="358903DA" w14:textId="637BCC67" w:rsidR="00E87E7F" w:rsidRPr="00E87E7F" w:rsidRDefault="00601356" w:rsidP="00601356">
      <w:pPr>
        <w:pStyle w:val="aff"/>
        <w:ind w:leftChars="202" w:left="424" w:firstLineChars="0" w:firstLine="1"/>
        <w:contextualSpacing/>
        <w:mirrorIndents/>
        <w:rPr>
          <w:rFonts w:cs="Times New Roman"/>
          <w:kern w:val="0"/>
        </w:rPr>
      </w:pPr>
      <w:r w:rsidRPr="00601356">
        <w:rPr>
          <w:rFonts w:cs="Times New Roman"/>
          <w:kern w:val="0"/>
        </w:rPr>
        <w:t>efficiency and main-auxiliary</w:t>
      </w:r>
      <w:r>
        <w:rPr>
          <w:rFonts w:cs="Times New Roman"/>
          <w:kern w:val="0"/>
        </w:rPr>
        <w:t xml:space="preserve"> </w:t>
      </w:r>
      <w:r w:rsidRPr="00601356">
        <w:rPr>
          <w:rFonts w:cs="Times New Roman"/>
          <w:kern w:val="0"/>
        </w:rPr>
        <w:t>business separation reform of</w:t>
      </w:r>
      <w:r>
        <w:rPr>
          <w:rFonts w:cs="Times New Roman"/>
          <w:kern w:val="0"/>
        </w:rPr>
        <w:t xml:space="preserve"> </w:t>
      </w:r>
      <w:r w:rsidRPr="00601356">
        <w:rPr>
          <w:rFonts w:cs="Times New Roman"/>
          <w:kern w:val="0"/>
        </w:rPr>
        <w:t>power grid corporation</w:t>
      </w:r>
      <w:r w:rsidR="00E87E7F" w:rsidRPr="00E87E7F">
        <w:rPr>
          <w:rFonts w:cs="Times New Roman"/>
          <w:kern w:val="0"/>
        </w:rPr>
        <w:t xml:space="preserve"> </w:t>
      </w:r>
      <w:r w:rsidR="00E87E7F" w:rsidRPr="00E17813">
        <w:rPr>
          <w:rFonts w:cs="Times New Roman"/>
          <w:kern w:val="0"/>
        </w:rPr>
        <w:t xml:space="preserve">[J]. </w:t>
      </w:r>
      <w:r w:rsidRPr="00601356">
        <w:rPr>
          <w:rFonts w:cs="Times New Roman"/>
          <w:kern w:val="0"/>
        </w:rPr>
        <w:t>China Industrial Economics</w:t>
      </w:r>
      <w:r w:rsidR="00E87E7F" w:rsidRPr="00E17813">
        <w:rPr>
          <w:rFonts w:cs="Times New Roman"/>
          <w:kern w:val="0"/>
        </w:rPr>
        <w:t>, 2021(3): 42-60.</w:t>
      </w:r>
      <w:r w:rsidR="00E87E7F" w:rsidRPr="00E87E7F">
        <w:rPr>
          <w:rFonts w:cs="Times New Roman"/>
          <w:kern w:val="0"/>
        </w:rPr>
        <w:t xml:space="preserve"> </w:t>
      </w:r>
      <w:r w:rsidR="00E87E7F">
        <w:rPr>
          <w:rFonts w:cs="Times New Roman"/>
          <w:kern w:val="0"/>
        </w:rPr>
        <w:t>(in Chinese)</w:t>
      </w:r>
    </w:p>
    <w:p w14:paraId="2F02687B" w14:textId="52594A8D"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[97]</w:t>
      </w:r>
      <w:r w:rsidRPr="00E17813">
        <w:rPr>
          <w:rFonts w:cs="Times New Roman"/>
          <w:kern w:val="0"/>
        </w:rPr>
        <w:tab/>
        <w:t xml:space="preserve">GUNDUZ M, ALY A A, EL MEKKAWY T. Value engineering factors with an impact on design management performance of construction projects[J]. Journal of Management in Engineering, 2022, 38(3): 04022012. </w:t>
      </w:r>
    </w:p>
    <w:p w14:paraId="0A6F0C55" w14:textId="468DE35B"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[98]</w:t>
      </w:r>
      <w:r w:rsidRPr="00E17813">
        <w:rPr>
          <w:rFonts w:cs="Times New Roman"/>
          <w:kern w:val="0"/>
        </w:rPr>
        <w:tab/>
        <w:t xml:space="preserve">ABUDAYYEH O, FREDERICKS T K, BUTT S E, </w:t>
      </w:r>
      <w:r w:rsidR="00143B30">
        <w:rPr>
          <w:rFonts w:cs="Times New Roman"/>
          <w:kern w:val="0"/>
        </w:rPr>
        <w:t>et al</w:t>
      </w:r>
      <w:r w:rsidRPr="00E17813">
        <w:rPr>
          <w:rFonts w:cs="Times New Roman"/>
          <w:kern w:val="0"/>
        </w:rPr>
        <w:t xml:space="preserve">. An investigation of management’s commitment to construction safety[J]. International Journal of Project Management, 2006, 24(2): 167-174. </w:t>
      </w:r>
    </w:p>
    <w:p w14:paraId="6138BD98" w14:textId="4C57F59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[99]</w:t>
      </w:r>
      <w:r w:rsidRPr="00E17813">
        <w:rPr>
          <w:rFonts w:cs="Times New Roman"/>
          <w:kern w:val="0"/>
        </w:rPr>
        <w:tab/>
        <w:t xml:space="preserve">YUNNA W, QING B, PING L. The ISM analysis on influence factors of cost control in the wind power construction project[J]. Physics Procedia, 2012, 24: 587-590. </w:t>
      </w:r>
    </w:p>
    <w:p w14:paraId="58CE4A35" w14:textId="7777777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[100]</w:t>
      </w:r>
      <w:r w:rsidRPr="00E17813">
        <w:rPr>
          <w:rFonts w:cs="Times New Roman"/>
          <w:kern w:val="0"/>
        </w:rPr>
        <w:tab/>
        <w:t>SHEIKH N J, KOCAOGLU D F, LUTZENHISER L. Social and political impacts of renewable energy: Literature review[J]. Technological Forecasting &amp; Social Change, 2016, 108(2016): 102-110.</w:t>
      </w:r>
    </w:p>
    <w:p w14:paraId="7D01B2DC" w14:textId="14E15DF3"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[101]</w:t>
      </w:r>
      <w:r w:rsidRPr="00E17813">
        <w:rPr>
          <w:rFonts w:cs="Times New Roman"/>
          <w:kern w:val="0"/>
        </w:rPr>
        <w:tab/>
        <w:t>DINCER I. Renewable energy and sustainable development: A crucial review[J]. Renewable and Sustainable Energy Reviews, 2000, 4(2): 157-175.</w:t>
      </w:r>
    </w:p>
    <w:p w14:paraId="4537996F" w14:textId="24DDE3C2"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[102]</w:t>
      </w:r>
      <w:r w:rsidRPr="00E17813">
        <w:rPr>
          <w:rFonts w:cs="Times New Roman"/>
          <w:kern w:val="0"/>
        </w:rPr>
        <w:tab/>
        <w:t xml:space="preserve">SOLAUN K, CERDÁ E. Climate change impacts on renewable energy generation: A review of quantitative projections[J]. Renewable and Sustainable Energy Reviews, 2019, 116: 109415. </w:t>
      </w:r>
    </w:p>
    <w:p w14:paraId="01060661" w14:textId="4F69ABC8"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[103]</w:t>
      </w:r>
      <w:r w:rsidRPr="00E17813">
        <w:rPr>
          <w:rFonts w:cs="Times New Roman"/>
          <w:kern w:val="0"/>
        </w:rPr>
        <w:tab/>
        <w:t xml:space="preserve">FELIX C, FRANCONERI S, BERTINI E. Taking word </w:t>
      </w:r>
      <w:r w:rsidRPr="00E17813">
        <w:rPr>
          <w:rFonts w:cs="Times New Roman"/>
          <w:kern w:val="0"/>
        </w:rPr>
        <w:lastRenderedPageBreak/>
        <w:t>clouds apart: An empirical investigation of the design space for keyword summaries[J]. IEEE Transactions on Visualization and Computer Graphics, 2018, 24(1): 657-666.</w:t>
      </w:r>
    </w:p>
    <w:p w14:paraId="5F2F5C8D" w14:textId="23EFFD56"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[104]</w:t>
      </w:r>
      <w:r w:rsidRPr="00E17813">
        <w:rPr>
          <w:rFonts w:cs="Times New Roman"/>
          <w:kern w:val="0"/>
        </w:rPr>
        <w:tab/>
        <w:t>BLEI D M, KUCUKELBIR A, MCAULIFFE J D. Variational inference: A review for statisticians[J]. Journal of the American Statistical Association, 2017, 112(518): 859-877.</w:t>
      </w:r>
    </w:p>
    <w:p w14:paraId="36FE7899" w14:textId="48D69260"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[105]</w:t>
      </w:r>
      <w:r w:rsidRPr="00E17813">
        <w:rPr>
          <w:rFonts w:cs="Times New Roman"/>
          <w:kern w:val="0"/>
        </w:rPr>
        <w:tab/>
        <w:t>VALDES-VASQUEZ R, KLOTZ L E. Social sustainability considerations during planning and design: Framework of processes for construction projects[J]. Journal of Construction Engineering and Management, 2013, 139(1): 80-89.</w:t>
      </w:r>
    </w:p>
    <w:p w14:paraId="5B654FAF" w14:textId="77777777"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[106]</w:t>
      </w:r>
      <w:r w:rsidRPr="00E17813">
        <w:rPr>
          <w:rFonts w:cs="Times New Roman"/>
          <w:kern w:val="0"/>
        </w:rPr>
        <w:tab/>
        <w:t>HOYLE R H. Structural equation modeling: Concepts, issues, and applications[M]. London: Sage Publications, 1995.</w:t>
      </w:r>
    </w:p>
    <w:p w14:paraId="58AEDF10" w14:textId="6ABA4750"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[107]</w:t>
      </w:r>
      <w:r w:rsidRPr="00E17813">
        <w:rPr>
          <w:rFonts w:cs="Times New Roman"/>
          <w:kern w:val="0"/>
        </w:rPr>
        <w:tab/>
        <w:t xml:space="preserve">HAIR J F, RISHER J J, SARSTEDT M, </w:t>
      </w:r>
      <w:r w:rsidR="00143B30">
        <w:rPr>
          <w:rFonts w:cs="Times New Roman"/>
          <w:kern w:val="0"/>
        </w:rPr>
        <w:t>et al</w:t>
      </w:r>
      <w:r w:rsidRPr="00E17813">
        <w:rPr>
          <w:rFonts w:cs="Times New Roman"/>
          <w:kern w:val="0"/>
        </w:rPr>
        <w:t xml:space="preserve">. When to use </w:t>
      </w:r>
      <w:r w:rsidRPr="00E17813">
        <w:rPr>
          <w:rFonts w:cs="Times New Roman"/>
          <w:kern w:val="0"/>
        </w:rPr>
        <w:t>and how to report the results of PLS-SEM[J]. European Business Review, 2019, 31(1): 2-24.</w:t>
      </w:r>
    </w:p>
    <w:p w14:paraId="47B057A2" w14:textId="074EAB1F"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[108]</w:t>
      </w:r>
      <w:r w:rsidRPr="00E17813">
        <w:rPr>
          <w:rFonts w:cs="Times New Roman"/>
          <w:kern w:val="0"/>
        </w:rPr>
        <w:tab/>
        <w:t xml:space="preserve">HAIR J F, SARSTEDT M, RINGLE C M, </w:t>
      </w:r>
      <w:r w:rsidR="00143B30">
        <w:rPr>
          <w:rFonts w:cs="Times New Roman"/>
          <w:kern w:val="0"/>
        </w:rPr>
        <w:t>et al</w:t>
      </w:r>
      <w:r w:rsidRPr="00E17813">
        <w:rPr>
          <w:rFonts w:cs="Times New Roman"/>
          <w:kern w:val="0"/>
        </w:rPr>
        <w:t xml:space="preserve">. An assessment of the use of partial least squares structural equation modeling in marketing research[J]. Journal of the Academy of Marketing Science, 2012, 40(3): 414-433. </w:t>
      </w:r>
    </w:p>
    <w:p w14:paraId="531EAE21" w14:textId="70077CAE" w:rsidR="00E17813" w:rsidRPr="00E17813" w:rsidRDefault="00E17813" w:rsidP="00143B30">
      <w:pPr>
        <w:pStyle w:val="aff"/>
        <w:ind w:left="425" w:hangingChars="236" w:hanging="425"/>
        <w:contextualSpacing/>
        <w:mirrorIndents/>
        <w:rPr>
          <w:rFonts w:cs="Times New Roman"/>
          <w:kern w:val="0"/>
        </w:rPr>
      </w:pPr>
      <w:r w:rsidRPr="00E17813">
        <w:rPr>
          <w:rFonts w:cs="Times New Roman"/>
          <w:kern w:val="0"/>
        </w:rPr>
        <w:t>[109]</w:t>
      </w:r>
      <w:r w:rsidRPr="00E17813">
        <w:rPr>
          <w:rFonts w:cs="Times New Roman"/>
          <w:kern w:val="0"/>
        </w:rPr>
        <w:tab/>
        <w:t xml:space="preserve">WINCH G, LEIRINGER R. Owner project capabilities for infrastructure development: A review and development of the “strong owner” concept[J]. International Journal of Project Management, 2016, 34(2): 271-281. </w:t>
      </w:r>
    </w:p>
    <w:p w14:paraId="5B0AFE61" w14:textId="3252271B" w:rsidR="00E17813" w:rsidRDefault="00E17813" w:rsidP="00143B30">
      <w:pPr>
        <w:pStyle w:val="aff"/>
        <w:ind w:left="425" w:hangingChars="236" w:hanging="425"/>
        <w:contextualSpacing/>
        <w:mirrorIndents/>
        <w:rPr>
          <w:rFonts w:cs="Times New Roman"/>
          <w:kern w:val="0"/>
        </w:rPr>
      </w:pPr>
      <w:r w:rsidRPr="00E17813">
        <w:rPr>
          <w:rFonts w:cs="Times New Roman"/>
          <w:kern w:val="0"/>
        </w:rPr>
        <w:t>[110]</w:t>
      </w:r>
      <w:r w:rsidRPr="00E17813">
        <w:rPr>
          <w:rFonts w:cs="Times New Roman"/>
          <w:kern w:val="0"/>
        </w:rPr>
        <w:tab/>
      </w:r>
      <w:r w:rsidRPr="00E17813">
        <w:rPr>
          <w:rFonts w:cs="Times New Roman"/>
          <w:kern w:val="0"/>
        </w:rPr>
        <w:t>孟祥鑫</w:t>
      </w:r>
      <w:r w:rsidRPr="00E17813">
        <w:rPr>
          <w:rFonts w:cs="Times New Roman"/>
          <w:kern w:val="0"/>
        </w:rPr>
        <w:t xml:space="preserve">. </w:t>
      </w:r>
      <w:r w:rsidRPr="00E17813">
        <w:rPr>
          <w:rFonts w:cs="Times New Roman"/>
          <w:kern w:val="0"/>
        </w:rPr>
        <w:t>多能互补视角下清洁能源电站一体化运营管理研究</w:t>
      </w:r>
      <w:r w:rsidRPr="00E17813">
        <w:rPr>
          <w:rFonts w:cs="Times New Roman"/>
          <w:kern w:val="0"/>
        </w:rPr>
        <w:t xml:space="preserve">[D]. </w:t>
      </w:r>
      <w:r w:rsidRPr="00E17813">
        <w:rPr>
          <w:rFonts w:cs="Times New Roman"/>
          <w:kern w:val="0"/>
        </w:rPr>
        <w:t>北京</w:t>
      </w:r>
      <w:r w:rsidRPr="00E17813">
        <w:rPr>
          <w:rFonts w:cs="Times New Roman"/>
          <w:kern w:val="0"/>
        </w:rPr>
        <w:t xml:space="preserve">: </w:t>
      </w:r>
      <w:r w:rsidRPr="00E17813">
        <w:rPr>
          <w:rFonts w:cs="Times New Roman"/>
          <w:kern w:val="0"/>
        </w:rPr>
        <w:t>清华大学</w:t>
      </w:r>
      <w:r w:rsidRPr="00E17813">
        <w:rPr>
          <w:rFonts w:cs="Times New Roman"/>
          <w:kern w:val="0"/>
        </w:rPr>
        <w:t>, 2024.</w:t>
      </w:r>
    </w:p>
    <w:p w14:paraId="541F8A25" w14:textId="0A298EB9" w:rsidR="00DA5C07" w:rsidRDefault="00601356" w:rsidP="00601356">
      <w:pPr>
        <w:pStyle w:val="aff"/>
        <w:ind w:leftChars="202" w:left="424" w:firstLineChars="0" w:firstLine="1"/>
        <w:contextualSpacing/>
        <w:mirrorIndents/>
        <w:sectPr w:rsidR="00DA5C07" w:rsidSect="00181A00">
          <w:type w:val="continuous"/>
          <w:pgSz w:w="11906" w:h="16838"/>
          <w:pgMar w:top="1440" w:right="1106" w:bottom="1440" w:left="1106" w:header="851" w:footer="992" w:gutter="0"/>
          <w:cols w:num="2" w:space="425"/>
          <w:titlePg/>
          <w:docGrid w:type="linesAndChars" w:linePitch="312"/>
        </w:sectPr>
      </w:pPr>
      <w:r w:rsidRPr="00601356">
        <w:rPr>
          <w:rFonts w:cs="Times New Roman"/>
          <w:kern w:val="0"/>
        </w:rPr>
        <w:t>MENG X X.</w:t>
      </w:r>
      <w:r>
        <w:t xml:space="preserve"> </w:t>
      </w:r>
      <w:r w:rsidRPr="00601356">
        <w:t>Research on integrated operation management of clean energy power stations from a multi-energy complementary perspective</w:t>
      </w:r>
      <w:r>
        <w:t xml:space="preserve"> [D]. B</w:t>
      </w:r>
      <w:r>
        <w:rPr>
          <w:rFonts w:hint="eastAsia"/>
        </w:rPr>
        <w:t>eijing</w:t>
      </w:r>
      <w:r>
        <w:t>: Tsinghua University, 2024. (in Chinese)</w:t>
      </w:r>
      <w:r w:rsidRPr="00601356">
        <w:rPr>
          <w:rFonts w:cs="Times New Roman"/>
          <w:kern w:val="0"/>
        </w:rPr>
        <w:t xml:space="preserve"> </w:t>
      </w:r>
      <w:r w:rsidR="002F3722">
        <w:fldChar w:fldCharType="end"/>
      </w:r>
      <w:r w:rsidRPr="00601356">
        <w:t xml:space="preserve"> </w:t>
      </w:r>
    </w:p>
    <w:p w14:paraId="456EE1B9" w14:textId="7FF5BFCB" w:rsidR="002D10AB" w:rsidRDefault="002D10AB">
      <w:pPr>
        <w:ind w:firstLineChars="0" w:firstLine="0"/>
        <w:jc w:val="left"/>
        <w:rPr>
          <w:rFonts w:eastAsia="黑体" w:cs="Times New Roman"/>
          <w:kern w:val="0"/>
          <w:sz w:val="36"/>
          <w:szCs w:val="36"/>
        </w:rPr>
      </w:pPr>
    </w:p>
    <w:p w14:paraId="6F61F734" w14:textId="71AE7A4B" w:rsidR="00844E93" w:rsidRPr="00F10E7E" w:rsidRDefault="00E17813" w:rsidP="00402B71">
      <w:pPr>
        <w:spacing w:line="240" w:lineRule="atLeast"/>
        <w:ind w:firstLineChars="0" w:firstLine="0"/>
        <w:jc w:val="center"/>
        <w:rPr>
          <w:rFonts w:eastAsia="黑体" w:cs="Times New Roman"/>
          <w:kern w:val="0"/>
          <w:sz w:val="36"/>
          <w:szCs w:val="36"/>
        </w:rPr>
      </w:pPr>
      <w:r w:rsidRPr="00E17813">
        <w:rPr>
          <w:rFonts w:eastAsia="黑体" w:cs="Times New Roman"/>
          <w:kern w:val="0"/>
          <w:sz w:val="36"/>
          <w:szCs w:val="36"/>
        </w:rPr>
        <w:t>Integration Management of Clean Energy Bases</w:t>
      </w:r>
    </w:p>
    <w:p w14:paraId="6D91AE18" w14:textId="42D699E5" w:rsidR="00844E93" w:rsidRPr="001222A3" w:rsidRDefault="00844E93" w:rsidP="001222A3">
      <w:pPr>
        <w:spacing w:line="240" w:lineRule="atLeast"/>
        <w:ind w:firstLineChars="0" w:firstLine="0"/>
        <w:rPr>
          <w:rFonts w:cs="Times New Roman"/>
          <w:kern w:val="0"/>
          <w:szCs w:val="21"/>
        </w:rPr>
      </w:pPr>
    </w:p>
    <w:p w14:paraId="4DECA210" w14:textId="40B7A2DE" w:rsidR="00844E93" w:rsidRDefault="00844E93" w:rsidP="00402B71">
      <w:pPr>
        <w:spacing w:line="240" w:lineRule="atLeast"/>
        <w:ind w:firstLineChars="0" w:firstLine="0"/>
      </w:pPr>
      <w:r w:rsidRPr="00C97253">
        <w:rPr>
          <w:rFonts w:cs="Times New Roman"/>
          <w:b/>
          <w:bCs/>
          <w:kern w:val="0"/>
          <w:szCs w:val="21"/>
        </w:rPr>
        <w:t>Abstract:</w:t>
      </w:r>
      <w:r w:rsidRPr="00743641">
        <w:rPr>
          <w:rFonts w:cs="Times New Roman"/>
          <w:kern w:val="0"/>
          <w:szCs w:val="21"/>
        </w:rPr>
        <w:t xml:space="preserve"> </w:t>
      </w:r>
      <w:r w:rsidR="00E17813" w:rsidRPr="00E17813">
        <w:rPr>
          <w:rFonts w:cs="Times New Roman"/>
          <w:kern w:val="0"/>
          <w:szCs w:val="21"/>
        </w:rPr>
        <w:t>Clean energy bases involve the joint development of multiple projects, characterized by long construction periods, numerous stakeholders, and high management complexity. Existing studies primarily focus on key factors influencing the management of individual clean energy projects, while lacking a systematic exploration of the underlying managerial mechanisms. Furthermore, empirical studies addressing the characteristics of clean energy bases remain insufficient.</w:t>
      </w:r>
      <w:r w:rsidR="00E17813">
        <w:rPr>
          <w:rFonts w:cs="Times New Roman" w:hint="eastAsia"/>
          <w:kern w:val="0"/>
          <w:szCs w:val="21"/>
        </w:rPr>
        <w:t xml:space="preserve"> Based on data collected </w:t>
      </w:r>
      <w:r w:rsidR="00E17813" w:rsidRPr="00A62C69">
        <w:rPr>
          <w:kern w:val="0"/>
        </w:rPr>
        <w:t>through questionnaires and semi-structured interviews</w:t>
      </w:r>
      <w:r w:rsidR="00E17813">
        <w:rPr>
          <w:rFonts w:hint="eastAsia"/>
          <w:kern w:val="0"/>
        </w:rPr>
        <w:t xml:space="preserve">, this study first determines </w:t>
      </w:r>
      <w:r w:rsidR="00E17813" w:rsidRPr="00E32E76">
        <w:rPr>
          <w:kern w:val="0"/>
        </w:rPr>
        <w:t>the primary demands of clean energy bases</w:t>
      </w:r>
      <w:r w:rsidR="00E17813" w:rsidRPr="003207E1">
        <w:rPr>
          <w:kern w:val="0"/>
        </w:rPr>
        <w:t xml:space="preserve"> </w:t>
      </w:r>
      <w:r w:rsidR="00E17813" w:rsidRPr="00E32E76">
        <w:rPr>
          <w:kern w:val="0"/>
        </w:rPr>
        <w:t>management</w:t>
      </w:r>
      <w:r w:rsidR="00E17813">
        <w:rPr>
          <w:rFonts w:hint="eastAsia"/>
          <w:kern w:val="0"/>
        </w:rPr>
        <w:t xml:space="preserve"> by using text analysis. T</w:t>
      </w:r>
      <w:r w:rsidR="00E17813" w:rsidRPr="00E32E76">
        <w:rPr>
          <w:kern w:val="0"/>
        </w:rPr>
        <w:t>his study</w:t>
      </w:r>
      <w:r w:rsidR="00E17813">
        <w:rPr>
          <w:rFonts w:hint="eastAsia"/>
          <w:kern w:val="0"/>
        </w:rPr>
        <w:t xml:space="preserve"> further</w:t>
      </w:r>
      <w:r w:rsidR="00E17813" w:rsidRPr="00E32E76">
        <w:rPr>
          <w:kern w:val="0"/>
        </w:rPr>
        <w:t xml:space="preserve"> </w:t>
      </w:r>
      <w:r w:rsidR="00E17813">
        <w:rPr>
          <w:rFonts w:hint="eastAsia"/>
          <w:kern w:val="0"/>
        </w:rPr>
        <w:t>builds</w:t>
      </w:r>
      <w:r w:rsidR="00E17813" w:rsidRPr="00E32E76">
        <w:rPr>
          <w:kern w:val="0"/>
        </w:rPr>
        <w:t xml:space="preserve"> and </w:t>
      </w:r>
      <w:r w:rsidR="00E17813" w:rsidRPr="00A62C69">
        <w:rPr>
          <w:kern w:val="0"/>
        </w:rPr>
        <w:t>examine</w:t>
      </w:r>
      <w:r w:rsidR="00E17813">
        <w:rPr>
          <w:rFonts w:hint="eastAsia"/>
          <w:kern w:val="0"/>
        </w:rPr>
        <w:t>s</w:t>
      </w:r>
      <w:r w:rsidR="00E17813" w:rsidRPr="00A62C69">
        <w:rPr>
          <w:kern w:val="0"/>
        </w:rPr>
        <w:t xml:space="preserve"> </w:t>
      </w:r>
      <w:r w:rsidR="00E17813" w:rsidRPr="00E32E76">
        <w:rPr>
          <w:kern w:val="0"/>
        </w:rPr>
        <w:t xml:space="preserve">a theoretical model for the integration management of clean energy bases, elucidating the interrelationships among </w:t>
      </w:r>
      <w:r w:rsidR="00E17813">
        <w:rPr>
          <w:rFonts w:hint="eastAsia"/>
          <w:kern w:val="0"/>
        </w:rPr>
        <w:t>the key factors</w:t>
      </w:r>
      <w:r w:rsidR="00E17813" w:rsidRPr="00E32E76">
        <w:rPr>
          <w:kern w:val="0"/>
        </w:rPr>
        <w:t xml:space="preserve"> </w:t>
      </w:r>
      <w:r w:rsidR="00E17813">
        <w:rPr>
          <w:rFonts w:hint="eastAsia"/>
          <w:kern w:val="0"/>
        </w:rPr>
        <w:t xml:space="preserve">in </w:t>
      </w:r>
      <w:r w:rsidR="00E17813" w:rsidRPr="00E32E76">
        <w:rPr>
          <w:kern w:val="0"/>
        </w:rPr>
        <w:t xml:space="preserve">program </w:t>
      </w:r>
      <w:r w:rsidR="00E17813">
        <w:rPr>
          <w:rFonts w:hint="eastAsia"/>
          <w:kern w:val="0"/>
        </w:rPr>
        <w:t xml:space="preserve">management </w:t>
      </w:r>
      <w:r w:rsidR="00E17813" w:rsidRPr="00E32E76">
        <w:rPr>
          <w:kern w:val="0"/>
        </w:rPr>
        <w:t xml:space="preserve">and their impact pathways on program performance. The structural equation modeling results </w:t>
      </w:r>
      <w:r w:rsidR="00E17813">
        <w:rPr>
          <w:rFonts w:hint="eastAsia"/>
          <w:kern w:val="0"/>
        </w:rPr>
        <w:t>reveal</w:t>
      </w:r>
      <w:r w:rsidR="00E17813" w:rsidRPr="00E32E76">
        <w:rPr>
          <w:kern w:val="0"/>
        </w:rPr>
        <w:t xml:space="preserve"> that external conditions, owner program management capability, and management </w:t>
      </w:r>
      <w:r w:rsidR="00E17813">
        <w:rPr>
          <w:rFonts w:hint="eastAsia"/>
          <w:kern w:val="0"/>
        </w:rPr>
        <w:t>system</w:t>
      </w:r>
      <w:r w:rsidR="00E17813" w:rsidRPr="00E32E76">
        <w:rPr>
          <w:kern w:val="0"/>
        </w:rPr>
        <w:t xml:space="preserve"> contribute to optimizing resource allocation and fostering partnership</w:t>
      </w:r>
      <w:r w:rsidR="00E17813">
        <w:rPr>
          <w:rFonts w:hint="eastAsia"/>
          <w:kern w:val="0"/>
        </w:rPr>
        <w:t xml:space="preserve">. </w:t>
      </w:r>
      <w:r w:rsidR="00E17813" w:rsidRPr="001F3EA4">
        <w:rPr>
          <w:kern w:val="0"/>
        </w:rPr>
        <w:t>These improvements further enhance program implementation and</w:t>
      </w:r>
      <w:r w:rsidR="00E17813" w:rsidRPr="008E374D">
        <w:rPr>
          <w:kern w:val="0"/>
        </w:rPr>
        <w:t xml:space="preserve"> </w:t>
      </w:r>
      <w:r w:rsidR="00E17813" w:rsidRPr="001F3EA4">
        <w:rPr>
          <w:kern w:val="0"/>
        </w:rPr>
        <w:t>program operation</w:t>
      </w:r>
      <w:r w:rsidR="00E17813" w:rsidRPr="00E32E76">
        <w:rPr>
          <w:kern w:val="0"/>
        </w:rPr>
        <w:t xml:space="preserve">, ultimately </w:t>
      </w:r>
      <w:r w:rsidR="00E17813" w:rsidRPr="001F3EA4">
        <w:rPr>
          <w:kern w:val="0"/>
        </w:rPr>
        <w:t>leading to better</w:t>
      </w:r>
      <w:r w:rsidR="00E17813" w:rsidRPr="00E32E76">
        <w:rPr>
          <w:kern w:val="0"/>
        </w:rPr>
        <w:t xml:space="preserve"> program performance.</w:t>
      </w:r>
      <w:r w:rsidR="00E17813">
        <w:rPr>
          <w:rFonts w:hint="eastAsia"/>
          <w:kern w:val="0"/>
        </w:rPr>
        <w:t xml:space="preserve"> </w:t>
      </w:r>
      <w:r w:rsidR="00E17813" w:rsidRPr="00E32E76">
        <w:rPr>
          <w:kern w:val="0"/>
        </w:rPr>
        <w:t xml:space="preserve">Finally, integration management strategies </w:t>
      </w:r>
      <w:r w:rsidR="00E17813">
        <w:rPr>
          <w:rFonts w:hint="eastAsia"/>
          <w:kern w:val="0"/>
        </w:rPr>
        <w:t>for</w:t>
      </w:r>
      <w:r w:rsidR="00E17813" w:rsidRPr="00E32E76">
        <w:rPr>
          <w:kern w:val="0"/>
        </w:rPr>
        <w:t xml:space="preserve"> clean energy bases</w:t>
      </w:r>
      <w:r w:rsidR="00E17813">
        <w:rPr>
          <w:rFonts w:hint="eastAsia"/>
          <w:kern w:val="0"/>
        </w:rPr>
        <w:t xml:space="preserve"> are</w:t>
      </w:r>
      <w:r w:rsidR="00E17813" w:rsidRPr="00E32E76">
        <w:rPr>
          <w:kern w:val="0"/>
        </w:rPr>
        <w:t xml:space="preserve"> proposed</w:t>
      </w:r>
      <w:r w:rsidR="00E17813">
        <w:rPr>
          <w:rFonts w:hint="eastAsia"/>
          <w:kern w:val="0"/>
        </w:rPr>
        <w:t xml:space="preserve">. </w:t>
      </w:r>
      <w:r w:rsidR="00E17813" w:rsidRPr="00E32E76">
        <w:rPr>
          <w:kern w:val="0"/>
        </w:rPr>
        <w:t>These research findings provide practical guidance for enhancing the integration management of clean energy bases</w:t>
      </w:r>
      <w:r w:rsidR="00E17813" w:rsidRPr="0032216C">
        <w:rPr>
          <w:kern w:val="0"/>
        </w:rPr>
        <w:t>.</w:t>
      </w:r>
    </w:p>
    <w:p w14:paraId="51BE46F3" w14:textId="37FEBBA1" w:rsidR="00C97253" w:rsidRPr="008563C8" w:rsidRDefault="00844E93" w:rsidP="00402B71">
      <w:pPr>
        <w:spacing w:line="240" w:lineRule="atLeast"/>
        <w:ind w:firstLineChars="0" w:firstLine="0"/>
        <w:rPr>
          <w:rFonts w:cs="Times New Roman"/>
          <w:color w:val="FF0000"/>
          <w:kern w:val="0"/>
          <w:szCs w:val="21"/>
        </w:rPr>
      </w:pPr>
      <w:r w:rsidRPr="00C97253">
        <w:rPr>
          <w:rFonts w:cs="Times New Roman"/>
          <w:b/>
          <w:bCs/>
          <w:kern w:val="0"/>
          <w:szCs w:val="21"/>
        </w:rPr>
        <w:t>Key words:</w:t>
      </w:r>
      <w:r w:rsidRPr="007E1944">
        <w:rPr>
          <w:rFonts w:cs="Times New Roman"/>
          <w:kern w:val="0"/>
          <w:szCs w:val="21"/>
        </w:rPr>
        <w:t xml:space="preserve"> </w:t>
      </w:r>
      <w:r w:rsidR="00E17813">
        <w:rPr>
          <w:rFonts w:hint="eastAsia"/>
        </w:rPr>
        <w:t xml:space="preserve">program management; </w:t>
      </w:r>
      <w:r w:rsidR="00E17813" w:rsidRPr="000E1177">
        <w:t>clean energy base</w:t>
      </w:r>
      <w:r w:rsidR="00E17813">
        <w:rPr>
          <w:rFonts w:hint="eastAsia"/>
        </w:rPr>
        <w:t xml:space="preserve">; stakeholder; </w:t>
      </w:r>
      <w:r w:rsidR="00E17813" w:rsidRPr="004607D5">
        <w:t>partnership</w:t>
      </w:r>
      <w:r w:rsidR="00E17813">
        <w:rPr>
          <w:rFonts w:hint="eastAsia"/>
        </w:rPr>
        <w:t>; resource allocation</w:t>
      </w:r>
    </w:p>
    <w:sectPr w:rsidR="00C97253" w:rsidRPr="008563C8" w:rsidSect="00181A00">
      <w:type w:val="continuous"/>
      <w:pgSz w:w="11906" w:h="16838"/>
      <w:pgMar w:top="1440" w:right="1106" w:bottom="1440" w:left="1106" w:header="851" w:footer="992" w:gutter="0"/>
      <w:cols w:space="425"/>
      <w:titlePg/>
      <w:docGrid w:type="linesAndChar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4803FCC" w14:textId="77777777" w:rsidR="00A10FCD" w:rsidRDefault="00A10FCD" w:rsidP="00450015">
      <w:pPr>
        <w:ind w:firstLine="420"/>
      </w:pPr>
      <w:r>
        <w:separator/>
      </w:r>
    </w:p>
  </w:endnote>
  <w:endnote w:type="continuationSeparator" w:id="0">
    <w:p w14:paraId="170FEF5E" w14:textId="77777777" w:rsidR="00A10FCD" w:rsidRDefault="00A10FCD" w:rsidP="00450015">
      <w:pPr>
        <w:ind w:firstLine="42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NewRoman">
    <w:altName w:val="Times New Roman"/>
    <w:panose1 w:val="00000000000000000000"/>
    <w:charset w:val="00"/>
    <w:family w:val="roman"/>
    <w:notTrueType/>
    <w:pitch w:val="default"/>
  </w:font>
  <w:font w:name="黑体">
    <w:altName w:val="SimHei"/>
    <w:panose1 w:val="02010609060101010101"/>
    <w:charset w:val="86"/>
    <w:family w:val="modern"/>
    <w:pitch w:val="fixed"/>
    <w:sig w:usb0="800002BF" w:usb1="38CF7CFA" w:usb2="00000016" w:usb3="00000000" w:csb0="00040001" w:csb1="00000000"/>
  </w:font>
  <w:font w:name="Times">
    <w:altName w:val="Times New Roman"/>
    <w:panose1 w:val="02020603050405020304"/>
    <w:charset w:val="00"/>
    <w:family w:val="roman"/>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40E8F" w14:textId="77777777" w:rsidR="002D1967" w:rsidRDefault="002D1967">
    <w:pPr>
      <w:pStyle w:val="a5"/>
      <w:ind w:firstLine="480"/>
      <w:rPr>
        <w:rFonts w:hint="eastAsia"/>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BCEB9F" w14:textId="77777777" w:rsidR="002D1967" w:rsidRPr="00AF4E5B" w:rsidRDefault="002D1967" w:rsidP="00AF4E5B">
    <w:pPr>
      <w:pStyle w:val="a5"/>
      <w:ind w:firstLine="480"/>
      <w:rPr>
        <w:rFonts w:hint="eastAsia"/>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387B0C" w14:textId="77777777" w:rsidR="002D1967" w:rsidRPr="003017E0" w:rsidRDefault="002D1967" w:rsidP="003017E0">
    <w:pPr>
      <w:ind w:firstLine="360"/>
      <w:jc w:val="left"/>
      <w:rPr>
        <w:rFonts w:ascii="宋体" w:hAnsi="宋体" w:cs="宋体" w:hint="eastAsia"/>
        <w:kern w:val="0"/>
        <w:sz w:val="18"/>
        <w:szCs w:val="18"/>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904E1D" w14:textId="77777777" w:rsidR="00A10FCD" w:rsidRDefault="00A10FCD" w:rsidP="00450015">
      <w:pPr>
        <w:ind w:firstLine="420"/>
      </w:pPr>
      <w:r>
        <w:separator/>
      </w:r>
    </w:p>
  </w:footnote>
  <w:footnote w:type="continuationSeparator" w:id="0">
    <w:p w14:paraId="79026184" w14:textId="77777777" w:rsidR="00A10FCD" w:rsidRDefault="00A10FCD" w:rsidP="00450015">
      <w:pPr>
        <w:ind w:firstLine="42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17A955" w14:textId="77777777" w:rsidR="002D1967" w:rsidRDefault="002D1967">
    <w:pPr>
      <w:pStyle w:val="a7"/>
      <w:ind w:firstLine="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09FD2" w14:textId="77777777" w:rsidR="002D1967" w:rsidRDefault="002D1967">
    <w:pPr>
      <w:pStyle w:val="a7"/>
      <w:ind w:firstLine="360"/>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2B7CC3" w14:textId="77777777" w:rsidR="002D1967" w:rsidRDefault="002D1967" w:rsidP="00373C80">
    <w:pPr>
      <w:ind w:firstLine="42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919D2"/>
    <w:multiLevelType w:val="hybridMultilevel"/>
    <w:tmpl w:val="80665C8A"/>
    <w:lvl w:ilvl="0" w:tplc="91668BAA">
      <w:start w:val="1"/>
      <w:numFmt w:val="decimal"/>
      <w:lvlText w:val="[%1]"/>
      <w:lvlJc w:val="right"/>
      <w:pPr>
        <w:ind w:left="1697"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 w15:restartNumberingAfterBreak="0">
    <w:nsid w:val="0BE75D6A"/>
    <w:multiLevelType w:val="multilevel"/>
    <w:tmpl w:val="C66239F0"/>
    <w:lvl w:ilvl="0">
      <w:start w:val="1"/>
      <w:numFmt w:val="decimal"/>
      <w:pStyle w:val="1"/>
      <w:suff w:val="space"/>
      <w:lvlText w:val="%1"/>
      <w:lvlJc w:val="left"/>
      <w:pPr>
        <w:ind w:left="0" w:firstLine="0"/>
      </w:pPr>
      <w:rPr>
        <w:rFonts w:hint="eastAsia"/>
      </w:rPr>
    </w:lvl>
    <w:lvl w:ilvl="1">
      <w:start w:val="1"/>
      <w:numFmt w:val="decimal"/>
      <w:pStyle w:val="2"/>
      <w:suff w:val="space"/>
      <w:lvlText w:val="%1.%2"/>
      <w:lvlJc w:val="left"/>
      <w:pPr>
        <w:ind w:left="0" w:firstLine="0"/>
      </w:pPr>
      <w:rPr>
        <w:rFonts w:hint="eastAsia"/>
      </w:rPr>
    </w:lvl>
    <w:lvl w:ilvl="2">
      <w:start w:val="1"/>
      <w:numFmt w:val="decimal"/>
      <w:pStyle w:val="3"/>
      <w:suff w:val="space"/>
      <w:lvlText w:val="%1.%2.%3"/>
      <w:lvlJc w:val="left"/>
      <w:pPr>
        <w:ind w:left="0" w:firstLine="0"/>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 w15:restartNumberingAfterBreak="0">
    <w:nsid w:val="111626EF"/>
    <w:multiLevelType w:val="hybridMultilevel"/>
    <w:tmpl w:val="D6562C3E"/>
    <w:lvl w:ilvl="0" w:tplc="5A70DFA0">
      <w:start w:val="1"/>
      <w:numFmt w:val="decimal"/>
      <w:lvlText w:val="[%1] "/>
      <w:lvlJc w:val="left"/>
      <w:pPr>
        <w:ind w:left="710" w:hanging="440"/>
      </w:pPr>
      <w:rPr>
        <w:rFonts w:hint="eastAsia"/>
      </w:rPr>
    </w:lvl>
    <w:lvl w:ilvl="1" w:tplc="04090019" w:tentative="1">
      <w:start w:val="1"/>
      <w:numFmt w:val="lowerLetter"/>
      <w:lvlText w:val="%2)"/>
      <w:lvlJc w:val="left"/>
      <w:pPr>
        <w:ind w:left="1150" w:hanging="440"/>
      </w:pPr>
    </w:lvl>
    <w:lvl w:ilvl="2" w:tplc="0409001B" w:tentative="1">
      <w:start w:val="1"/>
      <w:numFmt w:val="lowerRoman"/>
      <w:lvlText w:val="%3."/>
      <w:lvlJc w:val="right"/>
      <w:pPr>
        <w:ind w:left="1590" w:hanging="440"/>
      </w:pPr>
    </w:lvl>
    <w:lvl w:ilvl="3" w:tplc="0409000F" w:tentative="1">
      <w:start w:val="1"/>
      <w:numFmt w:val="decimal"/>
      <w:lvlText w:val="%4."/>
      <w:lvlJc w:val="left"/>
      <w:pPr>
        <w:ind w:left="2030" w:hanging="440"/>
      </w:pPr>
    </w:lvl>
    <w:lvl w:ilvl="4" w:tplc="04090019" w:tentative="1">
      <w:start w:val="1"/>
      <w:numFmt w:val="lowerLetter"/>
      <w:lvlText w:val="%5)"/>
      <w:lvlJc w:val="left"/>
      <w:pPr>
        <w:ind w:left="2470" w:hanging="440"/>
      </w:pPr>
    </w:lvl>
    <w:lvl w:ilvl="5" w:tplc="0409001B" w:tentative="1">
      <w:start w:val="1"/>
      <w:numFmt w:val="lowerRoman"/>
      <w:lvlText w:val="%6."/>
      <w:lvlJc w:val="right"/>
      <w:pPr>
        <w:ind w:left="2910" w:hanging="440"/>
      </w:pPr>
    </w:lvl>
    <w:lvl w:ilvl="6" w:tplc="0409000F" w:tentative="1">
      <w:start w:val="1"/>
      <w:numFmt w:val="decimal"/>
      <w:lvlText w:val="%7."/>
      <w:lvlJc w:val="left"/>
      <w:pPr>
        <w:ind w:left="3350" w:hanging="440"/>
      </w:pPr>
    </w:lvl>
    <w:lvl w:ilvl="7" w:tplc="04090019" w:tentative="1">
      <w:start w:val="1"/>
      <w:numFmt w:val="lowerLetter"/>
      <w:lvlText w:val="%8)"/>
      <w:lvlJc w:val="left"/>
      <w:pPr>
        <w:ind w:left="3790" w:hanging="440"/>
      </w:pPr>
    </w:lvl>
    <w:lvl w:ilvl="8" w:tplc="0409001B" w:tentative="1">
      <w:start w:val="1"/>
      <w:numFmt w:val="lowerRoman"/>
      <w:lvlText w:val="%9."/>
      <w:lvlJc w:val="right"/>
      <w:pPr>
        <w:ind w:left="4230" w:hanging="440"/>
      </w:pPr>
    </w:lvl>
  </w:abstractNum>
  <w:abstractNum w:abstractNumId="3" w15:restartNumberingAfterBreak="0">
    <w:nsid w:val="17524902"/>
    <w:multiLevelType w:val="hybridMultilevel"/>
    <w:tmpl w:val="167AAE6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1B345556"/>
    <w:multiLevelType w:val="hybridMultilevel"/>
    <w:tmpl w:val="2D686AEC"/>
    <w:lvl w:ilvl="0" w:tplc="04090019">
      <w:start w:val="1"/>
      <w:numFmt w:val="lowerLetter"/>
      <w:lvlText w:val="%1)"/>
      <w:lvlJc w:val="left"/>
      <w:pPr>
        <w:ind w:left="1130" w:hanging="420"/>
      </w:pPr>
    </w:lvl>
    <w:lvl w:ilvl="1" w:tplc="04090019">
      <w:start w:val="1"/>
      <w:numFmt w:val="lowerLetter"/>
      <w:lvlText w:val="%2)"/>
      <w:lvlJc w:val="left"/>
      <w:pPr>
        <w:ind w:left="1550" w:hanging="420"/>
      </w:pPr>
    </w:lvl>
    <w:lvl w:ilvl="2" w:tplc="0409001B" w:tentative="1">
      <w:start w:val="1"/>
      <w:numFmt w:val="lowerRoman"/>
      <w:lvlText w:val="%3."/>
      <w:lvlJc w:val="right"/>
      <w:pPr>
        <w:ind w:left="1970" w:hanging="420"/>
      </w:pPr>
    </w:lvl>
    <w:lvl w:ilvl="3" w:tplc="0409000F" w:tentative="1">
      <w:start w:val="1"/>
      <w:numFmt w:val="decimal"/>
      <w:lvlText w:val="%4."/>
      <w:lvlJc w:val="left"/>
      <w:pPr>
        <w:ind w:left="2390" w:hanging="420"/>
      </w:pPr>
    </w:lvl>
    <w:lvl w:ilvl="4" w:tplc="04090019" w:tentative="1">
      <w:start w:val="1"/>
      <w:numFmt w:val="lowerLetter"/>
      <w:lvlText w:val="%5)"/>
      <w:lvlJc w:val="left"/>
      <w:pPr>
        <w:ind w:left="2810" w:hanging="420"/>
      </w:pPr>
    </w:lvl>
    <w:lvl w:ilvl="5" w:tplc="0409001B" w:tentative="1">
      <w:start w:val="1"/>
      <w:numFmt w:val="lowerRoman"/>
      <w:lvlText w:val="%6."/>
      <w:lvlJc w:val="right"/>
      <w:pPr>
        <w:ind w:left="3230" w:hanging="420"/>
      </w:pPr>
    </w:lvl>
    <w:lvl w:ilvl="6" w:tplc="0409000F" w:tentative="1">
      <w:start w:val="1"/>
      <w:numFmt w:val="decimal"/>
      <w:lvlText w:val="%7."/>
      <w:lvlJc w:val="left"/>
      <w:pPr>
        <w:ind w:left="3650" w:hanging="420"/>
      </w:pPr>
    </w:lvl>
    <w:lvl w:ilvl="7" w:tplc="04090019" w:tentative="1">
      <w:start w:val="1"/>
      <w:numFmt w:val="lowerLetter"/>
      <w:lvlText w:val="%8)"/>
      <w:lvlJc w:val="left"/>
      <w:pPr>
        <w:ind w:left="4070" w:hanging="420"/>
      </w:pPr>
    </w:lvl>
    <w:lvl w:ilvl="8" w:tplc="0409001B" w:tentative="1">
      <w:start w:val="1"/>
      <w:numFmt w:val="lowerRoman"/>
      <w:lvlText w:val="%9."/>
      <w:lvlJc w:val="right"/>
      <w:pPr>
        <w:ind w:left="4490" w:hanging="420"/>
      </w:pPr>
    </w:lvl>
  </w:abstractNum>
  <w:abstractNum w:abstractNumId="5" w15:restartNumberingAfterBreak="0">
    <w:nsid w:val="1F232769"/>
    <w:multiLevelType w:val="hybridMultilevel"/>
    <w:tmpl w:val="1F2654FE"/>
    <w:lvl w:ilvl="0" w:tplc="5DFAB2D4">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15:restartNumberingAfterBreak="0">
    <w:nsid w:val="207323CB"/>
    <w:multiLevelType w:val="hybridMultilevel"/>
    <w:tmpl w:val="A2FE7EEA"/>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 w15:restartNumberingAfterBreak="0">
    <w:nsid w:val="2162698E"/>
    <w:multiLevelType w:val="hybridMultilevel"/>
    <w:tmpl w:val="BF686EAA"/>
    <w:lvl w:ilvl="0" w:tplc="5CE40F90">
      <w:start w:val="1"/>
      <w:numFmt w:val="decimal"/>
      <w:lvlText w:val="[%1] "/>
      <w:lvlJc w:val="right"/>
      <w:pPr>
        <w:ind w:left="454" w:hanging="454"/>
      </w:pPr>
      <w:rPr>
        <w:rFonts w:asciiTheme="minorEastAsia" w:eastAsia="宋体" w:hAnsiTheme="minorEastAsia" w:hint="eastAsia"/>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37810C19"/>
    <w:multiLevelType w:val="hybridMultilevel"/>
    <w:tmpl w:val="BAD4DB00"/>
    <w:lvl w:ilvl="0" w:tplc="04090019">
      <w:start w:val="1"/>
      <w:numFmt w:val="low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 w15:restartNumberingAfterBreak="0">
    <w:nsid w:val="3B9F11E5"/>
    <w:multiLevelType w:val="hybridMultilevel"/>
    <w:tmpl w:val="157EF6E2"/>
    <w:lvl w:ilvl="0" w:tplc="5F70A38E">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3EAA4755"/>
    <w:multiLevelType w:val="hybridMultilevel"/>
    <w:tmpl w:val="02D055A8"/>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 w15:restartNumberingAfterBreak="0">
    <w:nsid w:val="3EB847B3"/>
    <w:multiLevelType w:val="hybridMultilevel"/>
    <w:tmpl w:val="E4BEE22A"/>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2" w15:restartNumberingAfterBreak="0">
    <w:nsid w:val="405123B5"/>
    <w:multiLevelType w:val="hybridMultilevel"/>
    <w:tmpl w:val="B82C05F8"/>
    <w:lvl w:ilvl="0" w:tplc="2A7054E8">
      <w:start w:val="1"/>
      <w:numFmt w:val="decimal"/>
      <w:lvlText w:val="（%1."/>
      <w:lvlJc w:val="left"/>
      <w:pPr>
        <w:ind w:left="720" w:hanging="72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15:restartNumberingAfterBreak="0">
    <w:nsid w:val="458257B0"/>
    <w:multiLevelType w:val="hybridMultilevel"/>
    <w:tmpl w:val="47B2E14C"/>
    <w:lvl w:ilvl="0" w:tplc="9B581288">
      <w:start w:val="2"/>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4" w15:restartNumberingAfterBreak="0">
    <w:nsid w:val="493541CA"/>
    <w:multiLevelType w:val="hybridMultilevel"/>
    <w:tmpl w:val="436C037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15:restartNumberingAfterBreak="0">
    <w:nsid w:val="4E6B2441"/>
    <w:multiLevelType w:val="hybridMultilevel"/>
    <w:tmpl w:val="528E7CBE"/>
    <w:lvl w:ilvl="0" w:tplc="5DFAB2D4">
      <w:start w:val="1"/>
      <w:numFmt w:val="bullet"/>
      <w:lvlText w:val=""/>
      <w:lvlJc w:val="left"/>
      <w:pPr>
        <w:ind w:left="420" w:hanging="420"/>
      </w:pPr>
      <w:rPr>
        <w:rFonts w:ascii="Wingdings" w:hAnsi="Wingdings" w:hint="default"/>
      </w:rPr>
    </w:lvl>
    <w:lvl w:ilvl="1" w:tplc="04090019">
      <w:start w:val="1"/>
      <w:numFmt w:val="lowerLetter"/>
      <w:lvlText w:val="%2)"/>
      <w:lvlJc w:val="left"/>
      <w:pPr>
        <w:ind w:left="840" w:hanging="420"/>
      </w:pPr>
    </w:lvl>
    <w:lvl w:ilvl="2" w:tplc="0409001B">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6" w15:restartNumberingAfterBreak="0">
    <w:nsid w:val="4F1342C8"/>
    <w:multiLevelType w:val="hybridMultilevel"/>
    <w:tmpl w:val="31ECA8EE"/>
    <w:lvl w:ilvl="0" w:tplc="C7B4BEF4">
      <w:start w:val="1"/>
      <w:numFmt w:val="decimal"/>
      <w:lvlText w:val="(%1."/>
      <w:lvlJc w:val="left"/>
      <w:pPr>
        <w:ind w:left="1080" w:hanging="360"/>
      </w:pPr>
      <w:rPr>
        <w:rFonts w:hint="default"/>
      </w:rPr>
    </w:lvl>
    <w:lvl w:ilvl="1" w:tplc="04090019" w:tentative="1">
      <w:start w:val="1"/>
      <w:numFmt w:val="lowerLetter"/>
      <w:lvlText w:val="%2)"/>
      <w:lvlJc w:val="left"/>
      <w:pPr>
        <w:ind w:left="1560" w:hanging="420"/>
      </w:pPr>
    </w:lvl>
    <w:lvl w:ilvl="2" w:tplc="0409001B" w:tentative="1">
      <w:start w:val="1"/>
      <w:numFmt w:val="lowerRoman"/>
      <w:lvlText w:val="%3."/>
      <w:lvlJc w:val="right"/>
      <w:pPr>
        <w:ind w:left="1980" w:hanging="420"/>
      </w:pPr>
    </w:lvl>
    <w:lvl w:ilvl="3" w:tplc="0409000F" w:tentative="1">
      <w:start w:val="1"/>
      <w:numFmt w:val="decimal"/>
      <w:lvlText w:val="%4."/>
      <w:lvlJc w:val="left"/>
      <w:pPr>
        <w:ind w:left="2400" w:hanging="420"/>
      </w:pPr>
    </w:lvl>
    <w:lvl w:ilvl="4" w:tplc="04090019" w:tentative="1">
      <w:start w:val="1"/>
      <w:numFmt w:val="lowerLetter"/>
      <w:lvlText w:val="%5)"/>
      <w:lvlJc w:val="left"/>
      <w:pPr>
        <w:ind w:left="2820" w:hanging="420"/>
      </w:pPr>
    </w:lvl>
    <w:lvl w:ilvl="5" w:tplc="0409001B" w:tentative="1">
      <w:start w:val="1"/>
      <w:numFmt w:val="lowerRoman"/>
      <w:lvlText w:val="%6."/>
      <w:lvlJc w:val="right"/>
      <w:pPr>
        <w:ind w:left="3240" w:hanging="420"/>
      </w:pPr>
    </w:lvl>
    <w:lvl w:ilvl="6" w:tplc="0409000F" w:tentative="1">
      <w:start w:val="1"/>
      <w:numFmt w:val="decimal"/>
      <w:lvlText w:val="%7."/>
      <w:lvlJc w:val="left"/>
      <w:pPr>
        <w:ind w:left="3660" w:hanging="420"/>
      </w:pPr>
    </w:lvl>
    <w:lvl w:ilvl="7" w:tplc="04090019" w:tentative="1">
      <w:start w:val="1"/>
      <w:numFmt w:val="lowerLetter"/>
      <w:lvlText w:val="%8)"/>
      <w:lvlJc w:val="left"/>
      <w:pPr>
        <w:ind w:left="4080" w:hanging="420"/>
      </w:pPr>
    </w:lvl>
    <w:lvl w:ilvl="8" w:tplc="0409001B" w:tentative="1">
      <w:start w:val="1"/>
      <w:numFmt w:val="lowerRoman"/>
      <w:lvlText w:val="%9."/>
      <w:lvlJc w:val="right"/>
      <w:pPr>
        <w:ind w:left="4500" w:hanging="420"/>
      </w:pPr>
    </w:lvl>
  </w:abstractNum>
  <w:abstractNum w:abstractNumId="17" w15:restartNumberingAfterBreak="0">
    <w:nsid w:val="511146FC"/>
    <w:multiLevelType w:val="hybridMultilevel"/>
    <w:tmpl w:val="E8908EA2"/>
    <w:lvl w:ilvl="0" w:tplc="0409000F">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18" w15:restartNumberingAfterBreak="0">
    <w:nsid w:val="518065F7"/>
    <w:multiLevelType w:val="hybridMultilevel"/>
    <w:tmpl w:val="4552C084"/>
    <w:lvl w:ilvl="0" w:tplc="1D9AE1C8">
      <w:start w:val="1"/>
      <w:numFmt w:val="decimal"/>
      <w:lvlText w:val="%1、"/>
      <w:lvlJc w:val="left"/>
      <w:pPr>
        <w:ind w:left="390" w:hanging="39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9" w15:restartNumberingAfterBreak="0">
    <w:nsid w:val="557408CC"/>
    <w:multiLevelType w:val="hybridMultilevel"/>
    <w:tmpl w:val="D5189DD2"/>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0" w15:restartNumberingAfterBreak="0">
    <w:nsid w:val="5BB16AD5"/>
    <w:multiLevelType w:val="hybridMultilevel"/>
    <w:tmpl w:val="49D00294"/>
    <w:lvl w:ilvl="0" w:tplc="BCACB034">
      <w:start w:val="2"/>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1" w15:restartNumberingAfterBreak="0">
    <w:nsid w:val="5ECD2033"/>
    <w:multiLevelType w:val="hybridMultilevel"/>
    <w:tmpl w:val="059EBA1C"/>
    <w:lvl w:ilvl="0" w:tplc="9D24DFB0">
      <w:start w:val="1"/>
      <w:numFmt w:val="decimal"/>
      <w:lvlText w:val="%1."/>
      <w:lvlJc w:val="left"/>
      <w:pPr>
        <w:ind w:left="420" w:hanging="420"/>
      </w:pPr>
      <w:rPr>
        <w:rFonts w:hint="eastAsia"/>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 w15:restartNumberingAfterBreak="0">
    <w:nsid w:val="688C0F07"/>
    <w:multiLevelType w:val="hybridMultilevel"/>
    <w:tmpl w:val="855E11BE"/>
    <w:lvl w:ilvl="0" w:tplc="0409000F">
      <w:start w:val="1"/>
      <w:numFmt w:val="decimal"/>
      <w:lvlText w:val="%1."/>
      <w:lvlJc w:val="left"/>
      <w:pPr>
        <w:ind w:left="420" w:hanging="420"/>
      </w:pPr>
      <w:rPr>
        <w:rFonts w:hint="default"/>
      </w:rPr>
    </w:lvl>
    <w:lvl w:ilvl="1" w:tplc="04090019">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3" w15:restartNumberingAfterBreak="0">
    <w:nsid w:val="6B73765B"/>
    <w:multiLevelType w:val="hybridMultilevel"/>
    <w:tmpl w:val="AB06759A"/>
    <w:lvl w:ilvl="0" w:tplc="1938C666">
      <w:start w:val="1"/>
      <w:numFmt w:val="bullet"/>
      <w:lvlText w:val=""/>
      <w:lvlJc w:val="left"/>
      <w:pPr>
        <w:ind w:left="420" w:hanging="420"/>
      </w:pPr>
      <w:rPr>
        <w:rFonts w:ascii="Wingdings" w:hAnsi="Wingdings" w:hint="default"/>
        <w:color w:val="FF0000"/>
        <w:sz w:val="22"/>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 w15:restartNumberingAfterBreak="0">
    <w:nsid w:val="6F4D291E"/>
    <w:multiLevelType w:val="hybridMultilevel"/>
    <w:tmpl w:val="97DC578C"/>
    <w:lvl w:ilvl="0" w:tplc="2DD0ED56">
      <w:start w:val="1"/>
      <w:numFmt w:val="decimal"/>
      <w:lvlText w:val="(%1."/>
      <w:lvlJc w:val="left"/>
      <w:pPr>
        <w:ind w:left="720" w:hanging="360"/>
      </w:pPr>
      <w:rPr>
        <w:rFonts w:hint="default"/>
      </w:rPr>
    </w:lvl>
    <w:lvl w:ilvl="1" w:tplc="04090019" w:tentative="1">
      <w:start w:val="1"/>
      <w:numFmt w:val="lowerLetter"/>
      <w:lvlText w:val="%2)"/>
      <w:lvlJc w:val="left"/>
      <w:pPr>
        <w:ind w:left="1200" w:hanging="420"/>
      </w:pPr>
    </w:lvl>
    <w:lvl w:ilvl="2" w:tplc="0409001B" w:tentative="1">
      <w:start w:val="1"/>
      <w:numFmt w:val="lowerRoman"/>
      <w:lvlText w:val="%3."/>
      <w:lvlJc w:val="right"/>
      <w:pPr>
        <w:ind w:left="1620" w:hanging="420"/>
      </w:pPr>
    </w:lvl>
    <w:lvl w:ilvl="3" w:tplc="0409000F" w:tentative="1">
      <w:start w:val="1"/>
      <w:numFmt w:val="decimal"/>
      <w:lvlText w:val="%4."/>
      <w:lvlJc w:val="left"/>
      <w:pPr>
        <w:ind w:left="2040" w:hanging="420"/>
      </w:pPr>
    </w:lvl>
    <w:lvl w:ilvl="4" w:tplc="04090019" w:tentative="1">
      <w:start w:val="1"/>
      <w:numFmt w:val="lowerLetter"/>
      <w:lvlText w:val="%5)"/>
      <w:lvlJc w:val="left"/>
      <w:pPr>
        <w:ind w:left="2460" w:hanging="420"/>
      </w:pPr>
    </w:lvl>
    <w:lvl w:ilvl="5" w:tplc="0409001B" w:tentative="1">
      <w:start w:val="1"/>
      <w:numFmt w:val="lowerRoman"/>
      <w:lvlText w:val="%6."/>
      <w:lvlJc w:val="right"/>
      <w:pPr>
        <w:ind w:left="2880" w:hanging="420"/>
      </w:pPr>
    </w:lvl>
    <w:lvl w:ilvl="6" w:tplc="0409000F" w:tentative="1">
      <w:start w:val="1"/>
      <w:numFmt w:val="decimal"/>
      <w:lvlText w:val="%7."/>
      <w:lvlJc w:val="left"/>
      <w:pPr>
        <w:ind w:left="3300" w:hanging="420"/>
      </w:pPr>
    </w:lvl>
    <w:lvl w:ilvl="7" w:tplc="04090019" w:tentative="1">
      <w:start w:val="1"/>
      <w:numFmt w:val="lowerLetter"/>
      <w:lvlText w:val="%8)"/>
      <w:lvlJc w:val="left"/>
      <w:pPr>
        <w:ind w:left="3720" w:hanging="420"/>
      </w:pPr>
    </w:lvl>
    <w:lvl w:ilvl="8" w:tplc="0409001B" w:tentative="1">
      <w:start w:val="1"/>
      <w:numFmt w:val="lowerRoman"/>
      <w:lvlText w:val="%9."/>
      <w:lvlJc w:val="right"/>
      <w:pPr>
        <w:ind w:left="4140" w:hanging="420"/>
      </w:pPr>
    </w:lvl>
  </w:abstractNum>
  <w:abstractNum w:abstractNumId="25" w15:restartNumberingAfterBreak="0">
    <w:nsid w:val="78262D8F"/>
    <w:multiLevelType w:val="multilevel"/>
    <w:tmpl w:val="D31464CA"/>
    <w:lvl w:ilvl="0">
      <w:start w:val="1"/>
      <w:numFmt w:val="decimal"/>
      <w:lvlText w:val="%1."/>
      <w:lvlJc w:val="left"/>
      <w:pPr>
        <w:ind w:left="425" w:hanging="425"/>
      </w:pPr>
      <w:rPr>
        <w:rFonts w:hint="eastAsia"/>
      </w:rPr>
    </w:lvl>
    <w:lvl w:ilvl="1">
      <w:start w:val="1"/>
      <w:numFmt w:val="decimal"/>
      <w:lvlText w:val="%1.%2."/>
      <w:lvlJc w:val="left"/>
      <w:pPr>
        <w:ind w:left="851" w:hanging="851"/>
      </w:pPr>
      <w:rPr>
        <w:rFonts w:hint="eastAsia"/>
      </w:rPr>
    </w:lvl>
    <w:lvl w:ilvl="2">
      <w:start w:val="1"/>
      <w:numFmt w:val="decimal"/>
      <w:lvlText w:val="%1.%2.%3."/>
      <w:lvlJc w:val="left"/>
      <w:pPr>
        <w:ind w:left="851" w:hanging="851"/>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num w:numId="1" w16cid:durableId="78521783">
    <w:abstractNumId w:val="18"/>
  </w:num>
  <w:num w:numId="2" w16cid:durableId="1362974917">
    <w:abstractNumId w:val="11"/>
  </w:num>
  <w:num w:numId="3" w16cid:durableId="1985310393">
    <w:abstractNumId w:val="7"/>
  </w:num>
  <w:num w:numId="4" w16cid:durableId="1511140909">
    <w:abstractNumId w:val="21"/>
  </w:num>
  <w:num w:numId="5" w16cid:durableId="911157344">
    <w:abstractNumId w:val="10"/>
  </w:num>
  <w:num w:numId="6" w16cid:durableId="545138904">
    <w:abstractNumId w:val="19"/>
  </w:num>
  <w:num w:numId="7" w16cid:durableId="883522985">
    <w:abstractNumId w:val="4"/>
  </w:num>
  <w:num w:numId="8" w16cid:durableId="1080325136">
    <w:abstractNumId w:val="25"/>
  </w:num>
  <w:num w:numId="9" w16cid:durableId="1650287690">
    <w:abstractNumId w:val="17"/>
  </w:num>
  <w:num w:numId="10" w16cid:durableId="448626568">
    <w:abstractNumId w:val="3"/>
  </w:num>
  <w:num w:numId="11" w16cid:durableId="665744504">
    <w:abstractNumId w:val="22"/>
  </w:num>
  <w:num w:numId="12" w16cid:durableId="727652486">
    <w:abstractNumId w:val="23"/>
  </w:num>
  <w:num w:numId="13" w16cid:durableId="411705997">
    <w:abstractNumId w:val="15"/>
  </w:num>
  <w:num w:numId="14" w16cid:durableId="1174536859">
    <w:abstractNumId w:val="5"/>
  </w:num>
  <w:num w:numId="15" w16cid:durableId="2143887108">
    <w:abstractNumId w:val="8"/>
  </w:num>
  <w:num w:numId="16" w16cid:durableId="1964459789">
    <w:abstractNumId w:val="6"/>
  </w:num>
  <w:num w:numId="17" w16cid:durableId="610085446">
    <w:abstractNumId w:val="14"/>
  </w:num>
  <w:num w:numId="18" w16cid:durableId="820852236">
    <w:abstractNumId w:val="12"/>
  </w:num>
  <w:num w:numId="19" w16cid:durableId="1984892348">
    <w:abstractNumId w:val="9"/>
  </w:num>
  <w:num w:numId="20" w16cid:durableId="1079667893">
    <w:abstractNumId w:val="20"/>
  </w:num>
  <w:num w:numId="21" w16cid:durableId="1247617735">
    <w:abstractNumId w:val="24"/>
  </w:num>
  <w:num w:numId="22" w16cid:durableId="1634560523">
    <w:abstractNumId w:val="16"/>
  </w:num>
  <w:num w:numId="23" w16cid:durableId="1632396844">
    <w:abstractNumId w:val="13"/>
  </w:num>
  <w:num w:numId="24" w16cid:durableId="481584069">
    <w:abstractNumId w:val="1"/>
  </w:num>
  <w:num w:numId="25" w16cid:durableId="1902862041">
    <w:abstractNumId w:val="2"/>
  </w:num>
  <w:num w:numId="26" w16cid:durableId="1081608696">
    <w:abstractNumId w:val="0"/>
  </w:num>
  <w:num w:numId="27" w16cid:durableId="104845269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048372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420"/>
  <w:drawingGridHorizontalSpacing w:val="105"/>
  <w:drawingGridVerticalSpacing w:val="156"/>
  <w:displayHorizontalDrawingGridEvery w:val="2"/>
  <w:displayVerticalDrawingGridEvery w:val="2"/>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2M7EwNDUytjQ1MzQ2tzRV0lEKTi0uzszPAykwMqoFABIXuzItAAAA"/>
  </w:docVars>
  <w:rsids>
    <w:rsidRoot w:val="00652A1C"/>
    <w:rsid w:val="00003336"/>
    <w:rsid w:val="00003548"/>
    <w:rsid w:val="00004BA1"/>
    <w:rsid w:val="00005175"/>
    <w:rsid w:val="0000547A"/>
    <w:rsid w:val="00007600"/>
    <w:rsid w:val="00010AA9"/>
    <w:rsid w:val="00011004"/>
    <w:rsid w:val="000132E7"/>
    <w:rsid w:val="0001643B"/>
    <w:rsid w:val="000262B9"/>
    <w:rsid w:val="000314FB"/>
    <w:rsid w:val="000333BF"/>
    <w:rsid w:val="00033EC0"/>
    <w:rsid w:val="00044052"/>
    <w:rsid w:val="0004423E"/>
    <w:rsid w:val="000540F0"/>
    <w:rsid w:val="00056B93"/>
    <w:rsid w:val="0006099E"/>
    <w:rsid w:val="00060CB8"/>
    <w:rsid w:val="00062519"/>
    <w:rsid w:val="00067B7F"/>
    <w:rsid w:val="000763CA"/>
    <w:rsid w:val="0008007F"/>
    <w:rsid w:val="00080F55"/>
    <w:rsid w:val="000811ED"/>
    <w:rsid w:val="000913F4"/>
    <w:rsid w:val="000954BC"/>
    <w:rsid w:val="000A0377"/>
    <w:rsid w:val="000B0527"/>
    <w:rsid w:val="000B2764"/>
    <w:rsid w:val="000B2B64"/>
    <w:rsid w:val="000B3C05"/>
    <w:rsid w:val="000C5FC1"/>
    <w:rsid w:val="000D0D7D"/>
    <w:rsid w:val="000D4802"/>
    <w:rsid w:val="000D4FB5"/>
    <w:rsid w:val="000D5CBB"/>
    <w:rsid w:val="000D5FF7"/>
    <w:rsid w:val="000E2FE6"/>
    <w:rsid w:val="000E38EB"/>
    <w:rsid w:val="000E6861"/>
    <w:rsid w:val="000E6C61"/>
    <w:rsid w:val="000E6DDB"/>
    <w:rsid w:val="000F1BE5"/>
    <w:rsid w:val="000F2689"/>
    <w:rsid w:val="000F4C91"/>
    <w:rsid w:val="000F76F4"/>
    <w:rsid w:val="00100320"/>
    <w:rsid w:val="001003C5"/>
    <w:rsid w:val="00100511"/>
    <w:rsid w:val="00101090"/>
    <w:rsid w:val="00103319"/>
    <w:rsid w:val="00106CA5"/>
    <w:rsid w:val="00111C04"/>
    <w:rsid w:val="00115354"/>
    <w:rsid w:val="00116F7D"/>
    <w:rsid w:val="0012152F"/>
    <w:rsid w:val="001222A3"/>
    <w:rsid w:val="00122556"/>
    <w:rsid w:val="00122D47"/>
    <w:rsid w:val="001234E0"/>
    <w:rsid w:val="00123BD4"/>
    <w:rsid w:val="0012453B"/>
    <w:rsid w:val="001256A6"/>
    <w:rsid w:val="00127413"/>
    <w:rsid w:val="00133673"/>
    <w:rsid w:val="001370D7"/>
    <w:rsid w:val="00143B30"/>
    <w:rsid w:val="00150EE3"/>
    <w:rsid w:val="0015261F"/>
    <w:rsid w:val="00161A8A"/>
    <w:rsid w:val="0016325B"/>
    <w:rsid w:val="001644A8"/>
    <w:rsid w:val="001668DB"/>
    <w:rsid w:val="00166AE2"/>
    <w:rsid w:val="001674B7"/>
    <w:rsid w:val="001724F6"/>
    <w:rsid w:val="001749A8"/>
    <w:rsid w:val="00174DE9"/>
    <w:rsid w:val="00177368"/>
    <w:rsid w:val="001808DA"/>
    <w:rsid w:val="00181A00"/>
    <w:rsid w:val="00185D2B"/>
    <w:rsid w:val="001861F8"/>
    <w:rsid w:val="0018668C"/>
    <w:rsid w:val="00190575"/>
    <w:rsid w:val="0019489F"/>
    <w:rsid w:val="001949AF"/>
    <w:rsid w:val="001A1944"/>
    <w:rsid w:val="001A2515"/>
    <w:rsid w:val="001A5091"/>
    <w:rsid w:val="001A50AA"/>
    <w:rsid w:val="001A50EA"/>
    <w:rsid w:val="001A6C69"/>
    <w:rsid w:val="001A7591"/>
    <w:rsid w:val="001B428E"/>
    <w:rsid w:val="001B5CD5"/>
    <w:rsid w:val="001B7E4A"/>
    <w:rsid w:val="001C06EF"/>
    <w:rsid w:val="001C32FE"/>
    <w:rsid w:val="001C391E"/>
    <w:rsid w:val="001C684D"/>
    <w:rsid w:val="001C774A"/>
    <w:rsid w:val="001D02B0"/>
    <w:rsid w:val="001D31DF"/>
    <w:rsid w:val="001D339E"/>
    <w:rsid w:val="001D5C77"/>
    <w:rsid w:val="001D6A9A"/>
    <w:rsid w:val="001E2BDD"/>
    <w:rsid w:val="001E763C"/>
    <w:rsid w:val="001F12CD"/>
    <w:rsid w:val="001F7800"/>
    <w:rsid w:val="001F7A8E"/>
    <w:rsid w:val="001F7C3F"/>
    <w:rsid w:val="0020038E"/>
    <w:rsid w:val="0020048F"/>
    <w:rsid w:val="002004D5"/>
    <w:rsid w:val="00200F61"/>
    <w:rsid w:val="0020126D"/>
    <w:rsid w:val="002026F1"/>
    <w:rsid w:val="00202B66"/>
    <w:rsid w:val="0020709B"/>
    <w:rsid w:val="002112EB"/>
    <w:rsid w:val="00211992"/>
    <w:rsid w:val="00211FFD"/>
    <w:rsid w:val="00213A45"/>
    <w:rsid w:val="0021757D"/>
    <w:rsid w:val="002274EB"/>
    <w:rsid w:val="00227A8F"/>
    <w:rsid w:val="002312F2"/>
    <w:rsid w:val="00231EA4"/>
    <w:rsid w:val="0023312C"/>
    <w:rsid w:val="00234B98"/>
    <w:rsid w:val="0023635D"/>
    <w:rsid w:val="002411E0"/>
    <w:rsid w:val="00244CE7"/>
    <w:rsid w:val="00247F7C"/>
    <w:rsid w:val="00251419"/>
    <w:rsid w:val="002613D1"/>
    <w:rsid w:val="0026720B"/>
    <w:rsid w:val="0027047F"/>
    <w:rsid w:val="00275235"/>
    <w:rsid w:val="0027782D"/>
    <w:rsid w:val="00277F10"/>
    <w:rsid w:val="00281CF7"/>
    <w:rsid w:val="002872BB"/>
    <w:rsid w:val="002928AF"/>
    <w:rsid w:val="00293B55"/>
    <w:rsid w:val="0029530E"/>
    <w:rsid w:val="002A2319"/>
    <w:rsid w:val="002A402F"/>
    <w:rsid w:val="002A6B0D"/>
    <w:rsid w:val="002A6FCF"/>
    <w:rsid w:val="002B07E2"/>
    <w:rsid w:val="002B2C8D"/>
    <w:rsid w:val="002B43B9"/>
    <w:rsid w:val="002B4535"/>
    <w:rsid w:val="002B474B"/>
    <w:rsid w:val="002B7713"/>
    <w:rsid w:val="002C1573"/>
    <w:rsid w:val="002C27A3"/>
    <w:rsid w:val="002C5A48"/>
    <w:rsid w:val="002C6FB7"/>
    <w:rsid w:val="002D0B44"/>
    <w:rsid w:val="002D10AB"/>
    <w:rsid w:val="002D1967"/>
    <w:rsid w:val="002D29E6"/>
    <w:rsid w:val="002D312C"/>
    <w:rsid w:val="002D41C8"/>
    <w:rsid w:val="002E1A4F"/>
    <w:rsid w:val="002E1B29"/>
    <w:rsid w:val="002E2A26"/>
    <w:rsid w:val="002E3682"/>
    <w:rsid w:val="002E4D70"/>
    <w:rsid w:val="002E52B8"/>
    <w:rsid w:val="002E5A32"/>
    <w:rsid w:val="002F08D1"/>
    <w:rsid w:val="002F1D37"/>
    <w:rsid w:val="002F35EE"/>
    <w:rsid w:val="002F3722"/>
    <w:rsid w:val="002F4CE6"/>
    <w:rsid w:val="0030005E"/>
    <w:rsid w:val="0030080A"/>
    <w:rsid w:val="003017E0"/>
    <w:rsid w:val="0030398B"/>
    <w:rsid w:val="00304090"/>
    <w:rsid w:val="00304B97"/>
    <w:rsid w:val="003079D0"/>
    <w:rsid w:val="00311A98"/>
    <w:rsid w:val="00313B7F"/>
    <w:rsid w:val="00313E99"/>
    <w:rsid w:val="00314763"/>
    <w:rsid w:val="00314CE3"/>
    <w:rsid w:val="0031695D"/>
    <w:rsid w:val="0032011C"/>
    <w:rsid w:val="00320965"/>
    <w:rsid w:val="00320EA1"/>
    <w:rsid w:val="003220F6"/>
    <w:rsid w:val="00323006"/>
    <w:rsid w:val="003232B7"/>
    <w:rsid w:val="00323DC9"/>
    <w:rsid w:val="003245AA"/>
    <w:rsid w:val="0032625F"/>
    <w:rsid w:val="00326E11"/>
    <w:rsid w:val="00331828"/>
    <w:rsid w:val="003341A5"/>
    <w:rsid w:val="00334431"/>
    <w:rsid w:val="003346B5"/>
    <w:rsid w:val="003348E5"/>
    <w:rsid w:val="00335D8D"/>
    <w:rsid w:val="00335FD7"/>
    <w:rsid w:val="0033612A"/>
    <w:rsid w:val="003411C3"/>
    <w:rsid w:val="003444A0"/>
    <w:rsid w:val="00345266"/>
    <w:rsid w:val="00346A15"/>
    <w:rsid w:val="00346B66"/>
    <w:rsid w:val="0035144B"/>
    <w:rsid w:val="00351E0E"/>
    <w:rsid w:val="00356083"/>
    <w:rsid w:val="00356E2D"/>
    <w:rsid w:val="00361D3F"/>
    <w:rsid w:val="00366986"/>
    <w:rsid w:val="00371EBA"/>
    <w:rsid w:val="003720EF"/>
    <w:rsid w:val="00373C80"/>
    <w:rsid w:val="003819C4"/>
    <w:rsid w:val="00381A38"/>
    <w:rsid w:val="00390250"/>
    <w:rsid w:val="0039058E"/>
    <w:rsid w:val="00392AC1"/>
    <w:rsid w:val="0039553A"/>
    <w:rsid w:val="003A047C"/>
    <w:rsid w:val="003A3CED"/>
    <w:rsid w:val="003A66FD"/>
    <w:rsid w:val="003B03C1"/>
    <w:rsid w:val="003B13DA"/>
    <w:rsid w:val="003B1990"/>
    <w:rsid w:val="003C1253"/>
    <w:rsid w:val="003C1DDB"/>
    <w:rsid w:val="003C1EE4"/>
    <w:rsid w:val="003C3DAD"/>
    <w:rsid w:val="003D304A"/>
    <w:rsid w:val="003D3507"/>
    <w:rsid w:val="003D403C"/>
    <w:rsid w:val="003D4BEB"/>
    <w:rsid w:val="003D6CAC"/>
    <w:rsid w:val="003D73B8"/>
    <w:rsid w:val="003E1444"/>
    <w:rsid w:val="003E17F3"/>
    <w:rsid w:val="003E494B"/>
    <w:rsid w:val="003E686F"/>
    <w:rsid w:val="003E7F81"/>
    <w:rsid w:val="003F1DC9"/>
    <w:rsid w:val="003F3AE6"/>
    <w:rsid w:val="003F3DED"/>
    <w:rsid w:val="003F3F2F"/>
    <w:rsid w:val="003F566B"/>
    <w:rsid w:val="004009BF"/>
    <w:rsid w:val="00400A43"/>
    <w:rsid w:val="00401099"/>
    <w:rsid w:val="004013FA"/>
    <w:rsid w:val="00402B71"/>
    <w:rsid w:val="004045D3"/>
    <w:rsid w:val="00404A80"/>
    <w:rsid w:val="00407E6C"/>
    <w:rsid w:val="004107D8"/>
    <w:rsid w:val="00414C95"/>
    <w:rsid w:val="004167BC"/>
    <w:rsid w:val="0042282A"/>
    <w:rsid w:val="00423A02"/>
    <w:rsid w:val="00424D7F"/>
    <w:rsid w:val="00424E6E"/>
    <w:rsid w:val="004300F4"/>
    <w:rsid w:val="0043200C"/>
    <w:rsid w:val="004354FF"/>
    <w:rsid w:val="00435FAB"/>
    <w:rsid w:val="00436F62"/>
    <w:rsid w:val="00450015"/>
    <w:rsid w:val="00450B4D"/>
    <w:rsid w:val="00454C0A"/>
    <w:rsid w:val="004550BE"/>
    <w:rsid w:val="004559FA"/>
    <w:rsid w:val="00457AB1"/>
    <w:rsid w:val="004620F9"/>
    <w:rsid w:val="00464151"/>
    <w:rsid w:val="004702D4"/>
    <w:rsid w:val="0047128A"/>
    <w:rsid w:val="00471D48"/>
    <w:rsid w:val="00473926"/>
    <w:rsid w:val="0047568F"/>
    <w:rsid w:val="00477CFE"/>
    <w:rsid w:val="00477D55"/>
    <w:rsid w:val="00481376"/>
    <w:rsid w:val="004839CA"/>
    <w:rsid w:val="00485FDC"/>
    <w:rsid w:val="00490F1A"/>
    <w:rsid w:val="0049159F"/>
    <w:rsid w:val="004923E8"/>
    <w:rsid w:val="0049426A"/>
    <w:rsid w:val="00496CF0"/>
    <w:rsid w:val="004A1048"/>
    <w:rsid w:val="004A4F0B"/>
    <w:rsid w:val="004B0C55"/>
    <w:rsid w:val="004B581A"/>
    <w:rsid w:val="004C0AB5"/>
    <w:rsid w:val="004C3C1F"/>
    <w:rsid w:val="004C5A84"/>
    <w:rsid w:val="004C643C"/>
    <w:rsid w:val="004C71DF"/>
    <w:rsid w:val="004D2EE8"/>
    <w:rsid w:val="004D4B03"/>
    <w:rsid w:val="004D5E44"/>
    <w:rsid w:val="004D7BC9"/>
    <w:rsid w:val="004E1F4C"/>
    <w:rsid w:val="004F20E1"/>
    <w:rsid w:val="004F3AC7"/>
    <w:rsid w:val="004F5163"/>
    <w:rsid w:val="004F7F6D"/>
    <w:rsid w:val="005004A8"/>
    <w:rsid w:val="005009A1"/>
    <w:rsid w:val="00501499"/>
    <w:rsid w:val="0050377C"/>
    <w:rsid w:val="00503EFF"/>
    <w:rsid w:val="0050501E"/>
    <w:rsid w:val="00506AF7"/>
    <w:rsid w:val="005073F3"/>
    <w:rsid w:val="00511CD6"/>
    <w:rsid w:val="005125D2"/>
    <w:rsid w:val="00513774"/>
    <w:rsid w:val="00513E21"/>
    <w:rsid w:val="0051527D"/>
    <w:rsid w:val="00515DAD"/>
    <w:rsid w:val="00516AA6"/>
    <w:rsid w:val="00517860"/>
    <w:rsid w:val="00522153"/>
    <w:rsid w:val="00535DAA"/>
    <w:rsid w:val="00537C96"/>
    <w:rsid w:val="0054314E"/>
    <w:rsid w:val="00550BCF"/>
    <w:rsid w:val="00551709"/>
    <w:rsid w:val="00552E58"/>
    <w:rsid w:val="005535B3"/>
    <w:rsid w:val="005536CC"/>
    <w:rsid w:val="005614EF"/>
    <w:rsid w:val="00563937"/>
    <w:rsid w:val="0056417B"/>
    <w:rsid w:val="00564264"/>
    <w:rsid w:val="00565FCA"/>
    <w:rsid w:val="00567F4C"/>
    <w:rsid w:val="00570A2B"/>
    <w:rsid w:val="005752C8"/>
    <w:rsid w:val="00575A82"/>
    <w:rsid w:val="0057677C"/>
    <w:rsid w:val="005769C7"/>
    <w:rsid w:val="00577718"/>
    <w:rsid w:val="00580197"/>
    <w:rsid w:val="00580F0B"/>
    <w:rsid w:val="0058184A"/>
    <w:rsid w:val="00582D04"/>
    <w:rsid w:val="00587DBD"/>
    <w:rsid w:val="005914CF"/>
    <w:rsid w:val="00591C76"/>
    <w:rsid w:val="00594529"/>
    <w:rsid w:val="00594ACE"/>
    <w:rsid w:val="00594BB3"/>
    <w:rsid w:val="005959E8"/>
    <w:rsid w:val="00595F9B"/>
    <w:rsid w:val="005A3E13"/>
    <w:rsid w:val="005A3E75"/>
    <w:rsid w:val="005A4F6B"/>
    <w:rsid w:val="005A5DDB"/>
    <w:rsid w:val="005A6FD0"/>
    <w:rsid w:val="005B30B1"/>
    <w:rsid w:val="005B3B3F"/>
    <w:rsid w:val="005B4A89"/>
    <w:rsid w:val="005B4E8F"/>
    <w:rsid w:val="005C0C15"/>
    <w:rsid w:val="005C3352"/>
    <w:rsid w:val="005C47A9"/>
    <w:rsid w:val="005D6551"/>
    <w:rsid w:val="005E0072"/>
    <w:rsid w:val="005E0D9C"/>
    <w:rsid w:val="005E0E42"/>
    <w:rsid w:val="005F0997"/>
    <w:rsid w:val="005F0A15"/>
    <w:rsid w:val="005F4CDD"/>
    <w:rsid w:val="005F513E"/>
    <w:rsid w:val="005F5F15"/>
    <w:rsid w:val="00600B1E"/>
    <w:rsid w:val="00601356"/>
    <w:rsid w:val="00603F9F"/>
    <w:rsid w:val="00605ADF"/>
    <w:rsid w:val="00605BCB"/>
    <w:rsid w:val="00606258"/>
    <w:rsid w:val="006075FF"/>
    <w:rsid w:val="00617D1F"/>
    <w:rsid w:val="006201E9"/>
    <w:rsid w:val="00624201"/>
    <w:rsid w:val="006265F3"/>
    <w:rsid w:val="00630AD1"/>
    <w:rsid w:val="00633992"/>
    <w:rsid w:val="00635236"/>
    <w:rsid w:val="00641A57"/>
    <w:rsid w:val="00642418"/>
    <w:rsid w:val="006430DC"/>
    <w:rsid w:val="00646196"/>
    <w:rsid w:val="00651DF2"/>
    <w:rsid w:val="00651DF4"/>
    <w:rsid w:val="00652A1C"/>
    <w:rsid w:val="00653A36"/>
    <w:rsid w:val="006541EA"/>
    <w:rsid w:val="006563D3"/>
    <w:rsid w:val="0066112B"/>
    <w:rsid w:val="00661872"/>
    <w:rsid w:val="00661FC2"/>
    <w:rsid w:val="0066299E"/>
    <w:rsid w:val="00664608"/>
    <w:rsid w:val="00664B0C"/>
    <w:rsid w:val="006650A9"/>
    <w:rsid w:val="00671F0F"/>
    <w:rsid w:val="0067212C"/>
    <w:rsid w:val="006729ED"/>
    <w:rsid w:val="006761CD"/>
    <w:rsid w:val="00676830"/>
    <w:rsid w:val="006804EC"/>
    <w:rsid w:val="00682337"/>
    <w:rsid w:val="00684963"/>
    <w:rsid w:val="00687BFE"/>
    <w:rsid w:val="0069199C"/>
    <w:rsid w:val="00693528"/>
    <w:rsid w:val="006949E3"/>
    <w:rsid w:val="006A25F9"/>
    <w:rsid w:val="006B1C2D"/>
    <w:rsid w:val="006B2738"/>
    <w:rsid w:val="006B6352"/>
    <w:rsid w:val="006B6372"/>
    <w:rsid w:val="006B6A63"/>
    <w:rsid w:val="006C0984"/>
    <w:rsid w:val="006C2013"/>
    <w:rsid w:val="006C324B"/>
    <w:rsid w:val="006C35E9"/>
    <w:rsid w:val="006C7180"/>
    <w:rsid w:val="006C74A7"/>
    <w:rsid w:val="006C7E1B"/>
    <w:rsid w:val="006C7F55"/>
    <w:rsid w:val="006D3442"/>
    <w:rsid w:val="006D42A3"/>
    <w:rsid w:val="006D4642"/>
    <w:rsid w:val="006D476C"/>
    <w:rsid w:val="006D6E88"/>
    <w:rsid w:val="006E209D"/>
    <w:rsid w:val="006F1DAF"/>
    <w:rsid w:val="006F27E8"/>
    <w:rsid w:val="006F300C"/>
    <w:rsid w:val="006F498E"/>
    <w:rsid w:val="006F62E1"/>
    <w:rsid w:val="006F7763"/>
    <w:rsid w:val="00702918"/>
    <w:rsid w:val="00704A2A"/>
    <w:rsid w:val="00706997"/>
    <w:rsid w:val="00707BB8"/>
    <w:rsid w:val="00707D7F"/>
    <w:rsid w:val="00710340"/>
    <w:rsid w:val="007120C2"/>
    <w:rsid w:val="00713787"/>
    <w:rsid w:val="00713BCC"/>
    <w:rsid w:val="00714ADB"/>
    <w:rsid w:val="00716B54"/>
    <w:rsid w:val="00721707"/>
    <w:rsid w:val="007233F2"/>
    <w:rsid w:val="00726F39"/>
    <w:rsid w:val="007306A6"/>
    <w:rsid w:val="00730C08"/>
    <w:rsid w:val="00736685"/>
    <w:rsid w:val="0073710B"/>
    <w:rsid w:val="0074272A"/>
    <w:rsid w:val="00743641"/>
    <w:rsid w:val="007445F2"/>
    <w:rsid w:val="00745A70"/>
    <w:rsid w:val="00747755"/>
    <w:rsid w:val="0075790C"/>
    <w:rsid w:val="00763391"/>
    <w:rsid w:val="00764726"/>
    <w:rsid w:val="007651DF"/>
    <w:rsid w:val="00766F89"/>
    <w:rsid w:val="0076759E"/>
    <w:rsid w:val="00771DC8"/>
    <w:rsid w:val="00772415"/>
    <w:rsid w:val="00774046"/>
    <w:rsid w:val="0077464A"/>
    <w:rsid w:val="007746AF"/>
    <w:rsid w:val="00776E20"/>
    <w:rsid w:val="00781C7D"/>
    <w:rsid w:val="00783AB2"/>
    <w:rsid w:val="00783BB4"/>
    <w:rsid w:val="00786E71"/>
    <w:rsid w:val="0078726B"/>
    <w:rsid w:val="00791DCD"/>
    <w:rsid w:val="007920F4"/>
    <w:rsid w:val="007A0396"/>
    <w:rsid w:val="007A12FA"/>
    <w:rsid w:val="007A2E58"/>
    <w:rsid w:val="007A704A"/>
    <w:rsid w:val="007B0542"/>
    <w:rsid w:val="007B0C5D"/>
    <w:rsid w:val="007B44F6"/>
    <w:rsid w:val="007B6DFC"/>
    <w:rsid w:val="007C0758"/>
    <w:rsid w:val="007C1E5A"/>
    <w:rsid w:val="007E18F2"/>
    <w:rsid w:val="007E1944"/>
    <w:rsid w:val="007E458E"/>
    <w:rsid w:val="007F4672"/>
    <w:rsid w:val="007F702D"/>
    <w:rsid w:val="00801485"/>
    <w:rsid w:val="00804F09"/>
    <w:rsid w:val="00811DFC"/>
    <w:rsid w:val="008160BD"/>
    <w:rsid w:val="00816628"/>
    <w:rsid w:val="008171BF"/>
    <w:rsid w:val="008177BE"/>
    <w:rsid w:val="00824500"/>
    <w:rsid w:val="00825ABE"/>
    <w:rsid w:val="00826403"/>
    <w:rsid w:val="008315CD"/>
    <w:rsid w:val="008316B4"/>
    <w:rsid w:val="00831CC2"/>
    <w:rsid w:val="00841062"/>
    <w:rsid w:val="0084447D"/>
    <w:rsid w:val="00844E93"/>
    <w:rsid w:val="0084715F"/>
    <w:rsid w:val="00850DE8"/>
    <w:rsid w:val="00851924"/>
    <w:rsid w:val="008563C8"/>
    <w:rsid w:val="00856B72"/>
    <w:rsid w:val="00864A5D"/>
    <w:rsid w:val="00866E9A"/>
    <w:rsid w:val="008700E7"/>
    <w:rsid w:val="00872EF9"/>
    <w:rsid w:val="00873BC4"/>
    <w:rsid w:val="00877B0D"/>
    <w:rsid w:val="0088000D"/>
    <w:rsid w:val="008803DE"/>
    <w:rsid w:val="0088125A"/>
    <w:rsid w:val="00882044"/>
    <w:rsid w:val="0088209B"/>
    <w:rsid w:val="00884D61"/>
    <w:rsid w:val="008925BD"/>
    <w:rsid w:val="00895560"/>
    <w:rsid w:val="00896082"/>
    <w:rsid w:val="00897DDC"/>
    <w:rsid w:val="008A0775"/>
    <w:rsid w:val="008A0DEC"/>
    <w:rsid w:val="008A532D"/>
    <w:rsid w:val="008A61D6"/>
    <w:rsid w:val="008A76AE"/>
    <w:rsid w:val="008B0FB1"/>
    <w:rsid w:val="008B1974"/>
    <w:rsid w:val="008B5337"/>
    <w:rsid w:val="008B7F9D"/>
    <w:rsid w:val="008C2DAB"/>
    <w:rsid w:val="008C3B42"/>
    <w:rsid w:val="008D02DF"/>
    <w:rsid w:val="008D178C"/>
    <w:rsid w:val="008D38D7"/>
    <w:rsid w:val="008D4F87"/>
    <w:rsid w:val="008D7003"/>
    <w:rsid w:val="008E1A25"/>
    <w:rsid w:val="008E4FE0"/>
    <w:rsid w:val="008E7372"/>
    <w:rsid w:val="008E74A8"/>
    <w:rsid w:val="008F1586"/>
    <w:rsid w:val="008F485A"/>
    <w:rsid w:val="008F4BA2"/>
    <w:rsid w:val="008F5839"/>
    <w:rsid w:val="0090086B"/>
    <w:rsid w:val="00904381"/>
    <w:rsid w:val="0090494B"/>
    <w:rsid w:val="00905D14"/>
    <w:rsid w:val="009143AB"/>
    <w:rsid w:val="00914507"/>
    <w:rsid w:val="0091700B"/>
    <w:rsid w:val="009210EF"/>
    <w:rsid w:val="00922437"/>
    <w:rsid w:val="009253A2"/>
    <w:rsid w:val="009254B4"/>
    <w:rsid w:val="00926109"/>
    <w:rsid w:val="00926AEB"/>
    <w:rsid w:val="0093048E"/>
    <w:rsid w:val="009357F5"/>
    <w:rsid w:val="0094558D"/>
    <w:rsid w:val="00947E31"/>
    <w:rsid w:val="00952AAE"/>
    <w:rsid w:val="00954888"/>
    <w:rsid w:val="009557BC"/>
    <w:rsid w:val="00957C5A"/>
    <w:rsid w:val="0096326E"/>
    <w:rsid w:val="009637DF"/>
    <w:rsid w:val="00965C1E"/>
    <w:rsid w:val="00966015"/>
    <w:rsid w:val="009672E3"/>
    <w:rsid w:val="009673FA"/>
    <w:rsid w:val="009675AA"/>
    <w:rsid w:val="009719DD"/>
    <w:rsid w:val="0097412B"/>
    <w:rsid w:val="009746FA"/>
    <w:rsid w:val="00975E62"/>
    <w:rsid w:val="009761CA"/>
    <w:rsid w:val="0097658D"/>
    <w:rsid w:val="00977DEA"/>
    <w:rsid w:val="00981535"/>
    <w:rsid w:val="00982CFA"/>
    <w:rsid w:val="00983D2B"/>
    <w:rsid w:val="00986E5C"/>
    <w:rsid w:val="00994347"/>
    <w:rsid w:val="0099497E"/>
    <w:rsid w:val="00994FE7"/>
    <w:rsid w:val="009A67C4"/>
    <w:rsid w:val="009B07EA"/>
    <w:rsid w:val="009B0C4A"/>
    <w:rsid w:val="009B0D3C"/>
    <w:rsid w:val="009B67F6"/>
    <w:rsid w:val="009B6EA3"/>
    <w:rsid w:val="009B7113"/>
    <w:rsid w:val="009C09FF"/>
    <w:rsid w:val="009C16EC"/>
    <w:rsid w:val="009C4F97"/>
    <w:rsid w:val="009C55DC"/>
    <w:rsid w:val="009C62D9"/>
    <w:rsid w:val="009C6D7F"/>
    <w:rsid w:val="009D2DF3"/>
    <w:rsid w:val="009D6413"/>
    <w:rsid w:val="009D7621"/>
    <w:rsid w:val="009E3872"/>
    <w:rsid w:val="009E3ACA"/>
    <w:rsid w:val="009E3F73"/>
    <w:rsid w:val="009E42B6"/>
    <w:rsid w:val="009E5AF6"/>
    <w:rsid w:val="009F41EF"/>
    <w:rsid w:val="00A00BBB"/>
    <w:rsid w:val="00A0195D"/>
    <w:rsid w:val="00A03939"/>
    <w:rsid w:val="00A069DE"/>
    <w:rsid w:val="00A07AB8"/>
    <w:rsid w:val="00A10799"/>
    <w:rsid w:val="00A10FCD"/>
    <w:rsid w:val="00A15538"/>
    <w:rsid w:val="00A16498"/>
    <w:rsid w:val="00A21324"/>
    <w:rsid w:val="00A24090"/>
    <w:rsid w:val="00A24FE3"/>
    <w:rsid w:val="00A3108F"/>
    <w:rsid w:val="00A31CA3"/>
    <w:rsid w:val="00A34E2E"/>
    <w:rsid w:val="00A36AB6"/>
    <w:rsid w:val="00A4271D"/>
    <w:rsid w:val="00A43460"/>
    <w:rsid w:val="00A438D8"/>
    <w:rsid w:val="00A4551C"/>
    <w:rsid w:val="00A46094"/>
    <w:rsid w:val="00A470F1"/>
    <w:rsid w:val="00A524BB"/>
    <w:rsid w:val="00A525A9"/>
    <w:rsid w:val="00A546E2"/>
    <w:rsid w:val="00A557F6"/>
    <w:rsid w:val="00A60991"/>
    <w:rsid w:val="00A6110B"/>
    <w:rsid w:val="00A62905"/>
    <w:rsid w:val="00A66BFD"/>
    <w:rsid w:val="00A677CA"/>
    <w:rsid w:val="00A7370E"/>
    <w:rsid w:val="00A74C91"/>
    <w:rsid w:val="00A775A4"/>
    <w:rsid w:val="00A77B7F"/>
    <w:rsid w:val="00A77F2F"/>
    <w:rsid w:val="00A834E9"/>
    <w:rsid w:val="00A83DAE"/>
    <w:rsid w:val="00A90E68"/>
    <w:rsid w:val="00A91C20"/>
    <w:rsid w:val="00A959AF"/>
    <w:rsid w:val="00AA26EF"/>
    <w:rsid w:val="00AA4329"/>
    <w:rsid w:val="00AA4B01"/>
    <w:rsid w:val="00AA580F"/>
    <w:rsid w:val="00AB168E"/>
    <w:rsid w:val="00AB37A9"/>
    <w:rsid w:val="00AC1EFD"/>
    <w:rsid w:val="00AC5AA6"/>
    <w:rsid w:val="00AD2188"/>
    <w:rsid w:val="00AD257B"/>
    <w:rsid w:val="00AD2DF5"/>
    <w:rsid w:val="00AD4143"/>
    <w:rsid w:val="00AD509B"/>
    <w:rsid w:val="00AD5D1B"/>
    <w:rsid w:val="00AD6337"/>
    <w:rsid w:val="00AD6D1E"/>
    <w:rsid w:val="00AE4506"/>
    <w:rsid w:val="00AF4E5B"/>
    <w:rsid w:val="00AF785E"/>
    <w:rsid w:val="00B023A6"/>
    <w:rsid w:val="00B0605A"/>
    <w:rsid w:val="00B06C26"/>
    <w:rsid w:val="00B11AA0"/>
    <w:rsid w:val="00B125D4"/>
    <w:rsid w:val="00B128E0"/>
    <w:rsid w:val="00B130EB"/>
    <w:rsid w:val="00B154B4"/>
    <w:rsid w:val="00B161EA"/>
    <w:rsid w:val="00B2035F"/>
    <w:rsid w:val="00B23058"/>
    <w:rsid w:val="00B2434D"/>
    <w:rsid w:val="00B279BF"/>
    <w:rsid w:val="00B36F86"/>
    <w:rsid w:val="00B447E7"/>
    <w:rsid w:val="00B45EB3"/>
    <w:rsid w:val="00B51311"/>
    <w:rsid w:val="00B519FB"/>
    <w:rsid w:val="00B55E9B"/>
    <w:rsid w:val="00B56AC3"/>
    <w:rsid w:val="00B56D77"/>
    <w:rsid w:val="00B57B05"/>
    <w:rsid w:val="00B6394D"/>
    <w:rsid w:val="00B639DB"/>
    <w:rsid w:val="00B700A8"/>
    <w:rsid w:val="00B742DD"/>
    <w:rsid w:val="00B7580A"/>
    <w:rsid w:val="00B75B21"/>
    <w:rsid w:val="00B76ACC"/>
    <w:rsid w:val="00B7761B"/>
    <w:rsid w:val="00B83548"/>
    <w:rsid w:val="00B90454"/>
    <w:rsid w:val="00B93DDB"/>
    <w:rsid w:val="00B97D53"/>
    <w:rsid w:val="00BA028B"/>
    <w:rsid w:val="00BA2991"/>
    <w:rsid w:val="00BA516A"/>
    <w:rsid w:val="00BB21A1"/>
    <w:rsid w:val="00BB343F"/>
    <w:rsid w:val="00BB4A56"/>
    <w:rsid w:val="00BB6319"/>
    <w:rsid w:val="00BB6655"/>
    <w:rsid w:val="00BB6ED0"/>
    <w:rsid w:val="00BB7CE2"/>
    <w:rsid w:val="00BC0F72"/>
    <w:rsid w:val="00BC1DF7"/>
    <w:rsid w:val="00BC3DE6"/>
    <w:rsid w:val="00BC556C"/>
    <w:rsid w:val="00BC63D8"/>
    <w:rsid w:val="00BD40C8"/>
    <w:rsid w:val="00BD44CD"/>
    <w:rsid w:val="00BE0C37"/>
    <w:rsid w:val="00BE6B8D"/>
    <w:rsid w:val="00BF4D4E"/>
    <w:rsid w:val="00BF64FD"/>
    <w:rsid w:val="00C116D0"/>
    <w:rsid w:val="00C11E87"/>
    <w:rsid w:val="00C14AF9"/>
    <w:rsid w:val="00C15196"/>
    <w:rsid w:val="00C15BDE"/>
    <w:rsid w:val="00C1746D"/>
    <w:rsid w:val="00C224FA"/>
    <w:rsid w:val="00C23FEA"/>
    <w:rsid w:val="00C2458A"/>
    <w:rsid w:val="00C260BA"/>
    <w:rsid w:val="00C3137D"/>
    <w:rsid w:val="00C3601C"/>
    <w:rsid w:val="00C363AD"/>
    <w:rsid w:val="00C3764F"/>
    <w:rsid w:val="00C430E8"/>
    <w:rsid w:val="00C43F2A"/>
    <w:rsid w:val="00C474AD"/>
    <w:rsid w:val="00C56D1B"/>
    <w:rsid w:val="00C56EA5"/>
    <w:rsid w:val="00C57685"/>
    <w:rsid w:val="00C610A6"/>
    <w:rsid w:val="00C621F9"/>
    <w:rsid w:val="00C635EF"/>
    <w:rsid w:val="00C653AF"/>
    <w:rsid w:val="00C7159F"/>
    <w:rsid w:val="00C72113"/>
    <w:rsid w:val="00C76E39"/>
    <w:rsid w:val="00C82022"/>
    <w:rsid w:val="00C86E88"/>
    <w:rsid w:val="00C93567"/>
    <w:rsid w:val="00C94E62"/>
    <w:rsid w:val="00C97253"/>
    <w:rsid w:val="00CA0541"/>
    <w:rsid w:val="00CA2FF6"/>
    <w:rsid w:val="00CA3B4C"/>
    <w:rsid w:val="00CA4458"/>
    <w:rsid w:val="00CB1767"/>
    <w:rsid w:val="00CB48B0"/>
    <w:rsid w:val="00CB7B38"/>
    <w:rsid w:val="00CC34A4"/>
    <w:rsid w:val="00CC3A1A"/>
    <w:rsid w:val="00CC5619"/>
    <w:rsid w:val="00CC6409"/>
    <w:rsid w:val="00CC74B0"/>
    <w:rsid w:val="00CD1C49"/>
    <w:rsid w:val="00CD3D29"/>
    <w:rsid w:val="00CD728E"/>
    <w:rsid w:val="00CE0476"/>
    <w:rsid w:val="00CE15FD"/>
    <w:rsid w:val="00CE38F4"/>
    <w:rsid w:val="00CE5E44"/>
    <w:rsid w:val="00CF1A82"/>
    <w:rsid w:val="00CF458F"/>
    <w:rsid w:val="00CF7366"/>
    <w:rsid w:val="00D019AE"/>
    <w:rsid w:val="00D03926"/>
    <w:rsid w:val="00D03B85"/>
    <w:rsid w:val="00D0471F"/>
    <w:rsid w:val="00D06E74"/>
    <w:rsid w:val="00D07D28"/>
    <w:rsid w:val="00D13AD3"/>
    <w:rsid w:val="00D15E8E"/>
    <w:rsid w:val="00D20540"/>
    <w:rsid w:val="00D20F57"/>
    <w:rsid w:val="00D23C86"/>
    <w:rsid w:val="00D242D3"/>
    <w:rsid w:val="00D2566E"/>
    <w:rsid w:val="00D311A3"/>
    <w:rsid w:val="00D31B94"/>
    <w:rsid w:val="00D3220E"/>
    <w:rsid w:val="00D44B69"/>
    <w:rsid w:val="00D450EE"/>
    <w:rsid w:val="00D45CA4"/>
    <w:rsid w:val="00D47826"/>
    <w:rsid w:val="00D50649"/>
    <w:rsid w:val="00D50F5F"/>
    <w:rsid w:val="00D521FB"/>
    <w:rsid w:val="00D52837"/>
    <w:rsid w:val="00D5686E"/>
    <w:rsid w:val="00D57F51"/>
    <w:rsid w:val="00D61895"/>
    <w:rsid w:val="00D63EC0"/>
    <w:rsid w:val="00D64C16"/>
    <w:rsid w:val="00D676F4"/>
    <w:rsid w:val="00D67768"/>
    <w:rsid w:val="00D704EE"/>
    <w:rsid w:val="00D70DFB"/>
    <w:rsid w:val="00D72E30"/>
    <w:rsid w:val="00D7346A"/>
    <w:rsid w:val="00D74D74"/>
    <w:rsid w:val="00D75E94"/>
    <w:rsid w:val="00D76F52"/>
    <w:rsid w:val="00D804A5"/>
    <w:rsid w:val="00D807BC"/>
    <w:rsid w:val="00D840F1"/>
    <w:rsid w:val="00D8551B"/>
    <w:rsid w:val="00D9171A"/>
    <w:rsid w:val="00D91AB1"/>
    <w:rsid w:val="00D94804"/>
    <w:rsid w:val="00D94EC6"/>
    <w:rsid w:val="00D95EC2"/>
    <w:rsid w:val="00DA04B4"/>
    <w:rsid w:val="00DA11A2"/>
    <w:rsid w:val="00DA1A86"/>
    <w:rsid w:val="00DA5C07"/>
    <w:rsid w:val="00DB1D94"/>
    <w:rsid w:val="00DB2563"/>
    <w:rsid w:val="00DB4509"/>
    <w:rsid w:val="00DB4C17"/>
    <w:rsid w:val="00DB4D51"/>
    <w:rsid w:val="00DC0CB6"/>
    <w:rsid w:val="00DC0E17"/>
    <w:rsid w:val="00DC175D"/>
    <w:rsid w:val="00DC1F28"/>
    <w:rsid w:val="00DC69B1"/>
    <w:rsid w:val="00DC6EEE"/>
    <w:rsid w:val="00DD4BF9"/>
    <w:rsid w:val="00DD5944"/>
    <w:rsid w:val="00DD5CF8"/>
    <w:rsid w:val="00DE1F3A"/>
    <w:rsid w:val="00DE692F"/>
    <w:rsid w:val="00DF0667"/>
    <w:rsid w:val="00DF089B"/>
    <w:rsid w:val="00DF3411"/>
    <w:rsid w:val="00E013ED"/>
    <w:rsid w:val="00E036B5"/>
    <w:rsid w:val="00E0396D"/>
    <w:rsid w:val="00E0484C"/>
    <w:rsid w:val="00E04C61"/>
    <w:rsid w:val="00E04FE3"/>
    <w:rsid w:val="00E06AE2"/>
    <w:rsid w:val="00E06C6F"/>
    <w:rsid w:val="00E108CB"/>
    <w:rsid w:val="00E10ABD"/>
    <w:rsid w:val="00E1252E"/>
    <w:rsid w:val="00E12955"/>
    <w:rsid w:val="00E12F68"/>
    <w:rsid w:val="00E1528A"/>
    <w:rsid w:val="00E16487"/>
    <w:rsid w:val="00E17813"/>
    <w:rsid w:val="00E21CD2"/>
    <w:rsid w:val="00E22A83"/>
    <w:rsid w:val="00E2701E"/>
    <w:rsid w:val="00E2723B"/>
    <w:rsid w:val="00E272F9"/>
    <w:rsid w:val="00E373F2"/>
    <w:rsid w:val="00E37E99"/>
    <w:rsid w:val="00E40B8B"/>
    <w:rsid w:val="00E43E72"/>
    <w:rsid w:val="00E4410C"/>
    <w:rsid w:val="00E4490D"/>
    <w:rsid w:val="00E50DE4"/>
    <w:rsid w:val="00E541BC"/>
    <w:rsid w:val="00E6182F"/>
    <w:rsid w:val="00E61A23"/>
    <w:rsid w:val="00E65192"/>
    <w:rsid w:val="00E65ED4"/>
    <w:rsid w:val="00E67138"/>
    <w:rsid w:val="00E70919"/>
    <w:rsid w:val="00E7373C"/>
    <w:rsid w:val="00E74B0F"/>
    <w:rsid w:val="00E821E1"/>
    <w:rsid w:val="00E875B8"/>
    <w:rsid w:val="00E87E7F"/>
    <w:rsid w:val="00E901FC"/>
    <w:rsid w:val="00E913EF"/>
    <w:rsid w:val="00E91FF9"/>
    <w:rsid w:val="00E94FE8"/>
    <w:rsid w:val="00E95A05"/>
    <w:rsid w:val="00E979B5"/>
    <w:rsid w:val="00EA0B80"/>
    <w:rsid w:val="00EB0D0D"/>
    <w:rsid w:val="00EB2295"/>
    <w:rsid w:val="00EB53D3"/>
    <w:rsid w:val="00EB6025"/>
    <w:rsid w:val="00EB70E0"/>
    <w:rsid w:val="00EB718D"/>
    <w:rsid w:val="00EB7246"/>
    <w:rsid w:val="00EC0FDB"/>
    <w:rsid w:val="00EC201E"/>
    <w:rsid w:val="00EC509B"/>
    <w:rsid w:val="00ED0481"/>
    <w:rsid w:val="00ED1040"/>
    <w:rsid w:val="00ED3498"/>
    <w:rsid w:val="00ED6658"/>
    <w:rsid w:val="00EE3053"/>
    <w:rsid w:val="00EE4532"/>
    <w:rsid w:val="00EE53F7"/>
    <w:rsid w:val="00EE633B"/>
    <w:rsid w:val="00EF059B"/>
    <w:rsid w:val="00EF21A9"/>
    <w:rsid w:val="00EF2FB6"/>
    <w:rsid w:val="00EF4934"/>
    <w:rsid w:val="00EF6774"/>
    <w:rsid w:val="00EF75EA"/>
    <w:rsid w:val="00F0193E"/>
    <w:rsid w:val="00F02389"/>
    <w:rsid w:val="00F03542"/>
    <w:rsid w:val="00F0403C"/>
    <w:rsid w:val="00F04369"/>
    <w:rsid w:val="00F07D1E"/>
    <w:rsid w:val="00F07FF5"/>
    <w:rsid w:val="00F10E7E"/>
    <w:rsid w:val="00F11D8E"/>
    <w:rsid w:val="00F12D79"/>
    <w:rsid w:val="00F17573"/>
    <w:rsid w:val="00F179A0"/>
    <w:rsid w:val="00F20FE0"/>
    <w:rsid w:val="00F21A64"/>
    <w:rsid w:val="00F26129"/>
    <w:rsid w:val="00F30018"/>
    <w:rsid w:val="00F32F31"/>
    <w:rsid w:val="00F35A73"/>
    <w:rsid w:val="00F40B71"/>
    <w:rsid w:val="00F4267A"/>
    <w:rsid w:val="00F45B95"/>
    <w:rsid w:val="00F476B3"/>
    <w:rsid w:val="00F53B5F"/>
    <w:rsid w:val="00F567D1"/>
    <w:rsid w:val="00F574F6"/>
    <w:rsid w:val="00F6030D"/>
    <w:rsid w:val="00F61191"/>
    <w:rsid w:val="00F611CA"/>
    <w:rsid w:val="00F639C5"/>
    <w:rsid w:val="00F67FB5"/>
    <w:rsid w:val="00F705C1"/>
    <w:rsid w:val="00F73F67"/>
    <w:rsid w:val="00F74AAE"/>
    <w:rsid w:val="00F77DE4"/>
    <w:rsid w:val="00F825C6"/>
    <w:rsid w:val="00F86554"/>
    <w:rsid w:val="00F90E11"/>
    <w:rsid w:val="00F92040"/>
    <w:rsid w:val="00F9321A"/>
    <w:rsid w:val="00F944A6"/>
    <w:rsid w:val="00F96078"/>
    <w:rsid w:val="00FA1719"/>
    <w:rsid w:val="00FA4A0F"/>
    <w:rsid w:val="00FA5BD4"/>
    <w:rsid w:val="00FA6BF9"/>
    <w:rsid w:val="00FB14EA"/>
    <w:rsid w:val="00FB1877"/>
    <w:rsid w:val="00FB2F44"/>
    <w:rsid w:val="00FC0067"/>
    <w:rsid w:val="00FC0588"/>
    <w:rsid w:val="00FC1023"/>
    <w:rsid w:val="00FC1900"/>
    <w:rsid w:val="00FC36D3"/>
    <w:rsid w:val="00FC3E90"/>
    <w:rsid w:val="00FC3FF6"/>
    <w:rsid w:val="00FC4271"/>
    <w:rsid w:val="00FC7223"/>
    <w:rsid w:val="00FC72AE"/>
    <w:rsid w:val="00FD3419"/>
    <w:rsid w:val="00FD5AAE"/>
    <w:rsid w:val="00FD71F5"/>
    <w:rsid w:val="00FE143F"/>
    <w:rsid w:val="00FE19E3"/>
    <w:rsid w:val="00FE35B9"/>
    <w:rsid w:val="00FE59CF"/>
    <w:rsid w:val="00FE5FD0"/>
    <w:rsid w:val="00FE65F7"/>
    <w:rsid w:val="00FF1173"/>
    <w:rsid w:val="00FF202E"/>
    <w:rsid w:val="00FF30B4"/>
    <w:rsid w:val="00FF76D3"/>
    <w:rsid w:val="00FF7A7C"/>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85EB068"/>
  <w15:docId w15:val="{BD696136-FFE0-4127-9FD6-AEA269BEF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6F7763"/>
    <w:pPr>
      <w:widowControl w:val="0"/>
      <w:ind w:firstLineChars="200" w:firstLine="200"/>
      <w:jc w:val="both"/>
    </w:pPr>
    <w:rPr>
      <w:rFonts w:ascii="Times New Roman" w:eastAsia="宋体" w:hAnsi="Times New Roman"/>
    </w:rPr>
  </w:style>
  <w:style w:type="paragraph" w:styleId="1">
    <w:name w:val="heading 1"/>
    <w:basedOn w:val="a"/>
    <w:next w:val="a"/>
    <w:link w:val="10"/>
    <w:uiPriority w:val="9"/>
    <w:qFormat/>
    <w:rsid w:val="00A3108F"/>
    <w:pPr>
      <w:numPr>
        <w:numId w:val="24"/>
      </w:numPr>
      <w:spacing w:before="120" w:after="120" w:line="240" w:lineRule="atLeast"/>
      <w:ind w:firstLineChars="0"/>
      <w:outlineLvl w:val="0"/>
    </w:pPr>
    <w:rPr>
      <w:b/>
      <w:bCs/>
      <w:kern w:val="44"/>
      <w:sz w:val="24"/>
      <w:szCs w:val="44"/>
    </w:rPr>
  </w:style>
  <w:style w:type="paragraph" w:styleId="2">
    <w:name w:val="heading 2"/>
    <w:basedOn w:val="a"/>
    <w:next w:val="a"/>
    <w:link w:val="20"/>
    <w:uiPriority w:val="9"/>
    <w:unhideWhenUsed/>
    <w:qFormat/>
    <w:rsid w:val="00A3108F"/>
    <w:pPr>
      <w:numPr>
        <w:ilvl w:val="1"/>
        <w:numId w:val="24"/>
      </w:numPr>
      <w:spacing w:before="60" w:after="60" w:line="240" w:lineRule="atLeast"/>
      <w:ind w:firstLineChars="0"/>
      <w:outlineLvl w:val="1"/>
    </w:pPr>
    <w:rPr>
      <w:rFonts w:cstheme="majorBidi"/>
      <w:b/>
      <w:bCs/>
      <w:szCs w:val="32"/>
    </w:rPr>
  </w:style>
  <w:style w:type="paragraph" w:styleId="3">
    <w:name w:val="heading 3"/>
    <w:basedOn w:val="a"/>
    <w:next w:val="a"/>
    <w:link w:val="30"/>
    <w:uiPriority w:val="9"/>
    <w:unhideWhenUsed/>
    <w:qFormat/>
    <w:rsid w:val="00873BC4"/>
    <w:pPr>
      <w:keepNext/>
      <w:keepLines/>
      <w:numPr>
        <w:ilvl w:val="2"/>
        <w:numId w:val="24"/>
      </w:numPr>
      <w:ind w:firstLineChars="0"/>
      <w:outlineLvl w:val="2"/>
    </w:pPr>
    <w:rPr>
      <w:b/>
      <w:bCs/>
      <w:szCs w:val="32"/>
    </w:rPr>
  </w:style>
  <w:style w:type="paragraph" w:styleId="4">
    <w:name w:val="heading 4"/>
    <w:basedOn w:val="a"/>
    <w:next w:val="a"/>
    <w:link w:val="40"/>
    <w:uiPriority w:val="9"/>
    <w:semiHidden/>
    <w:unhideWhenUsed/>
    <w:qFormat/>
    <w:rsid w:val="003C3DAD"/>
    <w:pPr>
      <w:keepNext/>
      <w:keepLines/>
      <w:spacing w:before="280" w:after="290" w:line="376" w:lineRule="auto"/>
      <w:outlineLvl w:val="3"/>
    </w:pPr>
    <w:rPr>
      <w:rFonts w:asciiTheme="majorHAnsi" w:eastAsiaTheme="majorEastAsia" w:hAnsiTheme="majorHAnsi" w:cstheme="majorBidi"/>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tyle6">
    <w:name w:val="style6"/>
    <w:basedOn w:val="a0"/>
    <w:rsid w:val="00652A1C"/>
  </w:style>
  <w:style w:type="character" w:styleId="a3">
    <w:name w:val="Strong"/>
    <w:basedOn w:val="a0"/>
    <w:uiPriority w:val="22"/>
    <w:qFormat/>
    <w:rsid w:val="00652A1C"/>
    <w:rPr>
      <w:b/>
      <w:bCs/>
    </w:rPr>
  </w:style>
  <w:style w:type="character" w:styleId="a4">
    <w:name w:val="Emphasis"/>
    <w:basedOn w:val="a0"/>
    <w:uiPriority w:val="20"/>
    <w:qFormat/>
    <w:rsid w:val="00652A1C"/>
    <w:rPr>
      <w:i/>
      <w:iCs/>
    </w:rPr>
  </w:style>
  <w:style w:type="paragraph" w:styleId="a5">
    <w:name w:val="footer"/>
    <w:basedOn w:val="a"/>
    <w:link w:val="a6"/>
    <w:uiPriority w:val="99"/>
    <w:unhideWhenUsed/>
    <w:rsid w:val="00652A1C"/>
    <w:pPr>
      <w:spacing w:before="100" w:beforeAutospacing="1" w:after="100" w:afterAutospacing="1"/>
      <w:jc w:val="left"/>
    </w:pPr>
    <w:rPr>
      <w:rFonts w:ascii="宋体" w:hAnsi="宋体" w:cs="宋体"/>
      <w:kern w:val="0"/>
      <w:sz w:val="24"/>
      <w:szCs w:val="24"/>
    </w:rPr>
  </w:style>
  <w:style w:type="character" w:customStyle="1" w:styleId="a6">
    <w:name w:val="页脚 字符"/>
    <w:basedOn w:val="a0"/>
    <w:link w:val="a5"/>
    <w:uiPriority w:val="99"/>
    <w:rsid w:val="00652A1C"/>
    <w:rPr>
      <w:rFonts w:ascii="宋体" w:eastAsia="宋体" w:hAnsi="宋体" w:cs="宋体"/>
      <w:kern w:val="0"/>
      <w:sz w:val="24"/>
      <w:szCs w:val="24"/>
    </w:rPr>
  </w:style>
  <w:style w:type="paragraph" w:styleId="a7">
    <w:name w:val="header"/>
    <w:basedOn w:val="a"/>
    <w:link w:val="a8"/>
    <w:uiPriority w:val="99"/>
    <w:unhideWhenUsed/>
    <w:rsid w:val="00450015"/>
    <w:pPr>
      <w:pBdr>
        <w:bottom w:val="single" w:sz="6" w:space="1" w:color="auto"/>
      </w:pBdr>
      <w:tabs>
        <w:tab w:val="center" w:pos="4153"/>
        <w:tab w:val="right" w:pos="8306"/>
      </w:tabs>
      <w:snapToGrid w:val="0"/>
      <w:jc w:val="center"/>
    </w:pPr>
    <w:rPr>
      <w:sz w:val="18"/>
      <w:szCs w:val="18"/>
    </w:rPr>
  </w:style>
  <w:style w:type="character" w:customStyle="1" w:styleId="a8">
    <w:name w:val="页眉 字符"/>
    <w:basedOn w:val="a0"/>
    <w:link w:val="a7"/>
    <w:uiPriority w:val="99"/>
    <w:rsid w:val="00450015"/>
    <w:rPr>
      <w:sz w:val="18"/>
      <w:szCs w:val="18"/>
    </w:rPr>
  </w:style>
  <w:style w:type="paragraph" w:styleId="a9">
    <w:name w:val="footnote text"/>
    <w:basedOn w:val="a"/>
    <w:link w:val="aa"/>
    <w:uiPriority w:val="99"/>
    <w:semiHidden/>
    <w:unhideWhenUsed/>
    <w:rsid w:val="00B56AC3"/>
    <w:pPr>
      <w:snapToGrid w:val="0"/>
      <w:jc w:val="left"/>
    </w:pPr>
    <w:rPr>
      <w:sz w:val="18"/>
      <w:szCs w:val="18"/>
    </w:rPr>
  </w:style>
  <w:style w:type="character" w:customStyle="1" w:styleId="aa">
    <w:name w:val="脚注文本 字符"/>
    <w:basedOn w:val="a0"/>
    <w:link w:val="a9"/>
    <w:uiPriority w:val="99"/>
    <w:semiHidden/>
    <w:rsid w:val="00B56AC3"/>
    <w:rPr>
      <w:sz w:val="18"/>
      <w:szCs w:val="18"/>
    </w:rPr>
  </w:style>
  <w:style w:type="character" w:styleId="ab">
    <w:name w:val="footnote reference"/>
    <w:basedOn w:val="a0"/>
    <w:uiPriority w:val="99"/>
    <w:semiHidden/>
    <w:unhideWhenUsed/>
    <w:rsid w:val="00B56AC3"/>
    <w:rPr>
      <w:vertAlign w:val="superscript"/>
    </w:rPr>
  </w:style>
  <w:style w:type="paragraph" w:styleId="ac">
    <w:name w:val="Balloon Text"/>
    <w:basedOn w:val="a"/>
    <w:link w:val="ad"/>
    <w:uiPriority w:val="99"/>
    <w:semiHidden/>
    <w:unhideWhenUsed/>
    <w:rsid w:val="00F476B3"/>
    <w:rPr>
      <w:sz w:val="18"/>
      <w:szCs w:val="18"/>
    </w:rPr>
  </w:style>
  <w:style w:type="character" w:customStyle="1" w:styleId="ad">
    <w:name w:val="批注框文本 字符"/>
    <w:basedOn w:val="a0"/>
    <w:link w:val="ac"/>
    <w:uiPriority w:val="99"/>
    <w:semiHidden/>
    <w:rsid w:val="00F476B3"/>
    <w:rPr>
      <w:sz w:val="18"/>
      <w:szCs w:val="18"/>
    </w:rPr>
  </w:style>
  <w:style w:type="paragraph" w:styleId="ae">
    <w:name w:val="List Paragraph"/>
    <w:basedOn w:val="a"/>
    <w:uiPriority w:val="34"/>
    <w:qFormat/>
    <w:rsid w:val="00CA0541"/>
    <w:pPr>
      <w:ind w:firstLine="420"/>
    </w:pPr>
  </w:style>
  <w:style w:type="character" w:styleId="af">
    <w:name w:val="Hyperlink"/>
    <w:basedOn w:val="a0"/>
    <w:uiPriority w:val="99"/>
    <w:unhideWhenUsed/>
    <w:rsid w:val="00B639DB"/>
    <w:rPr>
      <w:color w:val="0000FF"/>
      <w:u w:val="single"/>
    </w:rPr>
  </w:style>
  <w:style w:type="paragraph" w:styleId="af0">
    <w:name w:val="No Spacing"/>
    <w:uiPriority w:val="1"/>
    <w:qFormat/>
    <w:rsid w:val="00005175"/>
    <w:pPr>
      <w:widowControl w:val="0"/>
      <w:jc w:val="both"/>
    </w:pPr>
  </w:style>
  <w:style w:type="character" w:styleId="af1">
    <w:name w:val="FollowedHyperlink"/>
    <w:basedOn w:val="a0"/>
    <w:uiPriority w:val="99"/>
    <w:semiHidden/>
    <w:unhideWhenUsed/>
    <w:rsid w:val="002D29E6"/>
    <w:rPr>
      <w:color w:val="800080" w:themeColor="followedHyperlink"/>
      <w:u w:val="single"/>
    </w:rPr>
  </w:style>
  <w:style w:type="character" w:customStyle="1" w:styleId="10">
    <w:name w:val="标题 1 字符"/>
    <w:basedOn w:val="a0"/>
    <w:link w:val="1"/>
    <w:uiPriority w:val="9"/>
    <w:rsid w:val="00A3108F"/>
    <w:rPr>
      <w:rFonts w:ascii="Times New Roman" w:eastAsia="宋体" w:hAnsi="Times New Roman"/>
      <w:b/>
      <w:bCs/>
      <w:kern w:val="44"/>
      <w:sz w:val="24"/>
      <w:szCs w:val="44"/>
    </w:rPr>
  </w:style>
  <w:style w:type="character" w:customStyle="1" w:styleId="20">
    <w:name w:val="标题 2 字符"/>
    <w:basedOn w:val="a0"/>
    <w:link w:val="2"/>
    <w:uiPriority w:val="9"/>
    <w:rsid w:val="00A3108F"/>
    <w:rPr>
      <w:rFonts w:ascii="Times New Roman" w:eastAsia="宋体" w:hAnsi="Times New Roman" w:cstheme="majorBidi"/>
      <w:b/>
      <w:bCs/>
      <w:szCs w:val="32"/>
    </w:rPr>
  </w:style>
  <w:style w:type="paragraph" w:customStyle="1" w:styleId="11">
    <w:name w:val="列出段落1"/>
    <w:basedOn w:val="a"/>
    <w:rsid w:val="00A16498"/>
    <w:pPr>
      <w:ind w:firstLine="420"/>
    </w:pPr>
    <w:rPr>
      <w:rFonts w:cs="Arial"/>
      <w:kern w:val="0"/>
      <w:sz w:val="24"/>
      <w:szCs w:val="24"/>
    </w:rPr>
  </w:style>
  <w:style w:type="character" w:customStyle="1" w:styleId="12">
    <w:name w:val="未处理的提及1"/>
    <w:basedOn w:val="a0"/>
    <w:uiPriority w:val="99"/>
    <w:semiHidden/>
    <w:unhideWhenUsed/>
    <w:rsid w:val="00D5686E"/>
    <w:rPr>
      <w:color w:val="808080"/>
      <w:shd w:val="clear" w:color="auto" w:fill="E6E6E6"/>
    </w:rPr>
  </w:style>
  <w:style w:type="table" w:styleId="af2">
    <w:name w:val="Table Grid"/>
    <w:basedOn w:val="a1"/>
    <w:uiPriority w:val="39"/>
    <w:rsid w:val="008A0DEC"/>
    <w:rPr>
      <w:rFonts w:eastAsia="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basedOn w:val="a0"/>
    <w:rsid w:val="00320965"/>
  </w:style>
  <w:style w:type="character" w:styleId="af3">
    <w:name w:val="Placeholder Text"/>
    <w:basedOn w:val="a0"/>
    <w:uiPriority w:val="99"/>
    <w:semiHidden/>
    <w:rsid w:val="002D41C8"/>
    <w:rPr>
      <w:color w:val="808080"/>
    </w:rPr>
  </w:style>
  <w:style w:type="character" w:styleId="af4">
    <w:name w:val="annotation reference"/>
    <w:basedOn w:val="a0"/>
    <w:uiPriority w:val="99"/>
    <w:semiHidden/>
    <w:unhideWhenUsed/>
    <w:rsid w:val="007746AF"/>
    <w:rPr>
      <w:sz w:val="21"/>
      <w:szCs w:val="21"/>
    </w:rPr>
  </w:style>
  <w:style w:type="paragraph" w:styleId="af5">
    <w:name w:val="annotation text"/>
    <w:basedOn w:val="a"/>
    <w:link w:val="af6"/>
    <w:uiPriority w:val="99"/>
    <w:unhideWhenUsed/>
    <w:rsid w:val="007746AF"/>
    <w:pPr>
      <w:jc w:val="left"/>
    </w:pPr>
  </w:style>
  <w:style w:type="character" w:customStyle="1" w:styleId="af6">
    <w:name w:val="批注文字 字符"/>
    <w:basedOn w:val="a0"/>
    <w:link w:val="af5"/>
    <w:uiPriority w:val="99"/>
    <w:rsid w:val="007746AF"/>
  </w:style>
  <w:style w:type="paragraph" w:styleId="af7">
    <w:name w:val="annotation subject"/>
    <w:basedOn w:val="af5"/>
    <w:next w:val="af5"/>
    <w:link w:val="af8"/>
    <w:uiPriority w:val="99"/>
    <w:semiHidden/>
    <w:unhideWhenUsed/>
    <w:rsid w:val="007746AF"/>
    <w:rPr>
      <w:b/>
      <w:bCs/>
    </w:rPr>
  </w:style>
  <w:style w:type="character" w:customStyle="1" w:styleId="af8">
    <w:name w:val="批注主题 字符"/>
    <w:basedOn w:val="af6"/>
    <w:link w:val="af7"/>
    <w:uiPriority w:val="99"/>
    <w:semiHidden/>
    <w:rsid w:val="007746AF"/>
    <w:rPr>
      <w:b/>
      <w:bCs/>
    </w:rPr>
  </w:style>
  <w:style w:type="character" w:customStyle="1" w:styleId="40">
    <w:name w:val="标题 4 字符"/>
    <w:basedOn w:val="a0"/>
    <w:link w:val="4"/>
    <w:uiPriority w:val="9"/>
    <w:semiHidden/>
    <w:rsid w:val="003C3DAD"/>
    <w:rPr>
      <w:rFonts w:asciiTheme="majorHAnsi" w:eastAsiaTheme="majorEastAsia" w:hAnsiTheme="majorHAnsi" w:cstheme="majorBidi"/>
      <w:b/>
      <w:bCs/>
      <w:sz w:val="28"/>
      <w:szCs w:val="28"/>
    </w:rPr>
  </w:style>
  <w:style w:type="character" w:customStyle="1" w:styleId="21">
    <w:name w:val="未处理的提及2"/>
    <w:basedOn w:val="a0"/>
    <w:uiPriority w:val="99"/>
    <w:semiHidden/>
    <w:unhideWhenUsed/>
    <w:rsid w:val="00B97D53"/>
    <w:rPr>
      <w:color w:val="605E5C"/>
      <w:shd w:val="clear" w:color="auto" w:fill="E1DFDD"/>
    </w:rPr>
  </w:style>
  <w:style w:type="paragraph" w:customStyle="1" w:styleId="Default">
    <w:name w:val="Default"/>
    <w:rsid w:val="009C6D7F"/>
    <w:pPr>
      <w:widowControl w:val="0"/>
      <w:autoSpaceDE w:val="0"/>
      <w:autoSpaceDN w:val="0"/>
      <w:adjustRightInd w:val="0"/>
    </w:pPr>
    <w:rPr>
      <w:rFonts w:ascii="宋体" w:eastAsia="宋体" w:hAnsi="Times New Roman" w:cs="宋体"/>
      <w:color w:val="000000"/>
      <w:kern w:val="0"/>
      <w:sz w:val="24"/>
      <w:szCs w:val="24"/>
    </w:rPr>
  </w:style>
  <w:style w:type="paragraph" w:customStyle="1" w:styleId="af9">
    <w:name w:val="表"/>
    <w:basedOn w:val="afa"/>
    <w:qFormat/>
    <w:rsid w:val="009C6D7F"/>
    <w:pPr>
      <w:spacing w:before="240" w:after="120"/>
    </w:pPr>
    <w:rPr>
      <w:rFonts w:cs="Times New Roman"/>
      <w:sz w:val="22"/>
      <w:lang w:val="x-none" w:eastAsia="x-none"/>
    </w:rPr>
  </w:style>
  <w:style w:type="paragraph" w:styleId="afa">
    <w:name w:val="caption"/>
    <w:basedOn w:val="a"/>
    <w:next w:val="a"/>
    <w:link w:val="afb"/>
    <w:uiPriority w:val="35"/>
    <w:unhideWhenUsed/>
    <w:qFormat/>
    <w:rsid w:val="00A3108F"/>
    <w:pPr>
      <w:spacing w:line="240" w:lineRule="atLeast"/>
      <w:ind w:firstLineChars="0" w:firstLine="0"/>
      <w:jc w:val="center"/>
    </w:pPr>
    <w:rPr>
      <w:rFonts w:cstheme="majorBidi"/>
      <w:szCs w:val="20"/>
    </w:rPr>
  </w:style>
  <w:style w:type="paragraph" w:customStyle="1" w:styleId="afc">
    <w:name w:val="表格样式"/>
    <w:qFormat/>
    <w:rsid w:val="009C6D7F"/>
    <w:pPr>
      <w:jc w:val="both"/>
    </w:pPr>
    <w:rPr>
      <w:rFonts w:ascii="宋体" w:eastAsia="宋体" w:hAnsi="宋体" w:cs="Times New Roman"/>
      <w:sz w:val="18"/>
      <w:szCs w:val="21"/>
    </w:rPr>
  </w:style>
  <w:style w:type="paragraph" w:customStyle="1" w:styleId="afd">
    <w:name w:val="中文表序样式"/>
    <w:basedOn w:val="a"/>
    <w:link w:val="Char"/>
    <w:rsid w:val="009C6D7F"/>
    <w:pPr>
      <w:jc w:val="center"/>
    </w:pPr>
    <w:rPr>
      <w:rFonts w:cs="Times New Roman"/>
      <w:b/>
      <w:sz w:val="18"/>
      <w:szCs w:val="18"/>
    </w:rPr>
  </w:style>
  <w:style w:type="character" w:customStyle="1" w:styleId="Char">
    <w:name w:val="中文表序样式 Char"/>
    <w:basedOn w:val="a0"/>
    <w:link w:val="afd"/>
    <w:rsid w:val="009C6D7F"/>
    <w:rPr>
      <w:rFonts w:ascii="Times New Roman" w:eastAsia="宋体" w:hAnsi="Times New Roman" w:cs="Times New Roman"/>
      <w:b/>
      <w:sz w:val="18"/>
      <w:szCs w:val="18"/>
    </w:rPr>
  </w:style>
  <w:style w:type="character" w:styleId="afe">
    <w:name w:val="Unresolved Mention"/>
    <w:basedOn w:val="a0"/>
    <w:uiPriority w:val="99"/>
    <w:semiHidden/>
    <w:unhideWhenUsed/>
    <w:rsid w:val="00E65192"/>
    <w:rPr>
      <w:color w:val="605E5C"/>
      <w:shd w:val="clear" w:color="auto" w:fill="E1DFDD"/>
    </w:rPr>
  </w:style>
  <w:style w:type="paragraph" w:styleId="aff">
    <w:name w:val="Bibliography"/>
    <w:basedOn w:val="a"/>
    <w:next w:val="a"/>
    <w:uiPriority w:val="37"/>
    <w:unhideWhenUsed/>
    <w:rsid w:val="00C57685"/>
    <w:pPr>
      <w:tabs>
        <w:tab w:val="left" w:pos="504"/>
      </w:tabs>
      <w:spacing w:line="240" w:lineRule="exact"/>
      <w:ind w:left="230" w:hangingChars="230" w:hanging="230"/>
    </w:pPr>
    <w:rPr>
      <w:sz w:val="18"/>
    </w:rPr>
  </w:style>
  <w:style w:type="character" w:customStyle="1" w:styleId="30">
    <w:name w:val="标题 3 字符"/>
    <w:basedOn w:val="a0"/>
    <w:link w:val="3"/>
    <w:uiPriority w:val="9"/>
    <w:rsid w:val="00873BC4"/>
    <w:rPr>
      <w:rFonts w:ascii="Times New Roman" w:eastAsia="宋体" w:hAnsi="Times New Roman"/>
      <w:b/>
      <w:bCs/>
      <w:szCs w:val="32"/>
    </w:rPr>
  </w:style>
  <w:style w:type="character" w:customStyle="1" w:styleId="afb">
    <w:name w:val="题注 字符"/>
    <w:link w:val="afa"/>
    <w:uiPriority w:val="35"/>
    <w:qFormat/>
    <w:rsid w:val="00A3108F"/>
    <w:rPr>
      <w:rFonts w:ascii="Times New Roman" w:eastAsia="宋体" w:hAnsi="Times New Roman" w:cstheme="majorBidi"/>
      <w:szCs w:val="20"/>
    </w:rPr>
  </w:style>
  <w:style w:type="table" w:styleId="22">
    <w:name w:val="Plain Table 2"/>
    <w:basedOn w:val="a1"/>
    <w:uiPriority w:val="42"/>
    <w:rsid w:val="00D07D28"/>
    <w:rPr>
      <w:kern w:val="0"/>
      <w:sz w:val="22"/>
    </w:rPr>
    <w:tblPr>
      <w:tblStyleRowBandSize w:val="1"/>
      <w:tblStyleColBandSize w:val="1"/>
      <w:tblBorders>
        <w:top w:val="single" w:sz="4" w:space="0" w:color="auto"/>
        <w:bottom w:val="single" w:sz="12" w:space="0" w:color="auto"/>
      </w:tblBorders>
    </w:tblPr>
    <w:tblStylePr w:type="firstRow">
      <w:rPr>
        <w:b/>
        <w:bCs/>
      </w:rPr>
      <w:tblPr/>
      <w:tcPr>
        <w:tcBorders>
          <w:top w:val="single" w:sz="12" w:space="0" w:color="auto"/>
          <w:bottom w:val="single" w:sz="4" w:space="0" w:color="auto"/>
        </w:tcBorders>
      </w:tcPr>
    </w:tblStylePr>
    <w:tblStylePr w:type="lastRow">
      <w:rPr>
        <w:b/>
        <w:bCs/>
      </w:rPr>
      <w:tblPr/>
      <w:tcPr>
        <w:tcBorders>
          <w:top w:val="single" w:sz="4" w:space="0" w:color="auto"/>
          <w:bottom w:val="single" w:sz="12" w:space="0" w:color="auto"/>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a0"/>
    <w:rsid w:val="003E17F3"/>
    <w:rPr>
      <w:rFonts w:ascii="宋体" w:eastAsia="宋体" w:hAnsi="宋体" w:hint="eastAsia"/>
      <w:b w:val="0"/>
      <w:bCs w:val="0"/>
      <w:i w:val="0"/>
      <w:iCs w:val="0"/>
      <w:color w:val="000000"/>
      <w:sz w:val="22"/>
      <w:szCs w:val="22"/>
    </w:rPr>
  </w:style>
  <w:style w:type="character" w:customStyle="1" w:styleId="fontstyle11">
    <w:name w:val="fontstyle11"/>
    <w:basedOn w:val="a0"/>
    <w:rsid w:val="003E17F3"/>
    <w:rPr>
      <w:rFonts w:ascii="TimesNewRoman" w:hAnsi="TimesNewRoman" w:hint="default"/>
      <w:b w:val="0"/>
      <w:bCs w:val="0"/>
      <w:i w:val="0"/>
      <w:iCs w:val="0"/>
      <w:color w:val="000000"/>
      <w:sz w:val="22"/>
      <w:szCs w:val="22"/>
    </w:rPr>
  </w:style>
  <w:style w:type="paragraph" w:customStyle="1" w:styleId="aff0">
    <w:name w:val="假设"/>
    <w:basedOn w:val="a"/>
    <w:link w:val="aff1"/>
    <w:qFormat/>
    <w:rsid w:val="000132E7"/>
    <w:pPr>
      <w:adjustRightInd w:val="0"/>
      <w:snapToGrid w:val="0"/>
      <w:spacing w:before="120" w:after="120" w:line="400" w:lineRule="exact"/>
      <w:ind w:left="482" w:firstLineChars="0" w:firstLine="0"/>
    </w:pPr>
    <w:rPr>
      <w:b/>
      <w:kern w:val="24"/>
      <w:sz w:val="24"/>
    </w:rPr>
  </w:style>
  <w:style w:type="character" w:customStyle="1" w:styleId="aff1">
    <w:name w:val="假设 字符"/>
    <w:basedOn w:val="a0"/>
    <w:link w:val="aff0"/>
    <w:rsid w:val="000132E7"/>
    <w:rPr>
      <w:rFonts w:ascii="Times New Roman" w:eastAsia="宋体" w:hAnsi="Times New Roman"/>
      <w:b/>
      <w:kern w:val="24"/>
      <w:sz w:val="24"/>
    </w:rPr>
  </w:style>
  <w:style w:type="paragraph" w:customStyle="1" w:styleId="figure">
    <w:name w:val="figure"/>
    <w:basedOn w:val="a"/>
    <w:link w:val="figure0"/>
    <w:qFormat/>
    <w:rsid w:val="0027782D"/>
    <w:pPr>
      <w:keepNext/>
      <w:widowControl/>
      <w:adjustRightInd w:val="0"/>
      <w:snapToGrid w:val="0"/>
      <w:spacing w:beforeLines="50" w:before="50" w:line="240" w:lineRule="atLeast"/>
      <w:ind w:firstLineChars="0" w:firstLine="0"/>
      <w:jc w:val="center"/>
    </w:pPr>
    <w:rPr>
      <w:noProof/>
      <w:kern w:val="24"/>
      <w:sz w:val="24"/>
    </w:rPr>
  </w:style>
  <w:style w:type="character" w:customStyle="1" w:styleId="figure0">
    <w:name w:val="figure 字符"/>
    <w:basedOn w:val="a0"/>
    <w:link w:val="figure"/>
    <w:rsid w:val="0027782D"/>
    <w:rPr>
      <w:rFonts w:ascii="Times New Roman" w:eastAsia="宋体" w:hAnsi="Times New Roman"/>
      <w:noProof/>
      <w:kern w:val="24"/>
      <w:sz w:val="24"/>
    </w:rPr>
  </w:style>
  <w:style w:type="paragraph" w:customStyle="1" w:styleId="-">
    <w:name w:val="题注-图"/>
    <w:qFormat/>
    <w:rsid w:val="0027782D"/>
    <w:pPr>
      <w:spacing w:before="120" w:after="240"/>
      <w:jc w:val="center"/>
    </w:pPr>
    <w:rPr>
      <w:rFonts w:ascii="Times New Roman" w:eastAsia="宋体" w:hAnsi="Times New Roman" w:cstheme="majorBidi"/>
      <w:kern w:val="0"/>
      <w:sz w:val="22"/>
      <w:szCs w:val="20"/>
    </w:rPr>
  </w:style>
  <w:style w:type="paragraph" w:customStyle="1" w:styleId="-0">
    <w:name w:val="题注-表格"/>
    <w:basedOn w:val="a"/>
    <w:link w:val="-1"/>
    <w:qFormat/>
    <w:rsid w:val="00BB6319"/>
    <w:pPr>
      <w:keepNext/>
      <w:widowControl/>
      <w:spacing w:before="240" w:after="120"/>
      <w:ind w:firstLineChars="0" w:firstLine="0"/>
      <w:jc w:val="center"/>
    </w:pPr>
    <w:rPr>
      <w:rFonts w:cstheme="majorBidi"/>
      <w:kern w:val="24"/>
      <w:sz w:val="22"/>
      <w:szCs w:val="20"/>
    </w:rPr>
  </w:style>
  <w:style w:type="paragraph" w:customStyle="1" w:styleId="table">
    <w:name w:val="table"/>
    <w:basedOn w:val="a"/>
    <w:link w:val="table0"/>
    <w:qFormat/>
    <w:rsid w:val="00BB6319"/>
    <w:pPr>
      <w:adjustRightInd w:val="0"/>
      <w:snapToGrid w:val="0"/>
      <w:spacing w:before="60" w:after="60"/>
      <w:ind w:firstLineChars="0" w:firstLine="0"/>
      <w:jc w:val="center"/>
    </w:pPr>
    <w:rPr>
      <w:kern w:val="24"/>
      <w:sz w:val="22"/>
    </w:rPr>
  </w:style>
  <w:style w:type="character" w:customStyle="1" w:styleId="table0">
    <w:name w:val="table 字符"/>
    <w:basedOn w:val="a0"/>
    <w:link w:val="table"/>
    <w:rsid w:val="00BB6319"/>
    <w:rPr>
      <w:rFonts w:ascii="Times New Roman" w:eastAsia="宋体" w:hAnsi="Times New Roman"/>
      <w:kern w:val="24"/>
      <w:sz w:val="22"/>
    </w:rPr>
  </w:style>
  <w:style w:type="character" w:customStyle="1" w:styleId="-1">
    <w:name w:val="题注-表格 字符"/>
    <w:basedOn w:val="a0"/>
    <w:link w:val="-0"/>
    <w:rsid w:val="00BB6319"/>
    <w:rPr>
      <w:rFonts w:ascii="Times New Roman" w:eastAsia="宋体" w:hAnsi="Times New Roman" w:cstheme="majorBidi"/>
      <w:kern w:val="24"/>
      <w:sz w:val="22"/>
      <w:szCs w:val="20"/>
    </w:rPr>
  </w:style>
  <w:style w:type="paragraph" w:customStyle="1" w:styleId="aff2">
    <w:name w:val="表格"/>
    <w:basedOn w:val="a"/>
    <w:link w:val="aff3"/>
    <w:qFormat/>
    <w:rsid w:val="003346B5"/>
    <w:pPr>
      <w:adjustRightInd w:val="0"/>
      <w:snapToGrid w:val="0"/>
      <w:spacing w:before="60" w:after="60"/>
      <w:ind w:firstLineChars="0" w:firstLine="0"/>
      <w:jc w:val="center"/>
    </w:pPr>
    <w:rPr>
      <w:kern w:val="24"/>
      <w:sz w:val="22"/>
    </w:rPr>
  </w:style>
  <w:style w:type="character" w:customStyle="1" w:styleId="aff3">
    <w:name w:val="表格 字符"/>
    <w:basedOn w:val="a0"/>
    <w:link w:val="aff2"/>
    <w:rsid w:val="003346B5"/>
    <w:rPr>
      <w:rFonts w:ascii="Times New Roman" w:eastAsia="宋体" w:hAnsi="Times New Roman"/>
      <w:kern w:val="24"/>
      <w:sz w:val="22"/>
    </w:rPr>
  </w:style>
  <w:style w:type="table" w:customStyle="1" w:styleId="aff4">
    <w:name w:val="三线"/>
    <w:basedOn w:val="a1"/>
    <w:uiPriority w:val="99"/>
    <w:qFormat/>
    <w:rsid w:val="003346B5"/>
    <w:pPr>
      <w:jc w:val="center"/>
    </w:pPr>
    <w:rPr>
      <w:sz w:val="18"/>
    </w:rPr>
    <w:tblPr>
      <w:jc w:val="center"/>
      <w:tblBorders>
        <w:top w:val="single" w:sz="12" w:space="0" w:color="auto"/>
        <w:bottom w:val="single" w:sz="12" w:space="0" w:color="auto"/>
      </w:tblBorders>
    </w:tblPr>
    <w:trPr>
      <w:jc w:val="center"/>
    </w:trPr>
    <w:tcPr>
      <w:vAlign w:val="center"/>
    </w:tcPr>
    <w:tblStylePr w:type="firstRow">
      <w:tblPr/>
      <w:tcPr>
        <w:tcBorders>
          <w:bottom w:val="single" w:sz="4" w:space="0" w:color="auto"/>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737465">
      <w:bodyDiv w:val="1"/>
      <w:marLeft w:val="0"/>
      <w:marRight w:val="0"/>
      <w:marTop w:val="0"/>
      <w:marBottom w:val="0"/>
      <w:divBdr>
        <w:top w:val="none" w:sz="0" w:space="0" w:color="auto"/>
        <w:left w:val="none" w:sz="0" w:space="0" w:color="auto"/>
        <w:bottom w:val="none" w:sz="0" w:space="0" w:color="auto"/>
        <w:right w:val="none" w:sz="0" w:space="0" w:color="auto"/>
      </w:divBdr>
      <w:divsChild>
        <w:div w:id="1006326363">
          <w:marLeft w:val="0"/>
          <w:marRight w:val="0"/>
          <w:marTop w:val="0"/>
          <w:marBottom w:val="0"/>
          <w:divBdr>
            <w:top w:val="none" w:sz="0" w:space="0" w:color="auto"/>
            <w:left w:val="none" w:sz="0" w:space="0" w:color="auto"/>
            <w:bottom w:val="none" w:sz="0" w:space="0" w:color="auto"/>
            <w:right w:val="none" w:sz="0" w:space="0" w:color="auto"/>
          </w:divBdr>
        </w:div>
      </w:divsChild>
    </w:div>
    <w:div w:id="52437547">
      <w:bodyDiv w:val="1"/>
      <w:marLeft w:val="0"/>
      <w:marRight w:val="0"/>
      <w:marTop w:val="0"/>
      <w:marBottom w:val="0"/>
      <w:divBdr>
        <w:top w:val="none" w:sz="0" w:space="0" w:color="auto"/>
        <w:left w:val="none" w:sz="0" w:space="0" w:color="auto"/>
        <w:bottom w:val="none" w:sz="0" w:space="0" w:color="auto"/>
        <w:right w:val="none" w:sz="0" w:space="0" w:color="auto"/>
      </w:divBdr>
      <w:divsChild>
        <w:div w:id="1166751634">
          <w:marLeft w:val="0"/>
          <w:marRight w:val="0"/>
          <w:marTop w:val="0"/>
          <w:marBottom w:val="0"/>
          <w:divBdr>
            <w:top w:val="none" w:sz="0" w:space="0" w:color="auto"/>
            <w:left w:val="none" w:sz="0" w:space="0" w:color="auto"/>
            <w:bottom w:val="none" w:sz="0" w:space="0" w:color="auto"/>
            <w:right w:val="none" w:sz="0" w:space="0" w:color="auto"/>
          </w:divBdr>
        </w:div>
      </w:divsChild>
    </w:div>
    <w:div w:id="373889877">
      <w:bodyDiv w:val="1"/>
      <w:marLeft w:val="0"/>
      <w:marRight w:val="0"/>
      <w:marTop w:val="0"/>
      <w:marBottom w:val="0"/>
      <w:divBdr>
        <w:top w:val="none" w:sz="0" w:space="0" w:color="auto"/>
        <w:left w:val="none" w:sz="0" w:space="0" w:color="auto"/>
        <w:bottom w:val="none" w:sz="0" w:space="0" w:color="auto"/>
        <w:right w:val="none" w:sz="0" w:space="0" w:color="auto"/>
      </w:divBdr>
    </w:div>
    <w:div w:id="444926067">
      <w:bodyDiv w:val="1"/>
      <w:marLeft w:val="0"/>
      <w:marRight w:val="0"/>
      <w:marTop w:val="0"/>
      <w:marBottom w:val="0"/>
      <w:divBdr>
        <w:top w:val="none" w:sz="0" w:space="0" w:color="auto"/>
        <w:left w:val="none" w:sz="0" w:space="0" w:color="auto"/>
        <w:bottom w:val="none" w:sz="0" w:space="0" w:color="auto"/>
        <w:right w:val="none" w:sz="0" w:space="0" w:color="auto"/>
      </w:divBdr>
      <w:divsChild>
        <w:div w:id="1019043614">
          <w:marLeft w:val="0"/>
          <w:marRight w:val="0"/>
          <w:marTop w:val="0"/>
          <w:marBottom w:val="0"/>
          <w:divBdr>
            <w:top w:val="none" w:sz="0" w:space="0" w:color="auto"/>
            <w:left w:val="none" w:sz="0" w:space="0" w:color="auto"/>
            <w:bottom w:val="none" w:sz="0" w:space="0" w:color="auto"/>
            <w:right w:val="none" w:sz="0" w:space="0" w:color="auto"/>
          </w:divBdr>
        </w:div>
      </w:divsChild>
    </w:div>
    <w:div w:id="486630377">
      <w:bodyDiv w:val="1"/>
      <w:marLeft w:val="0"/>
      <w:marRight w:val="0"/>
      <w:marTop w:val="0"/>
      <w:marBottom w:val="0"/>
      <w:divBdr>
        <w:top w:val="none" w:sz="0" w:space="0" w:color="auto"/>
        <w:left w:val="none" w:sz="0" w:space="0" w:color="auto"/>
        <w:bottom w:val="none" w:sz="0" w:space="0" w:color="auto"/>
        <w:right w:val="none" w:sz="0" w:space="0" w:color="auto"/>
      </w:divBdr>
      <w:divsChild>
        <w:div w:id="343946124">
          <w:marLeft w:val="0"/>
          <w:marRight w:val="0"/>
          <w:marTop w:val="0"/>
          <w:marBottom w:val="0"/>
          <w:divBdr>
            <w:top w:val="none" w:sz="0" w:space="0" w:color="auto"/>
            <w:left w:val="none" w:sz="0" w:space="0" w:color="auto"/>
            <w:bottom w:val="none" w:sz="0" w:space="0" w:color="auto"/>
            <w:right w:val="none" w:sz="0" w:space="0" w:color="auto"/>
          </w:divBdr>
        </w:div>
      </w:divsChild>
    </w:div>
    <w:div w:id="528375731">
      <w:bodyDiv w:val="1"/>
      <w:marLeft w:val="0"/>
      <w:marRight w:val="0"/>
      <w:marTop w:val="0"/>
      <w:marBottom w:val="0"/>
      <w:divBdr>
        <w:top w:val="none" w:sz="0" w:space="0" w:color="auto"/>
        <w:left w:val="none" w:sz="0" w:space="0" w:color="auto"/>
        <w:bottom w:val="none" w:sz="0" w:space="0" w:color="auto"/>
        <w:right w:val="none" w:sz="0" w:space="0" w:color="auto"/>
      </w:divBdr>
      <w:divsChild>
        <w:div w:id="327292763">
          <w:marLeft w:val="0"/>
          <w:marRight w:val="0"/>
          <w:marTop w:val="0"/>
          <w:marBottom w:val="0"/>
          <w:divBdr>
            <w:top w:val="none" w:sz="0" w:space="0" w:color="auto"/>
            <w:left w:val="none" w:sz="0" w:space="0" w:color="auto"/>
            <w:bottom w:val="none" w:sz="0" w:space="0" w:color="auto"/>
            <w:right w:val="none" w:sz="0" w:space="0" w:color="auto"/>
          </w:divBdr>
        </w:div>
      </w:divsChild>
    </w:div>
    <w:div w:id="906038075">
      <w:bodyDiv w:val="1"/>
      <w:marLeft w:val="0"/>
      <w:marRight w:val="0"/>
      <w:marTop w:val="0"/>
      <w:marBottom w:val="0"/>
      <w:divBdr>
        <w:top w:val="none" w:sz="0" w:space="0" w:color="auto"/>
        <w:left w:val="none" w:sz="0" w:space="0" w:color="auto"/>
        <w:bottom w:val="none" w:sz="0" w:space="0" w:color="auto"/>
        <w:right w:val="none" w:sz="0" w:space="0" w:color="auto"/>
      </w:divBdr>
    </w:div>
    <w:div w:id="1008212168">
      <w:bodyDiv w:val="1"/>
      <w:marLeft w:val="0"/>
      <w:marRight w:val="0"/>
      <w:marTop w:val="0"/>
      <w:marBottom w:val="0"/>
      <w:divBdr>
        <w:top w:val="none" w:sz="0" w:space="0" w:color="auto"/>
        <w:left w:val="none" w:sz="0" w:space="0" w:color="auto"/>
        <w:bottom w:val="none" w:sz="0" w:space="0" w:color="auto"/>
        <w:right w:val="none" w:sz="0" w:space="0" w:color="auto"/>
      </w:divBdr>
      <w:divsChild>
        <w:div w:id="1261913611">
          <w:marLeft w:val="0"/>
          <w:marRight w:val="0"/>
          <w:marTop w:val="0"/>
          <w:marBottom w:val="0"/>
          <w:divBdr>
            <w:top w:val="none" w:sz="0" w:space="0" w:color="auto"/>
            <w:left w:val="none" w:sz="0" w:space="0" w:color="auto"/>
            <w:bottom w:val="none" w:sz="0" w:space="0" w:color="auto"/>
            <w:right w:val="none" w:sz="0" w:space="0" w:color="auto"/>
          </w:divBdr>
        </w:div>
      </w:divsChild>
    </w:div>
    <w:div w:id="1260454877">
      <w:bodyDiv w:val="1"/>
      <w:marLeft w:val="0"/>
      <w:marRight w:val="0"/>
      <w:marTop w:val="0"/>
      <w:marBottom w:val="0"/>
      <w:divBdr>
        <w:top w:val="none" w:sz="0" w:space="0" w:color="auto"/>
        <w:left w:val="none" w:sz="0" w:space="0" w:color="auto"/>
        <w:bottom w:val="none" w:sz="0" w:space="0" w:color="auto"/>
        <w:right w:val="none" w:sz="0" w:space="0" w:color="auto"/>
      </w:divBdr>
      <w:divsChild>
        <w:div w:id="97340216">
          <w:marLeft w:val="0"/>
          <w:marRight w:val="0"/>
          <w:marTop w:val="0"/>
          <w:marBottom w:val="0"/>
          <w:divBdr>
            <w:top w:val="none" w:sz="0" w:space="0" w:color="auto"/>
            <w:left w:val="none" w:sz="0" w:space="0" w:color="auto"/>
            <w:bottom w:val="none" w:sz="0" w:space="0" w:color="auto"/>
            <w:right w:val="none" w:sz="0" w:space="0" w:color="auto"/>
          </w:divBdr>
        </w:div>
      </w:divsChild>
    </w:div>
    <w:div w:id="1357535805">
      <w:bodyDiv w:val="1"/>
      <w:marLeft w:val="0"/>
      <w:marRight w:val="0"/>
      <w:marTop w:val="0"/>
      <w:marBottom w:val="0"/>
      <w:divBdr>
        <w:top w:val="none" w:sz="0" w:space="0" w:color="auto"/>
        <w:left w:val="none" w:sz="0" w:space="0" w:color="auto"/>
        <w:bottom w:val="none" w:sz="0" w:space="0" w:color="auto"/>
        <w:right w:val="none" w:sz="0" w:space="0" w:color="auto"/>
      </w:divBdr>
      <w:divsChild>
        <w:div w:id="1955019522">
          <w:marLeft w:val="0"/>
          <w:marRight w:val="0"/>
          <w:marTop w:val="0"/>
          <w:marBottom w:val="0"/>
          <w:divBdr>
            <w:top w:val="none" w:sz="0" w:space="0" w:color="auto"/>
            <w:left w:val="none" w:sz="0" w:space="0" w:color="auto"/>
            <w:bottom w:val="none" w:sz="0" w:space="0" w:color="auto"/>
            <w:right w:val="none" w:sz="0" w:space="0" w:color="auto"/>
          </w:divBdr>
        </w:div>
      </w:divsChild>
    </w:div>
    <w:div w:id="1429497949">
      <w:bodyDiv w:val="1"/>
      <w:marLeft w:val="0"/>
      <w:marRight w:val="0"/>
      <w:marTop w:val="0"/>
      <w:marBottom w:val="0"/>
      <w:divBdr>
        <w:top w:val="none" w:sz="0" w:space="0" w:color="auto"/>
        <w:left w:val="none" w:sz="0" w:space="0" w:color="auto"/>
        <w:bottom w:val="none" w:sz="0" w:space="0" w:color="auto"/>
        <w:right w:val="none" w:sz="0" w:space="0" w:color="auto"/>
      </w:divBdr>
    </w:div>
    <w:div w:id="1468939794">
      <w:bodyDiv w:val="1"/>
      <w:marLeft w:val="0"/>
      <w:marRight w:val="0"/>
      <w:marTop w:val="0"/>
      <w:marBottom w:val="0"/>
      <w:divBdr>
        <w:top w:val="none" w:sz="0" w:space="0" w:color="auto"/>
        <w:left w:val="none" w:sz="0" w:space="0" w:color="auto"/>
        <w:bottom w:val="none" w:sz="0" w:space="0" w:color="auto"/>
        <w:right w:val="none" w:sz="0" w:space="0" w:color="auto"/>
      </w:divBdr>
    </w:div>
    <w:div w:id="1476528929">
      <w:bodyDiv w:val="1"/>
      <w:marLeft w:val="0"/>
      <w:marRight w:val="0"/>
      <w:marTop w:val="0"/>
      <w:marBottom w:val="0"/>
      <w:divBdr>
        <w:top w:val="none" w:sz="0" w:space="0" w:color="auto"/>
        <w:left w:val="none" w:sz="0" w:space="0" w:color="auto"/>
        <w:bottom w:val="none" w:sz="0" w:space="0" w:color="auto"/>
        <w:right w:val="none" w:sz="0" w:space="0" w:color="auto"/>
      </w:divBdr>
    </w:div>
    <w:div w:id="1509370673">
      <w:bodyDiv w:val="1"/>
      <w:marLeft w:val="0"/>
      <w:marRight w:val="0"/>
      <w:marTop w:val="0"/>
      <w:marBottom w:val="0"/>
      <w:divBdr>
        <w:top w:val="none" w:sz="0" w:space="0" w:color="auto"/>
        <w:left w:val="none" w:sz="0" w:space="0" w:color="auto"/>
        <w:bottom w:val="none" w:sz="0" w:space="0" w:color="auto"/>
        <w:right w:val="none" w:sz="0" w:space="0" w:color="auto"/>
      </w:divBdr>
      <w:divsChild>
        <w:div w:id="1761216034">
          <w:marLeft w:val="0"/>
          <w:marRight w:val="0"/>
          <w:marTop w:val="0"/>
          <w:marBottom w:val="0"/>
          <w:divBdr>
            <w:top w:val="none" w:sz="0" w:space="0" w:color="auto"/>
            <w:left w:val="none" w:sz="0" w:space="0" w:color="auto"/>
            <w:bottom w:val="none" w:sz="0" w:space="0" w:color="auto"/>
            <w:right w:val="none" w:sz="0" w:space="0" w:color="auto"/>
          </w:divBdr>
        </w:div>
      </w:divsChild>
    </w:div>
    <w:div w:id="1523982218">
      <w:bodyDiv w:val="1"/>
      <w:marLeft w:val="0"/>
      <w:marRight w:val="0"/>
      <w:marTop w:val="0"/>
      <w:marBottom w:val="0"/>
      <w:divBdr>
        <w:top w:val="none" w:sz="0" w:space="0" w:color="auto"/>
        <w:left w:val="none" w:sz="0" w:space="0" w:color="auto"/>
        <w:bottom w:val="none" w:sz="0" w:space="0" w:color="auto"/>
        <w:right w:val="none" w:sz="0" w:space="0" w:color="auto"/>
      </w:divBdr>
      <w:divsChild>
        <w:div w:id="1729263637">
          <w:marLeft w:val="0"/>
          <w:marRight w:val="0"/>
          <w:marTop w:val="0"/>
          <w:marBottom w:val="0"/>
          <w:divBdr>
            <w:top w:val="none" w:sz="0" w:space="0" w:color="auto"/>
            <w:left w:val="none" w:sz="0" w:space="0" w:color="auto"/>
            <w:bottom w:val="none" w:sz="0" w:space="0" w:color="auto"/>
            <w:right w:val="none" w:sz="0" w:space="0" w:color="auto"/>
          </w:divBdr>
        </w:div>
      </w:divsChild>
    </w:div>
    <w:div w:id="1551070448">
      <w:bodyDiv w:val="1"/>
      <w:marLeft w:val="0"/>
      <w:marRight w:val="0"/>
      <w:marTop w:val="0"/>
      <w:marBottom w:val="0"/>
      <w:divBdr>
        <w:top w:val="none" w:sz="0" w:space="0" w:color="auto"/>
        <w:left w:val="none" w:sz="0" w:space="0" w:color="auto"/>
        <w:bottom w:val="none" w:sz="0" w:space="0" w:color="auto"/>
        <w:right w:val="none" w:sz="0" w:space="0" w:color="auto"/>
      </w:divBdr>
    </w:div>
    <w:div w:id="1725638628">
      <w:bodyDiv w:val="1"/>
      <w:marLeft w:val="0"/>
      <w:marRight w:val="0"/>
      <w:marTop w:val="0"/>
      <w:marBottom w:val="0"/>
      <w:divBdr>
        <w:top w:val="none" w:sz="0" w:space="0" w:color="auto"/>
        <w:left w:val="none" w:sz="0" w:space="0" w:color="auto"/>
        <w:bottom w:val="none" w:sz="0" w:space="0" w:color="auto"/>
        <w:right w:val="none" w:sz="0" w:space="0" w:color="auto"/>
      </w:divBdr>
    </w:div>
    <w:div w:id="1782721125">
      <w:bodyDiv w:val="1"/>
      <w:marLeft w:val="0"/>
      <w:marRight w:val="0"/>
      <w:marTop w:val="0"/>
      <w:marBottom w:val="0"/>
      <w:divBdr>
        <w:top w:val="none" w:sz="0" w:space="0" w:color="auto"/>
        <w:left w:val="none" w:sz="0" w:space="0" w:color="auto"/>
        <w:bottom w:val="none" w:sz="0" w:space="0" w:color="auto"/>
        <w:right w:val="none" w:sz="0" w:space="0" w:color="auto"/>
      </w:divBdr>
    </w:div>
    <w:div w:id="1805926781">
      <w:bodyDiv w:val="1"/>
      <w:marLeft w:val="0"/>
      <w:marRight w:val="0"/>
      <w:marTop w:val="0"/>
      <w:marBottom w:val="0"/>
      <w:divBdr>
        <w:top w:val="none" w:sz="0" w:space="0" w:color="auto"/>
        <w:left w:val="none" w:sz="0" w:space="0" w:color="auto"/>
        <w:bottom w:val="none" w:sz="0" w:space="0" w:color="auto"/>
        <w:right w:val="none" w:sz="0" w:space="0" w:color="auto"/>
      </w:divBdr>
    </w:div>
    <w:div w:id="1823348933">
      <w:bodyDiv w:val="1"/>
      <w:marLeft w:val="0"/>
      <w:marRight w:val="0"/>
      <w:marTop w:val="0"/>
      <w:marBottom w:val="0"/>
      <w:divBdr>
        <w:top w:val="none" w:sz="0" w:space="0" w:color="auto"/>
        <w:left w:val="none" w:sz="0" w:space="0" w:color="auto"/>
        <w:bottom w:val="none" w:sz="0" w:space="0" w:color="auto"/>
        <w:right w:val="none" w:sz="0" w:space="0" w:color="auto"/>
      </w:divBdr>
      <w:divsChild>
        <w:div w:id="789400340">
          <w:marLeft w:val="0"/>
          <w:marRight w:val="0"/>
          <w:marTop w:val="0"/>
          <w:marBottom w:val="0"/>
          <w:divBdr>
            <w:top w:val="none" w:sz="0" w:space="0" w:color="auto"/>
            <w:left w:val="none" w:sz="0" w:space="0" w:color="auto"/>
            <w:bottom w:val="none" w:sz="0" w:space="0" w:color="auto"/>
            <w:right w:val="none" w:sz="0" w:space="0" w:color="auto"/>
          </w:divBdr>
        </w:div>
      </w:divsChild>
    </w:div>
    <w:div w:id="1895004343">
      <w:bodyDiv w:val="1"/>
      <w:marLeft w:val="0"/>
      <w:marRight w:val="0"/>
      <w:marTop w:val="0"/>
      <w:marBottom w:val="0"/>
      <w:divBdr>
        <w:top w:val="none" w:sz="0" w:space="0" w:color="auto"/>
        <w:left w:val="none" w:sz="0" w:space="0" w:color="auto"/>
        <w:bottom w:val="none" w:sz="0" w:space="0" w:color="auto"/>
        <w:right w:val="none" w:sz="0" w:space="0" w:color="auto"/>
      </w:divBdr>
      <w:divsChild>
        <w:div w:id="129400640">
          <w:marLeft w:val="0"/>
          <w:marRight w:val="0"/>
          <w:marTop w:val="0"/>
          <w:marBottom w:val="0"/>
          <w:divBdr>
            <w:top w:val="none" w:sz="0" w:space="0" w:color="auto"/>
            <w:left w:val="none" w:sz="0" w:space="0" w:color="auto"/>
            <w:bottom w:val="none" w:sz="0" w:space="0" w:color="auto"/>
            <w:right w:val="none" w:sz="0" w:space="0" w:color="auto"/>
          </w:divBdr>
        </w:div>
      </w:divsChild>
    </w:div>
    <w:div w:id="212291413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8.xml"/><Relationship Id="rId13" Type="http://schemas.openxmlformats.org/officeDocument/2006/relationships/webSettings" Target="webSettings.xml"/><Relationship Id="rId18" Type="http://schemas.openxmlformats.org/officeDocument/2006/relationships/footer" Target="footer1.xml"/><Relationship Id="rId26" Type="http://schemas.openxmlformats.org/officeDocument/2006/relationships/image" Target="media/image3.png"/><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customXml" Target="../customXml/item7.xml"/><Relationship Id="rId12" Type="http://schemas.openxmlformats.org/officeDocument/2006/relationships/settings" Target="settings.xml"/><Relationship Id="rId17" Type="http://schemas.openxmlformats.org/officeDocument/2006/relationships/header" Target="header2.xml"/><Relationship Id="rId25" Type="http://schemas.openxmlformats.org/officeDocument/2006/relationships/image" Target="media/image2.png"/><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29" Type="http://schemas.openxmlformats.org/officeDocument/2006/relationships/image" Target="media/image6.jpeg"/><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styles" Target="styles.xml"/><Relationship Id="rId24" Type="http://schemas.openxmlformats.org/officeDocument/2006/relationships/chart" Target="charts/chart2.xml"/><Relationship Id="rId5" Type="http://schemas.openxmlformats.org/officeDocument/2006/relationships/customXml" Target="../customXml/item5.xml"/><Relationship Id="rId15" Type="http://schemas.openxmlformats.org/officeDocument/2006/relationships/endnotes" Target="endnotes.xml"/><Relationship Id="rId23" Type="http://schemas.openxmlformats.org/officeDocument/2006/relationships/chart" Target="charts/chart1.xml"/><Relationship Id="rId28" Type="http://schemas.openxmlformats.org/officeDocument/2006/relationships/image" Target="media/image5.png"/><Relationship Id="rId10" Type="http://schemas.openxmlformats.org/officeDocument/2006/relationships/numbering" Target="numbering.xml"/><Relationship Id="rId19" Type="http://schemas.openxmlformats.org/officeDocument/2006/relationships/footer" Target="footer2.xm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customXml" Target="../customXml/item9.xml"/><Relationship Id="rId14" Type="http://schemas.openxmlformats.org/officeDocument/2006/relationships/footnotes" Target="footnotes.xml"/><Relationship Id="rId22" Type="http://schemas.openxmlformats.org/officeDocument/2006/relationships/image" Target="media/image1.jpeg"/><Relationship Id="rId27" Type="http://schemas.openxmlformats.org/officeDocument/2006/relationships/image" Target="media/image4.png"/><Relationship Id="rId30" Type="http://schemas.openxmlformats.org/officeDocument/2006/relationships/fontTable" Target="fontTable.xm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3" Type="http://schemas.openxmlformats.org/officeDocument/2006/relationships/oleObject" Target="file:///E:\2020-2025%20&#22269;&#20869;&#31185;&#30740;\20250520%20&#27605;&#19994;&#35770;&#25991;&#25972;&#29702;&#23567;&#35770;&#25991;\&#21442;&#32771;&#25991;&#20214;\&#32472;&#22270;\&#26032;&#24314;%20Microsoft%20Excel%20&#24037;&#20316;&#34920;.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20435545198854915"/>
          <c:y val="0.18232549362702213"/>
          <c:w val="0.53560094964263116"/>
          <c:h val="0.73338822843223028"/>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560-47A5-A31D-C6CFCE1D837C}"/>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560-47A5-A31D-C6CFCE1D837C}"/>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560-47A5-A31D-C6CFCE1D837C}"/>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560-47A5-A31D-C6CFCE1D837C}"/>
              </c:ext>
            </c:extLst>
          </c:dPt>
          <c:dLbls>
            <c:dLbl>
              <c:idx val="0"/>
              <c:layout>
                <c:manualLayout>
                  <c:x val="0.18230275148190747"/>
                  <c:y val="3.8596400940078567E-2"/>
                </c:manualLayout>
              </c:layout>
              <c:tx>
                <c:rich>
                  <a:bodyPr/>
                  <a:lstStyle/>
                  <a:p>
                    <a:fld id="{B09326B4-B0C7-4423-B550-88177F4F3069}" type="CELLRANGE">
                      <a:rPr lang="en-US" altLang="zh-CN" baseline="0"/>
                      <a:pPr/>
                      <a:t>[CELLRANGE]</a:t>
                    </a:fld>
                    <a:r>
                      <a:rPr lang="en-US" altLang="zh-CN" baseline="0"/>
                      <a:t>, </a:t>
                    </a:r>
                    <a:fld id="{A816A797-D1B5-4943-A651-5EE99F68F118}" type="PERCENTAGE">
                      <a:rPr lang="en-US" altLang="zh-CN" baseline="0"/>
                      <a:pPr/>
                      <a:t>[百分比]</a:t>
                    </a:fld>
                    <a:endParaRPr lang="en-US" altLang="zh-CN" baseline="0"/>
                  </a:p>
                </c:rich>
              </c:tx>
              <c:showLegendKey val="0"/>
              <c:showVal val="0"/>
              <c:showCatName val="0"/>
              <c:showSerName val="0"/>
              <c:showPercent val="1"/>
              <c:showBubbleSize val="0"/>
              <c:extLst>
                <c:ext xmlns:c15="http://schemas.microsoft.com/office/drawing/2012/chart" uri="{CE6537A1-D6FC-4f65-9D91-7224C49458BB}">
                  <c15:layout>
                    <c:manualLayout>
                      <c:w val="0.30337078651685395"/>
                      <c:h val="0.30664488017429192"/>
                    </c:manualLayout>
                  </c15:layout>
                  <c15:dlblFieldTable/>
                  <c15:showDataLabelsRange val="1"/>
                </c:ext>
                <c:ext xmlns:c16="http://schemas.microsoft.com/office/drawing/2014/chart" uri="{C3380CC4-5D6E-409C-BE32-E72D297353CC}">
                  <c16:uniqueId val="{00000001-A560-47A5-A31D-C6CFCE1D837C}"/>
                </c:ext>
              </c:extLst>
            </c:dLbl>
            <c:dLbl>
              <c:idx val="1"/>
              <c:layout>
                <c:manualLayout>
                  <c:x val="-7.1909758471202331E-2"/>
                  <c:y val="0.37037037037037035"/>
                </c:manualLayout>
              </c:layout>
              <c:tx>
                <c:rich>
                  <a:bodyPr/>
                  <a:lstStyle/>
                  <a:p>
                    <a:fld id="{70ED2AB1-2DDA-4401-BCB0-17EA3BF871A2}" type="CELLRANGE">
                      <a:rPr lang="en-US" altLang="zh-CN" baseline="0"/>
                      <a:pPr/>
                      <a:t>[CELLRANGE]</a:t>
                    </a:fld>
                    <a:r>
                      <a:rPr lang="en-US" altLang="zh-CN" baseline="0"/>
                      <a:t>, </a:t>
                    </a:r>
                    <a:fld id="{6F74D29F-E352-4376-9CB3-C1B8EEF4779A}" type="PERCENTAGE">
                      <a:rPr lang="en-US" altLang="zh-CN" baseline="0"/>
                      <a:pPr/>
                      <a:t>[百分比]</a:t>
                    </a:fld>
                    <a:endParaRPr lang="en-US" altLang="zh-CN" baseline="0"/>
                  </a:p>
                </c:rich>
              </c:tx>
              <c:dLblPos val="bestFit"/>
              <c:showLegendKey val="0"/>
              <c:showVal val="0"/>
              <c:showCatName val="0"/>
              <c:showSerName val="0"/>
              <c:showPercent val="1"/>
              <c:showBubbleSize val="0"/>
              <c:extLst>
                <c:ext xmlns:c15="http://schemas.microsoft.com/office/drawing/2012/chart" uri="{CE6537A1-D6FC-4f65-9D91-7224C49458BB}">
                  <c15:layout>
                    <c:manualLayout>
                      <c:w val="0.27289250641422624"/>
                      <c:h val="0.28485838779956429"/>
                    </c:manualLayout>
                  </c15:layout>
                  <c15:dlblFieldTable/>
                  <c15:showDataLabelsRange val="1"/>
                </c:ext>
                <c:ext xmlns:c16="http://schemas.microsoft.com/office/drawing/2014/chart" uri="{C3380CC4-5D6E-409C-BE32-E72D297353CC}">
                  <c16:uniqueId val="{00000003-A560-47A5-A31D-C6CFCE1D837C}"/>
                </c:ext>
              </c:extLst>
            </c:dLbl>
            <c:dLbl>
              <c:idx val="2"/>
              <c:layout>
                <c:manualLayout>
                  <c:x val="1.0857886795049471E-2"/>
                  <c:y val="-4.8047171186934967E-2"/>
                </c:manualLayout>
              </c:layout>
              <c:tx>
                <c:rich>
                  <a:bodyPr/>
                  <a:lstStyle/>
                  <a:p>
                    <a:fld id="{1F16F30E-893E-4B05-99C9-B7177E13D9DD}" type="CELLRANGE">
                      <a:rPr lang="en-US" altLang="zh-CN" baseline="0"/>
                      <a:pPr/>
                      <a:t>[CELLRANGE]</a:t>
                    </a:fld>
                    <a:r>
                      <a:rPr lang="en-US" altLang="zh-CN" baseline="0"/>
                      <a:t>, </a:t>
                    </a:r>
                    <a:fld id="{F4A6928F-D1C0-4C23-9E2E-243A00568063}" type="PERCENTAGE">
                      <a:rPr lang="en-US" altLang="zh-CN" baseline="0"/>
                      <a:pPr/>
                      <a:t>[百分比]</a:t>
                    </a:fld>
                    <a:endParaRPr lang="en-US" altLang="zh-CN" baseline="0"/>
                  </a:p>
                </c:rich>
              </c:tx>
              <c:showLegendKey val="0"/>
              <c:showVal val="0"/>
              <c:showCatName val="0"/>
              <c:showSerName val="0"/>
              <c:showPercent val="1"/>
              <c:showBubbleSize val="0"/>
              <c:extLst>
                <c:ext xmlns:c15="http://schemas.microsoft.com/office/drawing/2012/chart" uri="{CE6537A1-D6FC-4f65-9D91-7224C49458BB}">
                  <c15:layout>
                    <c:manualLayout>
                      <c:w val="0.22170821905688751"/>
                      <c:h val="0.35947712418300654"/>
                    </c:manualLayout>
                  </c15:layout>
                  <c15:dlblFieldTable/>
                  <c15:showDataLabelsRange val="1"/>
                </c:ext>
                <c:ext xmlns:c16="http://schemas.microsoft.com/office/drawing/2014/chart" uri="{C3380CC4-5D6E-409C-BE32-E72D297353CC}">
                  <c16:uniqueId val="{00000005-A560-47A5-A31D-C6CFCE1D837C}"/>
                </c:ext>
              </c:extLst>
            </c:dLbl>
            <c:dLbl>
              <c:idx val="3"/>
              <c:layout>
                <c:manualLayout>
                  <c:x val="-0.11299964294439328"/>
                  <c:y val="5.2253272262535802E-3"/>
                </c:manualLayout>
              </c:layout>
              <c:tx>
                <c:rich>
                  <a:bodyPr/>
                  <a:lstStyle/>
                  <a:p>
                    <a:fld id="{C7DADC1C-F69E-4C38-A461-FA7AB727E2AA}" type="CELLRANGE">
                      <a:rPr lang="en-US" altLang="zh-CN" baseline="0"/>
                      <a:pPr/>
                      <a:t>[CELLRANGE]</a:t>
                    </a:fld>
                    <a:r>
                      <a:rPr lang="en-US" altLang="zh-CN" baseline="0"/>
                      <a:t>, </a:t>
                    </a:r>
                    <a:fld id="{3CF6F4DE-732D-42FB-B73A-3C2B1F0C5A59}" type="PERCENTAGE">
                      <a:rPr lang="en-US" altLang="zh-CN" baseline="0"/>
                      <a:pPr/>
                      <a:t>[百分比]</a:t>
                    </a:fld>
                    <a:endParaRPr lang="en-US" altLang="zh-CN" baseline="0"/>
                  </a:p>
                </c:rich>
              </c:tx>
              <c:showLegendKey val="0"/>
              <c:showVal val="0"/>
              <c:showCatName val="0"/>
              <c:showSerName val="0"/>
              <c:showPercent val="1"/>
              <c:showBubbleSize val="0"/>
              <c:extLst>
                <c:ext xmlns:c15="http://schemas.microsoft.com/office/drawing/2012/chart" uri="{CE6537A1-D6FC-4f65-9D91-7224C49458BB}">
                  <c15:layout>
                    <c:manualLayout>
                      <c:w val="0.31026252983293551"/>
                      <c:h val="0.41775599128540303"/>
                    </c:manualLayout>
                  </c15:layout>
                  <c15:dlblFieldTable/>
                  <c15:showDataLabelsRange val="1"/>
                </c:ext>
                <c:ext xmlns:c16="http://schemas.microsoft.com/office/drawing/2014/chart" uri="{C3380CC4-5D6E-409C-BE32-E72D297353CC}">
                  <c16:uniqueId val="{00000007-A560-47A5-A31D-C6CFCE1D837C}"/>
                </c:ext>
              </c:extLst>
            </c:dLbl>
            <c:spPr>
              <a:noFill/>
              <a:ln>
                <a:noFill/>
              </a:ln>
              <a:effectLst/>
            </c:spPr>
            <c:txPr>
              <a:bodyPr rot="0" spcFirstLastPara="1" vertOverflow="ellipsis" vert="horz" wrap="square" anchor="ctr" anchorCtr="1"/>
              <a:lstStyle/>
              <a:p>
                <a:pPr>
                  <a:defRPr sz="800" b="0" i="0" u="none" strike="noStrike" kern="1200" baseline="0">
                    <a:solidFill>
                      <a:sysClr val="windowText" lastClr="000000"/>
                    </a:solidFill>
                    <a:latin typeface="Times New Roman" panose="02020603050405020304" pitchFamily="18" charset="0"/>
                    <a:ea typeface="宋体" panose="02010600030101010101" pitchFamily="2" charset="-122"/>
                    <a:cs typeface="+mn-cs"/>
                  </a:defRPr>
                </a:pPr>
                <a:endParaRPr lang="zh-CN"/>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showDataLabelsRange val="1"/>
              </c:ext>
            </c:extLst>
          </c:dLbls>
          <c:cat>
            <c:strRef>
              <c:f>Sheet1!$A$1:$A$4</c:f>
              <c:strCache>
                <c:ptCount val="4"/>
                <c:pt idx="0">
                  <c:v>博士</c:v>
                </c:pt>
                <c:pt idx="1">
                  <c:v>硕士</c:v>
                </c:pt>
                <c:pt idx="2">
                  <c:v>本科</c:v>
                </c:pt>
                <c:pt idx="3">
                  <c:v>专科及以下</c:v>
                </c:pt>
              </c:strCache>
            </c:strRef>
          </c:cat>
          <c:val>
            <c:numRef>
              <c:f>Sheet1!$B$1:$B$4</c:f>
              <c:numCache>
                <c:formatCode>0.00%</c:formatCode>
                <c:ptCount val="4"/>
                <c:pt idx="0">
                  <c:v>1.37E-2</c:v>
                </c:pt>
                <c:pt idx="1">
                  <c:v>0.38569999999999999</c:v>
                </c:pt>
                <c:pt idx="2">
                  <c:v>0.52559999999999996</c:v>
                </c:pt>
                <c:pt idx="3">
                  <c:v>7.51E-2</c:v>
                </c:pt>
              </c:numCache>
            </c:numRef>
          </c:val>
          <c:extLst>
            <c:ext xmlns:c15="http://schemas.microsoft.com/office/drawing/2012/chart" uri="{02D57815-91ED-43cb-92C2-25804820EDAC}">
              <c15:datalabelsRange>
                <c15:f>Sheet1!$A$1:$A$4</c15:f>
                <c15:dlblRangeCache>
                  <c:ptCount val="4"/>
                  <c:pt idx="0">
                    <c:v>博士</c:v>
                  </c:pt>
                  <c:pt idx="1">
                    <c:v>硕士</c:v>
                  </c:pt>
                  <c:pt idx="2">
                    <c:v>本科</c:v>
                  </c:pt>
                  <c:pt idx="3">
                    <c:v>专科及以下</c:v>
                  </c:pt>
                </c15:dlblRangeCache>
              </c15:datalabelsRange>
            </c:ext>
            <c:ext xmlns:c16="http://schemas.microsoft.com/office/drawing/2014/chart" uri="{C3380CC4-5D6E-409C-BE32-E72D297353CC}">
              <c16:uniqueId val="{00000008-A560-47A5-A31D-C6CFCE1D837C}"/>
            </c:ext>
          </c:extLst>
        </c:ser>
        <c:dLbls>
          <c:showLegendKey val="0"/>
          <c:showVal val="1"/>
          <c:showCatName val="0"/>
          <c:showSerName val="0"/>
          <c:showPercent val="0"/>
          <c:showBubbleSize val="0"/>
          <c:showLeaderLines val="1"/>
        </c:dLbls>
        <c:firstSliceAng val="0"/>
      </c:pieChart>
      <c:spPr>
        <a:noFill/>
        <a:ln>
          <a:noFill/>
        </a:ln>
        <a:effectLst/>
      </c:spPr>
    </c:plotArea>
    <c:plotVisOnly val="1"/>
    <c:dispBlanksAs val="gap"/>
    <c:showDLblsOverMax val="0"/>
    <c:extLst>
      <c:ext xmlns:c16r3="http://schemas.microsoft.com/office/drawing/2017/03/chart" uri="{56B9EC1D-385E-4148-901F-78D8002777C0}">
        <c16r3:dataDisplayOptions16>
          <c16r3:dispNaAsBlank val="1"/>
        </c16r3:dataDisplayOptions16>
      </c:ext>
    </c:extLst>
  </c:chart>
  <c:spPr>
    <a:noFill/>
    <a:ln w="9525" cap="flat" cmpd="sng" algn="ctr">
      <a:noFill/>
      <a:round/>
    </a:ln>
    <a:effectLst/>
  </c:spPr>
  <c:txPr>
    <a:bodyPr/>
    <a:lstStyle/>
    <a:p>
      <a:pPr>
        <a:defRPr sz="800" baseline="0">
          <a:solidFill>
            <a:sysClr val="windowText" lastClr="000000"/>
          </a:solidFill>
          <a:latin typeface="Times New Roman" panose="02020603050405020304" pitchFamily="18" charset="0"/>
          <a:ea typeface="宋体" panose="02010600030101010101" pitchFamily="2" charset="-122"/>
        </a:defRPr>
      </a:pPr>
      <a:endParaRPr lang="zh-CN"/>
    </a:p>
  </c:txPr>
  <c:externalData r:id="rId4">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24627385179943195"/>
          <c:y val="7.6484748172287439E-2"/>
          <c:w val="0.66352559935701416"/>
          <c:h val="0.55425584885186341"/>
        </c:manualLayout>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anchor="ctr" anchorCtr="1"/>
              <a:lstStyle/>
              <a:p>
                <a:pPr>
                  <a:defRPr sz="800" b="0" i="0" u="none" strike="noStrike" kern="1200" baseline="0">
                    <a:solidFill>
                      <a:schemeClr val="tx1">
                        <a:lumMod val="75000"/>
                        <a:lumOff val="25000"/>
                      </a:schemeClr>
                    </a:solidFill>
                    <a:latin typeface="Times New Roman" panose="02020603050405020304" pitchFamily="18" charset="0"/>
                    <a:ea typeface="宋体" panose="02010600030101010101" pitchFamily="2" charset="-122"/>
                    <a:cs typeface="+mn-cs"/>
                  </a:defRPr>
                </a:pPr>
                <a:endParaRPr lang="zh-C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Sheet1!$A$7:$A$10</c:f>
              <c:strCache>
                <c:ptCount val="4"/>
                <c:pt idx="0">
                  <c:v>≤10年</c:v>
                </c:pt>
                <c:pt idx="1">
                  <c:v>11-20年</c:v>
                </c:pt>
                <c:pt idx="2">
                  <c:v>21-30年</c:v>
                </c:pt>
                <c:pt idx="3">
                  <c:v>＞30年</c:v>
                </c:pt>
              </c:strCache>
            </c:strRef>
          </c:cat>
          <c:val>
            <c:numRef>
              <c:f>Sheet1!$B$7:$B$10</c:f>
              <c:numCache>
                <c:formatCode>General</c:formatCode>
                <c:ptCount val="4"/>
                <c:pt idx="0">
                  <c:v>176</c:v>
                </c:pt>
                <c:pt idx="1">
                  <c:v>81</c:v>
                </c:pt>
                <c:pt idx="2">
                  <c:v>29</c:v>
                </c:pt>
                <c:pt idx="3">
                  <c:v>7</c:v>
                </c:pt>
              </c:numCache>
            </c:numRef>
          </c:val>
          <c:extLst>
            <c:ext xmlns:c16="http://schemas.microsoft.com/office/drawing/2014/chart" uri="{C3380CC4-5D6E-409C-BE32-E72D297353CC}">
              <c16:uniqueId val="{00000000-4F5A-4CD7-8DB4-14482BE7CB9C}"/>
            </c:ext>
          </c:extLst>
        </c:ser>
        <c:dLbls>
          <c:dLblPos val="outEnd"/>
          <c:showLegendKey val="0"/>
          <c:showVal val="1"/>
          <c:showCatName val="0"/>
          <c:showSerName val="0"/>
          <c:showPercent val="0"/>
          <c:showBubbleSize val="0"/>
        </c:dLbls>
        <c:gapWidth val="100"/>
        <c:overlap val="-27"/>
        <c:axId val="1070327375"/>
        <c:axId val="1070321135"/>
      </c:barChart>
      <c:catAx>
        <c:axId val="1070327375"/>
        <c:scaling>
          <c:orientation val="minMax"/>
        </c:scaling>
        <c:delete val="0"/>
        <c:axPos val="b"/>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r>
                  <a:rPr lang="zh-CN"/>
                  <a:t>从业年数</a:t>
                </a:r>
              </a:p>
            </c:rich>
          </c:tx>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endParaRPr lang="zh-CN"/>
            </a:p>
          </c:txPr>
        </c:title>
        <c:numFmt formatCode="General" sourceLinked="1"/>
        <c:majorTickMark val="in"/>
        <c:minorTickMark val="none"/>
        <c:tickLblPos val="nextTo"/>
        <c:spPr>
          <a:noFill/>
          <a:ln w="9525" cap="flat" cmpd="sng" algn="ctr">
            <a:solidFill>
              <a:schemeClr val="tx1"/>
            </a:solidFill>
            <a:round/>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endParaRPr lang="zh-CN"/>
          </a:p>
        </c:txPr>
        <c:crossAx val="1070321135"/>
        <c:crosses val="autoZero"/>
        <c:auto val="1"/>
        <c:lblAlgn val="ctr"/>
        <c:lblOffset val="100"/>
        <c:noMultiLvlLbl val="0"/>
      </c:catAx>
      <c:valAx>
        <c:axId val="1070321135"/>
        <c:scaling>
          <c:orientation val="minMax"/>
        </c:scaling>
        <c:delete val="0"/>
        <c:axPos val="l"/>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r>
                  <a:rPr lang="zh-CN"/>
                  <a:t>人数</a:t>
                </a:r>
                <a:r>
                  <a:rPr lang="en-US"/>
                  <a:t>/</a:t>
                </a:r>
                <a:r>
                  <a:rPr lang="zh-CN"/>
                  <a:t>个</a:t>
                </a:r>
              </a:p>
            </c:rich>
          </c:tx>
          <c:overlay val="0"/>
          <c:spPr>
            <a:noFill/>
            <a:ln>
              <a:noFill/>
            </a:ln>
            <a:effectLst/>
          </c:spPr>
          <c:txPr>
            <a:bodyPr rot="-54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endParaRPr lang="zh-CN"/>
            </a:p>
          </c:txPr>
        </c:title>
        <c:numFmt formatCode="General" sourceLinked="1"/>
        <c:majorTickMark val="in"/>
        <c:minorTickMark val="none"/>
        <c:tickLblPos val="nextTo"/>
        <c:spPr>
          <a:noFill/>
          <a:ln>
            <a:solidFill>
              <a:schemeClr val="tx1"/>
            </a:solid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Times New Roman" panose="02020603050405020304" pitchFamily="18" charset="0"/>
                <a:ea typeface="宋体" panose="02010600030101010101" pitchFamily="2" charset="-122"/>
                <a:cs typeface="+mn-cs"/>
              </a:defRPr>
            </a:pPr>
            <a:endParaRPr lang="zh-CN"/>
          </a:p>
        </c:txPr>
        <c:crossAx val="1070327375"/>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sz="800" baseline="0">
          <a:latin typeface="Times New Roman" panose="02020603050405020304" pitchFamily="18" charset="0"/>
          <a:ea typeface="宋体" panose="02010600030101010101" pitchFamily="2" charset="-122"/>
        </a:defRPr>
      </a:pPr>
      <a:endParaRPr lang="zh-C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Gothic"/>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639"/>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2.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02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3.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5.167"/>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4.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63"/>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268"/>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7.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9:10:49.95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0,'0'0</inkml:trace>
</inkml:ink>
</file>

<file path=customXml/item8.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171"/>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9.xml><?xml version="1.0" encoding="utf-8"?>
<inkml:ink xmlns:inkml="http://www.w3.org/2003/InkML">
  <inkml:definitions>
    <inkml:context xml:id="ctx0">
      <inkml:inkSource xml:id="inkSrc0">
        <inkml:traceFormat>
          <inkml:channel name="X" type="integer" max="3286" units="cm"/>
          <inkml:channel name="Y" type="integer" max="1080" units="cm"/>
        </inkml:traceFormat>
        <inkml:channelProperties>
          <inkml:channelProperty channel="X" name="resolution" value="48.53767" units="1/cm"/>
          <inkml:channelProperty channel="Y" name="resolution" value="28.34646" units="1/cm"/>
        </inkml:channelProperties>
      </inkml:inkSource>
      <inkml:timestamp xml:id="ts0" timeString="2015-04-07T08:37:02.446"/>
    </inkml:context>
    <inkml:brush xml:id="br0">
      <inkml:brushProperty name="width" value="0.04667" units="cm"/>
      <inkml:brushProperty name="height" value="0.04667" units="cm"/>
      <inkml:brushProperty name="color" value="#ED1C24"/>
      <inkml:brushProperty name="fitToCurve" value="1"/>
    </inkml:brush>
  </inkml:definitions>
  <inkml:trace contextRef="#ctx0" brushRef="#br0">0 0</inkml:trace>
</inkml:ink>
</file>

<file path=customXml/itemProps1.xml><?xml version="1.0" encoding="utf-8"?>
<ds:datastoreItem xmlns:ds="http://schemas.openxmlformats.org/officeDocument/2006/customXml" ds:itemID="{4EAB2A64-D528-4499-9246-6390C4E52F7A}">
  <ds:schemaRefs>
    <ds:schemaRef ds:uri="http://www.w3.org/2003/InkML"/>
  </ds:schemaRefs>
</ds:datastoreItem>
</file>

<file path=customXml/itemProps2.xml><?xml version="1.0" encoding="utf-8"?>
<ds:datastoreItem xmlns:ds="http://schemas.openxmlformats.org/officeDocument/2006/customXml" ds:itemID="{92508B80-DB3B-412D-8990-6D42959CC3CB}">
  <ds:schemaRefs>
    <ds:schemaRef ds:uri="http://www.w3.org/2003/InkML"/>
  </ds:schemaRefs>
</ds:datastoreItem>
</file>

<file path=customXml/itemProps3.xml><?xml version="1.0" encoding="utf-8"?>
<ds:datastoreItem xmlns:ds="http://schemas.openxmlformats.org/officeDocument/2006/customXml" ds:itemID="{C3CB785B-7851-45EB-A695-18D06BBAF8F4}">
  <ds:schemaRefs>
    <ds:schemaRef ds:uri="http://www.w3.org/2003/InkML"/>
  </ds:schemaRefs>
</ds:datastoreItem>
</file>

<file path=customXml/itemProps4.xml><?xml version="1.0" encoding="utf-8"?>
<ds:datastoreItem xmlns:ds="http://schemas.openxmlformats.org/officeDocument/2006/customXml" ds:itemID="{2CF8A7BC-A6C9-488E-AE21-F47F958DEE91}">
  <ds:schemaRefs>
    <ds:schemaRef ds:uri="http://www.w3.org/2003/InkML"/>
  </ds:schemaRefs>
</ds:datastoreItem>
</file>

<file path=customXml/itemProps5.xml><?xml version="1.0" encoding="utf-8"?>
<ds:datastoreItem xmlns:ds="http://schemas.openxmlformats.org/officeDocument/2006/customXml" ds:itemID="{C1D68B6B-94D4-4FC7-B5E7-6C42BD975D05}">
  <ds:schemaRefs>
    <ds:schemaRef ds:uri="http://schemas.openxmlformats.org/officeDocument/2006/bibliography"/>
  </ds:schemaRefs>
</ds:datastoreItem>
</file>

<file path=customXml/itemProps6.xml><?xml version="1.0" encoding="utf-8"?>
<ds:datastoreItem xmlns:ds="http://schemas.openxmlformats.org/officeDocument/2006/customXml" ds:itemID="{290044E2-0BA4-467E-9E53-FFCB639A368E}">
  <ds:schemaRefs>
    <ds:schemaRef ds:uri="http://www.w3.org/2003/InkML"/>
  </ds:schemaRefs>
</ds:datastoreItem>
</file>

<file path=customXml/itemProps7.xml><?xml version="1.0" encoding="utf-8"?>
<ds:datastoreItem xmlns:ds="http://schemas.openxmlformats.org/officeDocument/2006/customXml" ds:itemID="{C4632F00-5510-4446-BFC6-AFD51E328A87}">
  <ds:schemaRefs>
    <ds:schemaRef ds:uri="http://www.w3.org/2003/InkML"/>
  </ds:schemaRefs>
</ds:datastoreItem>
</file>

<file path=customXml/itemProps8.xml><?xml version="1.0" encoding="utf-8"?>
<ds:datastoreItem xmlns:ds="http://schemas.openxmlformats.org/officeDocument/2006/customXml" ds:itemID="{DF7E2C67-A2F6-4770-A022-CC6D6CEBEFC9}">
  <ds:schemaRefs>
    <ds:schemaRef ds:uri="http://www.w3.org/2003/InkML"/>
  </ds:schemaRefs>
</ds:datastoreItem>
</file>

<file path=customXml/itemProps9.xml><?xml version="1.0" encoding="utf-8"?>
<ds:datastoreItem xmlns:ds="http://schemas.openxmlformats.org/officeDocument/2006/customXml" ds:itemID="{A24CD530-54B2-4D4C-A1F1-FF10573DFF46}">
  <ds:schemaRefs>
    <ds:schemaRef ds:uri="http://www.w3.org/2003/InkML"/>
  </ds:schemaRefs>
</ds:datastoreItem>
</file>

<file path=docProps/app.xml><?xml version="1.0" encoding="utf-8"?>
<Properties xmlns="http://schemas.openxmlformats.org/officeDocument/2006/extended-properties" xmlns:vt="http://schemas.openxmlformats.org/officeDocument/2006/docPropsVTypes">
  <Template>Normal</Template>
  <TotalTime>119</TotalTime>
  <Pages>21</Pages>
  <Words>63346</Words>
  <Characters>361074</Characters>
  <Application>Microsoft Office Word</Application>
  <DocSecurity>0</DocSecurity>
  <Lines>3008</Lines>
  <Paragraphs>847</Paragraphs>
  <ScaleCrop>false</ScaleCrop>
  <Company>siom</Company>
  <LinksUpToDate>false</LinksUpToDate>
  <CharactersWithSpaces>423573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刘森</dc:creator>
  <cp:keywords/>
  <dc:description/>
  <cp:lastModifiedBy>yh X</cp:lastModifiedBy>
  <cp:revision>11</cp:revision>
  <dcterms:created xsi:type="dcterms:W3CDTF">2025-06-08T02:22:00Z</dcterms:created>
  <dcterms:modified xsi:type="dcterms:W3CDTF">2026-05-20T06:08:00Z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zotero-version="7.1-beta.36+1eacc8bbd"&gt;&lt;session id="yEPxBke1"/&gt;&lt;style id="http://www.zotero.org/styles/china-national-standard-gb-t-7714-2015-numeric" hasBibliography="1" bibliographyStyleHasBeenSet="1"/&gt;&lt;prefs&gt;&lt;pref name="fieldType</vt:lpwstr>
  </property>
  <property fmtid="{D5CDD505-2E9C-101B-9397-08002B2CF9AE}" pid="3" name="ZOTERO_PREF_2">
    <vt:lpwstr>" value="Field"/&gt;&lt;pref name="automaticJournalAbbreviations" value="true"/&gt;&lt;pref name="delayCitationUpdates" value="true"/&gt;&lt;pref name="dontAskDelayCitationUpdates" value="true"/&gt;&lt;/prefs&gt;&lt;/data&gt;</vt:lpwstr>
  </property>
</Properties>
</file>