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673" w:type="dxa"/>
        <w:tblInd w:w="108" w:type="dxa"/>
        <w:tblLook w:val="04A0" w:firstRow="1" w:lastRow="0" w:firstColumn="1" w:lastColumn="0" w:noHBand="0" w:noVBand="1"/>
      </w:tblPr>
      <w:tblGrid>
        <w:gridCol w:w="1548"/>
        <w:gridCol w:w="5142"/>
        <w:gridCol w:w="2983"/>
      </w:tblGrid>
      <w:tr w:rsidR="008D7AD9" w14:paraId="67C3E119" w14:textId="77777777">
        <w:trPr>
          <w:trHeight w:val="154"/>
        </w:trPr>
        <w:tc>
          <w:tcPr>
            <w:tcW w:w="1548" w:type="dxa"/>
          </w:tcPr>
          <w:p w14:paraId="774C6A67" w14:textId="77777777" w:rsidR="008D7AD9" w:rsidRDefault="00000000">
            <w:pPr>
              <w:tabs>
                <w:tab w:val="left" w:pos="0"/>
                <w:tab w:val="left" w:pos="735"/>
                <w:tab w:val="left" w:pos="3990"/>
              </w:tabs>
              <w:ind w:firstLineChars="0" w:firstLine="0"/>
              <w:rPr>
                <w:rFonts w:cs="Times New Roman"/>
                <w:sz w:val="18"/>
                <w:szCs w:val="18"/>
              </w:rPr>
            </w:pPr>
            <w:r>
              <w:rPr>
                <w:rFonts w:cs="Times New Roman"/>
                <w:sz w:val="18"/>
                <w:szCs w:val="18"/>
              </w:rPr>
              <w:t>ISSN 1000-0054</w:t>
            </w:r>
          </w:p>
        </w:tc>
        <w:tc>
          <w:tcPr>
            <w:tcW w:w="5142" w:type="dxa"/>
          </w:tcPr>
          <w:p w14:paraId="499AE5B5" w14:textId="77777777" w:rsidR="008D7AD9" w:rsidRDefault="00000000">
            <w:pPr>
              <w:tabs>
                <w:tab w:val="left" w:pos="0"/>
                <w:tab w:val="left" w:pos="735"/>
                <w:tab w:val="left" w:pos="3990"/>
              </w:tabs>
              <w:ind w:firstLineChars="0" w:firstLine="0"/>
              <w:rPr>
                <w:rFonts w:cs="Times New Roman"/>
                <w:sz w:val="15"/>
                <w:szCs w:val="15"/>
              </w:rPr>
            </w:pPr>
            <w:r>
              <w:rPr>
                <w:rFonts w:cs="Times New Roman"/>
                <w:sz w:val="15"/>
                <w:szCs w:val="15"/>
              </w:rPr>
              <w:t>清华大学学报（自然科学版）</w:t>
            </w:r>
            <w:r>
              <w:rPr>
                <w:rFonts w:cs="Times New Roman"/>
                <w:sz w:val="15"/>
                <w:szCs w:val="15"/>
              </w:rPr>
              <w:t xml:space="preserve">  202</w:t>
            </w:r>
            <w:r>
              <w:rPr>
                <w:rFonts w:cs="Times New Roman" w:hint="eastAsia"/>
                <w:sz w:val="15"/>
                <w:szCs w:val="15"/>
              </w:rPr>
              <w:t>5</w:t>
            </w:r>
            <w:r>
              <w:rPr>
                <w:rFonts w:cs="Times New Roman"/>
                <w:sz w:val="15"/>
                <w:szCs w:val="15"/>
              </w:rPr>
              <w:t>年第</w:t>
            </w:r>
            <w:r>
              <w:rPr>
                <w:rFonts w:cs="Times New Roman"/>
                <w:sz w:val="15"/>
                <w:szCs w:val="15"/>
              </w:rPr>
              <w:t xml:space="preserve">  </w:t>
            </w:r>
            <w:r>
              <w:rPr>
                <w:rFonts w:cs="Times New Roman"/>
                <w:sz w:val="15"/>
                <w:szCs w:val="15"/>
              </w:rPr>
              <w:t>卷第</w:t>
            </w:r>
            <w:r>
              <w:rPr>
                <w:rFonts w:cs="Times New Roman"/>
                <w:sz w:val="15"/>
                <w:szCs w:val="15"/>
              </w:rPr>
              <w:t xml:space="preserve">  </w:t>
            </w:r>
            <w:r>
              <w:rPr>
                <w:rFonts w:cs="Times New Roman"/>
                <w:sz w:val="15"/>
                <w:szCs w:val="15"/>
              </w:rPr>
              <w:t>期</w:t>
            </w:r>
          </w:p>
        </w:tc>
        <w:tc>
          <w:tcPr>
            <w:tcW w:w="2983" w:type="dxa"/>
          </w:tcPr>
          <w:p w14:paraId="566B26FF" w14:textId="77777777" w:rsidR="008D7AD9" w:rsidRDefault="008D7AD9">
            <w:pPr>
              <w:tabs>
                <w:tab w:val="left" w:pos="0"/>
                <w:tab w:val="left" w:pos="735"/>
                <w:tab w:val="left" w:pos="3990"/>
              </w:tabs>
              <w:ind w:firstLine="360"/>
              <w:jc w:val="center"/>
              <w:rPr>
                <w:rFonts w:eastAsia="黑体" w:cs="Times New Roman"/>
                <w:sz w:val="18"/>
                <w:szCs w:val="18"/>
              </w:rPr>
            </w:pPr>
          </w:p>
        </w:tc>
      </w:tr>
      <w:tr w:rsidR="008D7AD9" w14:paraId="09FD7838" w14:textId="77777777">
        <w:trPr>
          <w:trHeight w:val="70"/>
        </w:trPr>
        <w:tc>
          <w:tcPr>
            <w:tcW w:w="1548" w:type="dxa"/>
          </w:tcPr>
          <w:p w14:paraId="609F5B77" w14:textId="77777777" w:rsidR="008D7AD9" w:rsidRDefault="00000000">
            <w:pPr>
              <w:tabs>
                <w:tab w:val="left" w:pos="0"/>
                <w:tab w:val="left" w:pos="735"/>
                <w:tab w:val="left" w:pos="3990"/>
              </w:tabs>
              <w:ind w:firstLineChars="0" w:firstLine="0"/>
              <w:rPr>
                <w:rFonts w:eastAsia="黑体" w:cs="Times New Roman"/>
                <w:sz w:val="18"/>
                <w:szCs w:val="18"/>
              </w:rPr>
            </w:pPr>
            <w:r>
              <w:rPr>
                <w:rFonts w:eastAsia="黑体" w:cs="Times New Roman"/>
                <w:sz w:val="18"/>
                <w:szCs w:val="18"/>
              </w:rPr>
              <w:t>CN 11-2223/N</w:t>
            </w:r>
          </w:p>
        </w:tc>
        <w:tc>
          <w:tcPr>
            <w:tcW w:w="5142" w:type="dxa"/>
          </w:tcPr>
          <w:p w14:paraId="5C84C6D6" w14:textId="77777777" w:rsidR="008D7AD9" w:rsidRDefault="00000000">
            <w:pPr>
              <w:tabs>
                <w:tab w:val="left" w:pos="0"/>
                <w:tab w:val="left" w:pos="735"/>
                <w:tab w:val="left" w:pos="3990"/>
              </w:tabs>
              <w:ind w:firstLineChars="0" w:firstLine="0"/>
              <w:rPr>
                <w:rFonts w:eastAsia="黑体" w:cs="Times New Roman"/>
                <w:sz w:val="18"/>
                <w:szCs w:val="18"/>
              </w:rPr>
            </w:pPr>
            <w:r>
              <w:rPr>
                <w:rFonts w:eastAsia="黑体" w:cs="Times New Roman"/>
                <w:sz w:val="18"/>
                <w:szCs w:val="18"/>
              </w:rPr>
              <w:t>J Tsinghuauniv (Sci &amp; Tech), 202</w:t>
            </w:r>
            <w:r>
              <w:rPr>
                <w:rFonts w:eastAsia="黑体" w:cs="Times New Roman" w:hint="eastAsia"/>
                <w:sz w:val="18"/>
                <w:szCs w:val="18"/>
              </w:rPr>
              <w:t>5</w:t>
            </w:r>
            <w:r>
              <w:rPr>
                <w:rFonts w:eastAsia="黑体" w:cs="Times New Roman"/>
                <w:sz w:val="18"/>
                <w:szCs w:val="18"/>
              </w:rPr>
              <w:t>, Vol.  , No.</w:t>
            </w:r>
          </w:p>
        </w:tc>
        <w:tc>
          <w:tcPr>
            <w:tcW w:w="2983" w:type="dxa"/>
          </w:tcPr>
          <w:p w14:paraId="6CCCDB14" w14:textId="77777777" w:rsidR="008D7AD9" w:rsidRDefault="008D7AD9">
            <w:pPr>
              <w:tabs>
                <w:tab w:val="left" w:pos="0"/>
                <w:tab w:val="left" w:pos="735"/>
                <w:tab w:val="left" w:pos="3990"/>
              </w:tabs>
              <w:ind w:firstLine="360"/>
              <w:jc w:val="center"/>
              <w:rPr>
                <w:rFonts w:eastAsia="黑体" w:cs="Times New Roman"/>
                <w:sz w:val="18"/>
                <w:szCs w:val="18"/>
              </w:rPr>
            </w:pPr>
          </w:p>
        </w:tc>
      </w:tr>
    </w:tbl>
    <w:p w14:paraId="5BF9A9D3" w14:textId="77777777" w:rsidR="008D7AD9" w:rsidRDefault="00000000">
      <w:pPr>
        <w:widowControl/>
        <w:spacing w:beforeLines="200" w:before="624" w:afterLines="50" w:after="156" w:line="240" w:lineRule="atLeast"/>
        <w:ind w:firstLine="803"/>
        <w:jc w:val="center"/>
        <w:rPr>
          <w:rFonts w:eastAsiaTheme="majorEastAsia" w:cs="Times New Roman"/>
          <w:b/>
          <w:bCs/>
          <w:kern w:val="0"/>
          <w:sz w:val="40"/>
          <w:szCs w:val="40"/>
        </w:rPr>
      </w:pPr>
      <w:r>
        <w:rPr>
          <w:rFonts w:eastAsiaTheme="majorEastAsia" w:cs="Times New Roman" w:hint="eastAsia"/>
          <w:b/>
          <w:bCs/>
          <w:kern w:val="0"/>
          <w:sz w:val="40"/>
          <w:szCs w:val="40"/>
        </w:rPr>
        <w:t>多能互补视角下抽水蓄能电站管理研究</w:t>
      </w:r>
    </w:p>
    <w:p w14:paraId="13F4E74F" w14:textId="77777777" w:rsidR="008D7AD9" w:rsidRDefault="008D7AD9">
      <w:pPr>
        <w:widowControl/>
        <w:spacing w:line="240" w:lineRule="atLeast"/>
        <w:ind w:firstLine="420"/>
        <w:jc w:val="center"/>
        <w:rPr>
          <w:rFonts w:cs="Times New Roman"/>
          <w:szCs w:val="21"/>
        </w:rPr>
      </w:pPr>
    </w:p>
    <w:p w14:paraId="136909FB" w14:textId="77777777" w:rsidR="008D7AD9" w:rsidRDefault="008D7AD9">
      <w:pPr>
        <w:widowControl/>
        <w:spacing w:line="240" w:lineRule="atLeast"/>
        <w:ind w:firstLine="420"/>
        <w:jc w:val="center"/>
        <w:rPr>
          <w:rFonts w:cs="Times New Roman"/>
          <w:color w:val="FF0000"/>
          <w:kern w:val="0"/>
          <w:szCs w:val="21"/>
        </w:rPr>
      </w:pPr>
    </w:p>
    <w:p w14:paraId="3FB0A745" w14:textId="77777777" w:rsidR="008D7AD9" w:rsidRDefault="00000000">
      <w:pPr>
        <w:ind w:firstLine="420"/>
        <w:rPr>
          <w:rFonts w:cs="Times New Roman"/>
          <w:kern w:val="0"/>
          <w:szCs w:val="21"/>
        </w:rPr>
      </w:pPr>
      <w:r>
        <w:rPr>
          <w:rFonts w:eastAsia="黑体" w:cs="Times New Roman"/>
          <w:kern w:val="0"/>
          <w:szCs w:val="21"/>
        </w:rPr>
        <w:t>摘</w:t>
      </w:r>
      <w:r>
        <w:rPr>
          <w:rFonts w:eastAsia="黑体" w:cs="Times New Roman"/>
          <w:kern w:val="0"/>
          <w:szCs w:val="21"/>
        </w:rPr>
        <w:t xml:space="preserve"> </w:t>
      </w:r>
      <w:r>
        <w:rPr>
          <w:rFonts w:eastAsia="黑体" w:cs="Times New Roman"/>
          <w:kern w:val="0"/>
          <w:szCs w:val="21"/>
        </w:rPr>
        <w:t>要</w:t>
      </w:r>
      <w:r>
        <w:rPr>
          <w:rFonts w:cs="Times New Roman"/>
          <w:kern w:val="0"/>
          <w:szCs w:val="21"/>
        </w:rPr>
        <w:t>：</w:t>
      </w:r>
      <w:r>
        <w:rPr>
          <w:rFonts w:cs="Times New Roman" w:hint="eastAsia"/>
          <w:kern w:val="0"/>
          <w:szCs w:val="21"/>
        </w:rPr>
        <w:t>“双碳”目标下多能互补是新型电力系统转型的关键，其中抽水蓄能电站发挥着重要调节作用。</w:t>
      </w:r>
      <w:r>
        <w:rPr>
          <w:rFonts w:cs="Times New Roman" w:hint="eastAsia"/>
        </w:rPr>
        <w:t>然而，现有研究缺少多能互补视角下对抽水蓄能关键影响因素的系统考量，</w:t>
      </w:r>
      <w:r>
        <w:rPr>
          <w:rFonts w:cs="Times New Roman" w:hint="eastAsia"/>
          <w:kern w:val="0"/>
          <w:szCs w:val="21"/>
        </w:rPr>
        <w:t>且缺乏实证研究。对此，本研究构建并验证了多能互补视角下抽水蓄能电站管理模型，</w:t>
      </w:r>
      <w:r>
        <w:rPr>
          <w:rFonts w:cs="Times New Roman" w:hint="eastAsia"/>
        </w:rPr>
        <w:t>揭示了抽蓄电站管理关键影响因素及其间作用关系</w:t>
      </w:r>
      <w:r>
        <w:rPr>
          <w:rFonts w:cs="Times New Roman" w:hint="eastAsia"/>
          <w:kern w:val="0"/>
          <w:szCs w:val="21"/>
        </w:rPr>
        <w:t>。</w:t>
      </w:r>
      <w:r>
        <w:rPr>
          <w:rFonts w:cs="Times New Roman" w:hint="eastAsia"/>
        </w:rPr>
        <w:t>结果表明，多能互补和整体条件通过电价和市场机制、方案选择影响电站运营管理，进而影响项目绩效。</w:t>
      </w:r>
      <w:r>
        <w:rPr>
          <w:rFonts w:cs="Times New Roman" w:hint="eastAsia"/>
          <w:kern w:val="0"/>
          <w:szCs w:val="21"/>
        </w:rPr>
        <w:t>通过调研明确了</w:t>
      </w:r>
      <w:r>
        <w:rPr>
          <w:rFonts w:cs="Times New Roman" w:hint="eastAsia"/>
        </w:rPr>
        <w:t>抽水蓄能电站管理现状及应关注的重点</w:t>
      </w:r>
      <w:r>
        <w:rPr>
          <w:rFonts w:cs="Times New Roman" w:hint="eastAsia"/>
          <w:kern w:val="0"/>
          <w:szCs w:val="21"/>
        </w:rPr>
        <w:t>，并结合案例分析，提出了多能互补视角下抽水蓄能管理建议：</w:t>
      </w:r>
      <w:r>
        <w:rPr>
          <w:rFonts w:cs="Times New Roman" w:hint="eastAsia"/>
        </w:rPr>
        <w:t>强化多能互补协同规划；构建抽蓄电站多维度评价模型；完善电价和电力市场机制；加强电站数智化运营</w:t>
      </w:r>
      <w:r>
        <w:rPr>
          <w:rFonts w:cs="Times New Roman" w:hint="eastAsia"/>
          <w:kern w:val="0"/>
          <w:szCs w:val="21"/>
        </w:rPr>
        <w:t>。研究成果可为抽水蓄能电站管理提供理论和实践指导。</w:t>
      </w:r>
    </w:p>
    <w:p w14:paraId="770DC7AC" w14:textId="77777777" w:rsidR="008D7AD9" w:rsidRDefault="00000000">
      <w:pPr>
        <w:widowControl/>
        <w:spacing w:line="240" w:lineRule="atLeast"/>
        <w:ind w:firstLine="420"/>
        <w:rPr>
          <w:rFonts w:cs="Times New Roman"/>
          <w:bCs/>
          <w:color w:val="FF0000"/>
          <w:kern w:val="0"/>
          <w:szCs w:val="21"/>
        </w:rPr>
      </w:pPr>
      <w:r>
        <w:rPr>
          <w:rFonts w:eastAsia="黑体" w:cs="Times New Roman"/>
          <w:kern w:val="0"/>
          <w:szCs w:val="21"/>
        </w:rPr>
        <w:t>关键词：</w:t>
      </w:r>
      <w:r>
        <w:rPr>
          <w:rFonts w:cs="Times New Roman" w:hint="eastAsia"/>
          <w:kern w:val="0"/>
          <w:szCs w:val="21"/>
        </w:rPr>
        <w:t>多能互补；抽水蓄能；电价和市场机制；方案选择；运营管理</w:t>
      </w:r>
    </w:p>
    <w:p w14:paraId="66B207DE" w14:textId="77777777" w:rsidR="008D7AD9" w:rsidRDefault="00000000">
      <w:pPr>
        <w:widowControl/>
        <w:spacing w:line="240" w:lineRule="atLeast"/>
        <w:ind w:firstLine="420"/>
        <w:rPr>
          <w:rFonts w:cs="Times New Roman"/>
          <w:color w:val="FF0000"/>
          <w:kern w:val="0"/>
          <w:szCs w:val="21"/>
        </w:rPr>
      </w:pPr>
      <w:r>
        <w:rPr>
          <w:rFonts w:eastAsia="黑体" w:cs="Times New Roman"/>
          <w:kern w:val="0"/>
          <w:szCs w:val="21"/>
        </w:rPr>
        <w:t>中图分类号：</w:t>
      </w:r>
      <w:r>
        <w:rPr>
          <w:rFonts w:cs="Times New Roman"/>
          <w:kern w:val="0"/>
          <w:szCs w:val="21"/>
        </w:rPr>
        <w:t xml:space="preserve">TV674    </w:t>
      </w:r>
      <w:r>
        <w:rPr>
          <w:rFonts w:eastAsia="黑体" w:cs="Times New Roman"/>
          <w:kern w:val="0"/>
          <w:szCs w:val="21"/>
        </w:rPr>
        <w:t>文献标志码：</w:t>
      </w:r>
      <w:r>
        <w:rPr>
          <w:rFonts w:cs="Times New Roman"/>
          <w:kern w:val="0"/>
          <w:szCs w:val="21"/>
        </w:rPr>
        <w:t>A</w:t>
      </w:r>
    </w:p>
    <w:p w14:paraId="56E4CF8D" w14:textId="77777777" w:rsidR="008D7AD9" w:rsidRDefault="008D7AD9">
      <w:pPr>
        <w:widowControl/>
        <w:spacing w:line="240" w:lineRule="atLeast"/>
        <w:ind w:firstLine="420"/>
        <w:rPr>
          <w:rFonts w:cs="Times New Roman"/>
          <w:color w:val="FF0000"/>
          <w:kern w:val="0"/>
          <w:szCs w:val="21"/>
        </w:rPr>
      </w:pPr>
    </w:p>
    <w:p w14:paraId="22FB3063" w14:textId="77777777" w:rsidR="008D7AD9" w:rsidRDefault="008D7AD9">
      <w:pPr>
        <w:widowControl/>
        <w:spacing w:line="240" w:lineRule="atLeast"/>
        <w:ind w:firstLine="420"/>
        <w:rPr>
          <w:rFonts w:eastAsiaTheme="majorEastAsia" w:cs="Times New Roman"/>
          <w:color w:val="FF0000"/>
          <w:kern w:val="0"/>
          <w:szCs w:val="21"/>
        </w:rPr>
        <w:sectPr w:rsidR="008D7AD9">
          <w:headerReference w:type="even" r:id="rId8"/>
          <w:headerReference w:type="default" r:id="rId9"/>
          <w:footerReference w:type="even" r:id="rId10"/>
          <w:footerReference w:type="default" r:id="rId11"/>
          <w:headerReference w:type="first" r:id="rId12"/>
          <w:footerReference w:type="first" r:id="rId13"/>
          <w:pgSz w:w="11906" w:h="16838"/>
          <w:pgMar w:top="1440" w:right="1106" w:bottom="1440" w:left="1106" w:header="851" w:footer="992" w:gutter="0"/>
          <w:cols w:space="425"/>
          <w:docGrid w:type="lines" w:linePitch="312"/>
        </w:sectPr>
      </w:pPr>
    </w:p>
    <w:p w14:paraId="197C097A" w14:textId="77777777" w:rsidR="008D7AD9" w:rsidRDefault="00000000">
      <w:pPr>
        <w:ind w:firstLine="420"/>
        <w:rPr>
          <w:rFonts w:cs="Times New Roman"/>
        </w:rPr>
      </w:pPr>
      <w:r>
        <w:rPr>
          <w:rFonts w:cs="Times New Roman" w:hint="eastAsia"/>
        </w:rPr>
        <w:t>随着能源转型的深入推进以及新型电力系统的加快构建，风电、光伏等新能源大规模发展，对电力系统灵活性和调节性电源需求日益增强</w:t>
      </w:r>
      <w:r>
        <w:rPr>
          <w:rFonts w:cs="Times New Roman" w:hint="eastAsia"/>
          <w:vertAlign w:val="superscript"/>
        </w:rPr>
        <w:t>[1-4]</w:t>
      </w:r>
      <w:r>
        <w:rPr>
          <w:rFonts w:cs="Times New Roman" w:hint="eastAsia"/>
        </w:rPr>
        <w:t>。国家发改委、能源局发布了《关于推进多能互补集成优化示范工程建设的实施意见》，强调通过多种能源形式的协同优化，提升能源效率和系统稳定性</w:t>
      </w:r>
      <w:r>
        <w:rPr>
          <w:rFonts w:cs="Times New Roman" w:hint="eastAsia"/>
          <w:vertAlign w:val="superscript"/>
        </w:rPr>
        <w:t>[5]</w:t>
      </w:r>
      <w:r>
        <w:rPr>
          <w:rFonts w:cs="Times New Roman" w:hint="eastAsia"/>
        </w:rPr>
        <w:t>。其中，抽水蓄能电站作为电力系统调节性电源，技术成熟度高、经济性良好，与风电、光伏等清洁能源协同效果好</w:t>
      </w:r>
      <w:r>
        <w:rPr>
          <w:rFonts w:cs="Times New Roman" w:hint="eastAsia"/>
          <w:vertAlign w:val="superscript"/>
        </w:rPr>
        <w:t>[6]</w:t>
      </w:r>
      <w:r>
        <w:rPr>
          <w:rFonts w:cs="Times New Roman" w:hint="eastAsia"/>
        </w:rPr>
        <w:t>，在平衡电力供需、促进新能源消纳、增强系统灵活性、提升电能质量等方面发挥着愈发重要的作用</w:t>
      </w:r>
      <w:r>
        <w:rPr>
          <w:rFonts w:cs="Times New Roman" w:hint="eastAsia"/>
          <w:vertAlign w:val="superscript"/>
        </w:rPr>
        <w:t>[7-10]</w:t>
      </w:r>
      <w:r>
        <w:rPr>
          <w:rFonts w:cs="Times New Roman" w:hint="eastAsia"/>
        </w:rPr>
        <w:t>。然而，现有研究缺少多能互补视角下，对抽水蓄能整体条件、电价和市场机制、方案选择、电站运营管理和项目绩效的系统考量</w:t>
      </w:r>
      <w:r>
        <w:rPr>
          <w:rFonts w:cs="Times New Roman" w:hint="eastAsia"/>
          <w:vertAlign w:val="superscript"/>
        </w:rPr>
        <w:t>[11-14]</w:t>
      </w:r>
      <w:r>
        <w:rPr>
          <w:rFonts w:cs="Times New Roman" w:hint="eastAsia"/>
        </w:rPr>
        <w:t>，并缺乏实证研究。</w:t>
      </w:r>
    </w:p>
    <w:p w14:paraId="46845A0C" w14:textId="77777777" w:rsidR="008D7AD9" w:rsidRDefault="00000000">
      <w:pPr>
        <w:ind w:firstLine="420"/>
      </w:pPr>
      <w:r>
        <w:rPr>
          <w:rFonts w:hint="eastAsia"/>
        </w:rPr>
        <w:t>因此，本文识别了抽水蓄能电站管理的关键因素，构建了多能互补视角下抽水蓄能电站管理模型，基于调研结果揭示了抽水蓄能电站管理</w:t>
      </w:r>
      <w:r>
        <w:rPr>
          <w:rFonts w:cs="Times New Roman" w:hint="eastAsia"/>
        </w:rPr>
        <w:t>关键因素间作用关系</w:t>
      </w:r>
      <w:r>
        <w:rPr>
          <w:rFonts w:hint="eastAsia"/>
        </w:rPr>
        <w:t>，结合案例分析提出了抽水蓄能电站管理建议。</w:t>
      </w:r>
    </w:p>
    <w:p w14:paraId="5E7F5832" w14:textId="77777777" w:rsidR="008D7AD9" w:rsidRDefault="00000000">
      <w:pPr>
        <w:spacing w:beforeLines="50" w:before="120"/>
        <w:ind w:firstLineChars="0" w:firstLine="420"/>
        <w:rPr>
          <w:rFonts w:cs="Times New Roman"/>
          <w:b/>
          <w:bCs/>
          <w:kern w:val="0"/>
          <w:sz w:val="24"/>
          <w:szCs w:val="24"/>
        </w:rPr>
      </w:pPr>
      <w:r>
        <w:rPr>
          <w:rFonts w:cs="Times New Roman" w:hint="eastAsia"/>
          <w:b/>
          <w:bCs/>
          <w:kern w:val="0"/>
          <w:sz w:val="24"/>
          <w:szCs w:val="24"/>
        </w:rPr>
        <w:t>1</w:t>
      </w:r>
      <w:r>
        <w:rPr>
          <w:rFonts w:cs="Times New Roman" w:hint="eastAsia"/>
          <w:b/>
          <w:bCs/>
          <w:kern w:val="0"/>
          <w:sz w:val="24"/>
          <w:szCs w:val="24"/>
        </w:rPr>
        <w:t>模型构建</w:t>
      </w:r>
    </w:p>
    <w:p w14:paraId="26B8428D" w14:textId="77777777" w:rsidR="008F22E8" w:rsidRDefault="00000000" w:rsidP="008F22E8">
      <w:pPr>
        <w:ind w:firstLine="420"/>
      </w:pPr>
      <w:r>
        <w:rPr>
          <w:rFonts w:hint="eastAsia"/>
        </w:rPr>
        <w:t>多能互补作为应对气候变化、推动能源低碳转型的关键路径，在促进新能源消纳方面具有显著优势</w:t>
      </w:r>
      <w:r>
        <w:rPr>
          <w:rFonts w:hint="eastAsia"/>
          <w:vertAlign w:val="superscript"/>
        </w:rPr>
        <w:t>[15, 16]</w:t>
      </w:r>
      <w:r>
        <w:rPr>
          <w:rFonts w:hint="eastAsia"/>
        </w:rPr>
        <w:t>。源于时空维度下不同能源的互补特性</w:t>
      </w:r>
      <w:r>
        <w:rPr>
          <w:rFonts w:hint="eastAsia"/>
          <w:vertAlign w:val="superscript"/>
        </w:rPr>
        <w:t>[17]</w:t>
      </w:r>
      <w:r>
        <w:rPr>
          <w:rFonts w:hint="eastAsia"/>
        </w:rPr>
        <w:t>，多能互补通过协调区域资源禀赋和不同电源出力，优化能源结构和能源布局，提高系统整体效率。多能互补系统需统筹多源协同和储能调节，依托存量和增量输电通道实现跨区域电力互济，应系统考量电源匹配性、容量配置、输电通道、电网调度和供</w:t>
      </w:r>
      <w:r>
        <w:rPr>
          <w:rFonts w:hint="eastAsia"/>
        </w:rPr>
        <w:t>需匹配</w:t>
      </w:r>
      <w:r>
        <w:rPr>
          <w:rFonts w:hint="eastAsia"/>
          <w:vertAlign w:val="superscript"/>
        </w:rPr>
        <w:t>[18-20]</w:t>
      </w:r>
      <w:r>
        <w:rPr>
          <w:rFonts w:hint="eastAsia"/>
        </w:rPr>
        <w:t>。多能互补的实施有利于实现各类电源优势互补，推动各类电源协同发展</w:t>
      </w:r>
      <w:r>
        <w:rPr>
          <w:rFonts w:hint="eastAsia"/>
          <w:vertAlign w:val="superscript"/>
        </w:rPr>
        <w:t>[21]</w:t>
      </w:r>
      <w:r>
        <w:rPr>
          <w:rFonts w:hint="eastAsia"/>
        </w:rPr>
        <w:t>，尤其是发挥重要调节性作用的抽水蓄能电站，从而为抽水蓄能开发提供更好的整体条件，包括政策支持、开发需求、匹配新能源发展、产业链协同、技术发展和投</w:t>
      </w:r>
      <w:r w:rsidR="008F22E8">
        <w:rPr>
          <w:rFonts w:hint="eastAsia"/>
        </w:rPr>
        <w:t>资保障</w:t>
      </w:r>
      <w:r w:rsidR="008F22E8">
        <w:rPr>
          <w:rFonts w:hint="eastAsia"/>
          <w:vertAlign w:val="superscript"/>
        </w:rPr>
        <w:t xml:space="preserve"> [7, 12, 22]</w:t>
      </w:r>
      <w:r w:rsidR="008F22E8">
        <w:rPr>
          <w:rFonts w:hint="eastAsia"/>
        </w:rPr>
        <w:t>。由此提出假设（</w:t>
      </w:r>
      <w:r w:rsidR="008F22E8">
        <w:rPr>
          <w:rFonts w:hint="eastAsia"/>
          <w:b/>
          <w:bCs/>
        </w:rPr>
        <w:t>H1</w:t>
      </w:r>
      <w:r w:rsidR="008F22E8">
        <w:rPr>
          <w:rFonts w:hint="eastAsia"/>
        </w:rPr>
        <w:t>）：多能互补的实施对抽水蓄能行业整体条件具有积极正向作用。</w:t>
      </w:r>
    </w:p>
    <w:p w14:paraId="5F87E4FF" w14:textId="77777777" w:rsidR="008F22E8" w:rsidRDefault="008F22E8">
      <w:pPr>
        <w:ind w:firstLine="420"/>
      </w:pPr>
    </w:p>
    <w:p w14:paraId="58FB73EA" w14:textId="77777777" w:rsidR="008D7AD9" w:rsidRDefault="008D7AD9">
      <w:pPr>
        <w:ind w:firstLineChars="0" w:firstLine="0"/>
        <w:sectPr w:rsidR="008D7AD9">
          <w:type w:val="continuous"/>
          <w:pgSz w:w="11906" w:h="16838"/>
          <w:pgMar w:top="1440" w:right="1106" w:bottom="1440" w:left="1106" w:header="851" w:footer="992" w:gutter="0"/>
          <w:cols w:num="2" w:space="425"/>
          <w:titlePg/>
          <w:docGrid w:linePitch="312" w:charSpace="47234"/>
        </w:sectPr>
      </w:pPr>
    </w:p>
    <w:p w14:paraId="419ACC99" w14:textId="77777777" w:rsidR="008D7AD9" w:rsidRDefault="00000000">
      <w:pPr>
        <w:tabs>
          <w:tab w:val="left" w:pos="735"/>
        </w:tabs>
        <w:spacing w:line="320" w:lineRule="exact"/>
        <w:ind w:firstLine="360"/>
        <w:rPr>
          <w:rFonts w:eastAsia="黑体"/>
          <w:sz w:val="18"/>
          <w:szCs w:val="18"/>
        </w:rPr>
      </w:pPr>
      <w:r>
        <w:rPr>
          <w:rFonts w:eastAsia="黑体" w:hint="eastAsia"/>
          <w:sz w:val="18"/>
          <w:szCs w:val="18"/>
        </w:rPr>
        <w:lastRenderedPageBreak/>
        <w:t>————————</w:t>
      </w:r>
    </w:p>
    <w:p w14:paraId="3A1BAD94" w14:textId="77777777" w:rsidR="008D7AD9" w:rsidRDefault="00000000">
      <w:pPr>
        <w:ind w:firstLine="420"/>
      </w:pPr>
      <w:r>
        <w:rPr>
          <w:rFonts w:hint="eastAsia"/>
        </w:rPr>
        <w:t>抽蓄项目的投资保障离不开适合的电价机制和完善的市场规则。电价和市场机制的本质在于解决抽蓄电站的价值补偿和成本回收问题，引导行业可持续发展。电价和市场机制主要包括两部制电价机制、成本分摊和疏导、电力现货市场、辅助服务市场等方面</w:t>
      </w:r>
      <w:r>
        <w:rPr>
          <w:rFonts w:hint="eastAsia"/>
          <w:vertAlign w:val="superscript"/>
        </w:rPr>
        <w:t>[23-25]</w:t>
      </w:r>
      <w:r>
        <w:rPr>
          <w:rFonts w:hint="eastAsia"/>
        </w:rPr>
        <w:t>。多能互补模式下，多源协同运行增强了电力系统的灵活性，电力市场价格信号引导抽水蓄能电站削峰填谷，对电力市场的供需关系产生显著影响。此外，多能互补模式下，抽蓄电站的成本回收和分摊机制也发生了变化</w:t>
      </w:r>
      <w:r>
        <w:rPr>
          <w:rFonts w:hint="eastAsia"/>
          <w:vertAlign w:val="superscript"/>
        </w:rPr>
        <w:t>[26, 27]</w:t>
      </w:r>
      <w:r>
        <w:rPr>
          <w:rFonts w:hint="eastAsia"/>
        </w:rPr>
        <w:t>。由此提出假设（</w:t>
      </w:r>
      <w:r>
        <w:rPr>
          <w:rFonts w:hint="eastAsia"/>
          <w:b/>
          <w:bCs/>
        </w:rPr>
        <w:t>H2</w:t>
      </w:r>
      <w:r>
        <w:rPr>
          <w:rFonts w:hint="eastAsia"/>
        </w:rPr>
        <w:t>）：多能互补对电价和市场机制具有积极正向作用。同时，政策支持和保障抽蓄电站合理投资的需求也不断推动电价机制更加科学合理，市场机制更加完善。由此提出假设（</w:t>
      </w:r>
      <w:r>
        <w:rPr>
          <w:rFonts w:hint="eastAsia"/>
          <w:b/>
          <w:bCs/>
        </w:rPr>
        <w:t>H3</w:t>
      </w:r>
      <w:r>
        <w:rPr>
          <w:rFonts w:hint="eastAsia"/>
        </w:rPr>
        <w:t>）：抽水蓄能开发整体条件对电价和市场机制具有正向积极作用。</w:t>
      </w:r>
    </w:p>
    <w:p w14:paraId="52DEE0C1" w14:textId="77777777" w:rsidR="008D7AD9" w:rsidRDefault="00000000">
      <w:pPr>
        <w:ind w:firstLine="420"/>
      </w:pPr>
      <w:r>
        <w:rPr>
          <w:rFonts w:hint="eastAsia"/>
        </w:rPr>
        <w:t>方案选择是抽水蓄能电站重要的前期工作，需综合评估自然建设条件（如地形地质条件、水源条件等</w:t>
      </w:r>
      <w:r>
        <w:rPr>
          <w:rFonts w:hint="eastAsia"/>
          <w:vertAlign w:val="superscript"/>
        </w:rPr>
        <w:t>[28, 29]</w:t>
      </w:r>
      <w:r>
        <w:rPr>
          <w:rFonts w:hint="eastAsia"/>
        </w:rPr>
        <w:t>）、电站技术方案（如电站类型、装机规模、机组性能等</w:t>
      </w:r>
      <w:r>
        <w:rPr>
          <w:rFonts w:hint="eastAsia"/>
          <w:vertAlign w:val="superscript"/>
        </w:rPr>
        <w:t>[22]</w:t>
      </w:r>
      <w:r>
        <w:rPr>
          <w:rFonts w:hint="eastAsia"/>
        </w:rPr>
        <w:t>）、互补方案（如考虑电源、电网布局、多能互补和源网荷储一体化等</w:t>
      </w:r>
      <w:r>
        <w:rPr>
          <w:rFonts w:hint="eastAsia"/>
          <w:vertAlign w:val="superscript"/>
        </w:rPr>
        <w:t>[5, 30]</w:t>
      </w:r>
      <w:r>
        <w:rPr>
          <w:rFonts w:hint="eastAsia"/>
        </w:rPr>
        <w:t>），同时还需关注生态环境影响和征地移民问题</w:t>
      </w:r>
      <w:r>
        <w:rPr>
          <w:rFonts w:hint="eastAsia"/>
          <w:vertAlign w:val="superscript"/>
        </w:rPr>
        <w:t>[31, 32]</w:t>
      </w:r>
      <w:r>
        <w:rPr>
          <w:rFonts w:hint="eastAsia"/>
        </w:rPr>
        <w:t>。方案选择不仅受抽水蓄能行业的技术、政策、需求等条件影响，也受到电价和市场机制在成本回收、分摊</w:t>
      </w:r>
      <w:r>
        <w:rPr>
          <w:rFonts w:hint="eastAsia"/>
        </w:rPr>
        <w:t>和盈利前景方面的影响。由此提出假设（</w:t>
      </w:r>
      <w:r>
        <w:rPr>
          <w:rFonts w:hint="eastAsia"/>
          <w:b/>
          <w:bCs/>
        </w:rPr>
        <w:t>H4</w:t>
      </w:r>
      <w:r>
        <w:rPr>
          <w:rFonts w:hint="eastAsia"/>
          <w:b/>
          <w:bCs/>
        </w:rPr>
        <w:t>）</w:t>
      </w:r>
      <w:r>
        <w:rPr>
          <w:rFonts w:hint="eastAsia"/>
        </w:rPr>
        <w:t>：抽水蓄能整体条件对方案选择具有积极正向作用。假设（</w:t>
      </w:r>
      <w:r>
        <w:rPr>
          <w:rFonts w:hint="eastAsia"/>
          <w:b/>
          <w:bCs/>
        </w:rPr>
        <w:t>H5</w:t>
      </w:r>
      <w:r>
        <w:rPr>
          <w:rFonts w:hint="eastAsia"/>
          <w:b/>
          <w:bCs/>
        </w:rPr>
        <w:t>）</w:t>
      </w:r>
      <w:r>
        <w:rPr>
          <w:rFonts w:hint="eastAsia"/>
        </w:rPr>
        <w:t>：电价和市场机制对抽水蓄能方案选择具有积极正向作用。</w:t>
      </w:r>
    </w:p>
    <w:p w14:paraId="4B612BB9" w14:textId="77777777" w:rsidR="008D7AD9" w:rsidRDefault="00000000">
      <w:pPr>
        <w:ind w:firstLine="420"/>
      </w:pPr>
      <w:r>
        <w:rPr>
          <w:rFonts w:hint="eastAsia"/>
        </w:rPr>
        <w:t>电站运营管理包括电站运行、电力交易、电站运维等</w:t>
      </w:r>
      <w:r>
        <w:rPr>
          <w:rFonts w:hint="eastAsia"/>
          <w:vertAlign w:val="superscript"/>
        </w:rPr>
        <w:t>[24, 33, 34]</w:t>
      </w:r>
      <w:r>
        <w:rPr>
          <w:rFonts w:hint="eastAsia"/>
        </w:rPr>
        <w:t>，数智化应用是电站运营管理的新趋势</w:t>
      </w:r>
      <w:r>
        <w:rPr>
          <w:rFonts w:hint="eastAsia"/>
          <w:vertAlign w:val="superscript"/>
        </w:rPr>
        <w:t>[35]</w:t>
      </w:r>
      <w:r>
        <w:rPr>
          <w:rFonts w:hint="eastAsia"/>
        </w:rPr>
        <w:t>。此外，电站运营模式在电站所有权、经营权、收益来源和成本回收机制方面也影响着电站运营管理</w:t>
      </w:r>
      <w:r>
        <w:rPr>
          <w:rFonts w:hint="eastAsia"/>
          <w:vertAlign w:val="superscript"/>
        </w:rPr>
        <w:t>[36, 37]</w:t>
      </w:r>
      <w:r>
        <w:rPr>
          <w:rFonts w:hint="eastAsia"/>
        </w:rPr>
        <w:t>。合理的电价机制和完善的市场机制，有利于充分调动抽蓄电站的调节效率，抽蓄电站运行、交易也需利用好电价和市场机制的规则，提高电站经济效益。同时，电力市场的成熟度也影响着抽水蓄能电站的运营模式，主要体现在收益来源和成本回收机制方面。由此提出假设（</w:t>
      </w:r>
      <w:r>
        <w:rPr>
          <w:rFonts w:hint="eastAsia"/>
          <w:b/>
          <w:bCs/>
        </w:rPr>
        <w:t>H6</w:t>
      </w:r>
      <w:r>
        <w:rPr>
          <w:rFonts w:hint="eastAsia"/>
          <w:b/>
          <w:bCs/>
        </w:rPr>
        <w:t>）</w:t>
      </w:r>
      <w:r>
        <w:rPr>
          <w:rFonts w:hint="eastAsia"/>
        </w:rPr>
        <w:t>：电价和市场机制对电站运营管理具有积极正向作用。抽蓄电站方案设计很大程度决定电站的运营方式，影响电站全生命周期运营。由此提出假设（</w:t>
      </w:r>
      <w:r>
        <w:rPr>
          <w:rFonts w:hint="eastAsia"/>
          <w:b/>
          <w:bCs/>
        </w:rPr>
        <w:t>H7</w:t>
      </w:r>
      <w:r>
        <w:rPr>
          <w:rFonts w:hint="eastAsia"/>
        </w:rPr>
        <w:t>）：抽水蓄能电站方案选择对电站运营管理具有积极正向作用。电站运营管理直接影响着项目绩效，包括电站安全稳定运行、新能源消纳、经济社会与环境效益等</w:t>
      </w:r>
      <w:r>
        <w:rPr>
          <w:rFonts w:hint="eastAsia"/>
          <w:vertAlign w:val="superscript"/>
        </w:rPr>
        <w:t>[38-40]</w:t>
      </w:r>
      <w:r>
        <w:rPr>
          <w:rFonts w:hint="eastAsia"/>
        </w:rPr>
        <w:t>。由此提出假设（</w:t>
      </w:r>
      <w:r>
        <w:rPr>
          <w:rFonts w:hint="eastAsia"/>
          <w:b/>
          <w:bCs/>
        </w:rPr>
        <w:t>H8</w:t>
      </w:r>
      <w:r>
        <w:rPr>
          <w:rFonts w:hint="eastAsia"/>
        </w:rPr>
        <w:t>）：电站运营管理对项目绩效具有积极正向作用。</w:t>
      </w:r>
    </w:p>
    <w:p w14:paraId="69D7295A" w14:textId="495C6517" w:rsidR="008D7AD9" w:rsidRDefault="00000000">
      <w:pPr>
        <w:ind w:firstLine="420"/>
        <w:rPr>
          <w:rFonts w:cs="Times New Roman"/>
        </w:rPr>
        <w:sectPr w:rsidR="008D7AD9">
          <w:headerReference w:type="first" r:id="rId14"/>
          <w:pgSz w:w="11906" w:h="16838"/>
          <w:pgMar w:top="1440" w:right="1106" w:bottom="1440" w:left="1106" w:header="851" w:footer="992" w:gutter="0"/>
          <w:cols w:num="2" w:space="425"/>
          <w:titlePg/>
          <w:docGrid w:type="linesAndChars" w:linePitch="312"/>
        </w:sectPr>
      </w:pPr>
      <w:r>
        <w:rPr>
          <w:rFonts w:hint="eastAsia"/>
        </w:rPr>
        <w:t>基于上述分析，构建多能互补视角下抽水蓄能电站管理模型，如</w:t>
      </w:r>
      <w:r>
        <w:rPr>
          <w:rFonts w:hint="eastAsia"/>
        </w:rPr>
        <w:fldChar w:fldCharType="begin"/>
      </w:r>
      <w:r>
        <w:rPr>
          <w:rFonts w:hint="eastAsia"/>
        </w:rPr>
        <w:instrText xml:space="preserve"> REF _Ref13938 \h </w:instrText>
      </w:r>
      <w:r>
        <w:rPr>
          <w:rFonts w:hint="eastAsia"/>
        </w:rPr>
      </w:r>
      <w:r>
        <w:rPr>
          <w:rFonts w:hint="eastAsia"/>
        </w:rPr>
        <w:fldChar w:fldCharType="separate"/>
      </w:r>
      <w:r w:rsidR="00B1714C">
        <w:t>图</w:t>
      </w:r>
      <w:r w:rsidR="00B1714C">
        <w:t xml:space="preserve"> </w:t>
      </w:r>
      <w:r w:rsidR="00B1714C">
        <w:rPr>
          <w:noProof/>
        </w:rPr>
        <w:t>1</w:t>
      </w:r>
      <w:r>
        <w:rPr>
          <w:rFonts w:hint="eastAsia"/>
        </w:rPr>
        <w:fldChar w:fldCharType="end"/>
      </w:r>
      <w:r>
        <w:rPr>
          <w:rFonts w:hint="eastAsia"/>
        </w:rPr>
        <w:t>所示。</w:t>
      </w:r>
    </w:p>
    <w:p w14:paraId="7E5A5708" w14:textId="77777777" w:rsidR="008D7AD9" w:rsidRDefault="008D7AD9">
      <w:pPr>
        <w:ind w:firstLine="420"/>
      </w:pPr>
    </w:p>
    <w:p w14:paraId="6AC9B8FA" w14:textId="77777777" w:rsidR="008D7AD9" w:rsidRDefault="00000000">
      <w:pPr>
        <w:ind w:firstLineChars="0" w:firstLine="0"/>
        <w:jc w:val="center"/>
        <w:rPr>
          <w:rFonts w:eastAsiaTheme="minorEastAsia"/>
        </w:rPr>
      </w:pPr>
      <w:r>
        <w:rPr>
          <w:rFonts w:eastAsiaTheme="minorEastAsia" w:hint="eastAsia"/>
          <w:noProof/>
        </w:rPr>
        <w:drawing>
          <wp:inline distT="0" distB="0" distL="114300" distR="114300" wp14:anchorId="62C6FE6F" wp14:editId="73E19FDE">
            <wp:extent cx="5431209" cy="2736000"/>
            <wp:effectExtent l="0" t="0" r="0" b="7620"/>
            <wp:docPr id="1" name="图片 1" descr="小论文模型黑白20250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小论文模型黑白20250423"/>
                    <pic:cNvPicPr>
                      <a:picLocks noChangeAspect="1"/>
                    </pic:cNvPicPr>
                  </pic:nvPicPr>
                  <pic:blipFill>
                    <a:blip r:embed="rId15"/>
                    <a:stretch>
                      <a:fillRect/>
                    </a:stretch>
                  </pic:blipFill>
                  <pic:spPr>
                    <a:xfrm>
                      <a:off x="0" y="0"/>
                      <a:ext cx="5431209" cy="2736000"/>
                    </a:xfrm>
                    <a:prstGeom prst="rect">
                      <a:avLst/>
                    </a:prstGeom>
                  </pic:spPr>
                </pic:pic>
              </a:graphicData>
            </a:graphic>
          </wp:inline>
        </w:drawing>
      </w:r>
    </w:p>
    <w:p w14:paraId="57CA3E63" w14:textId="2051DFCA" w:rsidR="008D7AD9" w:rsidRDefault="00000000">
      <w:pPr>
        <w:pStyle w:val="aff"/>
        <w:ind w:firstLine="440"/>
      </w:pPr>
      <w:bookmarkStart w:id="0" w:name="_Ref13938"/>
      <w:r>
        <w:t>图</w:t>
      </w:r>
      <w:r>
        <w:t xml:space="preserve"> </w:t>
      </w:r>
      <w:r>
        <w:fldChar w:fldCharType="begin"/>
      </w:r>
      <w:r>
        <w:instrText xml:space="preserve"> SEQ </w:instrText>
      </w:r>
      <w:r>
        <w:instrText>图</w:instrText>
      </w:r>
      <w:r>
        <w:instrText xml:space="preserve"> \* ARABIC </w:instrText>
      </w:r>
      <w:r>
        <w:fldChar w:fldCharType="separate"/>
      </w:r>
      <w:r w:rsidR="00B1714C">
        <w:rPr>
          <w:noProof/>
        </w:rPr>
        <w:t>1</w:t>
      </w:r>
      <w:r>
        <w:fldChar w:fldCharType="end"/>
      </w:r>
      <w:bookmarkEnd w:id="0"/>
      <w:r>
        <w:rPr>
          <w:rFonts w:hint="eastAsia"/>
        </w:rPr>
        <w:t xml:space="preserve"> </w:t>
      </w:r>
      <w:r>
        <w:rPr>
          <w:rFonts w:hint="eastAsia"/>
        </w:rPr>
        <w:t>多能互补视角下抽水蓄能电站管理模型</w:t>
      </w:r>
    </w:p>
    <w:p w14:paraId="04C847A4" w14:textId="77777777" w:rsidR="008D7AD9" w:rsidRDefault="008D7AD9">
      <w:pPr>
        <w:spacing w:afterLines="50" w:after="120"/>
        <w:ind w:firstLine="420"/>
        <w:jc w:val="center"/>
        <w:sectPr w:rsidR="008D7AD9">
          <w:type w:val="continuous"/>
          <w:pgSz w:w="11906" w:h="16838"/>
          <w:pgMar w:top="1440" w:right="1106" w:bottom="1440" w:left="1106" w:header="851" w:footer="992" w:gutter="0"/>
          <w:cols w:space="425"/>
          <w:titlePg/>
          <w:docGrid w:linePitch="312" w:charSpace="47234"/>
        </w:sectPr>
      </w:pPr>
    </w:p>
    <w:p w14:paraId="127112BB" w14:textId="77777777" w:rsidR="008D7AD9" w:rsidRDefault="00000000">
      <w:pPr>
        <w:widowControl/>
        <w:spacing w:beforeLines="50" w:before="156" w:line="240" w:lineRule="atLeast"/>
        <w:ind w:firstLineChars="0" w:firstLine="420"/>
        <w:rPr>
          <w:rFonts w:cs="Times New Roman"/>
          <w:b/>
          <w:bCs/>
          <w:kern w:val="0"/>
          <w:sz w:val="24"/>
          <w:szCs w:val="24"/>
        </w:rPr>
      </w:pPr>
      <w:r>
        <w:rPr>
          <w:rFonts w:cs="Times New Roman"/>
          <w:b/>
          <w:bCs/>
          <w:kern w:val="0"/>
          <w:sz w:val="24"/>
          <w:szCs w:val="24"/>
        </w:rPr>
        <w:t xml:space="preserve">2 </w:t>
      </w:r>
      <w:r>
        <w:rPr>
          <w:rFonts w:cs="Times New Roman" w:hint="eastAsia"/>
          <w:b/>
          <w:bCs/>
          <w:kern w:val="0"/>
          <w:sz w:val="24"/>
          <w:szCs w:val="24"/>
        </w:rPr>
        <w:t>研究</w:t>
      </w:r>
      <w:r>
        <w:rPr>
          <w:rFonts w:cs="Times New Roman"/>
          <w:b/>
          <w:bCs/>
          <w:kern w:val="0"/>
          <w:sz w:val="24"/>
          <w:szCs w:val="24"/>
        </w:rPr>
        <w:t>方法</w:t>
      </w:r>
    </w:p>
    <w:p w14:paraId="16E85399" w14:textId="77777777" w:rsidR="008D7AD9" w:rsidRDefault="00000000">
      <w:pPr>
        <w:ind w:firstLine="422"/>
        <w:rPr>
          <w:rFonts w:cs="Times New Roman"/>
          <w:b/>
          <w:bCs/>
        </w:rPr>
      </w:pPr>
      <w:bookmarkStart w:id="1" w:name="_Hlk131866122"/>
      <w:r>
        <w:rPr>
          <w:rFonts w:cs="Times New Roman"/>
          <w:b/>
          <w:bCs/>
        </w:rPr>
        <w:t xml:space="preserve">2.1 </w:t>
      </w:r>
      <w:r>
        <w:rPr>
          <w:rFonts w:cs="Times New Roman" w:hint="eastAsia"/>
          <w:b/>
          <w:bCs/>
        </w:rPr>
        <w:t>数据收集方法</w:t>
      </w:r>
    </w:p>
    <w:p w14:paraId="69DBC8E1" w14:textId="015C308F" w:rsidR="008D7AD9" w:rsidRDefault="00000000">
      <w:pPr>
        <w:pStyle w:val="aff7"/>
      </w:pPr>
      <w:r>
        <w:rPr>
          <w:rFonts w:hint="eastAsia"/>
        </w:rPr>
        <w:t>在实证设计部分，采用定性和定量相结合的混合研究方法（</w:t>
      </w:r>
      <w:r>
        <w:rPr>
          <w:rFonts w:hint="eastAsia"/>
        </w:rPr>
        <w:t>Mixed Methods Research</w:t>
      </w:r>
      <w:r>
        <w:rPr>
          <w:rFonts w:hint="eastAsia"/>
        </w:rPr>
        <w:t>），包括调研、</w:t>
      </w:r>
      <w:r>
        <w:rPr>
          <w:rFonts w:hint="eastAsia"/>
        </w:rPr>
        <w:t>访谈、案例分析等建管领域常用的研究方法</w:t>
      </w:r>
      <w:r>
        <w:rPr>
          <w:rFonts w:hint="eastAsia"/>
          <w:vertAlign w:val="superscript"/>
        </w:rPr>
        <w:t>[41]</w:t>
      </w:r>
      <w:r>
        <w:rPr>
          <w:rFonts w:hint="eastAsia"/>
        </w:rPr>
        <w:t>。调研内容包括：</w:t>
      </w:r>
      <w:r>
        <w:rPr>
          <w:rFonts w:hint="eastAsia"/>
        </w:rPr>
        <w:t>1</w:t>
      </w:r>
      <w:r>
        <w:rPr>
          <w:rFonts w:hint="eastAsia"/>
        </w:rPr>
        <w:t>）基本情况，如调研对象所在单位性质、个人基本情况、从事业务类型，</w:t>
      </w:r>
      <w:r w:rsidR="00A43576">
        <w:rPr>
          <w:rFonts w:hint="eastAsia"/>
        </w:rPr>
        <w:t>所</w:t>
      </w:r>
      <w:r>
        <w:rPr>
          <w:rFonts w:hint="eastAsia"/>
        </w:rPr>
        <w:t>参与抽蓄项目</w:t>
      </w:r>
      <w:r w:rsidR="00A43576">
        <w:rPr>
          <w:rFonts w:hint="eastAsia"/>
        </w:rPr>
        <w:t>的</w:t>
      </w:r>
      <w:r>
        <w:rPr>
          <w:rFonts w:hint="eastAsia"/>
        </w:rPr>
        <w:t>基本信息、电站类型、电站运营模式、主要收</w:t>
      </w:r>
      <w:r>
        <w:rPr>
          <w:rFonts w:hint="eastAsia"/>
        </w:rPr>
        <w:lastRenderedPageBreak/>
        <w:t>入来源；</w:t>
      </w:r>
      <w:r>
        <w:rPr>
          <w:rFonts w:hint="eastAsia"/>
        </w:rPr>
        <w:t>2</w:t>
      </w:r>
      <w:r>
        <w:rPr>
          <w:rFonts w:hint="eastAsia"/>
        </w:rPr>
        <w:t>）变量测量，采取</w:t>
      </w:r>
      <w:r>
        <w:rPr>
          <w:rFonts w:hint="eastAsia"/>
        </w:rPr>
        <w:t>Likert-5</w:t>
      </w:r>
      <w:r>
        <w:rPr>
          <w:rFonts w:hint="eastAsia"/>
        </w:rPr>
        <w:t>分法对多能互补、整体条件、电价和市场机制、方案选择、电站运营管理和项目绩效方面进行测量；</w:t>
      </w:r>
      <w:r>
        <w:rPr>
          <w:rFonts w:hint="eastAsia"/>
        </w:rPr>
        <w:t>3</w:t>
      </w:r>
      <w:r>
        <w:rPr>
          <w:rFonts w:hint="eastAsia"/>
        </w:rPr>
        <w:t>）见解和建议，收集调研对象对该视角下抽水蓄能电站管理面临的挑战，及其发展的建议。</w:t>
      </w:r>
    </w:p>
    <w:p w14:paraId="2FB657B3" w14:textId="77777777" w:rsidR="008D7AD9" w:rsidRDefault="00000000">
      <w:pPr>
        <w:pStyle w:val="aff7"/>
      </w:pPr>
      <w:r>
        <w:rPr>
          <w:rFonts w:hint="eastAsia"/>
        </w:rPr>
        <w:t>调研主要围绕抽水蓄能电站规划设计、建设施工等单位，通过线上线下方式共收集</w:t>
      </w:r>
      <w:r>
        <w:rPr>
          <w:rFonts w:hint="eastAsia"/>
        </w:rPr>
        <w:t>446</w:t>
      </w:r>
      <w:r>
        <w:rPr>
          <w:rFonts w:hint="eastAsia"/>
        </w:rPr>
        <w:t>份数据，为进一步增加调研数据的科学性与严谨性，对缺失度较高及规律性作答的问卷数据予以删除，最终得到有效调研数据</w:t>
      </w:r>
      <w:r>
        <w:rPr>
          <w:rFonts w:hint="eastAsia"/>
        </w:rPr>
        <w:t>230</w:t>
      </w:r>
      <w:r>
        <w:rPr>
          <w:rFonts w:hint="eastAsia"/>
        </w:rPr>
        <w:t>份。业务类型涉及项目开发、规划、设计、采购、施工、运行、建设管理、安全管理、质量控制、财务等业务类型，基本涵盖了抽水蓄能电站管理各关键环节的人员，样本代表性良好，能够满足后续分析需求。</w:t>
      </w:r>
    </w:p>
    <w:p w14:paraId="014F4074" w14:textId="77777777" w:rsidR="008D7AD9" w:rsidRDefault="00000000">
      <w:pPr>
        <w:ind w:firstLine="422"/>
        <w:rPr>
          <w:rFonts w:cs="Times New Roman"/>
          <w:b/>
          <w:bCs/>
        </w:rPr>
      </w:pPr>
      <w:r>
        <w:rPr>
          <w:rFonts w:cs="Times New Roman"/>
          <w:b/>
          <w:bCs/>
        </w:rPr>
        <w:t>2.</w:t>
      </w:r>
      <w:r>
        <w:rPr>
          <w:rFonts w:cs="Times New Roman" w:hint="eastAsia"/>
          <w:b/>
          <w:bCs/>
        </w:rPr>
        <w:t>2</w:t>
      </w:r>
      <w:r>
        <w:rPr>
          <w:rFonts w:cs="Times New Roman"/>
          <w:b/>
          <w:bCs/>
        </w:rPr>
        <w:t xml:space="preserve"> </w:t>
      </w:r>
      <w:r>
        <w:rPr>
          <w:rFonts w:cs="Times New Roman" w:hint="eastAsia"/>
          <w:b/>
          <w:bCs/>
        </w:rPr>
        <w:t>数据分析方法</w:t>
      </w:r>
    </w:p>
    <w:p w14:paraId="58684E1F" w14:textId="77777777" w:rsidR="008D7AD9" w:rsidRDefault="00000000">
      <w:pPr>
        <w:pStyle w:val="aff7"/>
      </w:pPr>
      <w:r>
        <w:rPr>
          <w:rFonts w:hint="eastAsia"/>
        </w:rPr>
        <w:t>本研究主要采用</w:t>
      </w:r>
      <w:r>
        <w:rPr>
          <w:rFonts w:hint="eastAsia"/>
        </w:rPr>
        <w:t>SPSS 27.0</w:t>
      </w:r>
      <w:r>
        <w:rPr>
          <w:rFonts w:hint="eastAsia"/>
        </w:rPr>
        <w:t>软件、</w:t>
      </w:r>
      <w:r>
        <w:rPr>
          <w:rFonts w:hint="eastAsia"/>
        </w:rPr>
        <w:t>SmartPLS4</w:t>
      </w:r>
      <w:r>
        <w:rPr>
          <w:rFonts w:hint="eastAsia"/>
        </w:rPr>
        <w:t>软件对收集的问卷数据进行统计分析，应用的方法包括均值排序分析（</w:t>
      </w:r>
      <w:r>
        <w:rPr>
          <w:rFonts w:hint="eastAsia"/>
        </w:rPr>
        <w:t>Means Ranking Analysis</w:t>
      </w:r>
      <w:r>
        <w:rPr>
          <w:rFonts w:hint="eastAsia"/>
        </w:rPr>
        <w:t>）、聚类分析（</w:t>
      </w:r>
      <w:r>
        <w:rPr>
          <w:rFonts w:hint="eastAsia"/>
        </w:rPr>
        <w:t>Cluster</w:t>
      </w:r>
      <w:r>
        <w:rPr>
          <w:rFonts w:hint="eastAsia"/>
        </w:rPr>
        <w:t>）、结构方程模型（</w:t>
      </w:r>
      <w:r>
        <w:rPr>
          <w:rFonts w:hint="eastAsia"/>
        </w:rPr>
        <w:t>Structural Equation Model</w:t>
      </w:r>
      <w:r>
        <w:rPr>
          <w:rFonts w:hint="eastAsia"/>
        </w:rPr>
        <w:t>，</w:t>
      </w:r>
      <w:r>
        <w:rPr>
          <w:rFonts w:hint="eastAsia"/>
        </w:rPr>
        <w:t>SEM</w:t>
      </w:r>
      <w:r>
        <w:rPr>
          <w:rFonts w:hint="eastAsia"/>
        </w:rPr>
        <w:t>）。采用均值排序分析和聚类分析等方法分析调研结果，采用结构方程模型来验证构建的模型。</w:t>
      </w:r>
    </w:p>
    <w:bookmarkEnd w:id="1"/>
    <w:p w14:paraId="3489ED01" w14:textId="77777777" w:rsidR="008D7AD9" w:rsidRDefault="00000000">
      <w:pPr>
        <w:widowControl/>
        <w:spacing w:beforeLines="50" w:before="156" w:line="240" w:lineRule="atLeast"/>
        <w:ind w:firstLineChars="0" w:firstLine="420"/>
        <w:rPr>
          <w:rFonts w:cs="Times New Roman"/>
          <w:b/>
          <w:bCs/>
          <w:kern w:val="0"/>
          <w:sz w:val="24"/>
          <w:szCs w:val="24"/>
        </w:rPr>
      </w:pPr>
      <w:r>
        <w:rPr>
          <w:rFonts w:cs="Times New Roman" w:hint="eastAsia"/>
          <w:b/>
          <w:bCs/>
          <w:kern w:val="0"/>
          <w:sz w:val="24"/>
          <w:szCs w:val="24"/>
        </w:rPr>
        <w:t>3</w:t>
      </w:r>
      <w:r>
        <w:rPr>
          <w:rFonts w:cs="Times New Roman"/>
          <w:b/>
          <w:bCs/>
          <w:kern w:val="0"/>
          <w:sz w:val="24"/>
          <w:szCs w:val="24"/>
        </w:rPr>
        <w:t xml:space="preserve"> </w:t>
      </w:r>
      <w:r>
        <w:rPr>
          <w:rFonts w:cs="Times New Roman" w:hint="eastAsia"/>
          <w:b/>
          <w:bCs/>
          <w:kern w:val="0"/>
          <w:sz w:val="24"/>
          <w:szCs w:val="24"/>
        </w:rPr>
        <w:t>调研结果分析</w:t>
      </w:r>
    </w:p>
    <w:p w14:paraId="2A561A54" w14:textId="77777777" w:rsidR="008D7AD9" w:rsidRDefault="00000000">
      <w:pPr>
        <w:ind w:firstLine="422"/>
        <w:rPr>
          <w:rFonts w:cs="Times New Roman"/>
          <w:b/>
          <w:bCs/>
        </w:rPr>
      </w:pPr>
      <w:r>
        <w:rPr>
          <w:rFonts w:cs="Times New Roman" w:hint="eastAsia"/>
          <w:b/>
          <w:bCs/>
        </w:rPr>
        <w:t>3</w:t>
      </w:r>
      <w:r>
        <w:rPr>
          <w:rFonts w:cs="Times New Roman"/>
          <w:b/>
          <w:bCs/>
        </w:rPr>
        <w:t xml:space="preserve">.1 </w:t>
      </w:r>
      <w:r>
        <w:rPr>
          <w:rFonts w:cs="Times New Roman" w:hint="eastAsia"/>
          <w:b/>
          <w:bCs/>
        </w:rPr>
        <w:t>多能互补</w:t>
      </w:r>
    </w:p>
    <w:p w14:paraId="443CCF9F" w14:textId="730F4FA9" w:rsidR="008D7AD9" w:rsidRDefault="00000000">
      <w:pPr>
        <w:ind w:firstLine="420"/>
        <w:jc w:val="center"/>
      </w:pPr>
      <w:bookmarkStart w:id="2" w:name="_Ref129254457"/>
      <w:bookmarkStart w:id="3" w:name="_Toc132293364"/>
      <w:r>
        <w:rPr>
          <w:rFonts w:cs="Times New Roman" w:hint="eastAsia"/>
        </w:rPr>
        <w:t>抽蓄电站所涉及多能互补情况如</w:t>
      </w:r>
      <w:r w:rsidR="00851A47">
        <w:rPr>
          <w:rFonts w:cs="Times New Roman"/>
        </w:rPr>
        <w:fldChar w:fldCharType="begin"/>
      </w:r>
      <w:r w:rsidR="00851A47">
        <w:rPr>
          <w:rFonts w:cs="Times New Roman"/>
        </w:rPr>
        <w:instrText xml:space="preserve"> </w:instrText>
      </w:r>
      <w:r w:rsidR="00851A47">
        <w:rPr>
          <w:rFonts w:cs="Times New Roman" w:hint="eastAsia"/>
        </w:rPr>
        <w:instrText>REF _Ref816 \h</w:instrText>
      </w:r>
      <w:r w:rsidR="00851A47">
        <w:rPr>
          <w:rFonts w:cs="Times New Roman"/>
        </w:rPr>
        <w:instrText xml:space="preserve"> </w:instrText>
      </w:r>
      <w:r w:rsidR="00851A47">
        <w:rPr>
          <w:rFonts w:cs="Times New Roman"/>
        </w:rPr>
      </w:r>
      <w:r w:rsidR="00851A47">
        <w:rPr>
          <w:rFonts w:cs="Times New Roman"/>
        </w:rPr>
        <w:fldChar w:fldCharType="separate"/>
      </w:r>
      <w:r w:rsidR="00B1714C">
        <w:t>表</w:t>
      </w:r>
      <w:r w:rsidR="00B1714C">
        <w:t xml:space="preserve"> </w:t>
      </w:r>
      <w:r w:rsidR="00B1714C">
        <w:rPr>
          <w:rFonts w:hint="eastAsia"/>
          <w:noProof/>
        </w:rPr>
        <w:t>1</w:t>
      </w:r>
      <w:r w:rsidR="00851A47">
        <w:rPr>
          <w:rFonts w:cs="Times New Roman"/>
        </w:rPr>
        <w:fldChar w:fldCharType="end"/>
      </w:r>
      <w:r>
        <w:rPr>
          <w:rFonts w:cs="Times New Roman" w:hint="eastAsia"/>
        </w:rPr>
        <w:t>所示。其中，</w:t>
      </w:r>
      <w:r>
        <w:rPr>
          <w:rFonts w:cs="Times New Roman" w:hint="eastAsia"/>
        </w:rPr>
        <w:t>1</w:t>
      </w:r>
      <w:r>
        <w:rPr>
          <w:rFonts w:cs="Times New Roman" w:hint="eastAsia"/>
        </w:rPr>
        <w:t>分代表非常不符合，</w:t>
      </w:r>
      <w:r>
        <w:rPr>
          <w:rFonts w:cs="Times New Roman" w:hint="eastAsia"/>
        </w:rPr>
        <w:t>5</w:t>
      </w:r>
      <w:r>
        <w:rPr>
          <w:rFonts w:cs="Times New Roman" w:hint="eastAsia"/>
        </w:rPr>
        <w:t>分代表非常符合。</w:t>
      </w:r>
      <w:bookmarkEnd w:id="2"/>
      <w:bookmarkEnd w:id="3"/>
    </w:p>
    <w:p w14:paraId="6BF5EF0F" w14:textId="7D772791" w:rsidR="008D7AD9" w:rsidRDefault="00000000">
      <w:pPr>
        <w:pStyle w:val="aff3"/>
        <w:ind w:firstLine="420"/>
        <w:rPr>
          <w:rFonts w:hint="eastAsia"/>
        </w:rPr>
      </w:pPr>
      <w:bookmarkStart w:id="4" w:name="_Ref816"/>
      <w:r>
        <w:t xml:space="preserve">表 </w:t>
      </w:r>
      <w:fldSimple w:instr=" SEQ 表 \* ARABIC ">
        <w:r w:rsidR="00B1714C">
          <w:rPr>
            <w:rFonts w:hint="eastAsia"/>
            <w:noProof/>
          </w:rPr>
          <w:t>1</w:t>
        </w:r>
      </w:fldSimple>
      <w:bookmarkEnd w:id="4"/>
      <w:r>
        <w:rPr>
          <w:rFonts w:hint="eastAsia"/>
        </w:rPr>
        <w:t xml:space="preserve"> 抽蓄电站所涉及多能互补情况</w:t>
      </w:r>
    </w:p>
    <w:tbl>
      <w:tblPr>
        <w:tblStyle w:val="110"/>
        <w:tblW w:w="5000" w:type="pct"/>
        <w:tblLook w:val="04A0" w:firstRow="1" w:lastRow="0" w:firstColumn="1" w:lastColumn="0" w:noHBand="0" w:noVBand="1"/>
      </w:tblPr>
      <w:tblGrid>
        <w:gridCol w:w="3439"/>
        <w:gridCol w:w="720"/>
        <w:gridCol w:w="691"/>
      </w:tblGrid>
      <w:tr w:rsidR="008D7AD9" w14:paraId="6F376A87" w14:textId="77777777" w:rsidTr="008F22E8">
        <w:trPr>
          <w:cnfStyle w:val="100000000000" w:firstRow="1" w:lastRow="0" w:firstColumn="0" w:lastColumn="0" w:oddVBand="0" w:evenVBand="0" w:oddHBand="0" w:evenHBand="0" w:firstRowFirstColumn="0" w:firstRowLastColumn="0" w:lastRowFirstColumn="0" w:lastRowLastColumn="0"/>
          <w:trHeight w:val="23"/>
        </w:trPr>
        <w:tc>
          <w:tcPr>
            <w:tcW w:w="3546" w:type="pct"/>
            <w:tcBorders>
              <w:top w:val="single" w:sz="12" w:space="0" w:color="000000"/>
              <w:bottom w:val="single" w:sz="4" w:space="0" w:color="000000"/>
            </w:tcBorders>
            <w:shd w:val="clear" w:color="auto" w:fill="FFFFFF"/>
            <w:vAlign w:val="center"/>
          </w:tcPr>
          <w:p w14:paraId="54E10CA8" w14:textId="77777777" w:rsidR="008D7AD9" w:rsidRDefault="00000000">
            <w:pPr>
              <w:spacing w:before="0" w:after="0"/>
              <w:ind w:firstLineChars="0" w:firstLine="0"/>
              <w:jc w:val="center"/>
              <w:rPr>
                <w:b w:val="0"/>
              </w:rPr>
            </w:pPr>
            <w:r>
              <w:rPr>
                <w:rFonts w:hint="eastAsia"/>
              </w:rPr>
              <w:t>指标</w:t>
            </w:r>
          </w:p>
        </w:tc>
        <w:tc>
          <w:tcPr>
            <w:tcW w:w="742" w:type="pct"/>
            <w:tcBorders>
              <w:top w:val="single" w:sz="12" w:space="0" w:color="000000"/>
              <w:bottom w:val="single" w:sz="4" w:space="0" w:color="000000"/>
            </w:tcBorders>
            <w:shd w:val="clear" w:color="auto" w:fill="FFFFFF"/>
            <w:vAlign w:val="center"/>
          </w:tcPr>
          <w:p w14:paraId="58AF6CC2" w14:textId="77777777" w:rsidR="008D7AD9" w:rsidRDefault="00000000">
            <w:pPr>
              <w:spacing w:before="0" w:after="0"/>
              <w:ind w:firstLineChars="0" w:firstLine="0"/>
              <w:jc w:val="center"/>
              <w:rPr>
                <w:b w:val="0"/>
              </w:rPr>
            </w:pPr>
            <w:r>
              <w:rPr>
                <w:rFonts w:hint="eastAsia"/>
              </w:rPr>
              <w:t>得分</w:t>
            </w:r>
          </w:p>
        </w:tc>
        <w:tc>
          <w:tcPr>
            <w:tcW w:w="712" w:type="pct"/>
            <w:tcBorders>
              <w:top w:val="single" w:sz="12" w:space="0" w:color="000000"/>
              <w:bottom w:val="single" w:sz="4" w:space="0" w:color="000000"/>
            </w:tcBorders>
            <w:shd w:val="clear" w:color="auto" w:fill="FFFFFF"/>
            <w:vAlign w:val="center"/>
          </w:tcPr>
          <w:p w14:paraId="5CEC459C" w14:textId="77777777" w:rsidR="008D7AD9" w:rsidRDefault="00000000">
            <w:pPr>
              <w:spacing w:before="0" w:after="0"/>
              <w:ind w:firstLineChars="0" w:firstLine="0"/>
              <w:jc w:val="center"/>
              <w:rPr>
                <w:b w:val="0"/>
              </w:rPr>
            </w:pPr>
            <w:r>
              <w:rPr>
                <w:rFonts w:hint="eastAsia"/>
              </w:rPr>
              <w:t>排序</w:t>
            </w:r>
          </w:p>
        </w:tc>
      </w:tr>
      <w:tr w:rsidR="008D7AD9" w14:paraId="5DD6F469" w14:textId="77777777" w:rsidTr="008F22E8">
        <w:trPr>
          <w:trHeight w:val="23"/>
        </w:trPr>
        <w:tc>
          <w:tcPr>
            <w:tcW w:w="3546" w:type="pct"/>
            <w:tcBorders>
              <w:top w:val="single" w:sz="4" w:space="0" w:color="000000"/>
            </w:tcBorders>
            <w:shd w:val="clear" w:color="auto" w:fill="FFFFFF"/>
          </w:tcPr>
          <w:p w14:paraId="3BFEBCB9" w14:textId="77777777" w:rsidR="008D7AD9" w:rsidRDefault="00000000">
            <w:pPr>
              <w:spacing w:before="0" w:after="0"/>
              <w:ind w:firstLineChars="0" w:firstLine="0"/>
              <w:jc w:val="center"/>
              <w:rPr>
                <w:b/>
                <w:bCs/>
              </w:rPr>
            </w:pPr>
            <w:r>
              <w:rPr>
                <w:rFonts w:hint="eastAsia"/>
                <w:b/>
                <w:bCs/>
              </w:rPr>
              <w:t>A.</w:t>
            </w:r>
            <w:r>
              <w:rPr>
                <w:rFonts w:hint="eastAsia"/>
                <w:b/>
                <w:bCs/>
              </w:rPr>
              <w:t>容量配置与集成优化</w:t>
            </w:r>
          </w:p>
        </w:tc>
        <w:tc>
          <w:tcPr>
            <w:tcW w:w="742" w:type="pct"/>
            <w:tcBorders>
              <w:top w:val="single" w:sz="4" w:space="0" w:color="000000"/>
            </w:tcBorders>
            <w:shd w:val="clear" w:color="auto" w:fill="FFFFFF"/>
            <w:vAlign w:val="center"/>
          </w:tcPr>
          <w:p w14:paraId="369ACC77" w14:textId="77777777" w:rsidR="008D7AD9" w:rsidRDefault="00000000">
            <w:pPr>
              <w:spacing w:before="0" w:after="0"/>
              <w:ind w:firstLineChars="0" w:firstLine="0"/>
              <w:jc w:val="center"/>
              <w:rPr>
                <w:b/>
                <w:bCs/>
              </w:rPr>
            </w:pPr>
            <w:r>
              <w:rPr>
                <w:rFonts w:hint="eastAsia"/>
                <w:b/>
                <w:bCs/>
              </w:rPr>
              <w:t>4.193</w:t>
            </w:r>
          </w:p>
        </w:tc>
        <w:tc>
          <w:tcPr>
            <w:tcW w:w="712" w:type="pct"/>
            <w:tcBorders>
              <w:top w:val="single" w:sz="4" w:space="0" w:color="000000"/>
            </w:tcBorders>
            <w:shd w:val="clear" w:color="auto" w:fill="FFFFFF"/>
            <w:vAlign w:val="center"/>
          </w:tcPr>
          <w:p w14:paraId="6BA2C11A" w14:textId="77777777" w:rsidR="008D7AD9" w:rsidRDefault="008D7AD9">
            <w:pPr>
              <w:spacing w:before="0" w:after="0"/>
              <w:ind w:firstLineChars="0" w:firstLine="0"/>
              <w:jc w:val="center"/>
              <w:rPr>
                <w:b/>
                <w:bCs/>
              </w:rPr>
            </w:pPr>
          </w:p>
        </w:tc>
      </w:tr>
      <w:tr w:rsidR="008D7AD9" w14:paraId="0E9ABA51" w14:textId="77777777" w:rsidTr="008F22E8">
        <w:trPr>
          <w:trHeight w:val="23"/>
        </w:trPr>
        <w:tc>
          <w:tcPr>
            <w:tcW w:w="3546" w:type="pct"/>
            <w:shd w:val="clear" w:color="auto" w:fill="FFFFFF"/>
          </w:tcPr>
          <w:p w14:paraId="1A6B44A0" w14:textId="77777777" w:rsidR="008D7AD9" w:rsidRDefault="00000000">
            <w:pPr>
              <w:spacing w:before="0" w:after="0"/>
              <w:ind w:firstLineChars="0" w:firstLine="0"/>
            </w:pPr>
            <w:r>
              <w:rPr>
                <w:rFonts w:hint="eastAsia"/>
              </w:rPr>
              <w:t>抽蓄电站在多能互补中发挥调节功能作用大</w:t>
            </w:r>
          </w:p>
        </w:tc>
        <w:tc>
          <w:tcPr>
            <w:tcW w:w="742" w:type="pct"/>
            <w:shd w:val="clear" w:color="auto" w:fill="FFFFFF"/>
            <w:vAlign w:val="center"/>
          </w:tcPr>
          <w:p w14:paraId="203477DB" w14:textId="77777777" w:rsidR="008D7AD9" w:rsidRDefault="00000000">
            <w:pPr>
              <w:spacing w:before="0" w:after="0"/>
              <w:ind w:firstLineChars="0" w:firstLine="0"/>
              <w:jc w:val="center"/>
            </w:pPr>
            <w:r>
              <w:rPr>
                <w:rFonts w:hint="eastAsia"/>
              </w:rPr>
              <w:t>4.235</w:t>
            </w:r>
          </w:p>
        </w:tc>
        <w:tc>
          <w:tcPr>
            <w:tcW w:w="712" w:type="pct"/>
            <w:shd w:val="clear" w:color="auto" w:fill="FFFFFF"/>
            <w:vAlign w:val="center"/>
          </w:tcPr>
          <w:p w14:paraId="17E6DC36" w14:textId="77777777" w:rsidR="008D7AD9" w:rsidRDefault="00000000">
            <w:pPr>
              <w:spacing w:before="0" w:after="0"/>
              <w:ind w:firstLineChars="0" w:firstLine="0"/>
              <w:jc w:val="center"/>
            </w:pPr>
            <w:r>
              <w:rPr>
                <w:rFonts w:hint="eastAsia"/>
              </w:rPr>
              <w:t>1</w:t>
            </w:r>
          </w:p>
        </w:tc>
      </w:tr>
      <w:tr w:rsidR="008D7AD9" w14:paraId="18529E29" w14:textId="77777777" w:rsidTr="008F22E8">
        <w:trPr>
          <w:trHeight w:val="23"/>
        </w:trPr>
        <w:tc>
          <w:tcPr>
            <w:tcW w:w="3546" w:type="pct"/>
            <w:shd w:val="clear" w:color="auto" w:fill="FFFFFF"/>
          </w:tcPr>
          <w:p w14:paraId="60EA7FD4" w14:textId="77777777" w:rsidR="008D7AD9" w:rsidRDefault="00000000">
            <w:pPr>
              <w:spacing w:before="0" w:after="0"/>
              <w:ind w:firstLineChars="0" w:firstLine="0"/>
            </w:pPr>
            <w:r>
              <w:rPr>
                <w:rFonts w:hint="eastAsia"/>
              </w:rPr>
              <w:t>多能互补电源装机容量配比合理</w:t>
            </w:r>
          </w:p>
        </w:tc>
        <w:tc>
          <w:tcPr>
            <w:tcW w:w="742" w:type="pct"/>
            <w:shd w:val="clear" w:color="auto" w:fill="FFFFFF"/>
            <w:vAlign w:val="center"/>
          </w:tcPr>
          <w:p w14:paraId="1F36D005" w14:textId="77777777" w:rsidR="008D7AD9" w:rsidRDefault="00000000">
            <w:pPr>
              <w:spacing w:before="0" w:after="0"/>
              <w:ind w:firstLineChars="0" w:firstLine="0"/>
              <w:jc w:val="center"/>
            </w:pPr>
            <w:r>
              <w:rPr>
                <w:rFonts w:hint="eastAsia"/>
              </w:rPr>
              <w:t>4.187</w:t>
            </w:r>
          </w:p>
        </w:tc>
        <w:tc>
          <w:tcPr>
            <w:tcW w:w="712" w:type="pct"/>
            <w:shd w:val="clear" w:color="auto" w:fill="FFFFFF"/>
            <w:vAlign w:val="center"/>
          </w:tcPr>
          <w:p w14:paraId="14D707CA" w14:textId="77777777" w:rsidR="008D7AD9" w:rsidRDefault="00000000">
            <w:pPr>
              <w:spacing w:before="0" w:after="0"/>
              <w:ind w:firstLineChars="0" w:firstLine="0"/>
              <w:jc w:val="center"/>
            </w:pPr>
            <w:r>
              <w:rPr>
                <w:rFonts w:hint="eastAsia"/>
              </w:rPr>
              <w:t>4</w:t>
            </w:r>
          </w:p>
        </w:tc>
      </w:tr>
      <w:tr w:rsidR="008D7AD9" w14:paraId="4EC6C3D3" w14:textId="77777777" w:rsidTr="008F22E8">
        <w:trPr>
          <w:trHeight w:val="23"/>
        </w:trPr>
        <w:tc>
          <w:tcPr>
            <w:tcW w:w="3546" w:type="pct"/>
            <w:shd w:val="clear" w:color="auto" w:fill="FFFFFF"/>
          </w:tcPr>
          <w:p w14:paraId="348A5334" w14:textId="77777777" w:rsidR="008D7AD9" w:rsidRDefault="00000000">
            <w:pPr>
              <w:spacing w:before="0" w:after="0"/>
              <w:ind w:firstLineChars="0" w:firstLine="0"/>
            </w:pPr>
            <w:r>
              <w:rPr>
                <w:rFonts w:hint="eastAsia"/>
              </w:rPr>
              <w:t>多能互补组网方案合理</w:t>
            </w:r>
          </w:p>
        </w:tc>
        <w:tc>
          <w:tcPr>
            <w:tcW w:w="742" w:type="pct"/>
            <w:shd w:val="clear" w:color="auto" w:fill="FFFFFF"/>
            <w:vAlign w:val="center"/>
          </w:tcPr>
          <w:p w14:paraId="39A6B03B" w14:textId="77777777" w:rsidR="008D7AD9" w:rsidRDefault="00000000">
            <w:pPr>
              <w:spacing w:before="0" w:after="0"/>
              <w:ind w:firstLineChars="0" w:firstLine="0"/>
              <w:jc w:val="center"/>
            </w:pPr>
            <w:r>
              <w:rPr>
                <w:rFonts w:hint="eastAsia"/>
              </w:rPr>
              <w:t>4.157</w:t>
            </w:r>
          </w:p>
        </w:tc>
        <w:tc>
          <w:tcPr>
            <w:tcW w:w="712" w:type="pct"/>
            <w:shd w:val="clear" w:color="auto" w:fill="FFFFFF"/>
            <w:vAlign w:val="center"/>
          </w:tcPr>
          <w:p w14:paraId="4AC3A611" w14:textId="77777777" w:rsidR="008D7AD9" w:rsidRDefault="00000000">
            <w:pPr>
              <w:spacing w:before="0" w:after="0"/>
              <w:ind w:firstLineChars="0" w:firstLine="0"/>
              <w:jc w:val="center"/>
            </w:pPr>
            <w:r>
              <w:rPr>
                <w:rFonts w:hint="eastAsia"/>
              </w:rPr>
              <w:t>5</w:t>
            </w:r>
          </w:p>
        </w:tc>
      </w:tr>
      <w:tr w:rsidR="008D7AD9" w14:paraId="3C0C64D2" w14:textId="77777777" w:rsidTr="008F22E8">
        <w:trPr>
          <w:trHeight w:val="23"/>
        </w:trPr>
        <w:tc>
          <w:tcPr>
            <w:tcW w:w="3546" w:type="pct"/>
            <w:shd w:val="clear" w:color="auto" w:fill="FFFFFF"/>
          </w:tcPr>
          <w:p w14:paraId="3A5353D6" w14:textId="77777777" w:rsidR="008D7AD9" w:rsidRDefault="00000000">
            <w:pPr>
              <w:spacing w:before="0" w:after="0"/>
              <w:ind w:firstLineChars="0" w:firstLine="0"/>
              <w:jc w:val="center"/>
              <w:rPr>
                <w:b/>
                <w:bCs/>
              </w:rPr>
            </w:pPr>
            <w:r>
              <w:rPr>
                <w:rFonts w:hint="eastAsia"/>
                <w:b/>
                <w:bCs/>
              </w:rPr>
              <w:t>B.</w:t>
            </w:r>
            <w:r>
              <w:rPr>
                <w:rFonts w:hint="eastAsia"/>
                <w:b/>
                <w:bCs/>
              </w:rPr>
              <w:t>集中开发与供需匹配</w:t>
            </w:r>
          </w:p>
        </w:tc>
        <w:tc>
          <w:tcPr>
            <w:tcW w:w="742" w:type="pct"/>
            <w:shd w:val="clear" w:color="auto" w:fill="FFFFFF"/>
            <w:vAlign w:val="center"/>
          </w:tcPr>
          <w:p w14:paraId="29C41EF2" w14:textId="77777777" w:rsidR="008D7AD9" w:rsidRDefault="00000000">
            <w:pPr>
              <w:spacing w:before="0" w:after="0"/>
              <w:ind w:firstLineChars="0" w:firstLine="0"/>
              <w:jc w:val="center"/>
              <w:rPr>
                <w:b/>
                <w:bCs/>
              </w:rPr>
            </w:pPr>
            <w:r>
              <w:rPr>
                <w:rFonts w:hint="eastAsia"/>
                <w:b/>
                <w:bCs/>
              </w:rPr>
              <w:t>4.183</w:t>
            </w:r>
          </w:p>
        </w:tc>
        <w:tc>
          <w:tcPr>
            <w:tcW w:w="712" w:type="pct"/>
            <w:shd w:val="clear" w:color="auto" w:fill="FFFFFF"/>
            <w:vAlign w:val="center"/>
          </w:tcPr>
          <w:p w14:paraId="63E3FA76" w14:textId="77777777" w:rsidR="008D7AD9" w:rsidRDefault="008D7AD9">
            <w:pPr>
              <w:spacing w:before="0" w:after="0"/>
              <w:ind w:firstLineChars="0" w:firstLine="0"/>
              <w:jc w:val="center"/>
              <w:rPr>
                <w:b/>
                <w:bCs/>
              </w:rPr>
            </w:pPr>
          </w:p>
        </w:tc>
      </w:tr>
      <w:tr w:rsidR="008D7AD9" w14:paraId="46DAC25B" w14:textId="77777777" w:rsidTr="008F22E8">
        <w:trPr>
          <w:trHeight w:val="23"/>
        </w:trPr>
        <w:tc>
          <w:tcPr>
            <w:tcW w:w="3546" w:type="pct"/>
            <w:shd w:val="clear" w:color="auto" w:fill="FFFFFF"/>
          </w:tcPr>
          <w:p w14:paraId="4284B1F8" w14:textId="77777777" w:rsidR="008D7AD9" w:rsidRDefault="00000000">
            <w:pPr>
              <w:spacing w:before="0" w:after="0"/>
              <w:ind w:firstLineChars="0" w:firstLine="0"/>
            </w:pPr>
            <w:r>
              <w:rPr>
                <w:rFonts w:hint="eastAsia"/>
              </w:rPr>
              <w:t>多能互补电源开发集中度高，协同效益好</w:t>
            </w:r>
          </w:p>
        </w:tc>
        <w:tc>
          <w:tcPr>
            <w:tcW w:w="742" w:type="pct"/>
            <w:shd w:val="clear" w:color="auto" w:fill="FFFFFF"/>
            <w:vAlign w:val="center"/>
          </w:tcPr>
          <w:p w14:paraId="77AC3D39" w14:textId="77777777" w:rsidR="008D7AD9" w:rsidRDefault="00000000">
            <w:pPr>
              <w:spacing w:before="0" w:after="0"/>
              <w:ind w:firstLineChars="0" w:firstLine="0"/>
              <w:jc w:val="center"/>
            </w:pPr>
            <w:r>
              <w:rPr>
                <w:rFonts w:hint="eastAsia"/>
              </w:rPr>
              <w:t>4.157</w:t>
            </w:r>
          </w:p>
        </w:tc>
        <w:tc>
          <w:tcPr>
            <w:tcW w:w="712" w:type="pct"/>
            <w:shd w:val="clear" w:color="auto" w:fill="FFFFFF"/>
            <w:vAlign w:val="center"/>
          </w:tcPr>
          <w:p w14:paraId="25B5B483" w14:textId="77777777" w:rsidR="008D7AD9" w:rsidRDefault="00000000">
            <w:pPr>
              <w:spacing w:before="0" w:after="0"/>
              <w:ind w:firstLineChars="0" w:firstLine="0"/>
              <w:jc w:val="center"/>
            </w:pPr>
            <w:r>
              <w:rPr>
                <w:rFonts w:hint="eastAsia"/>
              </w:rPr>
              <w:t>5</w:t>
            </w:r>
          </w:p>
        </w:tc>
      </w:tr>
      <w:tr w:rsidR="008D7AD9" w14:paraId="71E38E54" w14:textId="77777777" w:rsidTr="008F22E8">
        <w:trPr>
          <w:trHeight w:val="23"/>
        </w:trPr>
        <w:tc>
          <w:tcPr>
            <w:tcW w:w="3546" w:type="pct"/>
            <w:shd w:val="clear" w:color="auto" w:fill="FFFFFF"/>
          </w:tcPr>
          <w:p w14:paraId="515F02CF" w14:textId="77777777" w:rsidR="008D7AD9" w:rsidRDefault="00000000">
            <w:pPr>
              <w:spacing w:before="0" w:after="0"/>
              <w:ind w:firstLineChars="0" w:firstLine="0"/>
            </w:pPr>
            <w:r>
              <w:rPr>
                <w:rFonts w:hint="eastAsia"/>
              </w:rPr>
              <w:t>多能互补电力供应与需求匹配良好</w:t>
            </w:r>
          </w:p>
        </w:tc>
        <w:tc>
          <w:tcPr>
            <w:tcW w:w="742" w:type="pct"/>
            <w:shd w:val="clear" w:color="auto" w:fill="FFFFFF"/>
            <w:vAlign w:val="center"/>
          </w:tcPr>
          <w:p w14:paraId="44FBB2AA" w14:textId="77777777" w:rsidR="008D7AD9" w:rsidRDefault="00000000">
            <w:pPr>
              <w:spacing w:before="0" w:after="0"/>
              <w:ind w:firstLineChars="0" w:firstLine="0"/>
              <w:jc w:val="center"/>
            </w:pPr>
            <w:r>
              <w:rPr>
                <w:rFonts w:hint="eastAsia"/>
              </w:rPr>
              <w:t>4.209</w:t>
            </w:r>
          </w:p>
        </w:tc>
        <w:tc>
          <w:tcPr>
            <w:tcW w:w="712" w:type="pct"/>
            <w:shd w:val="clear" w:color="auto" w:fill="FFFFFF"/>
            <w:vAlign w:val="center"/>
          </w:tcPr>
          <w:p w14:paraId="0701FA14" w14:textId="77777777" w:rsidR="008D7AD9" w:rsidRDefault="00000000">
            <w:pPr>
              <w:spacing w:before="0" w:after="0"/>
              <w:ind w:firstLineChars="0" w:firstLine="0"/>
              <w:jc w:val="center"/>
            </w:pPr>
            <w:r>
              <w:rPr>
                <w:rFonts w:hint="eastAsia"/>
              </w:rPr>
              <w:t>3</w:t>
            </w:r>
          </w:p>
        </w:tc>
      </w:tr>
      <w:tr w:rsidR="008D7AD9" w14:paraId="1934A2D5" w14:textId="77777777" w:rsidTr="008F22E8">
        <w:trPr>
          <w:trHeight w:val="23"/>
        </w:trPr>
        <w:tc>
          <w:tcPr>
            <w:tcW w:w="3546" w:type="pct"/>
            <w:shd w:val="clear" w:color="auto" w:fill="FFFFFF"/>
            <w:vAlign w:val="center"/>
          </w:tcPr>
          <w:p w14:paraId="41D82E24" w14:textId="77777777" w:rsidR="008D7AD9" w:rsidRDefault="00000000">
            <w:pPr>
              <w:spacing w:before="0" w:after="0"/>
              <w:ind w:firstLineChars="0" w:firstLine="0"/>
              <w:jc w:val="center"/>
              <w:rPr>
                <w:b/>
                <w:bCs/>
              </w:rPr>
            </w:pPr>
            <w:r>
              <w:rPr>
                <w:rFonts w:hint="eastAsia"/>
                <w:b/>
                <w:bCs/>
              </w:rPr>
              <w:t>C.</w:t>
            </w:r>
            <w:r>
              <w:rPr>
                <w:rFonts w:hint="eastAsia"/>
                <w:b/>
                <w:bCs/>
              </w:rPr>
              <w:t>支撑电网安全稳定运行</w:t>
            </w:r>
          </w:p>
        </w:tc>
        <w:tc>
          <w:tcPr>
            <w:tcW w:w="742" w:type="pct"/>
            <w:shd w:val="clear" w:color="auto" w:fill="FFFFFF"/>
            <w:vAlign w:val="center"/>
          </w:tcPr>
          <w:p w14:paraId="1D6EFE36" w14:textId="77777777" w:rsidR="008D7AD9" w:rsidRDefault="00000000">
            <w:pPr>
              <w:spacing w:before="0" w:after="0"/>
              <w:ind w:firstLineChars="0" w:firstLine="0"/>
              <w:jc w:val="center"/>
              <w:rPr>
                <w:b/>
                <w:bCs/>
              </w:rPr>
            </w:pPr>
            <w:r>
              <w:rPr>
                <w:rFonts w:hint="eastAsia"/>
                <w:b/>
                <w:bCs/>
              </w:rPr>
              <w:t>4.217</w:t>
            </w:r>
          </w:p>
        </w:tc>
        <w:tc>
          <w:tcPr>
            <w:tcW w:w="712" w:type="pct"/>
            <w:shd w:val="clear" w:color="auto" w:fill="FFFFFF"/>
            <w:vAlign w:val="center"/>
          </w:tcPr>
          <w:p w14:paraId="461B1D02" w14:textId="77777777" w:rsidR="008D7AD9" w:rsidRDefault="008D7AD9">
            <w:pPr>
              <w:spacing w:before="0" w:after="0"/>
              <w:ind w:firstLineChars="0" w:firstLine="0"/>
              <w:jc w:val="center"/>
              <w:rPr>
                <w:b/>
                <w:bCs/>
              </w:rPr>
            </w:pPr>
          </w:p>
        </w:tc>
      </w:tr>
      <w:tr w:rsidR="008D7AD9" w14:paraId="52CBF659" w14:textId="77777777" w:rsidTr="008F22E8">
        <w:trPr>
          <w:trHeight w:val="23"/>
        </w:trPr>
        <w:tc>
          <w:tcPr>
            <w:tcW w:w="3546" w:type="pct"/>
            <w:shd w:val="clear" w:color="auto" w:fill="FFFFFF"/>
          </w:tcPr>
          <w:p w14:paraId="13577556" w14:textId="77777777" w:rsidR="008D7AD9" w:rsidRDefault="00000000">
            <w:pPr>
              <w:spacing w:before="0" w:after="0"/>
              <w:ind w:firstLineChars="0" w:firstLine="0"/>
            </w:pPr>
            <w:r>
              <w:rPr>
                <w:rFonts w:hint="eastAsia"/>
              </w:rPr>
              <w:t>多能互补对电网安全稳定运行支撑能力强</w:t>
            </w:r>
          </w:p>
        </w:tc>
        <w:tc>
          <w:tcPr>
            <w:tcW w:w="742" w:type="pct"/>
            <w:shd w:val="clear" w:color="auto" w:fill="FFFFFF"/>
            <w:vAlign w:val="center"/>
          </w:tcPr>
          <w:p w14:paraId="1D3D2150" w14:textId="77777777" w:rsidR="008D7AD9" w:rsidRDefault="00000000">
            <w:pPr>
              <w:spacing w:before="0" w:after="0"/>
              <w:ind w:firstLineChars="0" w:firstLine="0"/>
              <w:jc w:val="center"/>
            </w:pPr>
            <w:r>
              <w:rPr>
                <w:rFonts w:hint="eastAsia"/>
              </w:rPr>
              <w:t>4.217</w:t>
            </w:r>
          </w:p>
        </w:tc>
        <w:tc>
          <w:tcPr>
            <w:tcW w:w="712" w:type="pct"/>
            <w:shd w:val="clear" w:color="auto" w:fill="FFFFFF"/>
            <w:vAlign w:val="center"/>
          </w:tcPr>
          <w:p w14:paraId="4D33AEF6" w14:textId="77777777" w:rsidR="008D7AD9" w:rsidRDefault="00000000">
            <w:pPr>
              <w:spacing w:before="0" w:after="0"/>
              <w:ind w:firstLineChars="0" w:firstLine="0"/>
              <w:jc w:val="center"/>
            </w:pPr>
            <w:r>
              <w:rPr>
                <w:rFonts w:hint="eastAsia"/>
              </w:rPr>
              <w:t>2</w:t>
            </w:r>
          </w:p>
        </w:tc>
      </w:tr>
      <w:tr w:rsidR="008D7AD9" w14:paraId="270ACCEF" w14:textId="77777777" w:rsidTr="008F22E8">
        <w:trPr>
          <w:trHeight w:val="23"/>
        </w:trPr>
        <w:tc>
          <w:tcPr>
            <w:tcW w:w="3546" w:type="pct"/>
            <w:shd w:val="clear" w:color="auto" w:fill="FFFFFF"/>
            <w:vAlign w:val="center"/>
          </w:tcPr>
          <w:p w14:paraId="75B68C25" w14:textId="77777777" w:rsidR="008D7AD9" w:rsidRDefault="00000000">
            <w:pPr>
              <w:spacing w:before="0" w:after="0"/>
              <w:ind w:firstLineChars="0" w:firstLine="0"/>
              <w:jc w:val="center"/>
              <w:rPr>
                <w:b/>
                <w:bCs/>
              </w:rPr>
            </w:pPr>
            <w:r>
              <w:rPr>
                <w:rFonts w:hint="eastAsia"/>
                <w:b/>
                <w:bCs/>
              </w:rPr>
              <w:t>D.</w:t>
            </w:r>
            <w:r>
              <w:rPr>
                <w:rFonts w:hint="eastAsia"/>
                <w:b/>
                <w:bCs/>
              </w:rPr>
              <w:t>电力输送通道充足</w:t>
            </w:r>
          </w:p>
        </w:tc>
        <w:tc>
          <w:tcPr>
            <w:tcW w:w="742" w:type="pct"/>
            <w:shd w:val="clear" w:color="auto" w:fill="FFFFFF"/>
            <w:vAlign w:val="center"/>
          </w:tcPr>
          <w:p w14:paraId="772B6325" w14:textId="77777777" w:rsidR="008D7AD9" w:rsidRDefault="00000000">
            <w:pPr>
              <w:spacing w:before="0" w:after="0"/>
              <w:ind w:firstLineChars="0" w:firstLine="0"/>
              <w:jc w:val="center"/>
              <w:rPr>
                <w:b/>
                <w:bCs/>
              </w:rPr>
            </w:pPr>
            <w:r>
              <w:rPr>
                <w:rFonts w:hint="eastAsia"/>
                <w:b/>
                <w:bCs/>
              </w:rPr>
              <w:t>4.074</w:t>
            </w:r>
          </w:p>
        </w:tc>
        <w:tc>
          <w:tcPr>
            <w:tcW w:w="712" w:type="pct"/>
            <w:shd w:val="clear" w:color="auto" w:fill="FFFFFF"/>
            <w:vAlign w:val="center"/>
          </w:tcPr>
          <w:p w14:paraId="56877E72" w14:textId="77777777" w:rsidR="008D7AD9" w:rsidRDefault="008D7AD9">
            <w:pPr>
              <w:spacing w:before="0" w:after="0"/>
              <w:ind w:firstLineChars="0" w:firstLine="0"/>
              <w:jc w:val="center"/>
              <w:rPr>
                <w:b/>
                <w:bCs/>
              </w:rPr>
            </w:pPr>
          </w:p>
        </w:tc>
      </w:tr>
      <w:tr w:rsidR="008D7AD9" w14:paraId="5E29485E" w14:textId="77777777" w:rsidTr="008F22E8">
        <w:trPr>
          <w:trHeight w:val="23"/>
        </w:trPr>
        <w:tc>
          <w:tcPr>
            <w:tcW w:w="3546" w:type="pct"/>
            <w:shd w:val="clear" w:color="auto" w:fill="FFFFFF"/>
          </w:tcPr>
          <w:p w14:paraId="6464A76B" w14:textId="77777777" w:rsidR="008D7AD9" w:rsidRDefault="00000000">
            <w:pPr>
              <w:spacing w:before="0" w:after="0"/>
              <w:ind w:firstLineChars="0" w:firstLine="0"/>
            </w:pPr>
            <w:r>
              <w:rPr>
                <w:rFonts w:hint="eastAsia"/>
              </w:rPr>
              <w:t>多能互补电力输送通道充足</w:t>
            </w:r>
          </w:p>
        </w:tc>
        <w:tc>
          <w:tcPr>
            <w:tcW w:w="742" w:type="pct"/>
            <w:shd w:val="clear" w:color="auto" w:fill="FFFFFF"/>
            <w:vAlign w:val="center"/>
          </w:tcPr>
          <w:p w14:paraId="04778F5D" w14:textId="77777777" w:rsidR="008D7AD9" w:rsidRDefault="00000000">
            <w:pPr>
              <w:spacing w:before="0" w:after="0"/>
              <w:ind w:firstLineChars="0" w:firstLine="0"/>
              <w:jc w:val="center"/>
            </w:pPr>
            <w:r>
              <w:rPr>
                <w:rFonts w:hint="eastAsia"/>
              </w:rPr>
              <w:t>4.074</w:t>
            </w:r>
          </w:p>
        </w:tc>
        <w:tc>
          <w:tcPr>
            <w:tcW w:w="712" w:type="pct"/>
            <w:shd w:val="clear" w:color="auto" w:fill="FFFFFF"/>
            <w:vAlign w:val="center"/>
          </w:tcPr>
          <w:p w14:paraId="79C38DF1" w14:textId="77777777" w:rsidR="008D7AD9" w:rsidRDefault="00000000">
            <w:pPr>
              <w:spacing w:before="0" w:after="0"/>
              <w:ind w:firstLineChars="0" w:firstLine="0"/>
              <w:jc w:val="center"/>
            </w:pPr>
            <w:r>
              <w:rPr>
                <w:rFonts w:hint="eastAsia"/>
              </w:rPr>
              <w:t>7</w:t>
            </w:r>
          </w:p>
        </w:tc>
      </w:tr>
      <w:tr w:rsidR="008D7AD9" w14:paraId="7D4C525C" w14:textId="77777777" w:rsidTr="008F22E8">
        <w:trPr>
          <w:trHeight w:val="23"/>
        </w:trPr>
        <w:tc>
          <w:tcPr>
            <w:tcW w:w="3546" w:type="pct"/>
            <w:shd w:val="clear" w:color="auto" w:fill="FFFFFF"/>
            <w:vAlign w:val="center"/>
          </w:tcPr>
          <w:p w14:paraId="70CA14B0" w14:textId="77777777" w:rsidR="008D7AD9" w:rsidRDefault="00000000">
            <w:pPr>
              <w:spacing w:before="0" w:after="0"/>
              <w:ind w:firstLineChars="0" w:firstLine="0"/>
              <w:jc w:val="center"/>
              <w:rPr>
                <w:b/>
                <w:bCs/>
              </w:rPr>
            </w:pPr>
            <w:r>
              <w:rPr>
                <w:rFonts w:hint="eastAsia"/>
                <w:b/>
                <w:bCs/>
              </w:rPr>
              <w:t>E.</w:t>
            </w:r>
            <w:r>
              <w:rPr>
                <w:rFonts w:hint="eastAsia"/>
                <w:b/>
                <w:bCs/>
              </w:rPr>
              <w:t>多能互补电源匹配良好</w:t>
            </w:r>
          </w:p>
        </w:tc>
        <w:tc>
          <w:tcPr>
            <w:tcW w:w="742" w:type="pct"/>
            <w:shd w:val="clear" w:color="auto" w:fill="FFFFFF"/>
            <w:vAlign w:val="center"/>
          </w:tcPr>
          <w:p w14:paraId="13889C46" w14:textId="77777777" w:rsidR="008D7AD9" w:rsidRDefault="00000000">
            <w:pPr>
              <w:spacing w:before="0" w:after="0"/>
              <w:ind w:firstLineChars="0" w:firstLine="0"/>
              <w:jc w:val="center"/>
              <w:rPr>
                <w:b/>
                <w:bCs/>
              </w:rPr>
            </w:pPr>
            <w:r>
              <w:rPr>
                <w:rFonts w:hint="eastAsia"/>
                <w:b/>
                <w:bCs/>
              </w:rPr>
              <w:t>4.043</w:t>
            </w:r>
          </w:p>
        </w:tc>
        <w:tc>
          <w:tcPr>
            <w:tcW w:w="712" w:type="pct"/>
            <w:shd w:val="clear" w:color="auto" w:fill="FFFFFF"/>
            <w:vAlign w:val="center"/>
          </w:tcPr>
          <w:p w14:paraId="7ADFF87A" w14:textId="77777777" w:rsidR="008D7AD9" w:rsidRDefault="008D7AD9">
            <w:pPr>
              <w:spacing w:before="0" w:after="0"/>
              <w:ind w:firstLineChars="0" w:firstLine="0"/>
              <w:jc w:val="center"/>
              <w:rPr>
                <w:b/>
                <w:bCs/>
              </w:rPr>
            </w:pPr>
          </w:p>
        </w:tc>
      </w:tr>
      <w:tr w:rsidR="008D7AD9" w14:paraId="1A67EF87" w14:textId="77777777" w:rsidTr="008F22E8">
        <w:trPr>
          <w:trHeight w:val="23"/>
        </w:trPr>
        <w:tc>
          <w:tcPr>
            <w:tcW w:w="3546" w:type="pct"/>
            <w:shd w:val="clear" w:color="auto" w:fill="FFFFFF"/>
          </w:tcPr>
          <w:p w14:paraId="74007EF1" w14:textId="77777777" w:rsidR="008D7AD9" w:rsidRDefault="00000000">
            <w:pPr>
              <w:spacing w:before="0" w:after="0"/>
              <w:ind w:firstLineChars="0" w:firstLine="0"/>
            </w:pPr>
            <w:r>
              <w:rPr>
                <w:rFonts w:hint="eastAsia"/>
              </w:rPr>
              <w:t>抽蓄电站所在区域多能互补电源匹配性良好</w:t>
            </w:r>
          </w:p>
        </w:tc>
        <w:tc>
          <w:tcPr>
            <w:tcW w:w="742" w:type="pct"/>
            <w:shd w:val="clear" w:color="auto" w:fill="FFFFFF"/>
            <w:vAlign w:val="center"/>
          </w:tcPr>
          <w:p w14:paraId="5212D691" w14:textId="77777777" w:rsidR="008D7AD9" w:rsidRDefault="00000000">
            <w:pPr>
              <w:spacing w:before="0" w:after="0"/>
              <w:ind w:firstLineChars="0" w:firstLine="0"/>
              <w:jc w:val="center"/>
            </w:pPr>
            <w:r>
              <w:rPr>
                <w:rFonts w:hint="eastAsia"/>
              </w:rPr>
              <w:t>4.043</w:t>
            </w:r>
          </w:p>
        </w:tc>
        <w:tc>
          <w:tcPr>
            <w:tcW w:w="712" w:type="pct"/>
            <w:shd w:val="clear" w:color="auto" w:fill="FFFFFF"/>
            <w:vAlign w:val="center"/>
          </w:tcPr>
          <w:p w14:paraId="37BE4B9F" w14:textId="77777777" w:rsidR="008D7AD9" w:rsidRDefault="00000000">
            <w:pPr>
              <w:spacing w:before="0" w:after="0"/>
              <w:ind w:firstLineChars="0" w:firstLine="0"/>
              <w:jc w:val="center"/>
            </w:pPr>
            <w:r>
              <w:rPr>
                <w:rFonts w:hint="eastAsia"/>
              </w:rPr>
              <w:t>8</w:t>
            </w:r>
          </w:p>
        </w:tc>
      </w:tr>
      <w:tr w:rsidR="008D7AD9" w14:paraId="521F3DD0" w14:textId="77777777" w:rsidTr="008F22E8">
        <w:trPr>
          <w:trHeight w:val="23"/>
        </w:trPr>
        <w:tc>
          <w:tcPr>
            <w:tcW w:w="3546" w:type="pct"/>
            <w:tcBorders>
              <w:bottom w:val="single" w:sz="12" w:space="0" w:color="000000"/>
            </w:tcBorders>
            <w:shd w:val="clear" w:color="auto" w:fill="FFFFFF"/>
            <w:vAlign w:val="center"/>
          </w:tcPr>
          <w:p w14:paraId="205CBC93" w14:textId="77777777" w:rsidR="008D7AD9" w:rsidRDefault="00000000">
            <w:pPr>
              <w:spacing w:before="0" w:after="0"/>
              <w:ind w:firstLineChars="0" w:firstLine="0"/>
              <w:jc w:val="center"/>
              <w:rPr>
                <w:b/>
                <w:bCs/>
              </w:rPr>
            </w:pPr>
            <w:r>
              <w:rPr>
                <w:rFonts w:hint="eastAsia"/>
                <w:b/>
                <w:bCs/>
              </w:rPr>
              <w:t>平均值</w:t>
            </w:r>
          </w:p>
        </w:tc>
        <w:tc>
          <w:tcPr>
            <w:tcW w:w="742" w:type="pct"/>
            <w:tcBorders>
              <w:bottom w:val="single" w:sz="12" w:space="0" w:color="000000"/>
            </w:tcBorders>
            <w:shd w:val="clear" w:color="auto" w:fill="FFFFFF"/>
            <w:vAlign w:val="center"/>
          </w:tcPr>
          <w:p w14:paraId="20BB2587" w14:textId="77777777" w:rsidR="008D7AD9" w:rsidRDefault="00000000">
            <w:pPr>
              <w:spacing w:before="0" w:after="0"/>
              <w:ind w:firstLineChars="0" w:firstLine="0"/>
              <w:jc w:val="center"/>
              <w:rPr>
                <w:b/>
                <w:bCs/>
              </w:rPr>
            </w:pPr>
            <w:r>
              <w:rPr>
                <w:rFonts w:hint="eastAsia"/>
                <w:b/>
                <w:bCs/>
              </w:rPr>
              <w:t>4.160</w:t>
            </w:r>
          </w:p>
        </w:tc>
        <w:tc>
          <w:tcPr>
            <w:tcW w:w="712" w:type="pct"/>
            <w:tcBorders>
              <w:bottom w:val="single" w:sz="12" w:space="0" w:color="000000"/>
            </w:tcBorders>
            <w:shd w:val="clear" w:color="auto" w:fill="FFFFFF"/>
            <w:vAlign w:val="center"/>
          </w:tcPr>
          <w:p w14:paraId="469B6284" w14:textId="77777777" w:rsidR="008D7AD9" w:rsidRDefault="008D7AD9">
            <w:pPr>
              <w:spacing w:before="0" w:after="0"/>
              <w:ind w:firstLineChars="0" w:firstLine="0"/>
              <w:jc w:val="center"/>
              <w:rPr>
                <w:b/>
                <w:bCs/>
              </w:rPr>
            </w:pPr>
          </w:p>
        </w:tc>
      </w:tr>
    </w:tbl>
    <w:p w14:paraId="139348EE" w14:textId="54CE4F3F" w:rsidR="008D7AD9" w:rsidRDefault="00000000">
      <w:pPr>
        <w:spacing w:beforeLines="50" w:before="156"/>
        <w:ind w:firstLine="420"/>
        <w:rPr>
          <w:rFonts w:cs="Times New Roman"/>
        </w:rPr>
      </w:pPr>
      <w:r>
        <w:rPr>
          <w:rFonts w:cs="Times New Roman" w:hint="eastAsia"/>
        </w:rPr>
        <w:t>如</w:t>
      </w:r>
      <w:r>
        <w:rPr>
          <w:rFonts w:cs="Times New Roman" w:hint="eastAsia"/>
        </w:rPr>
        <w:fldChar w:fldCharType="begin"/>
      </w:r>
      <w:r>
        <w:rPr>
          <w:rFonts w:cs="Times New Roman" w:hint="eastAsia"/>
        </w:rPr>
        <w:instrText xml:space="preserve"> REF _Ref816 \h </w:instrText>
      </w:r>
      <w:r>
        <w:rPr>
          <w:rFonts w:cs="Times New Roman" w:hint="eastAsia"/>
        </w:rPr>
      </w:r>
      <w:r>
        <w:rPr>
          <w:rFonts w:cs="Times New Roman" w:hint="eastAsia"/>
        </w:rPr>
        <w:fldChar w:fldCharType="separate"/>
      </w:r>
      <w:r w:rsidR="00B1714C">
        <w:t>表</w:t>
      </w:r>
      <w:r w:rsidR="00B1714C">
        <w:t xml:space="preserve"> </w:t>
      </w:r>
      <w:r w:rsidR="00B1714C">
        <w:rPr>
          <w:rFonts w:hint="eastAsia"/>
          <w:noProof/>
        </w:rPr>
        <w:t>1</w:t>
      </w:r>
      <w:r>
        <w:rPr>
          <w:rFonts w:cs="Times New Roman" w:hint="eastAsia"/>
        </w:rPr>
        <w:fldChar w:fldCharType="end"/>
      </w:r>
      <w:r>
        <w:rPr>
          <w:rFonts w:cs="Times New Roman" w:hint="eastAsia"/>
        </w:rPr>
        <w:t>所示，抽蓄电站在调节功能、电网安全支撑、电力供需匹配方面作用突出，是其参与多能互补的核心价值。但电力输送通道充足性和电源匹配性仍需提升，区域协同性不足及输电通道仍会制约多能互补实施。</w:t>
      </w:r>
    </w:p>
    <w:p w14:paraId="14618950" w14:textId="77777777" w:rsidR="008D7AD9" w:rsidRDefault="00000000">
      <w:pPr>
        <w:ind w:firstLine="422"/>
        <w:rPr>
          <w:rFonts w:cs="Times New Roman"/>
          <w:b/>
          <w:bCs/>
        </w:rPr>
      </w:pPr>
      <w:r>
        <w:rPr>
          <w:rFonts w:cs="Times New Roman" w:hint="eastAsia"/>
          <w:b/>
          <w:bCs/>
        </w:rPr>
        <w:t>3</w:t>
      </w:r>
      <w:r>
        <w:rPr>
          <w:rFonts w:cs="Times New Roman"/>
          <w:b/>
          <w:bCs/>
        </w:rPr>
        <w:t xml:space="preserve">.2 </w:t>
      </w:r>
      <w:r>
        <w:rPr>
          <w:rFonts w:cs="Times New Roman" w:hint="eastAsia"/>
          <w:b/>
          <w:bCs/>
        </w:rPr>
        <w:t>整体条件</w:t>
      </w:r>
    </w:p>
    <w:p w14:paraId="7CDD7409" w14:textId="369A44B2" w:rsidR="008D7AD9" w:rsidRDefault="00000000">
      <w:pPr>
        <w:ind w:firstLine="420"/>
        <w:rPr>
          <w:rFonts w:cs="Times New Roman"/>
        </w:rPr>
      </w:pPr>
      <w:r>
        <w:rPr>
          <w:rFonts w:ascii="宋体" w:hAnsi="宋体" w:cs="Times New Roman" w:hint="eastAsia"/>
        </w:rPr>
        <w:t>抽水蓄能行业整体情况如</w:t>
      </w:r>
      <w:r w:rsidR="00316F81">
        <w:rPr>
          <w:rFonts w:ascii="宋体" w:hAnsi="宋体" w:cs="Times New Roman" w:hint="eastAsia"/>
        </w:rPr>
        <w:fldChar w:fldCharType="begin"/>
      </w:r>
      <w:r w:rsidR="00316F81">
        <w:rPr>
          <w:rFonts w:ascii="宋体" w:hAnsi="宋体" w:cs="Times New Roman" w:hint="eastAsia"/>
        </w:rPr>
        <w:instrText xml:space="preserve"> REF _Ref199254837 \h </w:instrText>
      </w:r>
      <w:r w:rsidR="00316F81">
        <w:rPr>
          <w:rFonts w:ascii="宋体" w:hAnsi="宋体" w:cs="Times New Roman" w:hint="eastAsia"/>
        </w:rPr>
      </w:r>
      <w:r w:rsidR="00316F81">
        <w:rPr>
          <w:rFonts w:ascii="宋体" w:hAnsi="宋体" w:cs="Times New Roman" w:hint="eastAsia"/>
        </w:rPr>
        <w:fldChar w:fldCharType="separate"/>
      </w:r>
      <w:r w:rsidR="00B1714C">
        <w:t>表</w:t>
      </w:r>
      <w:r w:rsidR="00B1714C">
        <w:t xml:space="preserve"> </w:t>
      </w:r>
      <w:r w:rsidR="00B1714C">
        <w:rPr>
          <w:noProof/>
        </w:rPr>
        <w:t>2</w:t>
      </w:r>
      <w:r w:rsidR="00316F81">
        <w:rPr>
          <w:rFonts w:ascii="宋体" w:hAnsi="宋体" w:cs="Times New Roman" w:hint="eastAsia"/>
        </w:rPr>
        <w:fldChar w:fldCharType="end"/>
      </w:r>
      <w:r>
        <w:rPr>
          <w:rFonts w:ascii="宋体" w:hAnsi="宋体" w:cs="Times New Roman" w:hint="eastAsia"/>
        </w:rPr>
        <w:t>所示。其中，1分代表非常不符合，5分代表非常符合。</w:t>
      </w:r>
    </w:p>
    <w:p w14:paraId="56B98364" w14:textId="1B20FE9D" w:rsidR="008D7AD9" w:rsidRDefault="00000000">
      <w:pPr>
        <w:pStyle w:val="affb"/>
      </w:pPr>
      <w:bookmarkStart w:id="5" w:name="_Ref199254837"/>
      <w:r>
        <w:t>表</w:t>
      </w:r>
      <w:r>
        <w:t xml:space="preserve"> </w:t>
      </w:r>
      <w:r>
        <w:fldChar w:fldCharType="begin"/>
      </w:r>
      <w:r>
        <w:instrText xml:space="preserve"> SEQ </w:instrText>
      </w:r>
      <w:r>
        <w:instrText>表</w:instrText>
      </w:r>
      <w:r>
        <w:instrText xml:space="preserve"> \* ARABIC </w:instrText>
      </w:r>
      <w:r>
        <w:fldChar w:fldCharType="separate"/>
      </w:r>
      <w:r w:rsidR="00B1714C">
        <w:rPr>
          <w:noProof/>
        </w:rPr>
        <w:t>2</w:t>
      </w:r>
      <w:r>
        <w:fldChar w:fldCharType="end"/>
      </w:r>
      <w:bookmarkEnd w:id="5"/>
      <w:r>
        <w:rPr>
          <w:rFonts w:hint="eastAsia"/>
        </w:rPr>
        <w:t xml:space="preserve"> </w:t>
      </w:r>
      <w:r>
        <w:rPr>
          <w:rFonts w:hint="eastAsia"/>
        </w:rPr>
        <w:t>抽水蓄能整体条件情况</w:t>
      </w:r>
    </w:p>
    <w:tbl>
      <w:tblPr>
        <w:tblStyle w:val="110"/>
        <w:tblW w:w="4998" w:type="pct"/>
        <w:tblLook w:val="04A0" w:firstRow="1" w:lastRow="0" w:firstColumn="1" w:lastColumn="0" w:noHBand="0" w:noVBand="1"/>
      </w:tblPr>
      <w:tblGrid>
        <w:gridCol w:w="3228"/>
        <w:gridCol w:w="842"/>
        <w:gridCol w:w="778"/>
      </w:tblGrid>
      <w:tr w:rsidR="008D7AD9" w14:paraId="651A840A" w14:textId="77777777" w:rsidTr="008D7AD9">
        <w:trPr>
          <w:cnfStyle w:val="100000000000" w:firstRow="1" w:lastRow="0" w:firstColumn="0" w:lastColumn="0" w:oddVBand="0" w:evenVBand="0" w:oddHBand="0" w:evenHBand="0" w:firstRowFirstColumn="0" w:firstRowLastColumn="0" w:lastRowFirstColumn="0" w:lastRowLastColumn="0"/>
          <w:trHeight w:val="23"/>
        </w:trPr>
        <w:tc>
          <w:tcPr>
            <w:tcW w:w="3329" w:type="pct"/>
            <w:tcBorders>
              <w:top w:val="single" w:sz="12" w:space="0" w:color="000000"/>
              <w:bottom w:val="single" w:sz="4" w:space="0" w:color="000000"/>
            </w:tcBorders>
            <w:shd w:val="clear" w:color="auto" w:fill="FFFFFF"/>
            <w:vAlign w:val="center"/>
          </w:tcPr>
          <w:p w14:paraId="25F27290" w14:textId="77777777" w:rsidR="008D7AD9" w:rsidRDefault="00000000">
            <w:pPr>
              <w:spacing w:before="0" w:after="0"/>
              <w:ind w:firstLineChars="0" w:firstLine="0"/>
              <w:jc w:val="center"/>
              <w:rPr>
                <w:bCs/>
              </w:rPr>
            </w:pPr>
            <w:r>
              <w:rPr>
                <w:rFonts w:hint="eastAsia"/>
                <w:bCs/>
              </w:rPr>
              <w:t>指标</w:t>
            </w:r>
          </w:p>
        </w:tc>
        <w:tc>
          <w:tcPr>
            <w:tcW w:w="868" w:type="pct"/>
            <w:tcBorders>
              <w:top w:val="single" w:sz="12" w:space="0" w:color="000000"/>
              <w:bottom w:val="single" w:sz="4" w:space="0" w:color="000000"/>
            </w:tcBorders>
            <w:shd w:val="clear" w:color="auto" w:fill="FFFFFF"/>
            <w:vAlign w:val="center"/>
          </w:tcPr>
          <w:p w14:paraId="6121D2FB" w14:textId="77777777" w:rsidR="008D7AD9" w:rsidRDefault="00000000">
            <w:pPr>
              <w:spacing w:before="0" w:after="0"/>
              <w:ind w:firstLineChars="0" w:firstLine="0"/>
              <w:jc w:val="center"/>
              <w:rPr>
                <w:bCs/>
              </w:rPr>
            </w:pPr>
            <w:r>
              <w:rPr>
                <w:rFonts w:hint="eastAsia"/>
                <w:bCs/>
              </w:rPr>
              <w:t>得分</w:t>
            </w:r>
          </w:p>
        </w:tc>
        <w:tc>
          <w:tcPr>
            <w:tcW w:w="802" w:type="pct"/>
            <w:tcBorders>
              <w:top w:val="single" w:sz="12" w:space="0" w:color="000000"/>
              <w:bottom w:val="single" w:sz="4" w:space="0" w:color="000000"/>
            </w:tcBorders>
            <w:shd w:val="clear" w:color="auto" w:fill="FFFFFF"/>
            <w:vAlign w:val="center"/>
          </w:tcPr>
          <w:p w14:paraId="69A7CAC3" w14:textId="77777777" w:rsidR="008D7AD9" w:rsidRDefault="00000000">
            <w:pPr>
              <w:spacing w:before="0" w:after="0"/>
              <w:ind w:firstLineChars="0" w:firstLine="0"/>
              <w:jc w:val="center"/>
              <w:rPr>
                <w:bCs/>
              </w:rPr>
            </w:pPr>
            <w:r>
              <w:rPr>
                <w:rFonts w:hint="eastAsia"/>
                <w:bCs/>
              </w:rPr>
              <w:t>排序</w:t>
            </w:r>
          </w:p>
        </w:tc>
      </w:tr>
      <w:tr w:rsidR="008D7AD9" w14:paraId="5B6C0966" w14:textId="77777777" w:rsidTr="008D7AD9">
        <w:trPr>
          <w:trHeight w:val="23"/>
        </w:trPr>
        <w:tc>
          <w:tcPr>
            <w:tcW w:w="3329" w:type="pct"/>
            <w:tcBorders>
              <w:top w:val="single" w:sz="4" w:space="0" w:color="000000"/>
            </w:tcBorders>
            <w:shd w:val="clear" w:color="auto" w:fill="FFFFFF"/>
            <w:vAlign w:val="center"/>
          </w:tcPr>
          <w:p w14:paraId="45484E5F" w14:textId="77777777" w:rsidR="008D7AD9" w:rsidRDefault="00000000">
            <w:pPr>
              <w:spacing w:before="0" w:after="0"/>
              <w:ind w:firstLineChars="0" w:firstLine="0"/>
              <w:jc w:val="center"/>
            </w:pPr>
            <w:r>
              <w:rPr>
                <w:rFonts w:hint="eastAsia"/>
              </w:rPr>
              <w:t>政策支持充分</w:t>
            </w:r>
          </w:p>
        </w:tc>
        <w:tc>
          <w:tcPr>
            <w:tcW w:w="868" w:type="pct"/>
            <w:tcBorders>
              <w:top w:val="single" w:sz="4" w:space="0" w:color="000000"/>
            </w:tcBorders>
            <w:shd w:val="clear" w:color="auto" w:fill="FFFFFF"/>
            <w:vAlign w:val="center"/>
          </w:tcPr>
          <w:p w14:paraId="01F36B15" w14:textId="77777777" w:rsidR="008D7AD9" w:rsidRDefault="00000000">
            <w:pPr>
              <w:spacing w:before="0" w:after="0"/>
              <w:ind w:firstLineChars="0" w:firstLine="0"/>
              <w:jc w:val="center"/>
            </w:pPr>
            <w:r>
              <w:rPr>
                <w:rFonts w:hint="eastAsia"/>
              </w:rPr>
              <w:t>4.374</w:t>
            </w:r>
          </w:p>
        </w:tc>
        <w:tc>
          <w:tcPr>
            <w:tcW w:w="802" w:type="pct"/>
            <w:tcBorders>
              <w:top w:val="single" w:sz="4" w:space="0" w:color="000000"/>
            </w:tcBorders>
            <w:shd w:val="clear" w:color="auto" w:fill="FFFFFF"/>
            <w:vAlign w:val="center"/>
          </w:tcPr>
          <w:p w14:paraId="725FAC90" w14:textId="77777777" w:rsidR="008D7AD9" w:rsidRDefault="00000000">
            <w:pPr>
              <w:spacing w:before="0" w:after="0"/>
              <w:ind w:firstLineChars="0" w:firstLine="0"/>
              <w:jc w:val="center"/>
            </w:pPr>
            <w:r>
              <w:rPr>
                <w:rFonts w:hint="eastAsia"/>
              </w:rPr>
              <w:t>1</w:t>
            </w:r>
          </w:p>
        </w:tc>
      </w:tr>
      <w:tr w:rsidR="008D7AD9" w14:paraId="72D378DC" w14:textId="77777777" w:rsidTr="008D7AD9">
        <w:trPr>
          <w:trHeight w:val="23"/>
        </w:trPr>
        <w:tc>
          <w:tcPr>
            <w:tcW w:w="3329" w:type="pct"/>
            <w:shd w:val="clear" w:color="auto" w:fill="FFFFFF"/>
            <w:vAlign w:val="center"/>
          </w:tcPr>
          <w:p w14:paraId="5AB16CFD" w14:textId="77777777" w:rsidR="008D7AD9" w:rsidRDefault="00000000">
            <w:pPr>
              <w:spacing w:before="0" w:after="0"/>
              <w:ind w:firstLineChars="0" w:firstLine="0"/>
              <w:jc w:val="center"/>
            </w:pPr>
            <w:r>
              <w:rPr>
                <w:rFonts w:hint="eastAsia"/>
              </w:rPr>
              <w:t>抽蓄行业技术水平先进</w:t>
            </w:r>
          </w:p>
        </w:tc>
        <w:tc>
          <w:tcPr>
            <w:tcW w:w="868" w:type="pct"/>
            <w:shd w:val="clear" w:color="auto" w:fill="FFFFFF"/>
            <w:vAlign w:val="center"/>
          </w:tcPr>
          <w:p w14:paraId="63AF0511" w14:textId="77777777" w:rsidR="008D7AD9" w:rsidRDefault="00000000">
            <w:pPr>
              <w:spacing w:before="0" w:after="0"/>
              <w:ind w:firstLineChars="0" w:firstLine="0"/>
              <w:jc w:val="center"/>
            </w:pPr>
            <w:r>
              <w:rPr>
                <w:rFonts w:hint="eastAsia"/>
              </w:rPr>
              <w:t>4.361</w:t>
            </w:r>
          </w:p>
        </w:tc>
        <w:tc>
          <w:tcPr>
            <w:tcW w:w="802" w:type="pct"/>
            <w:shd w:val="clear" w:color="auto" w:fill="FFFFFF"/>
            <w:vAlign w:val="center"/>
          </w:tcPr>
          <w:p w14:paraId="4C62513D" w14:textId="77777777" w:rsidR="008D7AD9" w:rsidRDefault="00000000">
            <w:pPr>
              <w:spacing w:before="0" w:after="0"/>
              <w:ind w:firstLineChars="0" w:firstLine="0"/>
              <w:jc w:val="center"/>
            </w:pPr>
            <w:r>
              <w:rPr>
                <w:rFonts w:hint="eastAsia"/>
              </w:rPr>
              <w:t>2</w:t>
            </w:r>
          </w:p>
        </w:tc>
      </w:tr>
      <w:tr w:rsidR="008D7AD9" w14:paraId="077DB6DB" w14:textId="77777777" w:rsidTr="008D7AD9">
        <w:trPr>
          <w:trHeight w:val="23"/>
        </w:trPr>
        <w:tc>
          <w:tcPr>
            <w:tcW w:w="3329" w:type="pct"/>
            <w:shd w:val="clear" w:color="auto" w:fill="FFFFFF"/>
            <w:vAlign w:val="center"/>
          </w:tcPr>
          <w:p w14:paraId="35D078BF" w14:textId="77777777" w:rsidR="008D7AD9" w:rsidRDefault="00000000">
            <w:pPr>
              <w:spacing w:before="0" w:after="0"/>
              <w:ind w:firstLineChars="0" w:firstLine="0"/>
              <w:jc w:val="center"/>
            </w:pPr>
            <w:r>
              <w:rPr>
                <w:rFonts w:hint="eastAsia"/>
              </w:rPr>
              <w:t>抽蓄开发匹配新能源发展</w:t>
            </w:r>
          </w:p>
        </w:tc>
        <w:tc>
          <w:tcPr>
            <w:tcW w:w="868" w:type="pct"/>
            <w:shd w:val="clear" w:color="auto" w:fill="FFFFFF"/>
            <w:vAlign w:val="center"/>
          </w:tcPr>
          <w:p w14:paraId="19B515B9" w14:textId="77777777" w:rsidR="008D7AD9" w:rsidRDefault="00000000">
            <w:pPr>
              <w:spacing w:before="0" w:after="0"/>
              <w:ind w:firstLineChars="0" w:firstLine="0"/>
              <w:jc w:val="center"/>
            </w:pPr>
            <w:r>
              <w:rPr>
                <w:rFonts w:hint="eastAsia"/>
              </w:rPr>
              <w:t>4.317</w:t>
            </w:r>
          </w:p>
        </w:tc>
        <w:tc>
          <w:tcPr>
            <w:tcW w:w="802" w:type="pct"/>
            <w:shd w:val="clear" w:color="auto" w:fill="FFFFFF"/>
            <w:vAlign w:val="center"/>
          </w:tcPr>
          <w:p w14:paraId="530F27FB" w14:textId="77777777" w:rsidR="008D7AD9" w:rsidRDefault="00000000">
            <w:pPr>
              <w:spacing w:before="0" w:after="0"/>
              <w:ind w:firstLineChars="0" w:firstLine="0"/>
              <w:jc w:val="center"/>
            </w:pPr>
            <w:r>
              <w:rPr>
                <w:rFonts w:hint="eastAsia"/>
              </w:rPr>
              <w:t>3</w:t>
            </w:r>
          </w:p>
        </w:tc>
      </w:tr>
      <w:tr w:rsidR="008D7AD9" w14:paraId="5082C00C" w14:textId="77777777" w:rsidTr="008D7AD9">
        <w:trPr>
          <w:trHeight w:val="23"/>
        </w:trPr>
        <w:tc>
          <w:tcPr>
            <w:tcW w:w="3329" w:type="pct"/>
            <w:shd w:val="clear" w:color="auto" w:fill="FFFFFF"/>
            <w:vAlign w:val="center"/>
          </w:tcPr>
          <w:p w14:paraId="7CDCADE5" w14:textId="77777777" w:rsidR="008D7AD9" w:rsidRDefault="00000000">
            <w:pPr>
              <w:spacing w:before="0" w:after="0"/>
              <w:ind w:firstLineChars="0" w:firstLine="0"/>
              <w:jc w:val="center"/>
            </w:pPr>
            <w:r>
              <w:rPr>
                <w:rFonts w:hint="eastAsia"/>
              </w:rPr>
              <w:t>抽蓄电站投资保障机制健全</w:t>
            </w:r>
          </w:p>
        </w:tc>
        <w:tc>
          <w:tcPr>
            <w:tcW w:w="868" w:type="pct"/>
            <w:shd w:val="clear" w:color="auto" w:fill="FFFFFF"/>
            <w:vAlign w:val="center"/>
          </w:tcPr>
          <w:p w14:paraId="39082F31" w14:textId="77777777" w:rsidR="008D7AD9" w:rsidRDefault="00000000">
            <w:pPr>
              <w:spacing w:before="0" w:after="0"/>
              <w:ind w:firstLineChars="0" w:firstLine="0"/>
              <w:jc w:val="center"/>
            </w:pPr>
            <w:r>
              <w:rPr>
                <w:rFonts w:hint="eastAsia"/>
              </w:rPr>
              <w:t>4.313</w:t>
            </w:r>
          </w:p>
        </w:tc>
        <w:tc>
          <w:tcPr>
            <w:tcW w:w="802" w:type="pct"/>
            <w:shd w:val="clear" w:color="auto" w:fill="FFFFFF"/>
            <w:vAlign w:val="center"/>
          </w:tcPr>
          <w:p w14:paraId="0A072E2A" w14:textId="77777777" w:rsidR="008D7AD9" w:rsidRDefault="00000000">
            <w:pPr>
              <w:spacing w:before="0" w:after="0"/>
              <w:ind w:firstLineChars="0" w:firstLine="0"/>
              <w:jc w:val="center"/>
            </w:pPr>
            <w:r>
              <w:rPr>
                <w:rFonts w:hint="eastAsia"/>
              </w:rPr>
              <w:t>4</w:t>
            </w:r>
          </w:p>
        </w:tc>
      </w:tr>
      <w:tr w:rsidR="008D7AD9" w14:paraId="702088E6" w14:textId="77777777" w:rsidTr="008D7AD9">
        <w:trPr>
          <w:trHeight w:val="23"/>
        </w:trPr>
        <w:tc>
          <w:tcPr>
            <w:tcW w:w="3329" w:type="pct"/>
            <w:shd w:val="clear" w:color="auto" w:fill="FFFFFF"/>
            <w:vAlign w:val="center"/>
          </w:tcPr>
          <w:p w14:paraId="430E6E71" w14:textId="77777777" w:rsidR="008D7AD9" w:rsidRDefault="00000000">
            <w:pPr>
              <w:spacing w:before="0" w:after="0"/>
              <w:ind w:firstLineChars="0" w:firstLine="0"/>
              <w:jc w:val="center"/>
            </w:pPr>
            <w:r>
              <w:rPr>
                <w:rFonts w:hint="eastAsia"/>
              </w:rPr>
              <w:t>抽水蓄能全产业链健全</w:t>
            </w:r>
          </w:p>
        </w:tc>
        <w:tc>
          <w:tcPr>
            <w:tcW w:w="868" w:type="pct"/>
            <w:shd w:val="clear" w:color="auto" w:fill="FFFFFF"/>
            <w:vAlign w:val="center"/>
          </w:tcPr>
          <w:p w14:paraId="1BAFB5FA" w14:textId="77777777" w:rsidR="008D7AD9" w:rsidRDefault="00000000">
            <w:pPr>
              <w:spacing w:before="0" w:after="0"/>
              <w:ind w:firstLineChars="0" w:firstLine="0"/>
              <w:jc w:val="center"/>
            </w:pPr>
            <w:r>
              <w:rPr>
                <w:rFonts w:hint="eastAsia"/>
              </w:rPr>
              <w:t>4.265</w:t>
            </w:r>
          </w:p>
        </w:tc>
        <w:tc>
          <w:tcPr>
            <w:tcW w:w="802" w:type="pct"/>
            <w:shd w:val="clear" w:color="auto" w:fill="FFFFFF"/>
            <w:vAlign w:val="center"/>
          </w:tcPr>
          <w:p w14:paraId="3EE4F1E4" w14:textId="77777777" w:rsidR="008D7AD9" w:rsidRDefault="00000000">
            <w:pPr>
              <w:spacing w:before="0" w:after="0"/>
              <w:ind w:firstLineChars="0" w:firstLine="0"/>
              <w:jc w:val="center"/>
            </w:pPr>
            <w:r>
              <w:rPr>
                <w:rFonts w:hint="eastAsia"/>
              </w:rPr>
              <w:t>5</w:t>
            </w:r>
          </w:p>
        </w:tc>
      </w:tr>
      <w:tr w:rsidR="008D7AD9" w14:paraId="3F2B0406" w14:textId="77777777" w:rsidTr="008D7AD9">
        <w:trPr>
          <w:trHeight w:val="23"/>
        </w:trPr>
        <w:tc>
          <w:tcPr>
            <w:tcW w:w="3329" w:type="pct"/>
            <w:shd w:val="clear" w:color="auto" w:fill="FFFFFF"/>
            <w:vAlign w:val="center"/>
          </w:tcPr>
          <w:p w14:paraId="2B30CDED" w14:textId="77777777" w:rsidR="008D7AD9" w:rsidRDefault="00000000">
            <w:pPr>
              <w:spacing w:before="0" w:after="0"/>
              <w:ind w:firstLineChars="0" w:firstLine="0"/>
              <w:jc w:val="center"/>
            </w:pPr>
            <w:r>
              <w:rPr>
                <w:rFonts w:hint="eastAsia"/>
              </w:rPr>
              <w:t>抽蓄需求空间大</w:t>
            </w:r>
          </w:p>
        </w:tc>
        <w:tc>
          <w:tcPr>
            <w:tcW w:w="868" w:type="pct"/>
            <w:shd w:val="clear" w:color="auto" w:fill="FFFFFF"/>
            <w:vAlign w:val="center"/>
          </w:tcPr>
          <w:p w14:paraId="0A58C602" w14:textId="77777777" w:rsidR="008D7AD9" w:rsidRDefault="00000000">
            <w:pPr>
              <w:spacing w:before="0" w:after="0"/>
              <w:ind w:firstLineChars="0" w:firstLine="0"/>
              <w:jc w:val="center"/>
            </w:pPr>
            <w:r>
              <w:rPr>
                <w:rFonts w:hint="eastAsia"/>
              </w:rPr>
              <w:t>4.235</w:t>
            </w:r>
          </w:p>
        </w:tc>
        <w:tc>
          <w:tcPr>
            <w:tcW w:w="802" w:type="pct"/>
            <w:shd w:val="clear" w:color="auto" w:fill="FFFFFF"/>
            <w:vAlign w:val="center"/>
          </w:tcPr>
          <w:p w14:paraId="0AB0E417" w14:textId="77777777" w:rsidR="008D7AD9" w:rsidRDefault="00000000">
            <w:pPr>
              <w:spacing w:before="0" w:after="0"/>
              <w:ind w:firstLineChars="0" w:firstLine="0"/>
              <w:jc w:val="center"/>
            </w:pPr>
            <w:r>
              <w:rPr>
                <w:rFonts w:hint="eastAsia"/>
              </w:rPr>
              <w:t>6</w:t>
            </w:r>
          </w:p>
        </w:tc>
      </w:tr>
      <w:tr w:rsidR="008D7AD9" w14:paraId="1F8442A6" w14:textId="77777777" w:rsidTr="008D7AD9">
        <w:trPr>
          <w:trHeight w:val="23"/>
        </w:trPr>
        <w:tc>
          <w:tcPr>
            <w:tcW w:w="3329" w:type="pct"/>
            <w:tcBorders>
              <w:bottom w:val="single" w:sz="12" w:space="0" w:color="000000"/>
            </w:tcBorders>
            <w:shd w:val="clear" w:color="auto" w:fill="FFFFFF"/>
            <w:vAlign w:val="center"/>
          </w:tcPr>
          <w:p w14:paraId="70462076" w14:textId="77777777" w:rsidR="008D7AD9" w:rsidRDefault="00000000">
            <w:pPr>
              <w:spacing w:before="0" w:after="0"/>
              <w:ind w:firstLineChars="0" w:firstLine="0"/>
              <w:jc w:val="center"/>
              <w:rPr>
                <w:b/>
                <w:bCs/>
              </w:rPr>
            </w:pPr>
            <w:r>
              <w:rPr>
                <w:rFonts w:hint="eastAsia"/>
                <w:b/>
                <w:bCs/>
              </w:rPr>
              <w:t>平均值</w:t>
            </w:r>
          </w:p>
        </w:tc>
        <w:tc>
          <w:tcPr>
            <w:tcW w:w="868" w:type="pct"/>
            <w:tcBorders>
              <w:bottom w:val="single" w:sz="12" w:space="0" w:color="000000"/>
            </w:tcBorders>
            <w:shd w:val="clear" w:color="auto" w:fill="FFFFFF"/>
            <w:vAlign w:val="center"/>
          </w:tcPr>
          <w:p w14:paraId="4D58373E" w14:textId="77777777" w:rsidR="008D7AD9" w:rsidRDefault="00000000">
            <w:pPr>
              <w:spacing w:before="0" w:after="0"/>
              <w:ind w:firstLineChars="0" w:firstLine="0"/>
              <w:jc w:val="center"/>
              <w:rPr>
                <w:b/>
                <w:bCs/>
              </w:rPr>
            </w:pPr>
            <w:r>
              <w:rPr>
                <w:rFonts w:hint="eastAsia"/>
                <w:b/>
                <w:bCs/>
              </w:rPr>
              <w:t>4.311</w:t>
            </w:r>
          </w:p>
        </w:tc>
        <w:tc>
          <w:tcPr>
            <w:tcW w:w="802" w:type="pct"/>
            <w:tcBorders>
              <w:bottom w:val="single" w:sz="12" w:space="0" w:color="000000"/>
            </w:tcBorders>
            <w:shd w:val="clear" w:color="auto" w:fill="FFFFFF"/>
            <w:vAlign w:val="center"/>
          </w:tcPr>
          <w:p w14:paraId="4C4C2069" w14:textId="77777777" w:rsidR="008D7AD9" w:rsidRDefault="008D7AD9">
            <w:pPr>
              <w:spacing w:before="0" w:after="0"/>
              <w:ind w:firstLineChars="0" w:firstLine="0"/>
              <w:jc w:val="center"/>
              <w:rPr>
                <w:b/>
                <w:bCs/>
              </w:rPr>
            </w:pPr>
          </w:p>
        </w:tc>
      </w:tr>
    </w:tbl>
    <w:p w14:paraId="2FFDA05D" w14:textId="56F372D9" w:rsidR="008D7AD9" w:rsidRDefault="00000000">
      <w:pPr>
        <w:spacing w:beforeLines="50" w:before="156"/>
        <w:ind w:firstLine="420"/>
        <w:rPr>
          <w:rFonts w:cs="Times New Roman"/>
        </w:rPr>
      </w:pPr>
      <w:r>
        <w:rPr>
          <w:rFonts w:cs="Times New Roman" w:hint="eastAsia"/>
        </w:rPr>
        <w:t>如</w:t>
      </w:r>
      <w:r w:rsidR="00316F81">
        <w:rPr>
          <w:rFonts w:cs="Times New Roman"/>
        </w:rPr>
        <w:fldChar w:fldCharType="begin"/>
      </w:r>
      <w:r w:rsidR="00316F81">
        <w:rPr>
          <w:rFonts w:cs="Times New Roman"/>
        </w:rPr>
        <w:instrText xml:space="preserve"> </w:instrText>
      </w:r>
      <w:r w:rsidR="00316F81">
        <w:rPr>
          <w:rFonts w:cs="Times New Roman" w:hint="eastAsia"/>
        </w:rPr>
        <w:instrText>REF _Ref199254837 \h</w:instrText>
      </w:r>
      <w:r w:rsidR="00316F81">
        <w:rPr>
          <w:rFonts w:cs="Times New Roman"/>
        </w:rPr>
        <w:instrText xml:space="preserve"> </w:instrText>
      </w:r>
      <w:r w:rsidR="00316F81">
        <w:rPr>
          <w:rFonts w:cs="Times New Roman"/>
        </w:rPr>
      </w:r>
      <w:r w:rsidR="00316F81">
        <w:rPr>
          <w:rFonts w:cs="Times New Roman"/>
        </w:rPr>
        <w:fldChar w:fldCharType="separate"/>
      </w:r>
      <w:r w:rsidR="00B1714C">
        <w:t>表</w:t>
      </w:r>
      <w:r w:rsidR="00B1714C">
        <w:t xml:space="preserve"> </w:t>
      </w:r>
      <w:r w:rsidR="00B1714C">
        <w:rPr>
          <w:noProof/>
        </w:rPr>
        <w:t>2</w:t>
      </w:r>
      <w:r w:rsidR="00316F81">
        <w:rPr>
          <w:rFonts w:cs="Times New Roman"/>
        </w:rPr>
        <w:fldChar w:fldCharType="end"/>
      </w:r>
      <w:r>
        <w:rPr>
          <w:rFonts w:cs="Times New Roman" w:hint="eastAsia"/>
        </w:rPr>
        <w:t>所示，抽水蓄能整体条件较好，其中政策支持和较成熟的技术是抽蓄行业发展的重要保障。但同时应考虑到抽蓄与风光等新能源的匹配度、投资回报和产业链协同等因素，深入论证抽蓄电站投资需求，合理把握抽蓄电站开发节奏。</w:t>
      </w:r>
    </w:p>
    <w:p w14:paraId="2FFDE342" w14:textId="77777777" w:rsidR="008D7AD9" w:rsidRDefault="00000000">
      <w:pPr>
        <w:ind w:firstLine="422"/>
        <w:rPr>
          <w:rFonts w:cs="Times New Roman"/>
          <w:b/>
          <w:bCs/>
        </w:rPr>
      </w:pPr>
      <w:r>
        <w:rPr>
          <w:rFonts w:cs="Times New Roman" w:hint="eastAsia"/>
          <w:b/>
          <w:bCs/>
        </w:rPr>
        <w:t>3</w:t>
      </w:r>
      <w:r>
        <w:rPr>
          <w:rFonts w:cs="Times New Roman"/>
          <w:b/>
          <w:bCs/>
        </w:rPr>
        <w:t xml:space="preserve">.3 </w:t>
      </w:r>
      <w:r>
        <w:rPr>
          <w:rFonts w:cs="Times New Roman" w:hint="eastAsia"/>
          <w:b/>
          <w:bCs/>
        </w:rPr>
        <w:t>方案选择</w:t>
      </w:r>
    </w:p>
    <w:p w14:paraId="3A041BCA" w14:textId="1697A8FE" w:rsidR="008D7AD9" w:rsidRDefault="00000000">
      <w:pPr>
        <w:ind w:firstLine="420"/>
        <w:rPr>
          <w:rFonts w:cs="Times New Roman"/>
        </w:rPr>
      </w:pPr>
      <w:r>
        <w:rPr>
          <w:rFonts w:hint="eastAsia"/>
        </w:rPr>
        <w:t>抽水蓄能行业整体情况如</w:t>
      </w:r>
      <w:r>
        <w:rPr>
          <w:rFonts w:hint="eastAsia"/>
        </w:rPr>
        <w:fldChar w:fldCharType="begin"/>
      </w:r>
      <w:r>
        <w:rPr>
          <w:rFonts w:hint="eastAsia"/>
        </w:rPr>
        <w:instrText xml:space="preserve"> REF _Ref1280 \h </w:instrText>
      </w:r>
      <w:r>
        <w:rPr>
          <w:rFonts w:hint="eastAsia"/>
        </w:rPr>
      </w:r>
      <w:r>
        <w:rPr>
          <w:rFonts w:hint="eastAsia"/>
        </w:rPr>
        <w:fldChar w:fldCharType="separate"/>
      </w:r>
      <w:r w:rsidR="00B1714C">
        <w:t>表</w:t>
      </w:r>
      <w:r w:rsidR="00B1714C">
        <w:t xml:space="preserve"> </w:t>
      </w:r>
      <w:r w:rsidR="00B1714C">
        <w:rPr>
          <w:rFonts w:hint="eastAsia"/>
          <w:noProof/>
        </w:rPr>
        <w:t>3</w:t>
      </w:r>
      <w:r>
        <w:rPr>
          <w:rFonts w:hint="eastAsia"/>
        </w:rPr>
        <w:fldChar w:fldCharType="end"/>
      </w:r>
      <w:r>
        <w:rPr>
          <w:rFonts w:hint="eastAsia"/>
        </w:rPr>
        <w:t>所示。其中，</w:t>
      </w:r>
      <w:r>
        <w:rPr>
          <w:rFonts w:hint="eastAsia"/>
        </w:rPr>
        <w:t>1</w:t>
      </w:r>
      <w:r>
        <w:rPr>
          <w:rFonts w:hint="eastAsia"/>
        </w:rPr>
        <w:t>分代表非常不符合，</w:t>
      </w:r>
      <w:r>
        <w:rPr>
          <w:rFonts w:hint="eastAsia"/>
        </w:rPr>
        <w:t>5</w:t>
      </w:r>
      <w:r>
        <w:rPr>
          <w:rFonts w:hint="eastAsia"/>
        </w:rPr>
        <w:t>分代表非常符合。</w:t>
      </w:r>
    </w:p>
    <w:p w14:paraId="4AAAF2CB" w14:textId="00F28D74" w:rsidR="008D7AD9" w:rsidRDefault="00000000">
      <w:pPr>
        <w:pStyle w:val="aff3"/>
        <w:ind w:firstLine="420"/>
        <w:rPr>
          <w:rFonts w:hint="eastAsia"/>
        </w:rPr>
      </w:pPr>
      <w:bookmarkStart w:id="6" w:name="_Ref1280"/>
      <w:r>
        <w:t xml:space="preserve">表 </w:t>
      </w:r>
      <w:fldSimple w:instr=" SEQ 表 \* ARABIC ">
        <w:r w:rsidR="00B1714C">
          <w:rPr>
            <w:rFonts w:hint="eastAsia"/>
            <w:noProof/>
          </w:rPr>
          <w:t>3</w:t>
        </w:r>
      </w:fldSimple>
      <w:bookmarkEnd w:id="6"/>
      <w:r>
        <w:rPr>
          <w:rFonts w:hint="eastAsia"/>
        </w:rPr>
        <w:t xml:space="preserve"> 抽水蓄能电站方案选择情况</w:t>
      </w:r>
    </w:p>
    <w:tbl>
      <w:tblPr>
        <w:tblStyle w:val="110"/>
        <w:tblW w:w="5115" w:type="pct"/>
        <w:tblLook w:val="04A0" w:firstRow="1" w:lastRow="0" w:firstColumn="1" w:lastColumn="0" w:noHBand="0" w:noVBand="1"/>
      </w:tblPr>
      <w:tblGrid>
        <w:gridCol w:w="3593"/>
        <w:gridCol w:w="689"/>
        <w:gridCol w:w="680"/>
      </w:tblGrid>
      <w:tr w:rsidR="008D7AD9" w14:paraId="2BAD0BBE" w14:textId="77777777" w:rsidTr="008D7AD9">
        <w:trPr>
          <w:cnfStyle w:val="100000000000" w:firstRow="1" w:lastRow="0" w:firstColumn="0" w:lastColumn="0" w:oddVBand="0" w:evenVBand="0" w:oddHBand="0" w:evenHBand="0" w:firstRowFirstColumn="0" w:firstRowLastColumn="0" w:lastRowFirstColumn="0" w:lastRowLastColumn="0"/>
          <w:trHeight w:val="23"/>
        </w:trPr>
        <w:tc>
          <w:tcPr>
            <w:tcW w:w="3620" w:type="pct"/>
            <w:tcBorders>
              <w:top w:val="single" w:sz="12" w:space="0" w:color="000000"/>
              <w:bottom w:val="single" w:sz="4" w:space="0" w:color="000000"/>
            </w:tcBorders>
            <w:shd w:val="clear" w:color="auto" w:fill="FFFFFF"/>
          </w:tcPr>
          <w:p w14:paraId="1B312A7E" w14:textId="77777777" w:rsidR="008D7AD9" w:rsidRDefault="00000000">
            <w:pPr>
              <w:pStyle w:val="affa"/>
              <w:spacing w:before="0" w:after="0"/>
              <w:ind w:firstLineChars="0"/>
              <w:rPr>
                <w:rFonts w:cs="Times New Roman"/>
                <w:bCs/>
                <w:color w:val="000000"/>
                <w:sz w:val="21"/>
                <w:szCs w:val="20"/>
              </w:rPr>
            </w:pPr>
            <w:r>
              <w:rPr>
                <w:rFonts w:cs="Times New Roman" w:hint="eastAsia"/>
                <w:bCs/>
                <w:color w:val="000000"/>
                <w:sz w:val="21"/>
                <w:szCs w:val="20"/>
              </w:rPr>
              <w:t>指标</w:t>
            </w:r>
          </w:p>
        </w:tc>
        <w:tc>
          <w:tcPr>
            <w:tcW w:w="694" w:type="pct"/>
            <w:tcBorders>
              <w:top w:val="single" w:sz="12" w:space="0" w:color="000000"/>
              <w:bottom w:val="single" w:sz="4" w:space="0" w:color="000000"/>
            </w:tcBorders>
            <w:shd w:val="clear" w:color="auto" w:fill="FFFFFF"/>
            <w:vAlign w:val="center"/>
          </w:tcPr>
          <w:p w14:paraId="4837E7F5" w14:textId="77777777" w:rsidR="008D7AD9" w:rsidRDefault="00000000">
            <w:pPr>
              <w:pStyle w:val="affa"/>
              <w:spacing w:before="0" w:after="0"/>
              <w:ind w:firstLineChars="0"/>
              <w:rPr>
                <w:rFonts w:cs="Times New Roman"/>
                <w:bCs/>
                <w:color w:val="000000"/>
                <w:sz w:val="21"/>
                <w:szCs w:val="20"/>
              </w:rPr>
            </w:pPr>
            <w:r>
              <w:rPr>
                <w:rFonts w:cs="Times New Roman" w:hint="eastAsia"/>
                <w:bCs/>
                <w:color w:val="000000"/>
                <w:sz w:val="21"/>
                <w:szCs w:val="20"/>
              </w:rPr>
              <w:t>得分</w:t>
            </w:r>
          </w:p>
        </w:tc>
        <w:tc>
          <w:tcPr>
            <w:tcW w:w="685" w:type="pct"/>
            <w:tcBorders>
              <w:top w:val="single" w:sz="12" w:space="0" w:color="000000"/>
              <w:bottom w:val="single" w:sz="4" w:space="0" w:color="000000"/>
            </w:tcBorders>
            <w:shd w:val="clear" w:color="auto" w:fill="FFFFFF"/>
            <w:vAlign w:val="center"/>
          </w:tcPr>
          <w:p w14:paraId="23CA8716" w14:textId="77777777" w:rsidR="008D7AD9" w:rsidRDefault="00000000">
            <w:pPr>
              <w:pStyle w:val="affa"/>
              <w:spacing w:before="0" w:after="0"/>
              <w:ind w:firstLineChars="0"/>
              <w:rPr>
                <w:rFonts w:cs="Times New Roman"/>
                <w:bCs/>
                <w:color w:val="000000"/>
                <w:sz w:val="21"/>
                <w:szCs w:val="20"/>
              </w:rPr>
            </w:pPr>
            <w:r>
              <w:rPr>
                <w:rFonts w:cs="Times New Roman" w:hint="eastAsia"/>
                <w:bCs/>
                <w:color w:val="000000"/>
                <w:sz w:val="21"/>
                <w:szCs w:val="20"/>
              </w:rPr>
              <w:t>排序</w:t>
            </w:r>
          </w:p>
        </w:tc>
      </w:tr>
      <w:tr w:rsidR="008D7AD9" w14:paraId="237E6FF1" w14:textId="77777777" w:rsidTr="008D7AD9">
        <w:trPr>
          <w:trHeight w:val="23"/>
        </w:trPr>
        <w:tc>
          <w:tcPr>
            <w:tcW w:w="3620" w:type="pct"/>
            <w:tcBorders>
              <w:top w:val="single" w:sz="4" w:space="0" w:color="000000"/>
            </w:tcBorders>
            <w:shd w:val="clear" w:color="auto" w:fill="FFFFFF"/>
          </w:tcPr>
          <w:p w14:paraId="28A84D12" w14:textId="77777777" w:rsidR="008D7AD9" w:rsidRDefault="00000000">
            <w:pPr>
              <w:pStyle w:val="affa"/>
              <w:spacing w:before="0" w:after="0"/>
              <w:ind w:firstLineChars="0"/>
              <w:rPr>
                <w:rFonts w:cs="Times New Roman"/>
                <w:b/>
                <w:bCs/>
                <w:color w:val="000000"/>
                <w:sz w:val="21"/>
                <w:szCs w:val="20"/>
              </w:rPr>
            </w:pPr>
            <w:r>
              <w:rPr>
                <w:rFonts w:cs="Times New Roman" w:hint="eastAsia"/>
                <w:b/>
                <w:bCs/>
                <w:color w:val="000000"/>
                <w:sz w:val="21"/>
                <w:szCs w:val="20"/>
              </w:rPr>
              <w:t>A.</w:t>
            </w:r>
            <w:r>
              <w:rPr>
                <w:rFonts w:cs="Times New Roman" w:hint="eastAsia"/>
                <w:b/>
                <w:bCs/>
                <w:color w:val="000000"/>
                <w:sz w:val="21"/>
                <w:szCs w:val="20"/>
              </w:rPr>
              <w:t>抽蓄多能互补方案</w:t>
            </w:r>
          </w:p>
        </w:tc>
        <w:tc>
          <w:tcPr>
            <w:tcW w:w="694" w:type="pct"/>
            <w:tcBorders>
              <w:top w:val="single" w:sz="4" w:space="0" w:color="000000"/>
            </w:tcBorders>
            <w:shd w:val="clear" w:color="auto" w:fill="FFFFFF"/>
            <w:vAlign w:val="center"/>
          </w:tcPr>
          <w:p w14:paraId="5BA1653C" w14:textId="77777777" w:rsidR="008D7AD9" w:rsidRDefault="00000000">
            <w:pPr>
              <w:pStyle w:val="affa"/>
              <w:spacing w:before="0" w:after="0"/>
              <w:ind w:firstLineChars="0"/>
              <w:rPr>
                <w:rFonts w:cs="Times New Roman"/>
                <w:b/>
                <w:bCs/>
                <w:color w:val="000000"/>
                <w:sz w:val="21"/>
                <w:szCs w:val="20"/>
              </w:rPr>
            </w:pPr>
            <w:r>
              <w:rPr>
                <w:rFonts w:cs="Times New Roman" w:hint="eastAsia"/>
                <w:b/>
                <w:bCs/>
                <w:color w:val="000000"/>
                <w:sz w:val="21"/>
                <w:szCs w:val="20"/>
              </w:rPr>
              <w:t>4.376</w:t>
            </w:r>
          </w:p>
        </w:tc>
        <w:tc>
          <w:tcPr>
            <w:tcW w:w="685" w:type="pct"/>
            <w:tcBorders>
              <w:top w:val="single" w:sz="4" w:space="0" w:color="000000"/>
            </w:tcBorders>
            <w:shd w:val="clear" w:color="auto" w:fill="FFFFFF"/>
            <w:vAlign w:val="center"/>
          </w:tcPr>
          <w:p w14:paraId="59B58364" w14:textId="77777777" w:rsidR="008D7AD9" w:rsidRDefault="008D7AD9">
            <w:pPr>
              <w:pStyle w:val="affa"/>
              <w:spacing w:before="0" w:after="0"/>
              <w:ind w:firstLineChars="0"/>
              <w:rPr>
                <w:rFonts w:cs="Times New Roman"/>
                <w:b/>
                <w:bCs/>
                <w:color w:val="000000"/>
                <w:sz w:val="21"/>
                <w:szCs w:val="20"/>
              </w:rPr>
            </w:pPr>
          </w:p>
        </w:tc>
      </w:tr>
      <w:tr w:rsidR="008D7AD9" w14:paraId="3096DC75" w14:textId="77777777" w:rsidTr="008D7AD9">
        <w:trPr>
          <w:trHeight w:val="23"/>
        </w:trPr>
        <w:tc>
          <w:tcPr>
            <w:tcW w:w="3620" w:type="pct"/>
            <w:shd w:val="clear" w:color="auto" w:fill="FFFFFF"/>
          </w:tcPr>
          <w:p w14:paraId="44993782" w14:textId="77777777" w:rsidR="008D7AD9" w:rsidRDefault="00000000">
            <w:pPr>
              <w:pStyle w:val="affa"/>
              <w:spacing w:before="0" w:after="0"/>
              <w:ind w:firstLineChars="0"/>
              <w:jc w:val="both"/>
              <w:rPr>
                <w:rFonts w:cs="Times New Roman"/>
                <w:color w:val="000000"/>
                <w:sz w:val="21"/>
                <w:szCs w:val="20"/>
              </w:rPr>
            </w:pPr>
            <w:r>
              <w:rPr>
                <w:rFonts w:cs="Times New Roman" w:hint="eastAsia"/>
                <w:color w:val="000000"/>
                <w:sz w:val="21"/>
                <w:szCs w:val="20"/>
              </w:rPr>
              <w:t>抽蓄电站与周边电源结构及布局匹配性良好</w:t>
            </w:r>
          </w:p>
        </w:tc>
        <w:tc>
          <w:tcPr>
            <w:tcW w:w="694" w:type="pct"/>
            <w:shd w:val="clear" w:color="auto" w:fill="FFFFFF"/>
            <w:vAlign w:val="center"/>
          </w:tcPr>
          <w:p w14:paraId="44F35097"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4.443</w:t>
            </w:r>
          </w:p>
        </w:tc>
        <w:tc>
          <w:tcPr>
            <w:tcW w:w="685" w:type="pct"/>
            <w:shd w:val="clear" w:color="auto" w:fill="FFFFFF"/>
            <w:vAlign w:val="center"/>
          </w:tcPr>
          <w:p w14:paraId="45678CF1"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2</w:t>
            </w:r>
          </w:p>
        </w:tc>
      </w:tr>
      <w:tr w:rsidR="008D7AD9" w14:paraId="1B09EAFD" w14:textId="77777777" w:rsidTr="008D7AD9">
        <w:trPr>
          <w:trHeight w:val="23"/>
        </w:trPr>
        <w:tc>
          <w:tcPr>
            <w:tcW w:w="3620" w:type="pct"/>
            <w:shd w:val="clear" w:color="auto" w:fill="FFFFFF"/>
          </w:tcPr>
          <w:p w14:paraId="2694455A" w14:textId="77777777" w:rsidR="008D7AD9" w:rsidRDefault="00000000">
            <w:pPr>
              <w:pStyle w:val="affa"/>
              <w:spacing w:before="0" w:after="0"/>
              <w:ind w:firstLineChars="0"/>
              <w:jc w:val="both"/>
              <w:rPr>
                <w:rFonts w:cs="Times New Roman"/>
                <w:color w:val="000000"/>
                <w:sz w:val="21"/>
                <w:szCs w:val="20"/>
              </w:rPr>
            </w:pPr>
            <w:r>
              <w:rPr>
                <w:rFonts w:cs="Times New Roman" w:hint="eastAsia"/>
                <w:color w:val="000000"/>
                <w:sz w:val="21"/>
                <w:szCs w:val="20"/>
              </w:rPr>
              <w:t>抽蓄电站所在地区电网布局合理，满足电力输送需求</w:t>
            </w:r>
          </w:p>
        </w:tc>
        <w:tc>
          <w:tcPr>
            <w:tcW w:w="694" w:type="pct"/>
            <w:shd w:val="clear" w:color="auto" w:fill="FFFFFF"/>
            <w:vAlign w:val="center"/>
          </w:tcPr>
          <w:p w14:paraId="21356729"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4.409</w:t>
            </w:r>
          </w:p>
        </w:tc>
        <w:tc>
          <w:tcPr>
            <w:tcW w:w="685" w:type="pct"/>
            <w:shd w:val="clear" w:color="auto" w:fill="FFFFFF"/>
            <w:vAlign w:val="center"/>
          </w:tcPr>
          <w:p w14:paraId="18C36517"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5</w:t>
            </w:r>
          </w:p>
        </w:tc>
      </w:tr>
      <w:tr w:rsidR="008D7AD9" w14:paraId="5CEEB3DA" w14:textId="77777777" w:rsidTr="008D7AD9">
        <w:trPr>
          <w:trHeight w:val="23"/>
        </w:trPr>
        <w:tc>
          <w:tcPr>
            <w:tcW w:w="3620" w:type="pct"/>
            <w:shd w:val="clear" w:color="auto" w:fill="FFFFFF"/>
          </w:tcPr>
          <w:p w14:paraId="6688B843" w14:textId="77777777" w:rsidR="008D7AD9" w:rsidRDefault="00000000">
            <w:pPr>
              <w:pStyle w:val="affa"/>
              <w:spacing w:before="0" w:after="0"/>
              <w:ind w:firstLineChars="0"/>
              <w:jc w:val="both"/>
              <w:rPr>
                <w:rFonts w:cs="Times New Roman"/>
                <w:color w:val="000000"/>
                <w:sz w:val="21"/>
                <w:szCs w:val="20"/>
              </w:rPr>
            </w:pPr>
            <w:r>
              <w:rPr>
                <w:rFonts w:cs="Times New Roman" w:hint="eastAsia"/>
                <w:color w:val="000000"/>
                <w:sz w:val="21"/>
                <w:szCs w:val="20"/>
              </w:rPr>
              <w:t>抽蓄电站选址充分考虑多能互补一体化运营</w:t>
            </w:r>
          </w:p>
        </w:tc>
        <w:tc>
          <w:tcPr>
            <w:tcW w:w="694" w:type="pct"/>
            <w:shd w:val="clear" w:color="auto" w:fill="FFFFFF"/>
            <w:vAlign w:val="center"/>
          </w:tcPr>
          <w:p w14:paraId="2611BFB4"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4.309</w:t>
            </w:r>
          </w:p>
        </w:tc>
        <w:tc>
          <w:tcPr>
            <w:tcW w:w="685" w:type="pct"/>
            <w:shd w:val="clear" w:color="auto" w:fill="FFFFFF"/>
            <w:vAlign w:val="center"/>
          </w:tcPr>
          <w:p w14:paraId="11F41C4F"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11</w:t>
            </w:r>
          </w:p>
        </w:tc>
      </w:tr>
      <w:tr w:rsidR="008D7AD9" w14:paraId="51291012" w14:textId="77777777" w:rsidTr="008D7AD9">
        <w:trPr>
          <w:trHeight w:val="23"/>
        </w:trPr>
        <w:tc>
          <w:tcPr>
            <w:tcW w:w="3620" w:type="pct"/>
            <w:shd w:val="clear" w:color="auto" w:fill="FFFFFF"/>
          </w:tcPr>
          <w:p w14:paraId="4C769207" w14:textId="77777777" w:rsidR="008D7AD9" w:rsidRDefault="00000000">
            <w:pPr>
              <w:pStyle w:val="affa"/>
              <w:spacing w:before="0" w:after="0"/>
              <w:ind w:firstLineChars="0"/>
              <w:jc w:val="both"/>
              <w:rPr>
                <w:rFonts w:cs="Times New Roman"/>
                <w:color w:val="000000"/>
                <w:sz w:val="21"/>
                <w:szCs w:val="20"/>
              </w:rPr>
            </w:pPr>
            <w:r>
              <w:rPr>
                <w:rFonts w:cs="Times New Roman" w:hint="eastAsia"/>
                <w:color w:val="000000"/>
                <w:sz w:val="21"/>
                <w:szCs w:val="20"/>
              </w:rPr>
              <w:t>抽蓄电站选址充分考虑源网荷储一体化管理</w:t>
            </w:r>
          </w:p>
        </w:tc>
        <w:tc>
          <w:tcPr>
            <w:tcW w:w="694" w:type="pct"/>
            <w:shd w:val="clear" w:color="auto" w:fill="FFFFFF"/>
            <w:vAlign w:val="center"/>
          </w:tcPr>
          <w:p w14:paraId="7BCCFC98"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4.343</w:t>
            </w:r>
          </w:p>
        </w:tc>
        <w:tc>
          <w:tcPr>
            <w:tcW w:w="685" w:type="pct"/>
            <w:shd w:val="clear" w:color="auto" w:fill="FFFFFF"/>
            <w:vAlign w:val="center"/>
          </w:tcPr>
          <w:p w14:paraId="02033C33"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10</w:t>
            </w:r>
          </w:p>
        </w:tc>
      </w:tr>
      <w:tr w:rsidR="008D7AD9" w14:paraId="64584ECB" w14:textId="77777777" w:rsidTr="008D7AD9">
        <w:trPr>
          <w:trHeight w:val="23"/>
        </w:trPr>
        <w:tc>
          <w:tcPr>
            <w:tcW w:w="3620" w:type="pct"/>
            <w:shd w:val="clear" w:color="auto" w:fill="FFFFFF"/>
          </w:tcPr>
          <w:p w14:paraId="2F5A6E71" w14:textId="77777777" w:rsidR="008D7AD9" w:rsidRDefault="00000000">
            <w:pPr>
              <w:pStyle w:val="affa"/>
              <w:spacing w:before="0" w:after="0"/>
              <w:ind w:firstLineChars="0"/>
              <w:rPr>
                <w:rFonts w:cs="Times New Roman"/>
                <w:b/>
                <w:bCs/>
                <w:color w:val="000000"/>
                <w:sz w:val="21"/>
                <w:szCs w:val="20"/>
              </w:rPr>
            </w:pPr>
            <w:r>
              <w:rPr>
                <w:rFonts w:cs="Times New Roman" w:hint="eastAsia"/>
                <w:b/>
                <w:bCs/>
                <w:color w:val="000000"/>
                <w:sz w:val="21"/>
                <w:szCs w:val="20"/>
              </w:rPr>
              <w:t>B.</w:t>
            </w:r>
            <w:r>
              <w:rPr>
                <w:rFonts w:cs="Times New Roman" w:hint="eastAsia"/>
                <w:b/>
                <w:bCs/>
                <w:color w:val="000000"/>
                <w:sz w:val="21"/>
                <w:szCs w:val="20"/>
              </w:rPr>
              <w:t>地形地质条件</w:t>
            </w:r>
          </w:p>
        </w:tc>
        <w:tc>
          <w:tcPr>
            <w:tcW w:w="694" w:type="pct"/>
            <w:shd w:val="clear" w:color="auto" w:fill="FFFFFF"/>
            <w:vAlign w:val="center"/>
          </w:tcPr>
          <w:p w14:paraId="3B4B9EBF" w14:textId="77777777" w:rsidR="008D7AD9" w:rsidRDefault="00000000">
            <w:pPr>
              <w:pStyle w:val="affa"/>
              <w:spacing w:before="0" w:after="0"/>
              <w:ind w:firstLineChars="0"/>
              <w:rPr>
                <w:rFonts w:cs="Times New Roman"/>
                <w:b/>
                <w:bCs/>
                <w:color w:val="000000"/>
                <w:sz w:val="21"/>
                <w:szCs w:val="20"/>
              </w:rPr>
            </w:pPr>
            <w:r>
              <w:rPr>
                <w:rFonts w:cs="Times New Roman" w:hint="eastAsia"/>
                <w:b/>
                <w:bCs/>
                <w:color w:val="000000"/>
                <w:sz w:val="21"/>
                <w:szCs w:val="20"/>
              </w:rPr>
              <w:t>4.354</w:t>
            </w:r>
          </w:p>
        </w:tc>
        <w:tc>
          <w:tcPr>
            <w:tcW w:w="685" w:type="pct"/>
            <w:shd w:val="clear" w:color="auto" w:fill="FFFFFF"/>
            <w:vAlign w:val="center"/>
          </w:tcPr>
          <w:p w14:paraId="5F15D9FB" w14:textId="77777777" w:rsidR="008D7AD9" w:rsidRDefault="008D7AD9">
            <w:pPr>
              <w:pStyle w:val="affa"/>
              <w:spacing w:before="0" w:after="0"/>
              <w:ind w:firstLineChars="0"/>
              <w:rPr>
                <w:rFonts w:cs="Times New Roman"/>
                <w:b/>
                <w:bCs/>
                <w:color w:val="000000"/>
                <w:sz w:val="21"/>
                <w:szCs w:val="20"/>
              </w:rPr>
            </w:pPr>
          </w:p>
        </w:tc>
      </w:tr>
      <w:tr w:rsidR="008D7AD9" w14:paraId="1BFFEA40" w14:textId="77777777" w:rsidTr="008D7AD9">
        <w:trPr>
          <w:trHeight w:val="23"/>
        </w:trPr>
        <w:tc>
          <w:tcPr>
            <w:tcW w:w="3620" w:type="pct"/>
            <w:shd w:val="clear" w:color="auto" w:fill="FFFFFF"/>
          </w:tcPr>
          <w:p w14:paraId="2AD3AF11" w14:textId="77777777" w:rsidR="008D7AD9" w:rsidRDefault="00000000">
            <w:pPr>
              <w:pStyle w:val="affa"/>
              <w:spacing w:before="0" w:after="0"/>
              <w:ind w:firstLineChars="0"/>
              <w:jc w:val="both"/>
              <w:rPr>
                <w:rFonts w:cs="Times New Roman"/>
                <w:color w:val="000000"/>
                <w:sz w:val="21"/>
                <w:szCs w:val="20"/>
              </w:rPr>
            </w:pPr>
            <w:r>
              <w:rPr>
                <w:rFonts w:cs="Times New Roman" w:hint="eastAsia"/>
                <w:color w:val="000000"/>
                <w:sz w:val="21"/>
                <w:szCs w:val="20"/>
              </w:rPr>
              <w:t>地形条件适宜</w:t>
            </w:r>
          </w:p>
        </w:tc>
        <w:tc>
          <w:tcPr>
            <w:tcW w:w="694" w:type="pct"/>
            <w:shd w:val="clear" w:color="auto" w:fill="FFFFFF"/>
            <w:vAlign w:val="center"/>
          </w:tcPr>
          <w:p w14:paraId="15EFF98B"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4.352</w:t>
            </w:r>
          </w:p>
        </w:tc>
        <w:tc>
          <w:tcPr>
            <w:tcW w:w="685" w:type="pct"/>
            <w:shd w:val="clear" w:color="auto" w:fill="FFFFFF"/>
            <w:vAlign w:val="center"/>
          </w:tcPr>
          <w:p w14:paraId="3244FF39"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8</w:t>
            </w:r>
          </w:p>
        </w:tc>
      </w:tr>
      <w:tr w:rsidR="008D7AD9" w14:paraId="373ADAB8" w14:textId="77777777" w:rsidTr="008D7AD9">
        <w:trPr>
          <w:trHeight w:val="23"/>
        </w:trPr>
        <w:tc>
          <w:tcPr>
            <w:tcW w:w="3620" w:type="pct"/>
            <w:shd w:val="clear" w:color="auto" w:fill="FFFFFF"/>
          </w:tcPr>
          <w:p w14:paraId="43CA6A19" w14:textId="77777777" w:rsidR="008D7AD9" w:rsidRDefault="00000000">
            <w:pPr>
              <w:pStyle w:val="affa"/>
              <w:spacing w:before="0" w:after="0"/>
              <w:ind w:firstLineChars="0"/>
              <w:jc w:val="both"/>
              <w:rPr>
                <w:rFonts w:cs="Times New Roman"/>
                <w:color w:val="000000"/>
                <w:sz w:val="21"/>
                <w:szCs w:val="20"/>
              </w:rPr>
            </w:pPr>
            <w:r>
              <w:rPr>
                <w:rFonts w:cs="Times New Roman" w:hint="eastAsia"/>
                <w:color w:val="000000"/>
                <w:sz w:val="21"/>
                <w:szCs w:val="20"/>
              </w:rPr>
              <w:t>地质条件良好</w:t>
            </w:r>
          </w:p>
        </w:tc>
        <w:tc>
          <w:tcPr>
            <w:tcW w:w="694" w:type="pct"/>
            <w:shd w:val="clear" w:color="auto" w:fill="FFFFFF"/>
            <w:vAlign w:val="center"/>
          </w:tcPr>
          <w:p w14:paraId="47551A8C"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4.357</w:t>
            </w:r>
          </w:p>
        </w:tc>
        <w:tc>
          <w:tcPr>
            <w:tcW w:w="685" w:type="pct"/>
            <w:shd w:val="clear" w:color="auto" w:fill="FFFFFF"/>
            <w:vAlign w:val="center"/>
          </w:tcPr>
          <w:p w14:paraId="26E8420E"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7</w:t>
            </w:r>
          </w:p>
        </w:tc>
      </w:tr>
      <w:tr w:rsidR="008D7AD9" w14:paraId="6E36A898" w14:textId="77777777" w:rsidTr="008D7AD9">
        <w:trPr>
          <w:trHeight w:val="23"/>
        </w:trPr>
        <w:tc>
          <w:tcPr>
            <w:tcW w:w="3620" w:type="pct"/>
            <w:shd w:val="clear" w:color="auto" w:fill="FFFFFF"/>
          </w:tcPr>
          <w:p w14:paraId="67E59132" w14:textId="77777777" w:rsidR="008D7AD9" w:rsidRDefault="00000000">
            <w:pPr>
              <w:pStyle w:val="affa"/>
              <w:spacing w:before="0" w:after="0"/>
              <w:ind w:firstLineChars="0"/>
              <w:rPr>
                <w:rFonts w:cs="Times New Roman"/>
                <w:b/>
                <w:bCs/>
                <w:color w:val="000000"/>
                <w:sz w:val="21"/>
                <w:szCs w:val="20"/>
              </w:rPr>
            </w:pPr>
            <w:r>
              <w:rPr>
                <w:rFonts w:cs="Times New Roman" w:hint="eastAsia"/>
                <w:b/>
                <w:bCs/>
                <w:color w:val="000000"/>
                <w:sz w:val="21"/>
                <w:szCs w:val="20"/>
              </w:rPr>
              <w:lastRenderedPageBreak/>
              <w:t>C.</w:t>
            </w:r>
            <w:r>
              <w:rPr>
                <w:rFonts w:cs="Times New Roman" w:hint="eastAsia"/>
                <w:b/>
                <w:bCs/>
                <w:color w:val="000000"/>
                <w:sz w:val="21"/>
                <w:szCs w:val="20"/>
              </w:rPr>
              <w:t>抽蓄技术方案</w:t>
            </w:r>
          </w:p>
        </w:tc>
        <w:tc>
          <w:tcPr>
            <w:tcW w:w="694" w:type="pct"/>
            <w:shd w:val="clear" w:color="auto" w:fill="FFFFFF"/>
            <w:vAlign w:val="center"/>
          </w:tcPr>
          <w:p w14:paraId="6D000886" w14:textId="77777777" w:rsidR="008D7AD9" w:rsidRDefault="00000000">
            <w:pPr>
              <w:pStyle w:val="affa"/>
              <w:spacing w:before="0" w:after="0"/>
              <w:ind w:firstLineChars="0"/>
              <w:rPr>
                <w:rFonts w:cs="Times New Roman"/>
                <w:b/>
                <w:bCs/>
                <w:color w:val="000000"/>
                <w:sz w:val="21"/>
                <w:szCs w:val="20"/>
              </w:rPr>
            </w:pPr>
            <w:r>
              <w:rPr>
                <w:rFonts w:cs="Times New Roman" w:hint="eastAsia"/>
                <w:b/>
                <w:bCs/>
                <w:color w:val="000000"/>
                <w:sz w:val="21"/>
                <w:szCs w:val="20"/>
              </w:rPr>
              <w:t>4.439</w:t>
            </w:r>
          </w:p>
        </w:tc>
        <w:tc>
          <w:tcPr>
            <w:tcW w:w="685" w:type="pct"/>
            <w:shd w:val="clear" w:color="auto" w:fill="FFFFFF"/>
            <w:vAlign w:val="center"/>
          </w:tcPr>
          <w:p w14:paraId="3553E2F5" w14:textId="77777777" w:rsidR="008D7AD9" w:rsidRDefault="008D7AD9">
            <w:pPr>
              <w:pStyle w:val="affa"/>
              <w:spacing w:before="0" w:after="0"/>
              <w:ind w:firstLineChars="0"/>
              <w:rPr>
                <w:rFonts w:cs="Times New Roman"/>
                <w:b/>
                <w:bCs/>
                <w:color w:val="000000"/>
                <w:sz w:val="21"/>
                <w:szCs w:val="20"/>
              </w:rPr>
            </w:pPr>
          </w:p>
        </w:tc>
      </w:tr>
      <w:tr w:rsidR="008D7AD9" w14:paraId="59D9741F" w14:textId="77777777" w:rsidTr="008D7AD9">
        <w:trPr>
          <w:trHeight w:val="23"/>
        </w:trPr>
        <w:tc>
          <w:tcPr>
            <w:tcW w:w="3620" w:type="pct"/>
            <w:shd w:val="clear" w:color="auto" w:fill="FFFFFF"/>
          </w:tcPr>
          <w:p w14:paraId="41EEB605" w14:textId="77777777" w:rsidR="008D7AD9" w:rsidRDefault="00000000">
            <w:pPr>
              <w:pStyle w:val="affa"/>
              <w:spacing w:before="0" w:after="0"/>
              <w:ind w:firstLineChars="0"/>
              <w:jc w:val="both"/>
              <w:rPr>
                <w:rFonts w:cs="Times New Roman"/>
                <w:color w:val="000000"/>
                <w:sz w:val="21"/>
                <w:szCs w:val="20"/>
              </w:rPr>
            </w:pPr>
            <w:r>
              <w:rPr>
                <w:rFonts w:cs="Times New Roman" w:hint="eastAsia"/>
                <w:color w:val="000000"/>
                <w:sz w:val="21"/>
                <w:szCs w:val="20"/>
              </w:rPr>
              <w:t>抽蓄电站类型（纯抽蓄、混合式抽蓄）合理</w:t>
            </w:r>
          </w:p>
        </w:tc>
        <w:tc>
          <w:tcPr>
            <w:tcW w:w="694" w:type="pct"/>
            <w:shd w:val="clear" w:color="auto" w:fill="FFFFFF"/>
            <w:vAlign w:val="center"/>
          </w:tcPr>
          <w:p w14:paraId="7DC9BFBF"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4.404</w:t>
            </w:r>
          </w:p>
        </w:tc>
        <w:tc>
          <w:tcPr>
            <w:tcW w:w="685" w:type="pct"/>
            <w:shd w:val="clear" w:color="auto" w:fill="FFFFFF"/>
            <w:vAlign w:val="center"/>
          </w:tcPr>
          <w:p w14:paraId="3FCDEBBC"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6</w:t>
            </w:r>
          </w:p>
        </w:tc>
      </w:tr>
      <w:tr w:rsidR="008D7AD9" w14:paraId="1E093713" w14:textId="77777777" w:rsidTr="008D7AD9">
        <w:trPr>
          <w:trHeight w:val="23"/>
        </w:trPr>
        <w:tc>
          <w:tcPr>
            <w:tcW w:w="3620" w:type="pct"/>
            <w:shd w:val="clear" w:color="auto" w:fill="FFFFFF"/>
          </w:tcPr>
          <w:p w14:paraId="0648A786" w14:textId="77777777" w:rsidR="008D7AD9" w:rsidRDefault="00000000">
            <w:pPr>
              <w:pStyle w:val="affa"/>
              <w:spacing w:before="0" w:after="0"/>
              <w:ind w:firstLineChars="0"/>
              <w:jc w:val="both"/>
              <w:rPr>
                <w:rFonts w:cs="Times New Roman"/>
                <w:color w:val="000000"/>
                <w:sz w:val="21"/>
                <w:szCs w:val="20"/>
              </w:rPr>
            </w:pPr>
            <w:r>
              <w:rPr>
                <w:rFonts w:cs="Times New Roman" w:hint="eastAsia"/>
                <w:color w:val="000000"/>
                <w:sz w:val="21"/>
                <w:szCs w:val="20"/>
              </w:rPr>
              <w:t>抽蓄电站布置方案合理</w:t>
            </w:r>
          </w:p>
        </w:tc>
        <w:tc>
          <w:tcPr>
            <w:tcW w:w="694" w:type="pct"/>
            <w:shd w:val="clear" w:color="auto" w:fill="FFFFFF"/>
            <w:vAlign w:val="center"/>
          </w:tcPr>
          <w:p w14:paraId="2C4F867D"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4.435</w:t>
            </w:r>
          </w:p>
        </w:tc>
        <w:tc>
          <w:tcPr>
            <w:tcW w:w="685" w:type="pct"/>
            <w:shd w:val="clear" w:color="auto" w:fill="FFFFFF"/>
            <w:vAlign w:val="center"/>
          </w:tcPr>
          <w:p w14:paraId="01E735D7"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4</w:t>
            </w:r>
          </w:p>
        </w:tc>
      </w:tr>
      <w:tr w:rsidR="008D7AD9" w14:paraId="0A486B70" w14:textId="77777777" w:rsidTr="008D7AD9">
        <w:trPr>
          <w:trHeight w:val="23"/>
        </w:trPr>
        <w:tc>
          <w:tcPr>
            <w:tcW w:w="3620" w:type="pct"/>
            <w:shd w:val="clear" w:color="auto" w:fill="FFFFFF"/>
          </w:tcPr>
          <w:p w14:paraId="62928FB2" w14:textId="77777777" w:rsidR="008D7AD9" w:rsidRDefault="00000000">
            <w:pPr>
              <w:pStyle w:val="affa"/>
              <w:spacing w:before="0" w:after="0"/>
              <w:ind w:firstLineChars="0"/>
              <w:jc w:val="both"/>
              <w:rPr>
                <w:rFonts w:cs="Times New Roman"/>
                <w:color w:val="000000"/>
                <w:sz w:val="21"/>
                <w:szCs w:val="20"/>
              </w:rPr>
            </w:pPr>
            <w:r>
              <w:rPr>
                <w:rFonts w:cs="Times New Roman" w:hint="eastAsia"/>
                <w:color w:val="000000"/>
                <w:sz w:val="21"/>
                <w:szCs w:val="20"/>
              </w:rPr>
              <w:t>抽蓄电站装机规模合理</w:t>
            </w:r>
          </w:p>
        </w:tc>
        <w:tc>
          <w:tcPr>
            <w:tcW w:w="694" w:type="pct"/>
            <w:shd w:val="clear" w:color="auto" w:fill="FFFFFF"/>
            <w:vAlign w:val="center"/>
          </w:tcPr>
          <w:p w14:paraId="2B9F8E8F"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4.443</w:t>
            </w:r>
          </w:p>
        </w:tc>
        <w:tc>
          <w:tcPr>
            <w:tcW w:w="685" w:type="pct"/>
            <w:shd w:val="clear" w:color="auto" w:fill="FFFFFF"/>
            <w:vAlign w:val="center"/>
          </w:tcPr>
          <w:p w14:paraId="232CD732"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2</w:t>
            </w:r>
          </w:p>
        </w:tc>
      </w:tr>
      <w:tr w:rsidR="008D7AD9" w14:paraId="06EAA140" w14:textId="77777777" w:rsidTr="008D7AD9">
        <w:trPr>
          <w:trHeight w:val="23"/>
        </w:trPr>
        <w:tc>
          <w:tcPr>
            <w:tcW w:w="3620" w:type="pct"/>
            <w:shd w:val="clear" w:color="auto" w:fill="FFFFFF"/>
          </w:tcPr>
          <w:p w14:paraId="174E6C1A" w14:textId="77777777" w:rsidR="008D7AD9" w:rsidRDefault="00000000">
            <w:pPr>
              <w:pStyle w:val="affa"/>
              <w:spacing w:before="0" w:after="0"/>
              <w:ind w:firstLineChars="0"/>
              <w:jc w:val="both"/>
              <w:rPr>
                <w:rFonts w:cs="Times New Roman"/>
                <w:color w:val="000000"/>
                <w:sz w:val="21"/>
                <w:szCs w:val="20"/>
              </w:rPr>
            </w:pPr>
            <w:r>
              <w:rPr>
                <w:rFonts w:cs="Times New Roman" w:hint="eastAsia"/>
                <w:color w:val="000000"/>
                <w:sz w:val="21"/>
                <w:szCs w:val="20"/>
              </w:rPr>
              <w:t>抽蓄电站机组性能良好</w:t>
            </w:r>
          </w:p>
        </w:tc>
        <w:tc>
          <w:tcPr>
            <w:tcW w:w="694" w:type="pct"/>
            <w:shd w:val="clear" w:color="auto" w:fill="FFFFFF"/>
            <w:vAlign w:val="center"/>
          </w:tcPr>
          <w:p w14:paraId="3695CEB4"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4.474</w:t>
            </w:r>
          </w:p>
        </w:tc>
        <w:tc>
          <w:tcPr>
            <w:tcW w:w="685" w:type="pct"/>
            <w:shd w:val="clear" w:color="auto" w:fill="FFFFFF"/>
            <w:vAlign w:val="center"/>
          </w:tcPr>
          <w:p w14:paraId="2C279E24"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1</w:t>
            </w:r>
          </w:p>
        </w:tc>
      </w:tr>
      <w:tr w:rsidR="008D7AD9" w14:paraId="0456467A" w14:textId="77777777" w:rsidTr="008D7AD9">
        <w:trPr>
          <w:trHeight w:val="23"/>
        </w:trPr>
        <w:tc>
          <w:tcPr>
            <w:tcW w:w="3620" w:type="pct"/>
            <w:shd w:val="clear" w:color="auto" w:fill="FFFFFF"/>
          </w:tcPr>
          <w:p w14:paraId="7238C361" w14:textId="77777777" w:rsidR="008D7AD9" w:rsidRDefault="00000000">
            <w:pPr>
              <w:pStyle w:val="affa"/>
              <w:spacing w:before="0" w:after="0"/>
              <w:ind w:firstLineChars="0"/>
              <w:rPr>
                <w:rFonts w:cs="Times New Roman"/>
                <w:b/>
                <w:bCs/>
                <w:color w:val="000000"/>
                <w:sz w:val="21"/>
                <w:szCs w:val="20"/>
              </w:rPr>
            </w:pPr>
            <w:r>
              <w:rPr>
                <w:rFonts w:cs="Times New Roman" w:hint="eastAsia"/>
                <w:b/>
                <w:bCs/>
                <w:color w:val="000000"/>
                <w:sz w:val="21"/>
                <w:szCs w:val="20"/>
              </w:rPr>
              <w:t>D.</w:t>
            </w:r>
            <w:r>
              <w:rPr>
                <w:rFonts w:cs="Times New Roman" w:hint="eastAsia"/>
                <w:b/>
                <w:bCs/>
                <w:color w:val="000000"/>
                <w:sz w:val="21"/>
                <w:szCs w:val="20"/>
              </w:rPr>
              <w:t>生态环境影响</w:t>
            </w:r>
          </w:p>
        </w:tc>
        <w:tc>
          <w:tcPr>
            <w:tcW w:w="694" w:type="pct"/>
            <w:shd w:val="clear" w:color="auto" w:fill="FFFFFF"/>
            <w:vAlign w:val="center"/>
          </w:tcPr>
          <w:p w14:paraId="06AC43BF" w14:textId="77777777" w:rsidR="008D7AD9" w:rsidRDefault="00000000">
            <w:pPr>
              <w:pStyle w:val="affa"/>
              <w:spacing w:before="0" w:after="0"/>
              <w:ind w:firstLineChars="0"/>
              <w:rPr>
                <w:rFonts w:cs="Times New Roman"/>
                <w:b/>
                <w:bCs/>
                <w:color w:val="000000"/>
                <w:sz w:val="21"/>
                <w:szCs w:val="20"/>
              </w:rPr>
            </w:pPr>
            <w:r>
              <w:rPr>
                <w:rFonts w:cs="Times New Roman" w:hint="eastAsia"/>
                <w:b/>
                <w:bCs/>
                <w:color w:val="000000"/>
                <w:sz w:val="21"/>
                <w:szCs w:val="20"/>
              </w:rPr>
              <w:t>4.352</w:t>
            </w:r>
          </w:p>
        </w:tc>
        <w:tc>
          <w:tcPr>
            <w:tcW w:w="685" w:type="pct"/>
            <w:shd w:val="clear" w:color="auto" w:fill="FFFFFF"/>
            <w:vAlign w:val="center"/>
          </w:tcPr>
          <w:p w14:paraId="19AFB242" w14:textId="77777777" w:rsidR="008D7AD9" w:rsidRDefault="008D7AD9">
            <w:pPr>
              <w:pStyle w:val="affa"/>
              <w:spacing w:before="0" w:after="0"/>
              <w:ind w:firstLineChars="0"/>
              <w:rPr>
                <w:rFonts w:cs="Times New Roman"/>
                <w:b/>
                <w:bCs/>
                <w:color w:val="000000"/>
                <w:sz w:val="21"/>
                <w:szCs w:val="20"/>
              </w:rPr>
            </w:pPr>
          </w:p>
        </w:tc>
      </w:tr>
      <w:tr w:rsidR="008D7AD9" w14:paraId="63ADC81F" w14:textId="77777777" w:rsidTr="008D7AD9">
        <w:trPr>
          <w:trHeight w:val="23"/>
        </w:trPr>
        <w:tc>
          <w:tcPr>
            <w:tcW w:w="3620" w:type="pct"/>
            <w:shd w:val="clear" w:color="auto" w:fill="FFFFFF"/>
          </w:tcPr>
          <w:p w14:paraId="7CDA6825" w14:textId="77777777" w:rsidR="008D7AD9" w:rsidRDefault="00000000">
            <w:pPr>
              <w:pStyle w:val="affa"/>
              <w:spacing w:before="0" w:after="0"/>
              <w:ind w:firstLineChars="0"/>
              <w:jc w:val="both"/>
              <w:rPr>
                <w:rFonts w:cs="Times New Roman"/>
                <w:color w:val="000000"/>
                <w:sz w:val="21"/>
                <w:szCs w:val="20"/>
              </w:rPr>
            </w:pPr>
            <w:r>
              <w:rPr>
                <w:rFonts w:cs="Times New Roman" w:hint="eastAsia"/>
                <w:color w:val="000000"/>
                <w:sz w:val="21"/>
                <w:szCs w:val="20"/>
              </w:rPr>
              <w:t>生态环境影响可控</w:t>
            </w:r>
          </w:p>
        </w:tc>
        <w:tc>
          <w:tcPr>
            <w:tcW w:w="694" w:type="pct"/>
            <w:shd w:val="clear" w:color="auto" w:fill="FFFFFF"/>
            <w:vAlign w:val="center"/>
          </w:tcPr>
          <w:p w14:paraId="61DA4BA0"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4.352</w:t>
            </w:r>
          </w:p>
        </w:tc>
        <w:tc>
          <w:tcPr>
            <w:tcW w:w="685" w:type="pct"/>
            <w:shd w:val="clear" w:color="auto" w:fill="FFFFFF"/>
            <w:vAlign w:val="center"/>
          </w:tcPr>
          <w:p w14:paraId="0E942074"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8</w:t>
            </w:r>
          </w:p>
        </w:tc>
      </w:tr>
      <w:tr w:rsidR="008D7AD9" w14:paraId="1D27F2D6" w14:textId="77777777" w:rsidTr="008D7AD9">
        <w:trPr>
          <w:trHeight w:val="23"/>
        </w:trPr>
        <w:tc>
          <w:tcPr>
            <w:tcW w:w="3620" w:type="pct"/>
            <w:shd w:val="clear" w:color="auto" w:fill="FFFFFF"/>
          </w:tcPr>
          <w:p w14:paraId="1CE34021" w14:textId="77777777" w:rsidR="008D7AD9" w:rsidRDefault="00000000">
            <w:pPr>
              <w:pStyle w:val="affa"/>
              <w:spacing w:before="0" w:after="0"/>
              <w:ind w:firstLineChars="0"/>
              <w:rPr>
                <w:rFonts w:cs="Times New Roman"/>
                <w:b/>
                <w:bCs/>
                <w:color w:val="000000"/>
                <w:sz w:val="21"/>
                <w:szCs w:val="20"/>
              </w:rPr>
            </w:pPr>
            <w:r>
              <w:rPr>
                <w:rFonts w:cs="Times New Roman" w:hint="eastAsia"/>
                <w:b/>
                <w:bCs/>
                <w:color w:val="000000"/>
                <w:sz w:val="21"/>
                <w:szCs w:val="20"/>
              </w:rPr>
              <w:t>E.</w:t>
            </w:r>
            <w:r>
              <w:rPr>
                <w:rFonts w:cs="Times New Roman" w:hint="eastAsia"/>
                <w:b/>
                <w:bCs/>
                <w:color w:val="000000"/>
                <w:sz w:val="21"/>
                <w:szCs w:val="20"/>
              </w:rPr>
              <w:t>征地移民方案</w:t>
            </w:r>
          </w:p>
        </w:tc>
        <w:tc>
          <w:tcPr>
            <w:tcW w:w="694" w:type="pct"/>
            <w:shd w:val="clear" w:color="auto" w:fill="FFFFFF"/>
            <w:vAlign w:val="center"/>
          </w:tcPr>
          <w:p w14:paraId="551FF6EC" w14:textId="77777777" w:rsidR="008D7AD9" w:rsidRDefault="00000000">
            <w:pPr>
              <w:pStyle w:val="affa"/>
              <w:spacing w:before="0" w:after="0"/>
              <w:ind w:firstLineChars="0"/>
              <w:rPr>
                <w:rFonts w:cs="Times New Roman"/>
                <w:b/>
                <w:bCs/>
                <w:color w:val="000000"/>
                <w:sz w:val="21"/>
                <w:szCs w:val="20"/>
              </w:rPr>
            </w:pPr>
            <w:r>
              <w:rPr>
                <w:rFonts w:cs="Times New Roman" w:hint="eastAsia"/>
                <w:b/>
                <w:bCs/>
                <w:color w:val="000000"/>
                <w:sz w:val="21"/>
                <w:szCs w:val="20"/>
              </w:rPr>
              <w:t>4.291</w:t>
            </w:r>
          </w:p>
        </w:tc>
        <w:tc>
          <w:tcPr>
            <w:tcW w:w="685" w:type="pct"/>
            <w:shd w:val="clear" w:color="auto" w:fill="FFFFFF"/>
            <w:vAlign w:val="center"/>
          </w:tcPr>
          <w:p w14:paraId="465099C5" w14:textId="77777777" w:rsidR="008D7AD9" w:rsidRDefault="008D7AD9">
            <w:pPr>
              <w:pStyle w:val="affa"/>
              <w:spacing w:before="0" w:after="0"/>
              <w:ind w:firstLineChars="0"/>
              <w:rPr>
                <w:rFonts w:cs="Times New Roman"/>
                <w:b/>
                <w:bCs/>
                <w:color w:val="000000"/>
                <w:sz w:val="21"/>
                <w:szCs w:val="20"/>
              </w:rPr>
            </w:pPr>
          </w:p>
        </w:tc>
      </w:tr>
      <w:tr w:rsidR="008D7AD9" w14:paraId="771704DA" w14:textId="77777777" w:rsidTr="008D7AD9">
        <w:trPr>
          <w:trHeight w:val="223"/>
        </w:trPr>
        <w:tc>
          <w:tcPr>
            <w:tcW w:w="3620" w:type="pct"/>
            <w:shd w:val="clear" w:color="auto" w:fill="FFFFFF"/>
          </w:tcPr>
          <w:p w14:paraId="209BAE2C" w14:textId="77777777" w:rsidR="008D7AD9" w:rsidRDefault="00000000">
            <w:pPr>
              <w:pStyle w:val="affa"/>
              <w:spacing w:before="0" w:after="0"/>
              <w:ind w:firstLineChars="0"/>
              <w:jc w:val="both"/>
              <w:rPr>
                <w:rFonts w:cs="Times New Roman"/>
                <w:color w:val="000000"/>
                <w:sz w:val="21"/>
                <w:szCs w:val="20"/>
              </w:rPr>
            </w:pPr>
            <w:r>
              <w:rPr>
                <w:rFonts w:cs="Times New Roman" w:hint="eastAsia"/>
                <w:color w:val="000000"/>
                <w:sz w:val="21"/>
                <w:szCs w:val="20"/>
              </w:rPr>
              <w:t>征地移民方案可行</w:t>
            </w:r>
          </w:p>
        </w:tc>
        <w:tc>
          <w:tcPr>
            <w:tcW w:w="694" w:type="pct"/>
            <w:shd w:val="clear" w:color="auto" w:fill="FFFFFF"/>
            <w:vAlign w:val="center"/>
          </w:tcPr>
          <w:p w14:paraId="0F758AD4"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4.291</w:t>
            </w:r>
          </w:p>
        </w:tc>
        <w:tc>
          <w:tcPr>
            <w:tcW w:w="685" w:type="pct"/>
            <w:shd w:val="clear" w:color="auto" w:fill="FFFFFF"/>
            <w:vAlign w:val="center"/>
          </w:tcPr>
          <w:p w14:paraId="2B5BAD60"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12</w:t>
            </w:r>
          </w:p>
        </w:tc>
      </w:tr>
      <w:tr w:rsidR="008D7AD9" w14:paraId="7932C9F7" w14:textId="77777777" w:rsidTr="008D7AD9">
        <w:trPr>
          <w:trHeight w:val="23"/>
        </w:trPr>
        <w:tc>
          <w:tcPr>
            <w:tcW w:w="3620" w:type="pct"/>
            <w:shd w:val="clear" w:color="auto" w:fill="FFFFFF"/>
          </w:tcPr>
          <w:p w14:paraId="49221C40" w14:textId="77777777" w:rsidR="008D7AD9" w:rsidRDefault="00000000">
            <w:pPr>
              <w:pStyle w:val="affa"/>
              <w:spacing w:before="0" w:after="0"/>
              <w:ind w:firstLineChars="0"/>
              <w:rPr>
                <w:rFonts w:cs="Times New Roman"/>
                <w:b/>
                <w:bCs/>
                <w:color w:val="000000"/>
                <w:sz w:val="21"/>
                <w:szCs w:val="20"/>
              </w:rPr>
            </w:pPr>
            <w:r>
              <w:rPr>
                <w:rFonts w:cs="Times New Roman" w:hint="eastAsia"/>
                <w:b/>
                <w:bCs/>
                <w:color w:val="000000"/>
                <w:sz w:val="21"/>
                <w:szCs w:val="20"/>
              </w:rPr>
              <w:t>F.</w:t>
            </w:r>
            <w:r>
              <w:rPr>
                <w:rFonts w:cs="Times New Roman" w:hint="eastAsia"/>
                <w:b/>
                <w:bCs/>
                <w:color w:val="000000"/>
                <w:sz w:val="21"/>
                <w:szCs w:val="20"/>
              </w:rPr>
              <w:t>水源充足</w:t>
            </w:r>
          </w:p>
        </w:tc>
        <w:tc>
          <w:tcPr>
            <w:tcW w:w="694" w:type="pct"/>
            <w:shd w:val="clear" w:color="auto" w:fill="FFFFFF"/>
            <w:vAlign w:val="center"/>
          </w:tcPr>
          <w:p w14:paraId="3CA2A33C" w14:textId="77777777" w:rsidR="008D7AD9" w:rsidRDefault="00000000">
            <w:pPr>
              <w:pStyle w:val="affa"/>
              <w:spacing w:before="0" w:after="0"/>
              <w:ind w:firstLineChars="0"/>
              <w:rPr>
                <w:rFonts w:cs="Times New Roman"/>
                <w:b/>
                <w:bCs/>
                <w:color w:val="000000"/>
                <w:sz w:val="21"/>
                <w:szCs w:val="20"/>
              </w:rPr>
            </w:pPr>
            <w:r>
              <w:rPr>
                <w:rFonts w:cs="Times New Roman" w:hint="eastAsia"/>
                <w:b/>
                <w:bCs/>
                <w:color w:val="000000"/>
                <w:sz w:val="21"/>
                <w:szCs w:val="20"/>
              </w:rPr>
              <w:t>4.257</w:t>
            </w:r>
          </w:p>
        </w:tc>
        <w:tc>
          <w:tcPr>
            <w:tcW w:w="685" w:type="pct"/>
            <w:shd w:val="clear" w:color="auto" w:fill="FFFFFF"/>
            <w:vAlign w:val="center"/>
          </w:tcPr>
          <w:p w14:paraId="465D026C" w14:textId="77777777" w:rsidR="008D7AD9" w:rsidRDefault="008D7AD9">
            <w:pPr>
              <w:pStyle w:val="affa"/>
              <w:spacing w:before="0" w:after="0"/>
              <w:ind w:firstLineChars="0"/>
              <w:rPr>
                <w:rFonts w:cs="Times New Roman"/>
                <w:b/>
                <w:bCs/>
                <w:color w:val="000000"/>
                <w:sz w:val="21"/>
                <w:szCs w:val="20"/>
              </w:rPr>
            </w:pPr>
          </w:p>
        </w:tc>
      </w:tr>
      <w:tr w:rsidR="008D7AD9" w14:paraId="717C6FF0" w14:textId="77777777" w:rsidTr="008D7AD9">
        <w:trPr>
          <w:trHeight w:val="23"/>
        </w:trPr>
        <w:tc>
          <w:tcPr>
            <w:tcW w:w="3620" w:type="pct"/>
            <w:shd w:val="clear" w:color="auto" w:fill="FFFFFF"/>
          </w:tcPr>
          <w:p w14:paraId="2C7AF5AE" w14:textId="77777777" w:rsidR="008D7AD9" w:rsidRDefault="00000000">
            <w:pPr>
              <w:pStyle w:val="affa"/>
              <w:spacing w:before="0" w:after="0"/>
              <w:ind w:firstLineChars="0"/>
              <w:jc w:val="both"/>
              <w:rPr>
                <w:rFonts w:cs="Times New Roman"/>
                <w:color w:val="000000"/>
                <w:sz w:val="21"/>
                <w:szCs w:val="20"/>
              </w:rPr>
            </w:pPr>
            <w:r>
              <w:rPr>
                <w:rFonts w:cs="Times New Roman" w:hint="eastAsia"/>
                <w:color w:val="000000"/>
                <w:sz w:val="21"/>
                <w:szCs w:val="20"/>
              </w:rPr>
              <w:t>水源充足</w:t>
            </w:r>
          </w:p>
        </w:tc>
        <w:tc>
          <w:tcPr>
            <w:tcW w:w="694" w:type="pct"/>
            <w:shd w:val="clear" w:color="auto" w:fill="FFFFFF"/>
            <w:vAlign w:val="center"/>
          </w:tcPr>
          <w:p w14:paraId="042FCBE3"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4.257</w:t>
            </w:r>
          </w:p>
        </w:tc>
        <w:tc>
          <w:tcPr>
            <w:tcW w:w="685" w:type="pct"/>
            <w:shd w:val="clear" w:color="auto" w:fill="FFFFFF"/>
            <w:vAlign w:val="center"/>
          </w:tcPr>
          <w:p w14:paraId="38AD755E" w14:textId="77777777" w:rsidR="008D7AD9" w:rsidRDefault="00000000">
            <w:pPr>
              <w:pStyle w:val="affa"/>
              <w:spacing w:before="0" w:after="0"/>
              <w:ind w:firstLineChars="0"/>
              <w:rPr>
                <w:rFonts w:cs="Times New Roman"/>
                <w:color w:val="000000"/>
                <w:sz w:val="21"/>
                <w:szCs w:val="20"/>
              </w:rPr>
            </w:pPr>
            <w:r>
              <w:rPr>
                <w:rFonts w:cs="Times New Roman" w:hint="eastAsia"/>
                <w:color w:val="000000"/>
                <w:sz w:val="21"/>
                <w:szCs w:val="20"/>
              </w:rPr>
              <w:t>13</w:t>
            </w:r>
          </w:p>
        </w:tc>
      </w:tr>
      <w:tr w:rsidR="008D7AD9" w14:paraId="51B69115" w14:textId="77777777" w:rsidTr="008D7AD9">
        <w:trPr>
          <w:trHeight w:val="23"/>
        </w:trPr>
        <w:tc>
          <w:tcPr>
            <w:tcW w:w="3620" w:type="pct"/>
            <w:tcBorders>
              <w:bottom w:val="single" w:sz="12" w:space="0" w:color="000000"/>
            </w:tcBorders>
            <w:shd w:val="clear" w:color="auto" w:fill="FFFFFF"/>
          </w:tcPr>
          <w:p w14:paraId="4DDF2D64" w14:textId="77777777" w:rsidR="008D7AD9" w:rsidRDefault="00000000">
            <w:pPr>
              <w:pStyle w:val="affa"/>
              <w:spacing w:before="0" w:after="0"/>
              <w:ind w:firstLineChars="0"/>
              <w:rPr>
                <w:rFonts w:cs="Times New Roman"/>
                <w:b/>
                <w:bCs/>
                <w:color w:val="000000"/>
                <w:sz w:val="21"/>
                <w:szCs w:val="20"/>
              </w:rPr>
            </w:pPr>
            <w:r>
              <w:rPr>
                <w:rFonts w:cs="Times New Roman" w:hint="eastAsia"/>
                <w:b/>
                <w:bCs/>
                <w:color w:val="000000"/>
                <w:sz w:val="21"/>
                <w:szCs w:val="20"/>
              </w:rPr>
              <w:t>平均值</w:t>
            </w:r>
          </w:p>
        </w:tc>
        <w:tc>
          <w:tcPr>
            <w:tcW w:w="694" w:type="pct"/>
            <w:tcBorders>
              <w:bottom w:val="single" w:sz="12" w:space="0" w:color="000000"/>
            </w:tcBorders>
            <w:shd w:val="clear" w:color="auto" w:fill="FFFFFF"/>
            <w:vAlign w:val="center"/>
          </w:tcPr>
          <w:p w14:paraId="05DD420E" w14:textId="77777777" w:rsidR="008D7AD9" w:rsidRDefault="00000000">
            <w:pPr>
              <w:pStyle w:val="affa"/>
              <w:spacing w:before="0" w:after="0"/>
              <w:ind w:firstLineChars="0"/>
              <w:rPr>
                <w:rFonts w:cs="Times New Roman"/>
                <w:b/>
                <w:bCs/>
                <w:color w:val="000000"/>
                <w:sz w:val="21"/>
                <w:szCs w:val="20"/>
              </w:rPr>
            </w:pPr>
            <w:r>
              <w:rPr>
                <w:rFonts w:cs="Times New Roman" w:hint="eastAsia"/>
                <w:b/>
                <w:bCs/>
                <w:color w:val="000000"/>
                <w:sz w:val="21"/>
                <w:szCs w:val="20"/>
              </w:rPr>
              <w:t>4.375</w:t>
            </w:r>
          </w:p>
        </w:tc>
        <w:tc>
          <w:tcPr>
            <w:tcW w:w="685" w:type="pct"/>
            <w:tcBorders>
              <w:bottom w:val="single" w:sz="12" w:space="0" w:color="000000"/>
            </w:tcBorders>
            <w:shd w:val="clear" w:color="auto" w:fill="FFFFFF"/>
            <w:vAlign w:val="center"/>
          </w:tcPr>
          <w:p w14:paraId="143BB5B5" w14:textId="77777777" w:rsidR="008D7AD9" w:rsidRDefault="008D7AD9">
            <w:pPr>
              <w:pStyle w:val="affa"/>
              <w:spacing w:before="0" w:after="0"/>
              <w:ind w:firstLineChars="0"/>
              <w:rPr>
                <w:rFonts w:cs="Times New Roman"/>
                <w:b/>
                <w:bCs/>
                <w:color w:val="000000"/>
                <w:sz w:val="21"/>
                <w:szCs w:val="20"/>
              </w:rPr>
            </w:pPr>
          </w:p>
        </w:tc>
      </w:tr>
    </w:tbl>
    <w:p w14:paraId="63E8B289" w14:textId="6CC95C52" w:rsidR="008D7AD9" w:rsidRDefault="00000000">
      <w:pPr>
        <w:spacing w:beforeLines="50" w:before="156"/>
        <w:ind w:firstLine="420"/>
        <w:rPr>
          <w:rFonts w:cs="Times New Roman"/>
        </w:rPr>
      </w:pPr>
      <w:r>
        <w:rPr>
          <w:rFonts w:cs="Times New Roman" w:hint="eastAsia"/>
        </w:rPr>
        <w:t>如</w:t>
      </w:r>
      <w:r>
        <w:rPr>
          <w:rFonts w:cs="Times New Roman" w:hint="eastAsia"/>
        </w:rPr>
        <w:fldChar w:fldCharType="begin"/>
      </w:r>
      <w:r>
        <w:rPr>
          <w:rFonts w:cs="Times New Roman" w:hint="eastAsia"/>
        </w:rPr>
        <w:instrText xml:space="preserve"> REF _Ref1280 \h </w:instrText>
      </w:r>
      <w:r>
        <w:rPr>
          <w:rFonts w:cs="Times New Roman" w:hint="eastAsia"/>
        </w:rPr>
      </w:r>
      <w:r>
        <w:rPr>
          <w:rFonts w:cs="Times New Roman" w:hint="eastAsia"/>
        </w:rPr>
        <w:fldChar w:fldCharType="separate"/>
      </w:r>
      <w:r w:rsidR="00B1714C">
        <w:t>表</w:t>
      </w:r>
      <w:r w:rsidR="00B1714C">
        <w:t xml:space="preserve"> </w:t>
      </w:r>
      <w:r w:rsidR="00B1714C">
        <w:rPr>
          <w:rFonts w:hint="eastAsia"/>
          <w:noProof/>
        </w:rPr>
        <w:t>3</w:t>
      </w:r>
      <w:r>
        <w:rPr>
          <w:rFonts w:cs="Times New Roman" w:hint="eastAsia"/>
        </w:rPr>
        <w:fldChar w:fldCharType="end"/>
      </w:r>
      <w:r>
        <w:rPr>
          <w:rFonts w:cs="Times New Roman" w:hint="eastAsia"/>
        </w:rPr>
        <w:t>所示，抽水蓄能方案选择总体较好，包括多能互补方案、地形地质条件选择、电站布置与装机规模等。值得注意的是，充足的水源和抽蓄电站选址考虑多能互补一体化运营及源网荷储一体化管理仍是挑战，同时，征地移民和生态环境影响仍需重视。</w:t>
      </w:r>
    </w:p>
    <w:p w14:paraId="71161ECA" w14:textId="77777777" w:rsidR="008D7AD9" w:rsidRDefault="00000000">
      <w:pPr>
        <w:ind w:firstLine="422"/>
        <w:rPr>
          <w:rFonts w:cs="Times New Roman"/>
          <w:b/>
          <w:bCs/>
        </w:rPr>
      </w:pPr>
      <w:r>
        <w:rPr>
          <w:rFonts w:cs="Times New Roman" w:hint="eastAsia"/>
          <w:b/>
          <w:bCs/>
        </w:rPr>
        <w:t>3</w:t>
      </w:r>
      <w:r>
        <w:rPr>
          <w:rFonts w:cs="Times New Roman"/>
          <w:b/>
          <w:bCs/>
        </w:rPr>
        <w:t xml:space="preserve">.4 </w:t>
      </w:r>
      <w:r>
        <w:rPr>
          <w:rFonts w:cs="Times New Roman" w:hint="eastAsia"/>
          <w:b/>
          <w:bCs/>
        </w:rPr>
        <w:t>电价和市场机制</w:t>
      </w:r>
    </w:p>
    <w:p w14:paraId="78A8103C" w14:textId="497F48BC" w:rsidR="008D7AD9" w:rsidRDefault="00000000">
      <w:pPr>
        <w:ind w:firstLine="420"/>
        <w:rPr>
          <w:rFonts w:ascii="宋体" w:hAnsi="宋体" w:cs="Times New Roman" w:hint="eastAsia"/>
        </w:rPr>
      </w:pPr>
      <w:r>
        <w:rPr>
          <w:rFonts w:ascii="宋体" w:hAnsi="宋体" w:cs="Times New Roman" w:hint="eastAsia"/>
        </w:rPr>
        <w:t>电价和市场机制情况如</w:t>
      </w:r>
      <w:r>
        <w:rPr>
          <w:rFonts w:ascii="宋体" w:hAnsi="宋体" w:cs="Times New Roman" w:hint="eastAsia"/>
        </w:rPr>
        <w:fldChar w:fldCharType="begin"/>
      </w:r>
      <w:r>
        <w:rPr>
          <w:rFonts w:ascii="宋体" w:hAnsi="宋体" w:cs="Times New Roman" w:hint="eastAsia"/>
        </w:rPr>
        <w:instrText xml:space="preserve"> REF _Ref1450 \h </w:instrText>
      </w:r>
      <w:r>
        <w:rPr>
          <w:rFonts w:ascii="宋体" w:hAnsi="宋体" w:cs="Times New Roman" w:hint="eastAsia"/>
        </w:rPr>
      </w:r>
      <w:r>
        <w:rPr>
          <w:rFonts w:ascii="宋体" w:hAnsi="宋体" w:cs="Times New Roman" w:hint="eastAsia"/>
        </w:rPr>
        <w:fldChar w:fldCharType="separate"/>
      </w:r>
      <w:r w:rsidR="00B1714C">
        <w:t>表</w:t>
      </w:r>
      <w:r w:rsidR="00B1714C">
        <w:t xml:space="preserve"> </w:t>
      </w:r>
      <w:r w:rsidR="00B1714C">
        <w:rPr>
          <w:rFonts w:hint="eastAsia"/>
          <w:noProof/>
        </w:rPr>
        <w:t>4</w:t>
      </w:r>
      <w:r>
        <w:rPr>
          <w:rFonts w:ascii="宋体" w:hAnsi="宋体" w:cs="Times New Roman" w:hint="eastAsia"/>
        </w:rPr>
        <w:fldChar w:fldCharType="end"/>
      </w:r>
      <w:r>
        <w:rPr>
          <w:rFonts w:ascii="宋体" w:hAnsi="宋体" w:cs="Times New Roman" w:hint="eastAsia"/>
        </w:rPr>
        <w:t>所示。其中，1分代表非常不符合，5分代表非常符合。</w:t>
      </w:r>
    </w:p>
    <w:p w14:paraId="6283BA84" w14:textId="6641C088" w:rsidR="008D7AD9" w:rsidRDefault="00000000">
      <w:pPr>
        <w:pStyle w:val="aff3"/>
        <w:ind w:firstLine="420"/>
        <w:rPr>
          <w:rFonts w:hint="eastAsia"/>
        </w:rPr>
      </w:pPr>
      <w:bookmarkStart w:id="7" w:name="_Ref1450"/>
      <w:r>
        <w:t xml:space="preserve">表 </w:t>
      </w:r>
      <w:fldSimple w:instr=" SEQ 表 \* ARABIC ">
        <w:r w:rsidR="00B1714C">
          <w:rPr>
            <w:rFonts w:hint="eastAsia"/>
            <w:noProof/>
          </w:rPr>
          <w:t>4</w:t>
        </w:r>
      </w:fldSimple>
      <w:bookmarkEnd w:id="7"/>
      <w:r>
        <w:rPr>
          <w:rFonts w:hint="eastAsia"/>
        </w:rPr>
        <w:t xml:space="preserve"> 电价和市场机制情况</w:t>
      </w:r>
    </w:p>
    <w:tbl>
      <w:tblPr>
        <w:tblStyle w:val="110"/>
        <w:tblW w:w="5115" w:type="pct"/>
        <w:tblLook w:val="04A0" w:firstRow="1" w:lastRow="0" w:firstColumn="1" w:lastColumn="0" w:noHBand="0" w:noVBand="1"/>
      </w:tblPr>
      <w:tblGrid>
        <w:gridCol w:w="3593"/>
        <w:gridCol w:w="689"/>
        <w:gridCol w:w="680"/>
      </w:tblGrid>
      <w:tr w:rsidR="008D7AD9" w14:paraId="1DC8D0B5" w14:textId="77777777" w:rsidTr="008D7AD9">
        <w:trPr>
          <w:cnfStyle w:val="100000000000" w:firstRow="1" w:lastRow="0" w:firstColumn="0" w:lastColumn="0" w:oddVBand="0" w:evenVBand="0" w:oddHBand="0" w:evenHBand="0" w:firstRowFirstColumn="0" w:firstRowLastColumn="0" w:lastRowFirstColumn="0" w:lastRowLastColumn="0"/>
          <w:trHeight w:val="232"/>
        </w:trPr>
        <w:tc>
          <w:tcPr>
            <w:tcW w:w="3620" w:type="pct"/>
            <w:tcBorders>
              <w:top w:val="single" w:sz="12" w:space="0" w:color="000000"/>
              <w:bottom w:val="single" w:sz="4" w:space="0" w:color="000000"/>
            </w:tcBorders>
            <w:shd w:val="clear" w:color="auto" w:fill="FFFFFF"/>
          </w:tcPr>
          <w:p w14:paraId="7297495E" w14:textId="77777777" w:rsidR="008D7AD9" w:rsidRDefault="00000000">
            <w:pPr>
              <w:pStyle w:val="affa"/>
              <w:spacing w:before="0" w:after="0"/>
              <w:ind w:firstLineChars="0"/>
              <w:rPr>
                <w:bCs/>
                <w:sz w:val="21"/>
                <w:szCs w:val="21"/>
              </w:rPr>
            </w:pPr>
            <w:r>
              <w:rPr>
                <w:rFonts w:hint="eastAsia"/>
                <w:bCs/>
                <w:sz w:val="21"/>
                <w:szCs w:val="21"/>
              </w:rPr>
              <w:t>指标</w:t>
            </w:r>
          </w:p>
        </w:tc>
        <w:tc>
          <w:tcPr>
            <w:tcW w:w="694" w:type="pct"/>
            <w:tcBorders>
              <w:top w:val="single" w:sz="12" w:space="0" w:color="000000"/>
              <w:bottom w:val="single" w:sz="4" w:space="0" w:color="000000"/>
            </w:tcBorders>
            <w:shd w:val="clear" w:color="auto" w:fill="FFFFFF"/>
            <w:vAlign w:val="center"/>
          </w:tcPr>
          <w:p w14:paraId="30E69F2C" w14:textId="77777777" w:rsidR="008D7AD9" w:rsidRDefault="00000000">
            <w:pPr>
              <w:pStyle w:val="affa"/>
              <w:spacing w:before="0" w:after="0"/>
              <w:ind w:firstLineChars="0"/>
              <w:rPr>
                <w:bCs/>
                <w:sz w:val="21"/>
                <w:szCs w:val="21"/>
              </w:rPr>
            </w:pPr>
            <w:r>
              <w:rPr>
                <w:rFonts w:hint="eastAsia"/>
                <w:bCs/>
                <w:sz w:val="21"/>
                <w:szCs w:val="21"/>
              </w:rPr>
              <w:t>得分</w:t>
            </w:r>
          </w:p>
        </w:tc>
        <w:tc>
          <w:tcPr>
            <w:tcW w:w="685" w:type="pct"/>
            <w:tcBorders>
              <w:top w:val="single" w:sz="12" w:space="0" w:color="000000"/>
              <w:bottom w:val="single" w:sz="4" w:space="0" w:color="000000"/>
            </w:tcBorders>
            <w:shd w:val="clear" w:color="auto" w:fill="FFFFFF"/>
            <w:vAlign w:val="center"/>
          </w:tcPr>
          <w:p w14:paraId="1A7536ED" w14:textId="77777777" w:rsidR="008D7AD9" w:rsidRDefault="00000000">
            <w:pPr>
              <w:pStyle w:val="affa"/>
              <w:spacing w:before="0" w:after="0"/>
              <w:ind w:firstLineChars="0"/>
              <w:rPr>
                <w:bCs/>
                <w:sz w:val="21"/>
                <w:szCs w:val="21"/>
              </w:rPr>
            </w:pPr>
            <w:r>
              <w:rPr>
                <w:rFonts w:hint="eastAsia"/>
                <w:bCs/>
                <w:sz w:val="21"/>
                <w:szCs w:val="21"/>
              </w:rPr>
              <w:t>排序</w:t>
            </w:r>
          </w:p>
        </w:tc>
      </w:tr>
      <w:tr w:rsidR="008D7AD9" w14:paraId="544221B9" w14:textId="77777777" w:rsidTr="008D7AD9">
        <w:trPr>
          <w:trHeight w:val="232"/>
        </w:trPr>
        <w:tc>
          <w:tcPr>
            <w:tcW w:w="3620" w:type="pct"/>
            <w:shd w:val="clear" w:color="auto" w:fill="FFFFFF"/>
          </w:tcPr>
          <w:p w14:paraId="3BFB627B" w14:textId="77777777" w:rsidR="008D7AD9" w:rsidRDefault="00000000">
            <w:pPr>
              <w:pStyle w:val="affa"/>
              <w:spacing w:before="0" w:after="0"/>
              <w:ind w:firstLineChars="0"/>
              <w:jc w:val="both"/>
              <w:rPr>
                <w:sz w:val="21"/>
                <w:szCs w:val="21"/>
              </w:rPr>
            </w:pPr>
            <w:r>
              <w:rPr>
                <w:rFonts w:hint="eastAsia"/>
                <w:sz w:val="21"/>
                <w:szCs w:val="21"/>
              </w:rPr>
              <w:t>现行分时电价政策有利于保障抽蓄电站经济可行性</w:t>
            </w:r>
          </w:p>
        </w:tc>
        <w:tc>
          <w:tcPr>
            <w:tcW w:w="694" w:type="pct"/>
            <w:shd w:val="clear" w:color="auto" w:fill="FFFFFF"/>
            <w:vAlign w:val="center"/>
          </w:tcPr>
          <w:p w14:paraId="35FDE166" w14:textId="77777777" w:rsidR="008D7AD9" w:rsidRDefault="00000000">
            <w:pPr>
              <w:pStyle w:val="affa"/>
              <w:spacing w:before="0" w:after="0"/>
              <w:ind w:firstLineChars="0"/>
              <w:rPr>
                <w:sz w:val="21"/>
                <w:szCs w:val="21"/>
              </w:rPr>
            </w:pPr>
            <w:r>
              <w:rPr>
                <w:rFonts w:hint="eastAsia"/>
                <w:sz w:val="21"/>
                <w:szCs w:val="21"/>
              </w:rPr>
              <w:t>4.283</w:t>
            </w:r>
          </w:p>
        </w:tc>
        <w:tc>
          <w:tcPr>
            <w:tcW w:w="685" w:type="pct"/>
            <w:shd w:val="clear" w:color="auto" w:fill="FFFFFF"/>
            <w:vAlign w:val="center"/>
          </w:tcPr>
          <w:p w14:paraId="67BCE24A" w14:textId="77777777" w:rsidR="008D7AD9" w:rsidRDefault="00000000">
            <w:pPr>
              <w:pStyle w:val="affa"/>
              <w:spacing w:before="0" w:after="0"/>
              <w:ind w:firstLineChars="0"/>
              <w:rPr>
                <w:sz w:val="21"/>
                <w:szCs w:val="21"/>
              </w:rPr>
            </w:pPr>
            <w:r>
              <w:rPr>
                <w:rFonts w:hint="eastAsia"/>
                <w:sz w:val="21"/>
                <w:szCs w:val="21"/>
              </w:rPr>
              <w:t>1</w:t>
            </w:r>
          </w:p>
        </w:tc>
      </w:tr>
      <w:tr w:rsidR="008D7AD9" w14:paraId="7B11C503" w14:textId="77777777" w:rsidTr="008D7AD9">
        <w:trPr>
          <w:trHeight w:val="232"/>
        </w:trPr>
        <w:tc>
          <w:tcPr>
            <w:tcW w:w="3620" w:type="pct"/>
            <w:shd w:val="clear" w:color="auto" w:fill="FFFFFF"/>
          </w:tcPr>
          <w:p w14:paraId="0814A52E" w14:textId="77777777" w:rsidR="008D7AD9" w:rsidRDefault="00000000">
            <w:pPr>
              <w:pStyle w:val="affa"/>
              <w:spacing w:before="0" w:after="0"/>
              <w:ind w:firstLineChars="0"/>
              <w:jc w:val="both"/>
              <w:rPr>
                <w:sz w:val="21"/>
                <w:szCs w:val="21"/>
              </w:rPr>
            </w:pPr>
            <w:r>
              <w:rPr>
                <w:rFonts w:hint="eastAsia"/>
                <w:sz w:val="21"/>
                <w:szCs w:val="21"/>
              </w:rPr>
              <w:t>抽蓄电站服务特定电源</w:t>
            </w:r>
            <w:r>
              <w:rPr>
                <w:rFonts w:hint="eastAsia"/>
                <w:sz w:val="21"/>
                <w:szCs w:val="21"/>
              </w:rPr>
              <w:t>/</w:t>
            </w:r>
            <w:r>
              <w:rPr>
                <w:rFonts w:hint="eastAsia"/>
                <w:sz w:val="21"/>
                <w:szCs w:val="21"/>
              </w:rPr>
              <w:t>电力系统的效益补偿和分摊机制合理</w:t>
            </w:r>
          </w:p>
        </w:tc>
        <w:tc>
          <w:tcPr>
            <w:tcW w:w="694" w:type="pct"/>
            <w:shd w:val="clear" w:color="auto" w:fill="FFFFFF"/>
            <w:vAlign w:val="center"/>
          </w:tcPr>
          <w:p w14:paraId="1B118990" w14:textId="77777777" w:rsidR="008D7AD9" w:rsidRDefault="00000000">
            <w:pPr>
              <w:pStyle w:val="affa"/>
              <w:spacing w:before="0" w:after="0"/>
              <w:ind w:firstLineChars="0"/>
              <w:rPr>
                <w:sz w:val="21"/>
                <w:szCs w:val="21"/>
              </w:rPr>
            </w:pPr>
            <w:r>
              <w:rPr>
                <w:rFonts w:hint="eastAsia"/>
                <w:sz w:val="21"/>
                <w:szCs w:val="21"/>
              </w:rPr>
              <w:t>4.283</w:t>
            </w:r>
          </w:p>
        </w:tc>
        <w:tc>
          <w:tcPr>
            <w:tcW w:w="685" w:type="pct"/>
            <w:shd w:val="clear" w:color="auto" w:fill="FFFFFF"/>
            <w:vAlign w:val="center"/>
          </w:tcPr>
          <w:p w14:paraId="0AD72777" w14:textId="77777777" w:rsidR="008D7AD9" w:rsidRDefault="00000000">
            <w:pPr>
              <w:pStyle w:val="affa"/>
              <w:spacing w:before="0" w:after="0"/>
              <w:ind w:firstLineChars="0"/>
              <w:rPr>
                <w:sz w:val="21"/>
                <w:szCs w:val="21"/>
              </w:rPr>
            </w:pPr>
            <w:r>
              <w:rPr>
                <w:rFonts w:hint="eastAsia"/>
                <w:sz w:val="21"/>
                <w:szCs w:val="21"/>
              </w:rPr>
              <w:t>1</w:t>
            </w:r>
          </w:p>
        </w:tc>
      </w:tr>
      <w:tr w:rsidR="008D7AD9" w14:paraId="6BA17877" w14:textId="77777777" w:rsidTr="008D7AD9">
        <w:trPr>
          <w:trHeight w:val="232"/>
        </w:trPr>
        <w:tc>
          <w:tcPr>
            <w:tcW w:w="3620" w:type="pct"/>
            <w:shd w:val="clear" w:color="auto" w:fill="FFFFFF"/>
          </w:tcPr>
          <w:p w14:paraId="73BFFA8C" w14:textId="77777777" w:rsidR="008D7AD9" w:rsidRDefault="00000000">
            <w:pPr>
              <w:pStyle w:val="affa"/>
              <w:spacing w:before="0" w:after="0"/>
              <w:ind w:firstLineChars="0"/>
              <w:jc w:val="both"/>
              <w:rPr>
                <w:sz w:val="21"/>
                <w:szCs w:val="21"/>
              </w:rPr>
            </w:pPr>
            <w:r>
              <w:rPr>
                <w:rFonts w:hint="eastAsia"/>
                <w:sz w:val="21"/>
                <w:szCs w:val="21"/>
              </w:rPr>
              <w:t>现行抽蓄电站两部制电价机制合理，有利于保障电站收益</w:t>
            </w:r>
          </w:p>
        </w:tc>
        <w:tc>
          <w:tcPr>
            <w:tcW w:w="694" w:type="pct"/>
            <w:shd w:val="clear" w:color="auto" w:fill="FFFFFF"/>
            <w:vAlign w:val="center"/>
          </w:tcPr>
          <w:p w14:paraId="26FBD3CF" w14:textId="77777777" w:rsidR="008D7AD9" w:rsidRDefault="00000000">
            <w:pPr>
              <w:pStyle w:val="affa"/>
              <w:spacing w:before="0" w:after="0"/>
              <w:ind w:firstLineChars="0"/>
              <w:rPr>
                <w:sz w:val="21"/>
                <w:szCs w:val="21"/>
              </w:rPr>
            </w:pPr>
            <w:r>
              <w:rPr>
                <w:rFonts w:hint="eastAsia"/>
                <w:sz w:val="21"/>
                <w:szCs w:val="21"/>
              </w:rPr>
              <w:t>4.261</w:t>
            </w:r>
          </w:p>
        </w:tc>
        <w:tc>
          <w:tcPr>
            <w:tcW w:w="685" w:type="pct"/>
            <w:shd w:val="clear" w:color="auto" w:fill="FFFFFF"/>
            <w:vAlign w:val="center"/>
          </w:tcPr>
          <w:p w14:paraId="25F964EC" w14:textId="77777777" w:rsidR="008D7AD9" w:rsidRDefault="00000000">
            <w:pPr>
              <w:pStyle w:val="affa"/>
              <w:spacing w:before="0" w:after="0"/>
              <w:ind w:firstLineChars="0"/>
              <w:rPr>
                <w:sz w:val="21"/>
                <w:szCs w:val="21"/>
              </w:rPr>
            </w:pPr>
            <w:r>
              <w:rPr>
                <w:rFonts w:hint="eastAsia"/>
                <w:sz w:val="21"/>
                <w:szCs w:val="21"/>
              </w:rPr>
              <w:t>3</w:t>
            </w:r>
          </w:p>
        </w:tc>
      </w:tr>
      <w:tr w:rsidR="008D7AD9" w14:paraId="564F4981" w14:textId="77777777" w:rsidTr="00316F81">
        <w:trPr>
          <w:trHeight w:val="232"/>
        </w:trPr>
        <w:tc>
          <w:tcPr>
            <w:tcW w:w="3620" w:type="pct"/>
            <w:tcBorders>
              <w:bottom w:val="nil"/>
            </w:tcBorders>
            <w:shd w:val="clear" w:color="auto" w:fill="FFFFFF"/>
          </w:tcPr>
          <w:p w14:paraId="2C97590E" w14:textId="77777777" w:rsidR="008D7AD9" w:rsidRDefault="00000000">
            <w:pPr>
              <w:pStyle w:val="affa"/>
              <w:spacing w:before="0" w:after="0"/>
              <w:ind w:firstLineChars="0"/>
              <w:jc w:val="both"/>
              <w:rPr>
                <w:sz w:val="21"/>
                <w:szCs w:val="21"/>
              </w:rPr>
            </w:pPr>
            <w:r>
              <w:rPr>
                <w:rFonts w:hint="eastAsia"/>
                <w:sz w:val="21"/>
                <w:szCs w:val="21"/>
              </w:rPr>
              <w:t>现行现货电能量市场交易机制有助于抽蓄电站作为独立市场主体参与</w:t>
            </w:r>
          </w:p>
        </w:tc>
        <w:tc>
          <w:tcPr>
            <w:tcW w:w="694" w:type="pct"/>
            <w:tcBorders>
              <w:bottom w:val="nil"/>
            </w:tcBorders>
            <w:shd w:val="clear" w:color="auto" w:fill="FFFFFF"/>
            <w:vAlign w:val="center"/>
          </w:tcPr>
          <w:p w14:paraId="4540303F" w14:textId="77777777" w:rsidR="008D7AD9" w:rsidRDefault="00000000">
            <w:pPr>
              <w:pStyle w:val="affa"/>
              <w:spacing w:before="0" w:after="0"/>
              <w:ind w:firstLineChars="0"/>
              <w:rPr>
                <w:sz w:val="21"/>
                <w:szCs w:val="21"/>
              </w:rPr>
            </w:pPr>
            <w:r>
              <w:rPr>
                <w:rFonts w:hint="eastAsia"/>
                <w:sz w:val="21"/>
                <w:szCs w:val="21"/>
              </w:rPr>
              <w:t>4.261</w:t>
            </w:r>
          </w:p>
        </w:tc>
        <w:tc>
          <w:tcPr>
            <w:tcW w:w="685" w:type="pct"/>
            <w:tcBorders>
              <w:bottom w:val="nil"/>
            </w:tcBorders>
            <w:shd w:val="clear" w:color="auto" w:fill="FFFFFF"/>
            <w:vAlign w:val="center"/>
          </w:tcPr>
          <w:p w14:paraId="4A87C9A3" w14:textId="77777777" w:rsidR="008D7AD9" w:rsidRDefault="00000000">
            <w:pPr>
              <w:pStyle w:val="affa"/>
              <w:spacing w:before="0" w:after="0"/>
              <w:ind w:firstLineChars="0"/>
              <w:rPr>
                <w:sz w:val="21"/>
                <w:szCs w:val="21"/>
              </w:rPr>
            </w:pPr>
            <w:r>
              <w:rPr>
                <w:rFonts w:hint="eastAsia"/>
                <w:sz w:val="21"/>
                <w:szCs w:val="21"/>
              </w:rPr>
              <w:t>3</w:t>
            </w:r>
          </w:p>
        </w:tc>
      </w:tr>
      <w:tr w:rsidR="008D7AD9" w14:paraId="760E6D94" w14:textId="77777777" w:rsidTr="00316F81">
        <w:trPr>
          <w:trHeight w:val="232"/>
        </w:trPr>
        <w:tc>
          <w:tcPr>
            <w:tcW w:w="3620" w:type="pct"/>
            <w:tcBorders>
              <w:top w:val="nil"/>
              <w:bottom w:val="nil"/>
            </w:tcBorders>
            <w:shd w:val="clear" w:color="auto" w:fill="FFFFFF"/>
          </w:tcPr>
          <w:p w14:paraId="3AC3CB28" w14:textId="77777777" w:rsidR="008D7AD9" w:rsidRDefault="00000000">
            <w:pPr>
              <w:pStyle w:val="affa"/>
              <w:spacing w:before="0" w:after="0"/>
              <w:ind w:firstLineChars="0"/>
              <w:jc w:val="both"/>
              <w:rPr>
                <w:sz w:val="21"/>
                <w:szCs w:val="21"/>
              </w:rPr>
            </w:pPr>
            <w:r>
              <w:rPr>
                <w:rFonts w:hint="eastAsia"/>
                <w:sz w:val="21"/>
                <w:szCs w:val="21"/>
              </w:rPr>
              <w:t>抽蓄电站参与调频、备用等辅助服务市场交易</w:t>
            </w:r>
            <w:r>
              <w:rPr>
                <w:rFonts w:hint="eastAsia"/>
                <w:sz w:val="21"/>
                <w:szCs w:val="21"/>
              </w:rPr>
              <w:t>/</w:t>
            </w:r>
            <w:r>
              <w:rPr>
                <w:rFonts w:hint="eastAsia"/>
                <w:sz w:val="21"/>
                <w:szCs w:val="21"/>
              </w:rPr>
              <w:t>补偿机制合理</w:t>
            </w:r>
          </w:p>
        </w:tc>
        <w:tc>
          <w:tcPr>
            <w:tcW w:w="694" w:type="pct"/>
            <w:tcBorders>
              <w:top w:val="nil"/>
              <w:bottom w:val="nil"/>
            </w:tcBorders>
            <w:shd w:val="clear" w:color="auto" w:fill="FFFFFF"/>
            <w:vAlign w:val="center"/>
          </w:tcPr>
          <w:p w14:paraId="04558996" w14:textId="77777777" w:rsidR="008D7AD9" w:rsidRDefault="00000000">
            <w:pPr>
              <w:pStyle w:val="affa"/>
              <w:spacing w:before="0" w:after="0"/>
              <w:ind w:firstLineChars="0"/>
              <w:rPr>
                <w:sz w:val="21"/>
                <w:szCs w:val="21"/>
              </w:rPr>
            </w:pPr>
            <w:r>
              <w:rPr>
                <w:rFonts w:hint="eastAsia"/>
                <w:sz w:val="21"/>
                <w:szCs w:val="21"/>
              </w:rPr>
              <w:t>4.248</w:t>
            </w:r>
          </w:p>
        </w:tc>
        <w:tc>
          <w:tcPr>
            <w:tcW w:w="685" w:type="pct"/>
            <w:tcBorders>
              <w:top w:val="nil"/>
              <w:bottom w:val="nil"/>
            </w:tcBorders>
            <w:shd w:val="clear" w:color="auto" w:fill="FFFFFF"/>
            <w:vAlign w:val="center"/>
          </w:tcPr>
          <w:p w14:paraId="608C00FA" w14:textId="77777777" w:rsidR="008D7AD9" w:rsidRDefault="00000000">
            <w:pPr>
              <w:pStyle w:val="affa"/>
              <w:spacing w:before="0" w:after="0"/>
              <w:ind w:firstLineChars="0"/>
              <w:rPr>
                <w:sz w:val="21"/>
                <w:szCs w:val="21"/>
              </w:rPr>
            </w:pPr>
            <w:r>
              <w:rPr>
                <w:rFonts w:hint="eastAsia"/>
                <w:sz w:val="21"/>
                <w:szCs w:val="21"/>
              </w:rPr>
              <w:t>5</w:t>
            </w:r>
          </w:p>
        </w:tc>
      </w:tr>
      <w:tr w:rsidR="008D7AD9" w14:paraId="049CE41B" w14:textId="77777777" w:rsidTr="00316F81">
        <w:trPr>
          <w:trHeight w:val="232"/>
        </w:trPr>
        <w:tc>
          <w:tcPr>
            <w:tcW w:w="3620" w:type="pct"/>
            <w:tcBorders>
              <w:top w:val="nil"/>
            </w:tcBorders>
            <w:shd w:val="clear" w:color="auto" w:fill="FFFFFF"/>
          </w:tcPr>
          <w:p w14:paraId="228EC326" w14:textId="77777777" w:rsidR="008D7AD9" w:rsidRDefault="00000000">
            <w:pPr>
              <w:pStyle w:val="affa"/>
              <w:spacing w:before="0" w:after="0"/>
              <w:ind w:firstLineChars="0"/>
              <w:jc w:val="both"/>
              <w:rPr>
                <w:sz w:val="21"/>
                <w:szCs w:val="21"/>
              </w:rPr>
            </w:pPr>
            <w:r>
              <w:rPr>
                <w:rFonts w:hint="eastAsia"/>
                <w:sz w:val="21"/>
                <w:szCs w:val="21"/>
              </w:rPr>
              <w:t>现行电价和市场机制有利于推动抽蓄电站进入电力市场</w:t>
            </w:r>
          </w:p>
        </w:tc>
        <w:tc>
          <w:tcPr>
            <w:tcW w:w="694" w:type="pct"/>
            <w:tcBorders>
              <w:top w:val="nil"/>
            </w:tcBorders>
            <w:shd w:val="clear" w:color="auto" w:fill="FFFFFF"/>
            <w:vAlign w:val="center"/>
          </w:tcPr>
          <w:p w14:paraId="59E1505C" w14:textId="77777777" w:rsidR="008D7AD9" w:rsidRDefault="00000000">
            <w:pPr>
              <w:pStyle w:val="affa"/>
              <w:spacing w:before="0" w:after="0"/>
              <w:ind w:firstLineChars="0"/>
              <w:rPr>
                <w:sz w:val="21"/>
                <w:szCs w:val="21"/>
              </w:rPr>
            </w:pPr>
            <w:r>
              <w:rPr>
                <w:rFonts w:hint="eastAsia"/>
                <w:sz w:val="21"/>
                <w:szCs w:val="21"/>
              </w:rPr>
              <w:t>4.239</w:t>
            </w:r>
          </w:p>
        </w:tc>
        <w:tc>
          <w:tcPr>
            <w:tcW w:w="685" w:type="pct"/>
            <w:tcBorders>
              <w:top w:val="nil"/>
            </w:tcBorders>
            <w:shd w:val="clear" w:color="auto" w:fill="FFFFFF"/>
            <w:vAlign w:val="center"/>
          </w:tcPr>
          <w:p w14:paraId="33D4C52B" w14:textId="77777777" w:rsidR="008D7AD9" w:rsidRDefault="00000000">
            <w:pPr>
              <w:pStyle w:val="affa"/>
              <w:spacing w:before="0" w:after="0"/>
              <w:ind w:firstLineChars="0"/>
              <w:rPr>
                <w:sz w:val="21"/>
                <w:szCs w:val="21"/>
              </w:rPr>
            </w:pPr>
            <w:r>
              <w:rPr>
                <w:rFonts w:hint="eastAsia"/>
                <w:sz w:val="21"/>
                <w:szCs w:val="21"/>
              </w:rPr>
              <w:t>6</w:t>
            </w:r>
          </w:p>
        </w:tc>
      </w:tr>
      <w:tr w:rsidR="008D7AD9" w14:paraId="7EED94D1" w14:textId="77777777" w:rsidTr="008D7AD9">
        <w:trPr>
          <w:trHeight w:val="232"/>
        </w:trPr>
        <w:tc>
          <w:tcPr>
            <w:tcW w:w="3620" w:type="pct"/>
            <w:shd w:val="clear" w:color="auto" w:fill="FFFFFF"/>
          </w:tcPr>
          <w:p w14:paraId="11E79F5A" w14:textId="77777777" w:rsidR="008D7AD9" w:rsidRDefault="00000000">
            <w:pPr>
              <w:pStyle w:val="affa"/>
              <w:spacing w:before="0" w:after="0"/>
              <w:ind w:firstLineChars="0"/>
              <w:jc w:val="both"/>
              <w:rPr>
                <w:sz w:val="21"/>
                <w:szCs w:val="21"/>
              </w:rPr>
            </w:pPr>
            <w:r>
              <w:rPr>
                <w:rFonts w:hint="eastAsia"/>
                <w:sz w:val="21"/>
                <w:szCs w:val="21"/>
              </w:rPr>
              <w:t>现行电价机制下抽蓄电站盈利情况良好</w:t>
            </w:r>
          </w:p>
        </w:tc>
        <w:tc>
          <w:tcPr>
            <w:tcW w:w="694" w:type="pct"/>
            <w:shd w:val="clear" w:color="auto" w:fill="FFFFFF"/>
            <w:vAlign w:val="center"/>
          </w:tcPr>
          <w:p w14:paraId="7DD8F45E" w14:textId="77777777" w:rsidR="008D7AD9" w:rsidRDefault="00000000">
            <w:pPr>
              <w:pStyle w:val="affa"/>
              <w:spacing w:before="0" w:after="0"/>
              <w:ind w:firstLineChars="0"/>
              <w:rPr>
                <w:sz w:val="21"/>
                <w:szCs w:val="21"/>
              </w:rPr>
            </w:pPr>
            <w:r>
              <w:rPr>
                <w:rFonts w:hint="eastAsia"/>
                <w:sz w:val="21"/>
                <w:szCs w:val="21"/>
              </w:rPr>
              <w:t>4.226</w:t>
            </w:r>
          </w:p>
        </w:tc>
        <w:tc>
          <w:tcPr>
            <w:tcW w:w="685" w:type="pct"/>
            <w:shd w:val="clear" w:color="auto" w:fill="FFFFFF"/>
            <w:vAlign w:val="center"/>
          </w:tcPr>
          <w:p w14:paraId="0723AE97" w14:textId="77777777" w:rsidR="008D7AD9" w:rsidRDefault="00000000">
            <w:pPr>
              <w:pStyle w:val="affa"/>
              <w:spacing w:before="0" w:after="0"/>
              <w:ind w:firstLineChars="0"/>
              <w:rPr>
                <w:sz w:val="21"/>
                <w:szCs w:val="21"/>
              </w:rPr>
            </w:pPr>
            <w:r>
              <w:rPr>
                <w:rFonts w:hint="eastAsia"/>
                <w:sz w:val="21"/>
                <w:szCs w:val="21"/>
              </w:rPr>
              <w:t>7</w:t>
            </w:r>
          </w:p>
        </w:tc>
      </w:tr>
      <w:tr w:rsidR="008D7AD9" w14:paraId="3C8FEC67" w14:textId="77777777" w:rsidTr="008D7AD9">
        <w:trPr>
          <w:trHeight w:val="232"/>
        </w:trPr>
        <w:tc>
          <w:tcPr>
            <w:tcW w:w="3620" w:type="pct"/>
            <w:shd w:val="clear" w:color="auto" w:fill="FFFFFF"/>
          </w:tcPr>
          <w:p w14:paraId="7B731E71" w14:textId="77777777" w:rsidR="008D7AD9" w:rsidRDefault="00000000">
            <w:pPr>
              <w:pStyle w:val="affa"/>
              <w:spacing w:before="0" w:after="0"/>
              <w:ind w:firstLineChars="0"/>
              <w:jc w:val="both"/>
              <w:rPr>
                <w:sz w:val="21"/>
                <w:szCs w:val="21"/>
              </w:rPr>
            </w:pPr>
            <w:r>
              <w:rPr>
                <w:rFonts w:hint="eastAsia"/>
                <w:sz w:val="21"/>
                <w:szCs w:val="21"/>
              </w:rPr>
              <w:t>现行电价机制能够对抽蓄电站成本进行合理分摊</w:t>
            </w:r>
          </w:p>
        </w:tc>
        <w:tc>
          <w:tcPr>
            <w:tcW w:w="694" w:type="pct"/>
            <w:shd w:val="clear" w:color="auto" w:fill="FFFFFF"/>
            <w:vAlign w:val="center"/>
          </w:tcPr>
          <w:p w14:paraId="0A63D375" w14:textId="77777777" w:rsidR="008D7AD9" w:rsidRDefault="00000000">
            <w:pPr>
              <w:pStyle w:val="affa"/>
              <w:spacing w:before="0" w:after="0"/>
              <w:ind w:firstLineChars="0"/>
              <w:rPr>
                <w:sz w:val="21"/>
                <w:szCs w:val="21"/>
              </w:rPr>
            </w:pPr>
            <w:r>
              <w:rPr>
                <w:rFonts w:hint="eastAsia"/>
                <w:sz w:val="21"/>
                <w:szCs w:val="21"/>
              </w:rPr>
              <w:t>4.222</w:t>
            </w:r>
          </w:p>
        </w:tc>
        <w:tc>
          <w:tcPr>
            <w:tcW w:w="685" w:type="pct"/>
            <w:shd w:val="clear" w:color="auto" w:fill="FFFFFF"/>
            <w:vAlign w:val="center"/>
          </w:tcPr>
          <w:p w14:paraId="32B3F377" w14:textId="77777777" w:rsidR="008D7AD9" w:rsidRDefault="00000000">
            <w:pPr>
              <w:pStyle w:val="affa"/>
              <w:spacing w:before="0" w:after="0"/>
              <w:ind w:firstLineChars="0"/>
              <w:rPr>
                <w:sz w:val="21"/>
                <w:szCs w:val="21"/>
              </w:rPr>
            </w:pPr>
            <w:r>
              <w:rPr>
                <w:rFonts w:hint="eastAsia"/>
                <w:sz w:val="21"/>
                <w:szCs w:val="21"/>
              </w:rPr>
              <w:t>8</w:t>
            </w:r>
          </w:p>
        </w:tc>
      </w:tr>
      <w:tr w:rsidR="008D7AD9" w14:paraId="2210EACB" w14:textId="77777777" w:rsidTr="008D7AD9">
        <w:trPr>
          <w:trHeight w:val="232"/>
        </w:trPr>
        <w:tc>
          <w:tcPr>
            <w:tcW w:w="3620" w:type="pct"/>
            <w:tcBorders>
              <w:bottom w:val="single" w:sz="12" w:space="0" w:color="000000"/>
            </w:tcBorders>
            <w:shd w:val="clear" w:color="auto" w:fill="FFFFFF"/>
          </w:tcPr>
          <w:p w14:paraId="786D12E4" w14:textId="77777777" w:rsidR="008D7AD9" w:rsidRDefault="00000000">
            <w:pPr>
              <w:pStyle w:val="affa"/>
              <w:spacing w:before="0" w:after="0"/>
              <w:ind w:firstLineChars="0"/>
              <w:rPr>
                <w:b/>
                <w:bCs/>
                <w:sz w:val="21"/>
                <w:szCs w:val="21"/>
              </w:rPr>
            </w:pPr>
            <w:r>
              <w:rPr>
                <w:rFonts w:hint="eastAsia"/>
                <w:b/>
                <w:bCs/>
                <w:sz w:val="21"/>
                <w:szCs w:val="21"/>
              </w:rPr>
              <w:t>平均值</w:t>
            </w:r>
          </w:p>
        </w:tc>
        <w:tc>
          <w:tcPr>
            <w:tcW w:w="694" w:type="pct"/>
            <w:tcBorders>
              <w:bottom w:val="single" w:sz="12" w:space="0" w:color="000000"/>
            </w:tcBorders>
            <w:shd w:val="clear" w:color="auto" w:fill="FFFFFF"/>
            <w:vAlign w:val="center"/>
          </w:tcPr>
          <w:p w14:paraId="0B7AAF1D" w14:textId="77777777" w:rsidR="008D7AD9" w:rsidRDefault="00000000">
            <w:pPr>
              <w:pStyle w:val="affa"/>
              <w:spacing w:before="0" w:after="0"/>
              <w:ind w:firstLineChars="0"/>
              <w:rPr>
                <w:b/>
                <w:bCs/>
                <w:sz w:val="21"/>
                <w:szCs w:val="21"/>
              </w:rPr>
            </w:pPr>
            <w:r>
              <w:rPr>
                <w:rFonts w:hint="eastAsia"/>
                <w:b/>
                <w:bCs/>
                <w:sz w:val="21"/>
                <w:szCs w:val="21"/>
              </w:rPr>
              <w:t>4.253</w:t>
            </w:r>
          </w:p>
        </w:tc>
        <w:tc>
          <w:tcPr>
            <w:tcW w:w="685" w:type="pct"/>
            <w:tcBorders>
              <w:bottom w:val="single" w:sz="12" w:space="0" w:color="000000"/>
            </w:tcBorders>
            <w:shd w:val="clear" w:color="auto" w:fill="FFFFFF"/>
            <w:vAlign w:val="center"/>
          </w:tcPr>
          <w:p w14:paraId="7C9CAFCB" w14:textId="77777777" w:rsidR="008D7AD9" w:rsidRDefault="008D7AD9">
            <w:pPr>
              <w:pStyle w:val="affa"/>
              <w:spacing w:before="0" w:after="0"/>
              <w:ind w:firstLineChars="0"/>
              <w:rPr>
                <w:b/>
                <w:bCs/>
                <w:sz w:val="21"/>
                <w:szCs w:val="21"/>
              </w:rPr>
            </w:pPr>
          </w:p>
        </w:tc>
      </w:tr>
    </w:tbl>
    <w:p w14:paraId="7E0C44E2" w14:textId="1425B128" w:rsidR="008D7AD9" w:rsidRDefault="00000000">
      <w:pPr>
        <w:spacing w:beforeLines="50" w:before="156"/>
        <w:ind w:firstLine="420"/>
        <w:rPr>
          <w:rFonts w:cs="Times New Roman"/>
        </w:rPr>
      </w:pPr>
      <w:r>
        <w:rPr>
          <w:rFonts w:cs="Times New Roman" w:hint="eastAsia"/>
        </w:rPr>
        <w:t>如</w:t>
      </w:r>
      <w:r>
        <w:rPr>
          <w:rFonts w:cs="Times New Roman" w:hint="eastAsia"/>
        </w:rPr>
        <w:fldChar w:fldCharType="begin"/>
      </w:r>
      <w:r>
        <w:rPr>
          <w:rFonts w:cs="Times New Roman" w:hint="eastAsia"/>
        </w:rPr>
        <w:instrText xml:space="preserve"> REF _Ref1450 \h </w:instrText>
      </w:r>
      <w:r>
        <w:rPr>
          <w:rFonts w:cs="Times New Roman" w:hint="eastAsia"/>
        </w:rPr>
      </w:r>
      <w:r>
        <w:rPr>
          <w:rFonts w:cs="Times New Roman" w:hint="eastAsia"/>
        </w:rPr>
        <w:fldChar w:fldCharType="separate"/>
      </w:r>
      <w:r w:rsidR="00B1714C">
        <w:t>表</w:t>
      </w:r>
      <w:r w:rsidR="00B1714C">
        <w:t xml:space="preserve"> </w:t>
      </w:r>
      <w:r w:rsidR="00B1714C">
        <w:rPr>
          <w:rFonts w:hint="eastAsia"/>
          <w:noProof/>
        </w:rPr>
        <w:t>4</w:t>
      </w:r>
      <w:r>
        <w:rPr>
          <w:rFonts w:cs="Times New Roman" w:hint="eastAsia"/>
        </w:rPr>
        <w:fldChar w:fldCharType="end"/>
      </w:r>
      <w:r>
        <w:rPr>
          <w:rFonts w:cs="Times New Roman" w:hint="eastAsia"/>
        </w:rPr>
        <w:t>所示，分时电价和两部制电价有利于保</w:t>
      </w:r>
      <w:r>
        <w:rPr>
          <w:rFonts w:cs="Times New Roman" w:hint="eastAsia"/>
        </w:rPr>
        <w:t>障抽蓄电站经济可行性。但现行电价机制对抽蓄电站成本的合理分摊仍需加强，例如，抽蓄电站参与调频、备用等辅助服务市场交易</w:t>
      </w:r>
      <w:r>
        <w:rPr>
          <w:rFonts w:cs="Times New Roman" w:hint="eastAsia"/>
        </w:rPr>
        <w:t>/</w:t>
      </w:r>
      <w:r>
        <w:rPr>
          <w:rFonts w:cs="Times New Roman" w:hint="eastAsia"/>
        </w:rPr>
        <w:t>补偿机制仍需进一步明确，以提升抽蓄电站盈利水平。</w:t>
      </w:r>
    </w:p>
    <w:p w14:paraId="37BB9BD2" w14:textId="77777777" w:rsidR="008D7AD9" w:rsidRDefault="00000000">
      <w:pPr>
        <w:ind w:firstLine="422"/>
        <w:rPr>
          <w:rFonts w:cs="Times New Roman"/>
          <w:b/>
          <w:bCs/>
        </w:rPr>
      </w:pPr>
      <w:r>
        <w:rPr>
          <w:rFonts w:cs="Times New Roman" w:hint="eastAsia"/>
          <w:b/>
          <w:bCs/>
        </w:rPr>
        <w:t>3</w:t>
      </w:r>
      <w:r>
        <w:rPr>
          <w:rFonts w:cs="Times New Roman"/>
          <w:b/>
          <w:bCs/>
        </w:rPr>
        <w:t xml:space="preserve">.5 </w:t>
      </w:r>
      <w:r>
        <w:rPr>
          <w:rFonts w:cs="Times New Roman" w:hint="eastAsia"/>
          <w:b/>
          <w:bCs/>
        </w:rPr>
        <w:t>电站运营管理</w:t>
      </w:r>
    </w:p>
    <w:p w14:paraId="33559BBC" w14:textId="5EECE55B" w:rsidR="008D7AD9" w:rsidRDefault="00000000">
      <w:pPr>
        <w:ind w:firstLine="420"/>
        <w:rPr>
          <w:rFonts w:ascii="宋体" w:hAnsi="宋体" w:cs="Times New Roman" w:hint="eastAsia"/>
        </w:rPr>
      </w:pPr>
      <w:r>
        <w:rPr>
          <w:rFonts w:ascii="宋体" w:hAnsi="宋体" w:cs="Times New Roman" w:hint="eastAsia"/>
        </w:rPr>
        <w:t>抽蓄电站运营管理情况如</w:t>
      </w:r>
      <w:r>
        <w:rPr>
          <w:rFonts w:ascii="宋体" w:hAnsi="宋体" w:cs="Times New Roman" w:hint="eastAsia"/>
        </w:rPr>
        <w:fldChar w:fldCharType="begin"/>
      </w:r>
      <w:r>
        <w:rPr>
          <w:rFonts w:ascii="宋体" w:hAnsi="宋体" w:cs="Times New Roman" w:hint="eastAsia"/>
        </w:rPr>
        <w:instrText xml:space="preserve"> REF _Ref1809 \h </w:instrText>
      </w:r>
      <w:r>
        <w:rPr>
          <w:rFonts w:ascii="宋体" w:hAnsi="宋体" w:cs="Times New Roman" w:hint="eastAsia"/>
        </w:rPr>
      </w:r>
      <w:r>
        <w:rPr>
          <w:rFonts w:ascii="宋体" w:hAnsi="宋体" w:cs="Times New Roman" w:hint="eastAsia"/>
        </w:rPr>
        <w:fldChar w:fldCharType="separate"/>
      </w:r>
      <w:r w:rsidR="00B1714C">
        <w:t>表</w:t>
      </w:r>
      <w:r w:rsidR="00B1714C">
        <w:t xml:space="preserve"> </w:t>
      </w:r>
      <w:r w:rsidR="00B1714C">
        <w:rPr>
          <w:rFonts w:hint="eastAsia"/>
          <w:noProof/>
        </w:rPr>
        <w:t>5</w:t>
      </w:r>
      <w:r>
        <w:rPr>
          <w:rFonts w:ascii="宋体" w:hAnsi="宋体" w:cs="Times New Roman" w:hint="eastAsia"/>
        </w:rPr>
        <w:fldChar w:fldCharType="end"/>
      </w:r>
      <w:r>
        <w:rPr>
          <w:rFonts w:ascii="宋体" w:hAnsi="宋体" w:cs="Times New Roman" w:hint="eastAsia"/>
        </w:rPr>
        <w:t>所示。其中，1分代表非常不符合，5分代表非常符合。</w:t>
      </w:r>
    </w:p>
    <w:p w14:paraId="764449F8" w14:textId="63A36CB4" w:rsidR="008D7AD9" w:rsidRDefault="00000000">
      <w:pPr>
        <w:pStyle w:val="aff3"/>
        <w:ind w:firstLine="420"/>
        <w:rPr>
          <w:rFonts w:hint="eastAsia"/>
        </w:rPr>
      </w:pPr>
      <w:bookmarkStart w:id="8" w:name="_Ref1809"/>
      <w:r>
        <w:t xml:space="preserve">表 </w:t>
      </w:r>
      <w:fldSimple w:instr=" SEQ 表 \* ARABIC ">
        <w:r w:rsidR="00B1714C">
          <w:rPr>
            <w:rFonts w:hint="eastAsia"/>
            <w:noProof/>
          </w:rPr>
          <w:t>5</w:t>
        </w:r>
      </w:fldSimple>
      <w:bookmarkEnd w:id="8"/>
      <w:r>
        <w:rPr>
          <w:rFonts w:hint="eastAsia"/>
        </w:rPr>
        <w:t xml:space="preserve"> 电站运营管理情况</w:t>
      </w:r>
    </w:p>
    <w:tbl>
      <w:tblPr>
        <w:tblStyle w:val="110"/>
        <w:tblW w:w="5098" w:type="pct"/>
        <w:tblLook w:val="04A0" w:firstRow="1" w:lastRow="0" w:firstColumn="1" w:lastColumn="0" w:noHBand="0" w:noVBand="1"/>
      </w:tblPr>
      <w:tblGrid>
        <w:gridCol w:w="3577"/>
        <w:gridCol w:w="689"/>
        <w:gridCol w:w="679"/>
      </w:tblGrid>
      <w:tr w:rsidR="008D7AD9" w14:paraId="3CE7F52F" w14:textId="77777777" w:rsidTr="008D7AD9">
        <w:trPr>
          <w:cnfStyle w:val="100000000000" w:firstRow="1" w:lastRow="0" w:firstColumn="0" w:lastColumn="0" w:oddVBand="0" w:evenVBand="0" w:oddHBand="0" w:evenHBand="0" w:firstRowFirstColumn="0" w:firstRowLastColumn="0" w:lastRowFirstColumn="0" w:lastRowLastColumn="0"/>
          <w:trHeight w:val="232"/>
        </w:trPr>
        <w:tc>
          <w:tcPr>
            <w:tcW w:w="3616" w:type="pct"/>
            <w:tcBorders>
              <w:top w:val="single" w:sz="12" w:space="0" w:color="000000"/>
              <w:bottom w:val="single" w:sz="4" w:space="0" w:color="000000"/>
            </w:tcBorders>
            <w:shd w:val="clear" w:color="auto" w:fill="FFFFFF"/>
          </w:tcPr>
          <w:p w14:paraId="34D6A4A8" w14:textId="77777777" w:rsidR="008D7AD9" w:rsidRDefault="00000000">
            <w:pPr>
              <w:pStyle w:val="affa"/>
              <w:spacing w:before="0" w:after="0"/>
              <w:ind w:firstLineChars="0"/>
              <w:rPr>
                <w:rFonts w:cs="Times New Roman"/>
                <w:bCs/>
                <w:sz w:val="21"/>
                <w:szCs w:val="21"/>
              </w:rPr>
            </w:pPr>
            <w:r>
              <w:rPr>
                <w:rFonts w:cs="Times New Roman" w:hint="eastAsia"/>
                <w:bCs/>
                <w:sz w:val="21"/>
                <w:szCs w:val="21"/>
              </w:rPr>
              <w:t>指标</w:t>
            </w:r>
          </w:p>
        </w:tc>
        <w:tc>
          <w:tcPr>
            <w:tcW w:w="696" w:type="pct"/>
            <w:tcBorders>
              <w:top w:val="single" w:sz="12" w:space="0" w:color="000000"/>
              <w:bottom w:val="single" w:sz="4" w:space="0" w:color="000000"/>
            </w:tcBorders>
            <w:shd w:val="clear" w:color="auto" w:fill="FFFFFF"/>
            <w:vAlign w:val="center"/>
          </w:tcPr>
          <w:p w14:paraId="29779AB9" w14:textId="77777777" w:rsidR="008D7AD9" w:rsidRDefault="00000000">
            <w:pPr>
              <w:pStyle w:val="affa"/>
              <w:spacing w:before="0" w:after="0"/>
              <w:ind w:firstLineChars="0"/>
              <w:rPr>
                <w:rFonts w:cs="Times New Roman"/>
                <w:bCs/>
                <w:sz w:val="21"/>
                <w:szCs w:val="21"/>
              </w:rPr>
            </w:pPr>
            <w:r>
              <w:rPr>
                <w:rFonts w:cs="Times New Roman" w:hint="eastAsia"/>
                <w:bCs/>
                <w:sz w:val="21"/>
                <w:szCs w:val="21"/>
              </w:rPr>
              <w:t>得分</w:t>
            </w:r>
          </w:p>
        </w:tc>
        <w:tc>
          <w:tcPr>
            <w:tcW w:w="687" w:type="pct"/>
            <w:tcBorders>
              <w:top w:val="single" w:sz="12" w:space="0" w:color="000000"/>
              <w:bottom w:val="single" w:sz="4" w:space="0" w:color="000000"/>
            </w:tcBorders>
            <w:shd w:val="clear" w:color="auto" w:fill="FFFFFF"/>
            <w:vAlign w:val="center"/>
          </w:tcPr>
          <w:p w14:paraId="6C776EF1" w14:textId="77777777" w:rsidR="008D7AD9" w:rsidRDefault="00000000">
            <w:pPr>
              <w:pStyle w:val="affa"/>
              <w:spacing w:before="0" w:after="0"/>
              <w:ind w:firstLineChars="0"/>
              <w:rPr>
                <w:rFonts w:cs="Times New Roman"/>
                <w:bCs/>
                <w:sz w:val="21"/>
                <w:szCs w:val="21"/>
              </w:rPr>
            </w:pPr>
            <w:r>
              <w:rPr>
                <w:rFonts w:cs="Times New Roman" w:hint="eastAsia"/>
                <w:bCs/>
                <w:sz w:val="21"/>
                <w:szCs w:val="21"/>
              </w:rPr>
              <w:t>排序</w:t>
            </w:r>
          </w:p>
        </w:tc>
      </w:tr>
      <w:tr w:rsidR="008D7AD9" w14:paraId="1D5427EB" w14:textId="77777777" w:rsidTr="008D7AD9">
        <w:trPr>
          <w:trHeight w:val="232"/>
        </w:trPr>
        <w:tc>
          <w:tcPr>
            <w:tcW w:w="3616" w:type="pct"/>
            <w:tcBorders>
              <w:top w:val="single" w:sz="4" w:space="0" w:color="000000"/>
            </w:tcBorders>
            <w:shd w:val="clear" w:color="auto" w:fill="FFFFFF"/>
          </w:tcPr>
          <w:p w14:paraId="29B5D9A0" w14:textId="77777777" w:rsidR="008D7AD9" w:rsidRDefault="00000000">
            <w:pPr>
              <w:pStyle w:val="affa"/>
              <w:spacing w:before="0" w:after="0"/>
              <w:ind w:firstLineChars="0"/>
              <w:rPr>
                <w:rFonts w:cs="Times New Roman"/>
                <w:b/>
                <w:bCs/>
                <w:sz w:val="21"/>
                <w:szCs w:val="21"/>
              </w:rPr>
            </w:pPr>
            <w:r>
              <w:rPr>
                <w:rFonts w:cs="Times New Roman" w:hint="eastAsia"/>
                <w:b/>
                <w:bCs/>
                <w:sz w:val="21"/>
                <w:szCs w:val="21"/>
              </w:rPr>
              <w:t>A.</w:t>
            </w:r>
            <w:r>
              <w:rPr>
                <w:rFonts w:cs="Times New Roman" w:hint="eastAsia"/>
                <w:b/>
                <w:bCs/>
                <w:sz w:val="21"/>
                <w:szCs w:val="21"/>
              </w:rPr>
              <w:t>数智化管理</w:t>
            </w:r>
          </w:p>
        </w:tc>
        <w:tc>
          <w:tcPr>
            <w:tcW w:w="696" w:type="pct"/>
            <w:tcBorders>
              <w:top w:val="single" w:sz="4" w:space="0" w:color="000000"/>
            </w:tcBorders>
            <w:shd w:val="clear" w:color="auto" w:fill="FFFFFF"/>
            <w:vAlign w:val="center"/>
          </w:tcPr>
          <w:p w14:paraId="406AA8E4" w14:textId="77777777" w:rsidR="008D7AD9" w:rsidRDefault="00000000">
            <w:pPr>
              <w:pStyle w:val="affa"/>
              <w:spacing w:before="0" w:after="0"/>
              <w:ind w:firstLineChars="0"/>
              <w:rPr>
                <w:rFonts w:cs="Times New Roman"/>
                <w:b/>
                <w:bCs/>
                <w:sz w:val="21"/>
                <w:szCs w:val="21"/>
              </w:rPr>
            </w:pPr>
            <w:r>
              <w:rPr>
                <w:rFonts w:cs="Times New Roman" w:hint="eastAsia"/>
                <w:b/>
                <w:bCs/>
                <w:sz w:val="21"/>
                <w:szCs w:val="21"/>
              </w:rPr>
              <w:t>4.236</w:t>
            </w:r>
          </w:p>
        </w:tc>
        <w:tc>
          <w:tcPr>
            <w:tcW w:w="687" w:type="pct"/>
            <w:tcBorders>
              <w:top w:val="single" w:sz="4" w:space="0" w:color="000000"/>
            </w:tcBorders>
            <w:shd w:val="clear" w:color="auto" w:fill="FFFFFF"/>
            <w:vAlign w:val="center"/>
          </w:tcPr>
          <w:p w14:paraId="56DDFD88" w14:textId="77777777" w:rsidR="008D7AD9" w:rsidRDefault="008D7AD9">
            <w:pPr>
              <w:pStyle w:val="affa"/>
              <w:spacing w:before="0" w:after="0"/>
              <w:ind w:firstLineChars="0"/>
              <w:rPr>
                <w:rFonts w:cs="Times New Roman"/>
                <w:b/>
                <w:bCs/>
                <w:sz w:val="21"/>
                <w:szCs w:val="21"/>
              </w:rPr>
            </w:pPr>
          </w:p>
        </w:tc>
      </w:tr>
      <w:tr w:rsidR="008D7AD9" w14:paraId="40C47836" w14:textId="77777777" w:rsidTr="008D7AD9">
        <w:trPr>
          <w:trHeight w:val="90"/>
        </w:trPr>
        <w:tc>
          <w:tcPr>
            <w:tcW w:w="3616" w:type="pct"/>
            <w:shd w:val="clear" w:color="auto" w:fill="FFFFFF"/>
          </w:tcPr>
          <w:p w14:paraId="408C3039" w14:textId="77777777" w:rsidR="008D7AD9" w:rsidRDefault="00000000">
            <w:pPr>
              <w:pStyle w:val="affa"/>
              <w:spacing w:before="0" w:after="0"/>
              <w:ind w:firstLineChars="0"/>
              <w:jc w:val="both"/>
              <w:rPr>
                <w:rFonts w:cs="Times New Roman"/>
                <w:sz w:val="21"/>
                <w:szCs w:val="21"/>
              </w:rPr>
            </w:pPr>
            <w:r>
              <w:rPr>
                <w:rFonts w:cs="Times New Roman" w:hint="eastAsia"/>
                <w:sz w:val="21"/>
                <w:szCs w:val="21"/>
              </w:rPr>
              <w:t>抽蓄电站数字化交付程度高</w:t>
            </w:r>
          </w:p>
        </w:tc>
        <w:tc>
          <w:tcPr>
            <w:tcW w:w="696" w:type="pct"/>
            <w:shd w:val="clear" w:color="auto" w:fill="FFFFFF"/>
            <w:vAlign w:val="center"/>
          </w:tcPr>
          <w:p w14:paraId="5D22C9FB" w14:textId="77777777" w:rsidR="008D7AD9" w:rsidRDefault="00000000">
            <w:pPr>
              <w:pStyle w:val="affa"/>
              <w:spacing w:before="0" w:after="0"/>
              <w:ind w:firstLineChars="0"/>
              <w:rPr>
                <w:rFonts w:cs="Times New Roman"/>
                <w:sz w:val="21"/>
                <w:szCs w:val="21"/>
              </w:rPr>
            </w:pPr>
            <w:r>
              <w:rPr>
                <w:rFonts w:cs="Times New Roman" w:hint="eastAsia"/>
                <w:sz w:val="21"/>
                <w:szCs w:val="21"/>
              </w:rPr>
              <w:t>4.235</w:t>
            </w:r>
          </w:p>
        </w:tc>
        <w:tc>
          <w:tcPr>
            <w:tcW w:w="687" w:type="pct"/>
            <w:shd w:val="clear" w:color="auto" w:fill="FFFFFF"/>
            <w:vAlign w:val="center"/>
          </w:tcPr>
          <w:p w14:paraId="1AAB82C5" w14:textId="77777777" w:rsidR="008D7AD9" w:rsidRDefault="00000000">
            <w:pPr>
              <w:pStyle w:val="affa"/>
              <w:spacing w:before="0" w:after="0"/>
              <w:ind w:firstLineChars="0"/>
              <w:rPr>
                <w:rFonts w:cs="Times New Roman"/>
                <w:sz w:val="21"/>
                <w:szCs w:val="21"/>
              </w:rPr>
            </w:pPr>
            <w:r>
              <w:rPr>
                <w:rFonts w:cs="Times New Roman" w:hint="eastAsia"/>
                <w:sz w:val="21"/>
                <w:szCs w:val="21"/>
              </w:rPr>
              <w:t>9</w:t>
            </w:r>
          </w:p>
        </w:tc>
      </w:tr>
      <w:tr w:rsidR="008D7AD9" w14:paraId="4339B437" w14:textId="77777777" w:rsidTr="008D7AD9">
        <w:trPr>
          <w:trHeight w:val="232"/>
        </w:trPr>
        <w:tc>
          <w:tcPr>
            <w:tcW w:w="3616" w:type="pct"/>
            <w:shd w:val="clear" w:color="auto" w:fill="FFFFFF"/>
          </w:tcPr>
          <w:p w14:paraId="4C4495BE" w14:textId="77777777" w:rsidR="008D7AD9" w:rsidRDefault="00000000">
            <w:pPr>
              <w:pStyle w:val="affa"/>
              <w:spacing w:before="0" w:after="0"/>
              <w:ind w:firstLineChars="0"/>
              <w:jc w:val="both"/>
              <w:rPr>
                <w:rFonts w:cs="Times New Roman"/>
                <w:sz w:val="21"/>
                <w:szCs w:val="21"/>
              </w:rPr>
            </w:pPr>
            <w:r>
              <w:rPr>
                <w:rFonts w:cs="Times New Roman" w:hint="eastAsia"/>
                <w:sz w:val="21"/>
                <w:szCs w:val="21"/>
              </w:rPr>
              <w:t>抽蓄电站运行监测及调控数智化程度高</w:t>
            </w:r>
          </w:p>
        </w:tc>
        <w:tc>
          <w:tcPr>
            <w:tcW w:w="696" w:type="pct"/>
            <w:shd w:val="clear" w:color="auto" w:fill="FFFFFF"/>
            <w:vAlign w:val="center"/>
          </w:tcPr>
          <w:p w14:paraId="7E3189F6" w14:textId="77777777" w:rsidR="008D7AD9" w:rsidRDefault="00000000">
            <w:pPr>
              <w:pStyle w:val="affa"/>
              <w:spacing w:before="0" w:after="0"/>
              <w:ind w:firstLineChars="0"/>
              <w:rPr>
                <w:rFonts w:cs="Times New Roman"/>
                <w:sz w:val="21"/>
                <w:szCs w:val="21"/>
              </w:rPr>
            </w:pPr>
            <w:r>
              <w:rPr>
                <w:rFonts w:cs="Times New Roman" w:hint="eastAsia"/>
                <w:sz w:val="21"/>
                <w:szCs w:val="21"/>
              </w:rPr>
              <w:t>4.226</w:t>
            </w:r>
          </w:p>
        </w:tc>
        <w:tc>
          <w:tcPr>
            <w:tcW w:w="687" w:type="pct"/>
            <w:shd w:val="clear" w:color="auto" w:fill="FFFFFF"/>
            <w:vAlign w:val="center"/>
          </w:tcPr>
          <w:p w14:paraId="4D86B0CE" w14:textId="77777777" w:rsidR="008D7AD9" w:rsidRDefault="00000000">
            <w:pPr>
              <w:pStyle w:val="affa"/>
              <w:spacing w:before="0" w:after="0"/>
              <w:ind w:firstLineChars="0"/>
              <w:rPr>
                <w:rFonts w:cs="Times New Roman"/>
                <w:sz w:val="21"/>
                <w:szCs w:val="21"/>
              </w:rPr>
            </w:pPr>
            <w:r>
              <w:rPr>
                <w:rFonts w:cs="Times New Roman" w:hint="eastAsia"/>
                <w:sz w:val="21"/>
                <w:szCs w:val="21"/>
              </w:rPr>
              <w:t>10</w:t>
            </w:r>
          </w:p>
        </w:tc>
      </w:tr>
      <w:tr w:rsidR="008D7AD9" w14:paraId="56262DC3" w14:textId="77777777" w:rsidTr="008D7AD9">
        <w:trPr>
          <w:trHeight w:val="232"/>
        </w:trPr>
        <w:tc>
          <w:tcPr>
            <w:tcW w:w="3616" w:type="pct"/>
            <w:shd w:val="clear" w:color="auto" w:fill="FFFFFF"/>
          </w:tcPr>
          <w:p w14:paraId="17C3729B" w14:textId="77777777" w:rsidR="008D7AD9" w:rsidRDefault="00000000">
            <w:pPr>
              <w:pStyle w:val="affa"/>
              <w:spacing w:before="0" w:after="0"/>
              <w:ind w:firstLineChars="0"/>
              <w:jc w:val="both"/>
              <w:rPr>
                <w:rFonts w:cs="Times New Roman"/>
                <w:sz w:val="21"/>
                <w:szCs w:val="21"/>
              </w:rPr>
            </w:pPr>
            <w:r>
              <w:rPr>
                <w:rFonts w:cs="Times New Roman" w:hint="eastAsia"/>
                <w:sz w:val="21"/>
                <w:szCs w:val="21"/>
              </w:rPr>
              <w:t>多能互补协同调度数智化程度高</w:t>
            </w:r>
          </w:p>
        </w:tc>
        <w:tc>
          <w:tcPr>
            <w:tcW w:w="696" w:type="pct"/>
            <w:shd w:val="clear" w:color="auto" w:fill="FFFFFF"/>
            <w:vAlign w:val="center"/>
          </w:tcPr>
          <w:p w14:paraId="401068DE" w14:textId="77777777" w:rsidR="008D7AD9" w:rsidRDefault="00000000">
            <w:pPr>
              <w:pStyle w:val="affa"/>
              <w:spacing w:before="0" w:after="0"/>
              <w:ind w:firstLineChars="0"/>
              <w:rPr>
                <w:rFonts w:cs="Times New Roman"/>
                <w:sz w:val="21"/>
                <w:szCs w:val="21"/>
              </w:rPr>
            </w:pPr>
            <w:r>
              <w:rPr>
                <w:rFonts w:cs="Times New Roman" w:hint="eastAsia"/>
                <w:sz w:val="21"/>
                <w:szCs w:val="21"/>
              </w:rPr>
              <w:t>4.248</w:t>
            </w:r>
          </w:p>
        </w:tc>
        <w:tc>
          <w:tcPr>
            <w:tcW w:w="687" w:type="pct"/>
            <w:shd w:val="clear" w:color="auto" w:fill="FFFFFF"/>
            <w:vAlign w:val="center"/>
          </w:tcPr>
          <w:p w14:paraId="5093EE34" w14:textId="77777777" w:rsidR="008D7AD9" w:rsidRDefault="00000000">
            <w:pPr>
              <w:pStyle w:val="affa"/>
              <w:spacing w:before="0" w:after="0"/>
              <w:ind w:firstLineChars="0"/>
              <w:rPr>
                <w:rFonts w:cs="Times New Roman"/>
                <w:sz w:val="21"/>
                <w:szCs w:val="21"/>
              </w:rPr>
            </w:pPr>
            <w:r>
              <w:rPr>
                <w:rFonts w:cs="Times New Roman" w:hint="eastAsia"/>
                <w:sz w:val="21"/>
                <w:szCs w:val="21"/>
              </w:rPr>
              <w:t>8</w:t>
            </w:r>
          </w:p>
        </w:tc>
      </w:tr>
      <w:tr w:rsidR="008D7AD9" w14:paraId="1AA70E18" w14:textId="77777777" w:rsidTr="008D7AD9">
        <w:trPr>
          <w:trHeight w:val="223"/>
        </w:trPr>
        <w:tc>
          <w:tcPr>
            <w:tcW w:w="3616" w:type="pct"/>
            <w:shd w:val="clear" w:color="auto" w:fill="FFFFFF"/>
          </w:tcPr>
          <w:p w14:paraId="11B668C3" w14:textId="77777777" w:rsidR="008D7AD9" w:rsidRDefault="00000000">
            <w:pPr>
              <w:pStyle w:val="affa"/>
              <w:spacing w:before="0" w:after="0"/>
              <w:ind w:firstLineChars="0"/>
              <w:rPr>
                <w:rFonts w:cs="Times New Roman"/>
                <w:b/>
                <w:bCs/>
                <w:sz w:val="21"/>
                <w:szCs w:val="21"/>
              </w:rPr>
            </w:pPr>
            <w:r>
              <w:rPr>
                <w:rFonts w:cs="Times New Roman" w:hint="eastAsia"/>
                <w:b/>
                <w:bCs/>
                <w:sz w:val="21"/>
                <w:szCs w:val="21"/>
              </w:rPr>
              <w:t>B.</w:t>
            </w:r>
            <w:r>
              <w:rPr>
                <w:rFonts w:cs="Times New Roman" w:hint="eastAsia"/>
                <w:b/>
                <w:bCs/>
                <w:sz w:val="21"/>
                <w:szCs w:val="21"/>
              </w:rPr>
              <w:t>电站运行</w:t>
            </w:r>
          </w:p>
        </w:tc>
        <w:tc>
          <w:tcPr>
            <w:tcW w:w="696" w:type="pct"/>
            <w:shd w:val="clear" w:color="auto" w:fill="FFFFFF"/>
            <w:vAlign w:val="center"/>
          </w:tcPr>
          <w:p w14:paraId="1DDDA8EE" w14:textId="77777777" w:rsidR="008D7AD9" w:rsidRDefault="00000000">
            <w:pPr>
              <w:pStyle w:val="affa"/>
              <w:spacing w:before="0" w:after="0"/>
              <w:ind w:firstLineChars="0"/>
              <w:rPr>
                <w:rFonts w:cs="Times New Roman"/>
                <w:b/>
                <w:bCs/>
                <w:sz w:val="21"/>
                <w:szCs w:val="21"/>
              </w:rPr>
            </w:pPr>
            <w:r>
              <w:rPr>
                <w:rFonts w:cs="Times New Roman" w:hint="eastAsia"/>
                <w:b/>
                <w:bCs/>
                <w:sz w:val="21"/>
                <w:szCs w:val="21"/>
              </w:rPr>
              <w:t>4.362</w:t>
            </w:r>
          </w:p>
        </w:tc>
        <w:tc>
          <w:tcPr>
            <w:tcW w:w="687" w:type="pct"/>
            <w:shd w:val="clear" w:color="auto" w:fill="FFFFFF"/>
            <w:vAlign w:val="center"/>
          </w:tcPr>
          <w:p w14:paraId="5BA66CC1" w14:textId="77777777" w:rsidR="008D7AD9" w:rsidRDefault="008D7AD9">
            <w:pPr>
              <w:pStyle w:val="affa"/>
              <w:spacing w:before="0" w:after="0"/>
              <w:ind w:firstLineChars="0"/>
              <w:rPr>
                <w:rFonts w:cs="Times New Roman"/>
                <w:b/>
                <w:bCs/>
                <w:sz w:val="21"/>
                <w:szCs w:val="21"/>
              </w:rPr>
            </w:pPr>
          </w:p>
        </w:tc>
      </w:tr>
      <w:tr w:rsidR="008D7AD9" w14:paraId="5EBE5CAD" w14:textId="77777777" w:rsidTr="008D7AD9">
        <w:trPr>
          <w:trHeight w:val="232"/>
        </w:trPr>
        <w:tc>
          <w:tcPr>
            <w:tcW w:w="3616" w:type="pct"/>
            <w:shd w:val="clear" w:color="auto" w:fill="FFFFFF"/>
          </w:tcPr>
          <w:p w14:paraId="15D46A5D" w14:textId="77777777" w:rsidR="008D7AD9" w:rsidRDefault="00000000">
            <w:pPr>
              <w:pStyle w:val="affa"/>
              <w:spacing w:before="0" w:after="0"/>
              <w:ind w:firstLineChars="0"/>
              <w:jc w:val="both"/>
              <w:rPr>
                <w:rFonts w:cs="Times New Roman"/>
                <w:sz w:val="21"/>
                <w:szCs w:val="21"/>
              </w:rPr>
            </w:pPr>
            <w:r>
              <w:rPr>
                <w:rFonts w:cs="Times New Roman" w:hint="eastAsia"/>
                <w:sz w:val="21"/>
                <w:szCs w:val="21"/>
              </w:rPr>
              <w:t>抽蓄电站能够快速响应电能调节需求</w:t>
            </w:r>
          </w:p>
        </w:tc>
        <w:tc>
          <w:tcPr>
            <w:tcW w:w="696" w:type="pct"/>
            <w:shd w:val="clear" w:color="auto" w:fill="FFFFFF"/>
            <w:vAlign w:val="center"/>
          </w:tcPr>
          <w:p w14:paraId="11013BBE" w14:textId="77777777" w:rsidR="008D7AD9" w:rsidRDefault="00000000">
            <w:pPr>
              <w:pStyle w:val="affa"/>
              <w:spacing w:before="0" w:after="0"/>
              <w:ind w:firstLineChars="0"/>
              <w:rPr>
                <w:rFonts w:cs="Times New Roman"/>
                <w:sz w:val="21"/>
                <w:szCs w:val="21"/>
              </w:rPr>
            </w:pPr>
            <w:r>
              <w:rPr>
                <w:rFonts w:cs="Times New Roman" w:hint="eastAsia"/>
                <w:sz w:val="21"/>
                <w:szCs w:val="21"/>
              </w:rPr>
              <w:t>4.365</w:t>
            </w:r>
          </w:p>
        </w:tc>
        <w:tc>
          <w:tcPr>
            <w:tcW w:w="687" w:type="pct"/>
            <w:shd w:val="clear" w:color="auto" w:fill="FFFFFF"/>
            <w:vAlign w:val="center"/>
          </w:tcPr>
          <w:p w14:paraId="775DA636" w14:textId="77777777" w:rsidR="008D7AD9" w:rsidRDefault="00000000">
            <w:pPr>
              <w:pStyle w:val="affa"/>
              <w:spacing w:before="0" w:after="0"/>
              <w:ind w:firstLineChars="0"/>
              <w:rPr>
                <w:rFonts w:cs="Times New Roman"/>
                <w:sz w:val="21"/>
                <w:szCs w:val="21"/>
              </w:rPr>
            </w:pPr>
            <w:r>
              <w:rPr>
                <w:rFonts w:cs="Times New Roman" w:hint="eastAsia"/>
                <w:sz w:val="21"/>
                <w:szCs w:val="21"/>
              </w:rPr>
              <w:t>2</w:t>
            </w:r>
          </w:p>
        </w:tc>
      </w:tr>
      <w:tr w:rsidR="008D7AD9" w14:paraId="42A29A54" w14:textId="77777777" w:rsidTr="008D7AD9">
        <w:trPr>
          <w:trHeight w:val="232"/>
        </w:trPr>
        <w:tc>
          <w:tcPr>
            <w:tcW w:w="3616" w:type="pct"/>
            <w:shd w:val="clear" w:color="auto" w:fill="FFFFFF"/>
          </w:tcPr>
          <w:p w14:paraId="47F64AD0" w14:textId="77777777" w:rsidR="008D7AD9" w:rsidRDefault="00000000">
            <w:pPr>
              <w:pStyle w:val="affa"/>
              <w:spacing w:before="0" w:after="0"/>
              <w:ind w:firstLineChars="0"/>
              <w:jc w:val="both"/>
              <w:rPr>
                <w:rFonts w:cs="Times New Roman"/>
                <w:sz w:val="21"/>
                <w:szCs w:val="21"/>
              </w:rPr>
            </w:pPr>
            <w:r>
              <w:rPr>
                <w:rFonts w:cs="Times New Roman" w:hint="eastAsia"/>
                <w:sz w:val="21"/>
                <w:szCs w:val="21"/>
              </w:rPr>
              <w:t>抽蓄电站有助于支撑不同场景下电力电量平衡</w:t>
            </w:r>
          </w:p>
        </w:tc>
        <w:tc>
          <w:tcPr>
            <w:tcW w:w="696" w:type="pct"/>
            <w:shd w:val="clear" w:color="auto" w:fill="FFFFFF"/>
            <w:vAlign w:val="center"/>
          </w:tcPr>
          <w:p w14:paraId="4EA0F1F7" w14:textId="77777777" w:rsidR="008D7AD9" w:rsidRDefault="00000000">
            <w:pPr>
              <w:pStyle w:val="affa"/>
              <w:spacing w:before="0" w:after="0"/>
              <w:ind w:firstLineChars="0"/>
              <w:rPr>
                <w:rFonts w:cs="Times New Roman"/>
                <w:sz w:val="21"/>
                <w:szCs w:val="21"/>
              </w:rPr>
            </w:pPr>
            <w:r>
              <w:rPr>
                <w:rFonts w:cs="Times New Roman" w:hint="eastAsia"/>
                <w:sz w:val="21"/>
                <w:szCs w:val="21"/>
              </w:rPr>
              <w:t>4.383</w:t>
            </w:r>
          </w:p>
        </w:tc>
        <w:tc>
          <w:tcPr>
            <w:tcW w:w="687" w:type="pct"/>
            <w:shd w:val="clear" w:color="auto" w:fill="FFFFFF"/>
            <w:vAlign w:val="center"/>
          </w:tcPr>
          <w:p w14:paraId="0F6F79DC" w14:textId="77777777" w:rsidR="008D7AD9" w:rsidRDefault="00000000">
            <w:pPr>
              <w:pStyle w:val="affa"/>
              <w:spacing w:before="0" w:after="0"/>
              <w:ind w:firstLineChars="0"/>
              <w:rPr>
                <w:rFonts w:cs="Times New Roman"/>
                <w:sz w:val="21"/>
                <w:szCs w:val="21"/>
              </w:rPr>
            </w:pPr>
            <w:r>
              <w:rPr>
                <w:rFonts w:cs="Times New Roman" w:hint="eastAsia"/>
                <w:sz w:val="21"/>
                <w:szCs w:val="21"/>
              </w:rPr>
              <w:t>1</w:t>
            </w:r>
          </w:p>
        </w:tc>
      </w:tr>
      <w:tr w:rsidR="008D7AD9" w14:paraId="2C7E2729" w14:textId="77777777" w:rsidTr="008D7AD9">
        <w:trPr>
          <w:trHeight w:val="232"/>
        </w:trPr>
        <w:tc>
          <w:tcPr>
            <w:tcW w:w="3616" w:type="pct"/>
            <w:shd w:val="clear" w:color="auto" w:fill="FFFFFF"/>
          </w:tcPr>
          <w:p w14:paraId="73076533" w14:textId="77777777" w:rsidR="008D7AD9" w:rsidRDefault="00000000">
            <w:pPr>
              <w:pStyle w:val="affa"/>
              <w:spacing w:before="0" w:after="0"/>
              <w:ind w:firstLineChars="0"/>
              <w:jc w:val="both"/>
              <w:rPr>
                <w:rFonts w:cs="Times New Roman"/>
                <w:sz w:val="21"/>
                <w:szCs w:val="21"/>
              </w:rPr>
            </w:pPr>
            <w:r>
              <w:rPr>
                <w:rFonts w:cs="Times New Roman" w:hint="eastAsia"/>
                <w:sz w:val="21"/>
                <w:szCs w:val="21"/>
              </w:rPr>
              <w:t>抽蓄电站能满足多能互补协同需求</w:t>
            </w:r>
          </w:p>
        </w:tc>
        <w:tc>
          <w:tcPr>
            <w:tcW w:w="696" w:type="pct"/>
            <w:shd w:val="clear" w:color="auto" w:fill="FFFFFF"/>
            <w:vAlign w:val="center"/>
          </w:tcPr>
          <w:p w14:paraId="7DC249D0" w14:textId="77777777" w:rsidR="008D7AD9" w:rsidRDefault="00000000">
            <w:pPr>
              <w:pStyle w:val="affa"/>
              <w:spacing w:before="0" w:after="0"/>
              <w:ind w:firstLineChars="0"/>
              <w:rPr>
                <w:rFonts w:cs="Times New Roman"/>
                <w:sz w:val="21"/>
                <w:szCs w:val="21"/>
              </w:rPr>
            </w:pPr>
            <w:r>
              <w:rPr>
                <w:rFonts w:cs="Times New Roman" w:hint="eastAsia"/>
                <w:sz w:val="21"/>
                <w:szCs w:val="21"/>
              </w:rPr>
              <w:t>4.339</w:t>
            </w:r>
          </w:p>
        </w:tc>
        <w:tc>
          <w:tcPr>
            <w:tcW w:w="687" w:type="pct"/>
            <w:shd w:val="clear" w:color="auto" w:fill="FFFFFF"/>
            <w:vAlign w:val="center"/>
          </w:tcPr>
          <w:p w14:paraId="2196AD2C" w14:textId="77777777" w:rsidR="008D7AD9" w:rsidRDefault="00000000">
            <w:pPr>
              <w:pStyle w:val="affa"/>
              <w:spacing w:before="0" w:after="0"/>
              <w:ind w:firstLineChars="0"/>
              <w:rPr>
                <w:rFonts w:cs="Times New Roman"/>
                <w:sz w:val="21"/>
                <w:szCs w:val="21"/>
              </w:rPr>
            </w:pPr>
            <w:r>
              <w:rPr>
                <w:rFonts w:cs="Times New Roman" w:hint="eastAsia"/>
                <w:sz w:val="21"/>
                <w:szCs w:val="21"/>
              </w:rPr>
              <w:t>3</w:t>
            </w:r>
          </w:p>
        </w:tc>
      </w:tr>
      <w:tr w:rsidR="008D7AD9" w14:paraId="7C5CB62F" w14:textId="77777777" w:rsidTr="008D7AD9">
        <w:trPr>
          <w:trHeight w:val="232"/>
        </w:trPr>
        <w:tc>
          <w:tcPr>
            <w:tcW w:w="3616" w:type="pct"/>
            <w:shd w:val="clear" w:color="auto" w:fill="FFFFFF"/>
          </w:tcPr>
          <w:p w14:paraId="7EB10FE1" w14:textId="77777777" w:rsidR="008D7AD9" w:rsidRDefault="00000000">
            <w:pPr>
              <w:pStyle w:val="affa"/>
              <w:spacing w:before="0" w:after="0"/>
              <w:ind w:firstLineChars="0"/>
              <w:rPr>
                <w:rFonts w:cs="Times New Roman"/>
                <w:b/>
                <w:bCs/>
                <w:sz w:val="21"/>
                <w:szCs w:val="21"/>
              </w:rPr>
            </w:pPr>
            <w:r>
              <w:rPr>
                <w:rFonts w:cs="Times New Roman" w:hint="eastAsia"/>
                <w:b/>
                <w:bCs/>
                <w:sz w:val="21"/>
                <w:szCs w:val="21"/>
              </w:rPr>
              <w:t>C.</w:t>
            </w:r>
            <w:r>
              <w:rPr>
                <w:rFonts w:cs="Times New Roman" w:hint="eastAsia"/>
                <w:b/>
                <w:bCs/>
                <w:sz w:val="21"/>
                <w:szCs w:val="21"/>
              </w:rPr>
              <w:t>电力交易</w:t>
            </w:r>
          </w:p>
        </w:tc>
        <w:tc>
          <w:tcPr>
            <w:tcW w:w="696" w:type="pct"/>
            <w:shd w:val="clear" w:color="auto" w:fill="FFFFFF"/>
            <w:vAlign w:val="center"/>
          </w:tcPr>
          <w:p w14:paraId="69BB2F95" w14:textId="77777777" w:rsidR="008D7AD9" w:rsidRDefault="00000000">
            <w:pPr>
              <w:pStyle w:val="affa"/>
              <w:spacing w:before="0" w:after="0"/>
              <w:ind w:firstLineChars="0"/>
              <w:rPr>
                <w:rFonts w:cs="Times New Roman"/>
                <w:b/>
                <w:bCs/>
                <w:sz w:val="21"/>
                <w:szCs w:val="21"/>
              </w:rPr>
            </w:pPr>
            <w:r>
              <w:rPr>
                <w:rFonts w:cs="Times New Roman" w:hint="eastAsia"/>
                <w:b/>
                <w:bCs/>
                <w:sz w:val="21"/>
                <w:szCs w:val="21"/>
              </w:rPr>
              <w:t>4.314</w:t>
            </w:r>
          </w:p>
        </w:tc>
        <w:tc>
          <w:tcPr>
            <w:tcW w:w="687" w:type="pct"/>
            <w:shd w:val="clear" w:color="auto" w:fill="FFFFFF"/>
            <w:vAlign w:val="center"/>
          </w:tcPr>
          <w:p w14:paraId="4D1D6947" w14:textId="77777777" w:rsidR="008D7AD9" w:rsidRDefault="008D7AD9">
            <w:pPr>
              <w:pStyle w:val="affa"/>
              <w:spacing w:before="0" w:after="0"/>
              <w:ind w:firstLineChars="0"/>
              <w:rPr>
                <w:rFonts w:cs="Times New Roman"/>
                <w:b/>
                <w:bCs/>
                <w:sz w:val="21"/>
                <w:szCs w:val="21"/>
              </w:rPr>
            </w:pPr>
          </w:p>
        </w:tc>
      </w:tr>
      <w:tr w:rsidR="008D7AD9" w14:paraId="72E64027" w14:textId="77777777" w:rsidTr="008D7AD9">
        <w:trPr>
          <w:trHeight w:val="232"/>
        </w:trPr>
        <w:tc>
          <w:tcPr>
            <w:tcW w:w="3616" w:type="pct"/>
            <w:shd w:val="clear" w:color="auto" w:fill="FFFFFF"/>
          </w:tcPr>
          <w:p w14:paraId="0BC630C6" w14:textId="77777777" w:rsidR="008D7AD9" w:rsidRDefault="00000000">
            <w:pPr>
              <w:pStyle w:val="affa"/>
              <w:spacing w:before="0" w:after="0"/>
              <w:ind w:firstLineChars="0"/>
              <w:jc w:val="both"/>
              <w:rPr>
                <w:rFonts w:cs="Times New Roman"/>
                <w:sz w:val="21"/>
                <w:szCs w:val="21"/>
              </w:rPr>
            </w:pPr>
            <w:r>
              <w:rPr>
                <w:rFonts w:cs="Times New Roman" w:hint="eastAsia"/>
                <w:sz w:val="21"/>
                <w:szCs w:val="21"/>
              </w:rPr>
              <w:t>作为市场主体参与现货和中长期电能量市场交易</w:t>
            </w:r>
          </w:p>
        </w:tc>
        <w:tc>
          <w:tcPr>
            <w:tcW w:w="696" w:type="pct"/>
            <w:shd w:val="clear" w:color="auto" w:fill="FFFFFF"/>
            <w:vAlign w:val="center"/>
          </w:tcPr>
          <w:p w14:paraId="4D49CD9B" w14:textId="77777777" w:rsidR="008D7AD9" w:rsidRDefault="00000000">
            <w:pPr>
              <w:pStyle w:val="affa"/>
              <w:spacing w:before="0" w:after="0"/>
              <w:ind w:firstLineChars="0"/>
              <w:rPr>
                <w:rFonts w:cs="Times New Roman"/>
                <w:sz w:val="21"/>
                <w:szCs w:val="21"/>
              </w:rPr>
            </w:pPr>
            <w:r>
              <w:rPr>
                <w:rFonts w:cs="Times New Roman" w:hint="eastAsia"/>
                <w:sz w:val="21"/>
                <w:szCs w:val="21"/>
              </w:rPr>
              <w:t>4.278</w:t>
            </w:r>
          </w:p>
        </w:tc>
        <w:tc>
          <w:tcPr>
            <w:tcW w:w="687" w:type="pct"/>
            <w:shd w:val="clear" w:color="auto" w:fill="FFFFFF"/>
            <w:vAlign w:val="center"/>
          </w:tcPr>
          <w:p w14:paraId="23619D8F" w14:textId="77777777" w:rsidR="008D7AD9" w:rsidRDefault="00000000">
            <w:pPr>
              <w:pStyle w:val="affa"/>
              <w:spacing w:before="0" w:after="0"/>
              <w:ind w:firstLineChars="0"/>
              <w:rPr>
                <w:rFonts w:cs="Times New Roman"/>
                <w:sz w:val="21"/>
                <w:szCs w:val="21"/>
              </w:rPr>
            </w:pPr>
            <w:r>
              <w:rPr>
                <w:rFonts w:cs="Times New Roman" w:hint="eastAsia"/>
                <w:sz w:val="21"/>
                <w:szCs w:val="21"/>
              </w:rPr>
              <w:t>7</w:t>
            </w:r>
          </w:p>
        </w:tc>
      </w:tr>
      <w:tr w:rsidR="008D7AD9" w14:paraId="47A2C5B2" w14:textId="77777777" w:rsidTr="008D7AD9">
        <w:trPr>
          <w:trHeight w:val="232"/>
        </w:trPr>
        <w:tc>
          <w:tcPr>
            <w:tcW w:w="3616" w:type="pct"/>
            <w:shd w:val="clear" w:color="auto" w:fill="FFFFFF"/>
          </w:tcPr>
          <w:p w14:paraId="063803C5" w14:textId="77777777" w:rsidR="008D7AD9" w:rsidRDefault="00000000">
            <w:pPr>
              <w:pStyle w:val="affa"/>
              <w:spacing w:before="0" w:after="0"/>
              <w:ind w:firstLineChars="0"/>
              <w:jc w:val="both"/>
              <w:rPr>
                <w:rFonts w:cs="Times New Roman"/>
                <w:sz w:val="21"/>
                <w:szCs w:val="21"/>
              </w:rPr>
            </w:pPr>
            <w:r>
              <w:rPr>
                <w:rFonts w:cs="Times New Roman" w:hint="eastAsia"/>
                <w:sz w:val="21"/>
                <w:szCs w:val="21"/>
              </w:rPr>
              <w:t>作为市场主体参与调频、备用等辅助服务市场</w:t>
            </w:r>
          </w:p>
        </w:tc>
        <w:tc>
          <w:tcPr>
            <w:tcW w:w="696" w:type="pct"/>
            <w:shd w:val="clear" w:color="auto" w:fill="FFFFFF"/>
            <w:vAlign w:val="center"/>
          </w:tcPr>
          <w:p w14:paraId="2DF549C0" w14:textId="77777777" w:rsidR="008D7AD9" w:rsidRDefault="00000000">
            <w:pPr>
              <w:pStyle w:val="affa"/>
              <w:spacing w:before="0" w:after="0"/>
              <w:ind w:firstLineChars="0"/>
              <w:rPr>
                <w:rFonts w:cs="Times New Roman"/>
                <w:sz w:val="21"/>
                <w:szCs w:val="21"/>
              </w:rPr>
            </w:pPr>
            <w:r>
              <w:rPr>
                <w:rFonts w:cs="Times New Roman" w:hint="eastAsia"/>
                <w:sz w:val="21"/>
                <w:szCs w:val="21"/>
              </w:rPr>
              <w:t>4.330</w:t>
            </w:r>
          </w:p>
        </w:tc>
        <w:tc>
          <w:tcPr>
            <w:tcW w:w="687" w:type="pct"/>
            <w:shd w:val="clear" w:color="auto" w:fill="FFFFFF"/>
            <w:vAlign w:val="center"/>
          </w:tcPr>
          <w:p w14:paraId="361B1288" w14:textId="77777777" w:rsidR="008D7AD9" w:rsidRDefault="00000000">
            <w:pPr>
              <w:pStyle w:val="affa"/>
              <w:spacing w:before="0" w:after="0"/>
              <w:ind w:firstLineChars="0"/>
              <w:rPr>
                <w:rFonts w:cs="Times New Roman"/>
                <w:sz w:val="21"/>
                <w:szCs w:val="21"/>
              </w:rPr>
            </w:pPr>
            <w:r>
              <w:rPr>
                <w:rFonts w:cs="Times New Roman" w:hint="eastAsia"/>
                <w:sz w:val="21"/>
                <w:szCs w:val="21"/>
              </w:rPr>
              <w:t>5</w:t>
            </w:r>
          </w:p>
        </w:tc>
      </w:tr>
      <w:tr w:rsidR="008D7AD9" w14:paraId="70B8BC58" w14:textId="77777777" w:rsidTr="008D7AD9">
        <w:trPr>
          <w:trHeight w:val="232"/>
        </w:trPr>
        <w:tc>
          <w:tcPr>
            <w:tcW w:w="3616" w:type="pct"/>
            <w:shd w:val="clear" w:color="auto" w:fill="FFFFFF"/>
          </w:tcPr>
          <w:p w14:paraId="4A8712C8" w14:textId="77777777" w:rsidR="008D7AD9" w:rsidRDefault="00000000">
            <w:pPr>
              <w:pStyle w:val="affa"/>
              <w:spacing w:before="0" w:after="0"/>
              <w:ind w:firstLineChars="0"/>
              <w:jc w:val="both"/>
              <w:rPr>
                <w:rFonts w:cs="Times New Roman"/>
                <w:sz w:val="21"/>
                <w:szCs w:val="21"/>
              </w:rPr>
            </w:pPr>
            <w:r>
              <w:rPr>
                <w:rFonts w:cs="Times New Roman" w:hint="eastAsia"/>
                <w:sz w:val="21"/>
                <w:szCs w:val="21"/>
              </w:rPr>
              <w:t>能根据电力市场价格情况调整电力交易</w:t>
            </w:r>
          </w:p>
        </w:tc>
        <w:tc>
          <w:tcPr>
            <w:tcW w:w="696" w:type="pct"/>
            <w:shd w:val="clear" w:color="auto" w:fill="FFFFFF"/>
            <w:vAlign w:val="center"/>
          </w:tcPr>
          <w:p w14:paraId="3AE869AF" w14:textId="77777777" w:rsidR="008D7AD9" w:rsidRDefault="00000000">
            <w:pPr>
              <w:pStyle w:val="affa"/>
              <w:spacing w:before="0" w:after="0"/>
              <w:ind w:firstLineChars="0"/>
              <w:rPr>
                <w:rFonts w:cs="Times New Roman"/>
                <w:sz w:val="21"/>
                <w:szCs w:val="21"/>
              </w:rPr>
            </w:pPr>
            <w:r>
              <w:rPr>
                <w:rFonts w:cs="Times New Roman" w:hint="eastAsia"/>
                <w:sz w:val="21"/>
                <w:szCs w:val="21"/>
              </w:rPr>
              <w:t>4.335</w:t>
            </w:r>
          </w:p>
        </w:tc>
        <w:tc>
          <w:tcPr>
            <w:tcW w:w="687" w:type="pct"/>
            <w:shd w:val="clear" w:color="auto" w:fill="FFFFFF"/>
            <w:vAlign w:val="center"/>
          </w:tcPr>
          <w:p w14:paraId="012B2F0D" w14:textId="77777777" w:rsidR="008D7AD9" w:rsidRDefault="00000000">
            <w:pPr>
              <w:pStyle w:val="affa"/>
              <w:spacing w:before="0" w:after="0"/>
              <w:ind w:firstLineChars="0"/>
              <w:rPr>
                <w:rFonts w:cs="Times New Roman"/>
                <w:sz w:val="21"/>
                <w:szCs w:val="21"/>
              </w:rPr>
            </w:pPr>
            <w:r>
              <w:rPr>
                <w:rFonts w:cs="Times New Roman" w:hint="eastAsia"/>
                <w:sz w:val="21"/>
                <w:szCs w:val="21"/>
              </w:rPr>
              <w:t>4</w:t>
            </w:r>
          </w:p>
        </w:tc>
      </w:tr>
      <w:tr w:rsidR="008D7AD9" w14:paraId="6E48EEF0" w14:textId="77777777" w:rsidTr="008D7AD9">
        <w:trPr>
          <w:trHeight w:val="232"/>
        </w:trPr>
        <w:tc>
          <w:tcPr>
            <w:tcW w:w="3616" w:type="pct"/>
            <w:shd w:val="clear" w:color="auto" w:fill="FFFFFF"/>
          </w:tcPr>
          <w:p w14:paraId="7A1E65C4" w14:textId="77777777" w:rsidR="008D7AD9" w:rsidRDefault="00000000">
            <w:pPr>
              <w:pStyle w:val="affa"/>
              <w:spacing w:before="0" w:after="0"/>
              <w:ind w:firstLineChars="0"/>
              <w:rPr>
                <w:rFonts w:cs="Times New Roman"/>
                <w:b/>
                <w:bCs/>
                <w:sz w:val="21"/>
                <w:szCs w:val="21"/>
              </w:rPr>
            </w:pPr>
            <w:r>
              <w:rPr>
                <w:rFonts w:cs="Times New Roman" w:hint="eastAsia"/>
                <w:b/>
                <w:bCs/>
                <w:sz w:val="21"/>
                <w:szCs w:val="21"/>
              </w:rPr>
              <w:t>D.</w:t>
            </w:r>
            <w:r>
              <w:rPr>
                <w:rFonts w:cs="Times New Roman" w:hint="eastAsia"/>
                <w:b/>
                <w:bCs/>
                <w:sz w:val="21"/>
                <w:szCs w:val="21"/>
              </w:rPr>
              <w:t>电站运营模式</w:t>
            </w:r>
          </w:p>
        </w:tc>
        <w:tc>
          <w:tcPr>
            <w:tcW w:w="696" w:type="pct"/>
            <w:shd w:val="clear" w:color="auto" w:fill="FFFFFF"/>
            <w:vAlign w:val="center"/>
          </w:tcPr>
          <w:p w14:paraId="7B3307DC" w14:textId="77777777" w:rsidR="008D7AD9" w:rsidRDefault="00000000">
            <w:pPr>
              <w:pStyle w:val="affa"/>
              <w:spacing w:before="0" w:after="0"/>
              <w:ind w:firstLineChars="0"/>
              <w:rPr>
                <w:rFonts w:cs="Times New Roman"/>
                <w:b/>
                <w:bCs/>
                <w:sz w:val="21"/>
                <w:szCs w:val="21"/>
              </w:rPr>
            </w:pPr>
            <w:r>
              <w:rPr>
                <w:rFonts w:cs="Times New Roman" w:hint="eastAsia"/>
                <w:b/>
                <w:bCs/>
                <w:sz w:val="21"/>
                <w:szCs w:val="21"/>
              </w:rPr>
              <w:t>4.317</w:t>
            </w:r>
          </w:p>
        </w:tc>
        <w:tc>
          <w:tcPr>
            <w:tcW w:w="687" w:type="pct"/>
            <w:shd w:val="clear" w:color="auto" w:fill="FFFFFF"/>
            <w:vAlign w:val="center"/>
          </w:tcPr>
          <w:p w14:paraId="6FC18645" w14:textId="77777777" w:rsidR="008D7AD9" w:rsidRDefault="008D7AD9">
            <w:pPr>
              <w:pStyle w:val="affa"/>
              <w:spacing w:before="0" w:after="0"/>
              <w:ind w:firstLineChars="0"/>
              <w:rPr>
                <w:rFonts w:cs="Times New Roman"/>
                <w:b/>
                <w:bCs/>
                <w:sz w:val="21"/>
                <w:szCs w:val="21"/>
              </w:rPr>
            </w:pPr>
          </w:p>
        </w:tc>
      </w:tr>
      <w:tr w:rsidR="008D7AD9" w14:paraId="088B4509" w14:textId="77777777" w:rsidTr="008D7AD9">
        <w:trPr>
          <w:trHeight w:val="232"/>
        </w:trPr>
        <w:tc>
          <w:tcPr>
            <w:tcW w:w="3616" w:type="pct"/>
            <w:shd w:val="clear" w:color="auto" w:fill="FFFFFF"/>
          </w:tcPr>
          <w:p w14:paraId="7F036059" w14:textId="77777777" w:rsidR="008D7AD9" w:rsidRDefault="00000000">
            <w:pPr>
              <w:pStyle w:val="affa"/>
              <w:spacing w:before="0" w:after="0"/>
              <w:ind w:firstLineChars="0"/>
              <w:jc w:val="both"/>
              <w:rPr>
                <w:rFonts w:cs="Times New Roman"/>
                <w:sz w:val="21"/>
                <w:szCs w:val="21"/>
              </w:rPr>
            </w:pPr>
            <w:r>
              <w:rPr>
                <w:rFonts w:cs="Times New Roman" w:hint="eastAsia"/>
                <w:sz w:val="21"/>
                <w:szCs w:val="21"/>
              </w:rPr>
              <w:t>抽蓄电站运营模式有利于电站运行及电力调度</w:t>
            </w:r>
          </w:p>
        </w:tc>
        <w:tc>
          <w:tcPr>
            <w:tcW w:w="696" w:type="pct"/>
            <w:shd w:val="clear" w:color="auto" w:fill="FFFFFF"/>
            <w:vAlign w:val="center"/>
          </w:tcPr>
          <w:p w14:paraId="3F943D94" w14:textId="77777777" w:rsidR="008D7AD9" w:rsidRDefault="00000000">
            <w:pPr>
              <w:pStyle w:val="affa"/>
              <w:spacing w:before="0" w:after="0"/>
              <w:ind w:firstLineChars="0"/>
              <w:rPr>
                <w:rFonts w:cs="Times New Roman"/>
                <w:sz w:val="21"/>
                <w:szCs w:val="21"/>
              </w:rPr>
            </w:pPr>
            <w:r>
              <w:rPr>
                <w:rFonts w:cs="Times New Roman" w:hint="eastAsia"/>
                <w:sz w:val="21"/>
                <w:szCs w:val="21"/>
              </w:rPr>
              <w:t>4.317</w:t>
            </w:r>
          </w:p>
        </w:tc>
        <w:tc>
          <w:tcPr>
            <w:tcW w:w="687" w:type="pct"/>
            <w:shd w:val="clear" w:color="auto" w:fill="FFFFFF"/>
            <w:vAlign w:val="center"/>
          </w:tcPr>
          <w:p w14:paraId="350B2B5C" w14:textId="77777777" w:rsidR="008D7AD9" w:rsidRDefault="00000000">
            <w:pPr>
              <w:pStyle w:val="affa"/>
              <w:spacing w:before="0" w:after="0"/>
              <w:ind w:firstLineChars="0"/>
              <w:rPr>
                <w:rFonts w:cs="Times New Roman"/>
                <w:sz w:val="21"/>
                <w:szCs w:val="21"/>
              </w:rPr>
            </w:pPr>
            <w:r>
              <w:rPr>
                <w:rFonts w:cs="Times New Roman" w:hint="eastAsia"/>
                <w:sz w:val="21"/>
                <w:szCs w:val="21"/>
              </w:rPr>
              <w:t>6</w:t>
            </w:r>
          </w:p>
        </w:tc>
      </w:tr>
      <w:tr w:rsidR="008D7AD9" w14:paraId="48CD7D0D" w14:textId="77777777" w:rsidTr="008D7AD9">
        <w:trPr>
          <w:trHeight w:val="232"/>
        </w:trPr>
        <w:tc>
          <w:tcPr>
            <w:tcW w:w="3616" w:type="pct"/>
            <w:tcBorders>
              <w:bottom w:val="single" w:sz="12" w:space="0" w:color="000000"/>
            </w:tcBorders>
            <w:shd w:val="clear" w:color="auto" w:fill="FFFFFF"/>
          </w:tcPr>
          <w:p w14:paraId="61E4313A" w14:textId="77777777" w:rsidR="008D7AD9" w:rsidRDefault="00000000">
            <w:pPr>
              <w:pStyle w:val="affa"/>
              <w:spacing w:before="0" w:after="0"/>
              <w:ind w:firstLineChars="0"/>
              <w:rPr>
                <w:rFonts w:cs="Times New Roman"/>
                <w:b/>
                <w:bCs/>
                <w:sz w:val="21"/>
                <w:szCs w:val="21"/>
              </w:rPr>
            </w:pPr>
            <w:r>
              <w:rPr>
                <w:rFonts w:cs="Times New Roman" w:hint="eastAsia"/>
                <w:b/>
                <w:bCs/>
                <w:sz w:val="21"/>
                <w:szCs w:val="21"/>
              </w:rPr>
              <w:t>平均值</w:t>
            </w:r>
          </w:p>
        </w:tc>
        <w:tc>
          <w:tcPr>
            <w:tcW w:w="696" w:type="pct"/>
            <w:tcBorders>
              <w:bottom w:val="single" w:sz="12" w:space="0" w:color="000000"/>
            </w:tcBorders>
            <w:shd w:val="clear" w:color="auto" w:fill="FFFFFF"/>
            <w:vAlign w:val="center"/>
          </w:tcPr>
          <w:p w14:paraId="0A415870" w14:textId="77777777" w:rsidR="008D7AD9" w:rsidRDefault="00000000">
            <w:pPr>
              <w:pStyle w:val="affa"/>
              <w:spacing w:before="0" w:after="0"/>
              <w:ind w:firstLineChars="0"/>
              <w:rPr>
                <w:rFonts w:cs="Times New Roman"/>
                <w:b/>
                <w:bCs/>
                <w:sz w:val="21"/>
                <w:szCs w:val="21"/>
              </w:rPr>
            </w:pPr>
            <w:r>
              <w:rPr>
                <w:rFonts w:cs="Times New Roman" w:hint="eastAsia"/>
                <w:b/>
                <w:bCs/>
                <w:sz w:val="21"/>
                <w:szCs w:val="21"/>
              </w:rPr>
              <w:t>4.306</w:t>
            </w:r>
          </w:p>
        </w:tc>
        <w:tc>
          <w:tcPr>
            <w:tcW w:w="687" w:type="pct"/>
            <w:tcBorders>
              <w:bottom w:val="single" w:sz="12" w:space="0" w:color="000000"/>
            </w:tcBorders>
            <w:shd w:val="clear" w:color="auto" w:fill="FFFFFF"/>
            <w:vAlign w:val="center"/>
          </w:tcPr>
          <w:p w14:paraId="07EA766A" w14:textId="77777777" w:rsidR="008D7AD9" w:rsidRDefault="008D7AD9">
            <w:pPr>
              <w:pStyle w:val="affa"/>
              <w:spacing w:before="0" w:after="0"/>
              <w:ind w:firstLineChars="0"/>
              <w:rPr>
                <w:rFonts w:cs="Times New Roman"/>
                <w:b/>
                <w:bCs/>
                <w:sz w:val="21"/>
                <w:szCs w:val="21"/>
              </w:rPr>
            </w:pPr>
          </w:p>
        </w:tc>
      </w:tr>
    </w:tbl>
    <w:p w14:paraId="0E432C93" w14:textId="4C30C89F" w:rsidR="008D7AD9" w:rsidRDefault="00000000">
      <w:pPr>
        <w:spacing w:beforeLines="50" w:before="156"/>
        <w:ind w:firstLine="420"/>
        <w:rPr>
          <w:rFonts w:cs="Times New Roman"/>
        </w:rPr>
      </w:pPr>
      <w:r>
        <w:rPr>
          <w:rFonts w:cs="Times New Roman" w:hint="eastAsia"/>
        </w:rPr>
        <w:t>如</w:t>
      </w:r>
      <w:r w:rsidR="00835F8C">
        <w:rPr>
          <w:rFonts w:cs="Times New Roman"/>
        </w:rPr>
        <w:fldChar w:fldCharType="begin"/>
      </w:r>
      <w:r w:rsidR="00835F8C">
        <w:rPr>
          <w:rFonts w:cs="Times New Roman"/>
        </w:rPr>
        <w:instrText xml:space="preserve"> </w:instrText>
      </w:r>
      <w:r w:rsidR="00835F8C">
        <w:rPr>
          <w:rFonts w:cs="Times New Roman" w:hint="eastAsia"/>
        </w:rPr>
        <w:instrText>REF _Ref1809 \h</w:instrText>
      </w:r>
      <w:r w:rsidR="00835F8C">
        <w:rPr>
          <w:rFonts w:cs="Times New Roman"/>
        </w:rPr>
        <w:instrText xml:space="preserve"> </w:instrText>
      </w:r>
      <w:r w:rsidR="00835F8C">
        <w:rPr>
          <w:rFonts w:cs="Times New Roman"/>
        </w:rPr>
      </w:r>
      <w:r w:rsidR="00835F8C">
        <w:rPr>
          <w:rFonts w:cs="Times New Roman"/>
        </w:rPr>
        <w:fldChar w:fldCharType="separate"/>
      </w:r>
      <w:r w:rsidR="00B1714C">
        <w:t>表</w:t>
      </w:r>
      <w:r w:rsidR="00B1714C">
        <w:t xml:space="preserve"> </w:t>
      </w:r>
      <w:r w:rsidR="00B1714C">
        <w:rPr>
          <w:rFonts w:hint="eastAsia"/>
          <w:noProof/>
        </w:rPr>
        <w:t>5</w:t>
      </w:r>
      <w:r w:rsidR="00835F8C">
        <w:rPr>
          <w:rFonts w:cs="Times New Roman"/>
        </w:rPr>
        <w:fldChar w:fldCharType="end"/>
      </w:r>
      <w:r>
        <w:rPr>
          <w:rFonts w:cs="Times New Roman" w:hint="eastAsia"/>
        </w:rPr>
        <w:t>所示，抽蓄电站能够快速响应电能调节需求，支撑不同场景下电力电量平衡。但抽蓄电站数字化交付、数智化运行监测及调控和多能互补协同亟待加强。同时，在作为市场主体参与现货和中长期电能量市场交易，并进入调频和备用等辅助服务市场方面也需进一步明确。</w:t>
      </w:r>
    </w:p>
    <w:p w14:paraId="4211B681" w14:textId="77777777" w:rsidR="008D7AD9" w:rsidRDefault="00000000">
      <w:pPr>
        <w:ind w:firstLine="422"/>
        <w:rPr>
          <w:rFonts w:cs="Times New Roman"/>
          <w:b/>
          <w:bCs/>
        </w:rPr>
      </w:pPr>
      <w:r>
        <w:rPr>
          <w:rFonts w:cs="Times New Roman" w:hint="eastAsia"/>
          <w:b/>
          <w:bCs/>
        </w:rPr>
        <w:t xml:space="preserve">3.6 </w:t>
      </w:r>
      <w:r>
        <w:rPr>
          <w:rFonts w:cs="Times New Roman" w:hint="eastAsia"/>
          <w:b/>
          <w:bCs/>
        </w:rPr>
        <w:t>项目绩效</w:t>
      </w:r>
    </w:p>
    <w:p w14:paraId="3C93480F" w14:textId="31B1A0B2" w:rsidR="008D7AD9" w:rsidRDefault="00000000">
      <w:pPr>
        <w:ind w:firstLine="420"/>
        <w:rPr>
          <w:rFonts w:cs="Times New Roman"/>
        </w:rPr>
      </w:pPr>
      <w:r>
        <w:rPr>
          <w:rFonts w:cs="Times New Roman"/>
        </w:rPr>
        <w:t>抽蓄电站项目绩效情况如</w:t>
      </w:r>
      <w:r w:rsidR="00835F8C">
        <w:rPr>
          <w:rFonts w:cs="Times New Roman"/>
        </w:rPr>
        <w:fldChar w:fldCharType="begin"/>
      </w:r>
      <w:r w:rsidR="00835F8C">
        <w:rPr>
          <w:rFonts w:cs="Times New Roman"/>
        </w:rPr>
        <w:instrText xml:space="preserve"> REF _Ref199254933 \h </w:instrText>
      </w:r>
      <w:r w:rsidR="00835F8C">
        <w:rPr>
          <w:rFonts w:cs="Times New Roman"/>
        </w:rPr>
      </w:r>
      <w:r w:rsidR="00835F8C">
        <w:rPr>
          <w:rFonts w:cs="Times New Roman"/>
        </w:rPr>
        <w:fldChar w:fldCharType="separate"/>
      </w:r>
      <w:r w:rsidR="00B1714C">
        <w:t>表</w:t>
      </w:r>
      <w:r w:rsidR="00B1714C">
        <w:t xml:space="preserve"> </w:t>
      </w:r>
      <w:r w:rsidR="00B1714C">
        <w:rPr>
          <w:rFonts w:hint="eastAsia"/>
          <w:noProof/>
        </w:rPr>
        <w:t>6</w:t>
      </w:r>
      <w:r w:rsidR="00835F8C">
        <w:rPr>
          <w:rFonts w:cs="Times New Roman"/>
        </w:rPr>
        <w:fldChar w:fldCharType="end"/>
      </w:r>
      <w:r>
        <w:rPr>
          <w:rFonts w:cs="Times New Roman"/>
        </w:rPr>
        <w:t>所示。其中，</w:t>
      </w:r>
      <w:r>
        <w:rPr>
          <w:rFonts w:cs="Times New Roman"/>
        </w:rPr>
        <w:t>1</w:t>
      </w:r>
      <w:r>
        <w:rPr>
          <w:rFonts w:cs="Times New Roman"/>
        </w:rPr>
        <w:t>分代表非常不符合，</w:t>
      </w:r>
      <w:r>
        <w:rPr>
          <w:rFonts w:cs="Times New Roman"/>
        </w:rPr>
        <w:t>5</w:t>
      </w:r>
      <w:r>
        <w:rPr>
          <w:rFonts w:cs="Times New Roman"/>
        </w:rPr>
        <w:t>分代表非常符合。</w:t>
      </w:r>
    </w:p>
    <w:p w14:paraId="79402F14" w14:textId="572B0A56" w:rsidR="008D7AD9" w:rsidRDefault="00000000">
      <w:pPr>
        <w:pStyle w:val="aff3"/>
        <w:ind w:firstLine="420"/>
        <w:rPr>
          <w:rFonts w:hint="eastAsia"/>
        </w:rPr>
      </w:pPr>
      <w:bookmarkStart w:id="9" w:name="_Ref199254933"/>
      <w:r>
        <w:t xml:space="preserve">表 </w:t>
      </w:r>
      <w:fldSimple w:instr=" SEQ 表 \* ARABIC ">
        <w:r w:rsidR="00B1714C">
          <w:rPr>
            <w:rFonts w:hint="eastAsia"/>
            <w:noProof/>
          </w:rPr>
          <w:t>6</w:t>
        </w:r>
      </w:fldSimple>
      <w:bookmarkEnd w:id="9"/>
      <w:r>
        <w:rPr>
          <w:rFonts w:hint="eastAsia"/>
        </w:rPr>
        <w:t xml:space="preserve"> 抽蓄电站项目绩效情况</w:t>
      </w:r>
    </w:p>
    <w:tbl>
      <w:tblPr>
        <w:tblStyle w:val="110"/>
        <w:tblW w:w="4998" w:type="pct"/>
        <w:tblLook w:val="04A0" w:firstRow="1" w:lastRow="0" w:firstColumn="1" w:lastColumn="0" w:noHBand="0" w:noVBand="1"/>
      </w:tblPr>
      <w:tblGrid>
        <w:gridCol w:w="2816"/>
        <w:gridCol w:w="1054"/>
        <w:gridCol w:w="978"/>
      </w:tblGrid>
      <w:tr w:rsidR="008D7AD9" w14:paraId="59E85D7C" w14:textId="77777777" w:rsidTr="008D7AD9">
        <w:trPr>
          <w:cnfStyle w:val="100000000000" w:firstRow="1" w:lastRow="0" w:firstColumn="0" w:lastColumn="0" w:oddVBand="0" w:evenVBand="0" w:oddHBand="0" w:evenHBand="0" w:firstRowFirstColumn="0" w:firstRowLastColumn="0" w:lastRowFirstColumn="0" w:lastRowLastColumn="0"/>
          <w:trHeight w:val="232"/>
        </w:trPr>
        <w:tc>
          <w:tcPr>
            <w:tcW w:w="2902" w:type="pct"/>
            <w:tcBorders>
              <w:top w:val="single" w:sz="12" w:space="0" w:color="000000"/>
              <w:bottom w:val="single" w:sz="4" w:space="0" w:color="000000"/>
            </w:tcBorders>
            <w:shd w:val="clear" w:color="auto" w:fill="FFFFFF"/>
          </w:tcPr>
          <w:p w14:paraId="2E5B04FB" w14:textId="77777777" w:rsidR="008D7AD9" w:rsidRDefault="00000000">
            <w:pPr>
              <w:pStyle w:val="affa"/>
              <w:spacing w:before="0" w:after="0"/>
              <w:ind w:firstLineChars="0"/>
              <w:rPr>
                <w:bCs/>
                <w:color w:val="000000"/>
                <w:sz w:val="21"/>
                <w:szCs w:val="21"/>
              </w:rPr>
            </w:pPr>
            <w:r>
              <w:rPr>
                <w:rFonts w:hint="eastAsia"/>
                <w:bCs/>
                <w:color w:val="000000"/>
                <w:sz w:val="21"/>
                <w:szCs w:val="21"/>
              </w:rPr>
              <w:t>指标</w:t>
            </w:r>
          </w:p>
        </w:tc>
        <w:tc>
          <w:tcPr>
            <w:tcW w:w="1087" w:type="pct"/>
            <w:tcBorders>
              <w:top w:val="single" w:sz="12" w:space="0" w:color="000000"/>
              <w:bottom w:val="single" w:sz="4" w:space="0" w:color="000000"/>
            </w:tcBorders>
            <w:shd w:val="clear" w:color="auto" w:fill="FFFFFF"/>
          </w:tcPr>
          <w:p w14:paraId="74DAEE9E" w14:textId="77777777" w:rsidR="008D7AD9" w:rsidRDefault="00000000">
            <w:pPr>
              <w:pStyle w:val="affa"/>
              <w:spacing w:before="0" w:after="0"/>
              <w:ind w:firstLineChars="0"/>
              <w:rPr>
                <w:bCs/>
                <w:color w:val="000000"/>
                <w:sz w:val="21"/>
                <w:szCs w:val="21"/>
              </w:rPr>
            </w:pPr>
            <w:r>
              <w:rPr>
                <w:rFonts w:hint="eastAsia"/>
                <w:bCs/>
                <w:color w:val="000000"/>
                <w:sz w:val="21"/>
                <w:szCs w:val="21"/>
              </w:rPr>
              <w:t>得分</w:t>
            </w:r>
          </w:p>
        </w:tc>
        <w:tc>
          <w:tcPr>
            <w:tcW w:w="1009" w:type="pct"/>
            <w:tcBorders>
              <w:top w:val="single" w:sz="12" w:space="0" w:color="000000"/>
              <w:bottom w:val="single" w:sz="4" w:space="0" w:color="000000"/>
            </w:tcBorders>
            <w:shd w:val="clear" w:color="auto" w:fill="FFFFFF"/>
          </w:tcPr>
          <w:p w14:paraId="0E0110A6" w14:textId="77777777" w:rsidR="008D7AD9" w:rsidRDefault="00000000">
            <w:pPr>
              <w:pStyle w:val="affa"/>
              <w:spacing w:before="0" w:after="0"/>
              <w:ind w:firstLineChars="0"/>
              <w:rPr>
                <w:bCs/>
                <w:color w:val="000000"/>
                <w:sz w:val="21"/>
                <w:szCs w:val="21"/>
              </w:rPr>
            </w:pPr>
            <w:r>
              <w:rPr>
                <w:rFonts w:hint="eastAsia"/>
                <w:bCs/>
                <w:color w:val="000000"/>
                <w:sz w:val="21"/>
                <w:szCs w:val="21"/>
              </w:rPr>
              <w:t>排序</w:t>
            </w:r>
          </w:p>
        </w:tc>
      </w:tr>
      <w:tr w:rsidR="008D7AD9" w14:paraId="776C91FB" w14:textId="77777777" w:rsidTr="008D7AD9">
        <w:trPr>
          <w:trHeight w:val="232"/>
        </w:trPr>
        <w:tc>
          <w:tcPr>
            <w:tcW w:w="2902" w:type="pct"/>
            <w:shd w:val="clear" w:color="auto" w:fill="FFFFFF"/>
          </w:tcPr>
          <w:p w14:paraId="42574C31" w14:textId="77777777" w:rsidR="008D7AD9" w:rsidRDefault="00000000">
            <w:pPr>
              <w:pStyle w:val="affa"/>
              <w:spacing w:before="0" w:after="0"/>
              <w:ind w:firstLineChars="0"/>
              <w:jc w:val="both"/>
              <w:rPr>
                <w:color w:val="000000"/>
                <w:sz w:val="21"/>
                <w:szCs w:val="21"/>
              </w:rPr>
            </w:pPr>
            <w:r>
              <w:rPr>
                <w:rFonts w:hint="eastAsia"/>
                <w:color w:val="000000"/>
                <w:sz w:val="21"/>
                <w:szCs w:val="21"/>
              </w:rPr>
              <w:t>利益相关方满意度</w:t>
            </w:r>
          </w:p>
        </w:tc>
        <w:tc>
          <w:tcPr>
            <w:tcW w:w="1087" w:type="pct"/>
            <w:shd w:val="clear" w:color="auto" w:fill="FFFFFF"/>
          </w:tcPr>
          <w:p w14:paraId="2A12CE17" w14:textId="77777777" w:rsidR="008D7AD9" w:rsidRDefault="00000000">
            <w:pPr>
              <w:pStyle w:val="affa"/>
              <w:spacing w:before="0" w:after="0"/>
              <w:ind w:firstLineChars="0"/>
              <w:rPr>
                <w:color w:val="000000"/>
                <w:sz w:val="21"/>
                <w:szCs w:val="21"/>
              </w:rPr>
            </w:pPr>
            <w:r>
              <w:rPr>
                <w:rFonts w:hint="eastAsia"/>
                <w:color w:val="000000"/>
                <w:sz w:val="21"/>
                <w:szCs w:val="21"/>
              </w:rPr>
              <w:t>4.365</w:t>
            </w:r>
          </w:p>
        </w:tc>
        <w:tc>
          <w:tcPr>
            <w:tcW w:w="1009" w:type="pct"/>
            <w:shd w:val="clear" w:color="auto" w:fill="FFFFFF"/>
          </w:tcPr>
          <w:p w14:paraId="2E791D7A" w14:textId="77777777" w:rsidR="008D7AD9" w:rsidRDefault="00000000">
            <w:pPr>
              <w:pStyle w:val="affa"/>
              <w:spacing w:before="0" w:after="0"/>
              <w:ind w:firstLineChars="0"/>
              <w:rPr>
                <w:color w:val="000000"/>
                <w:sz w:val="21"/>
                <w:szCs w:val="21"/>
              </w:rPr>
            </w:pPr>
            <w:r>
              <w:rPr>
                <w:rFonts w:hint="eastAsia"/>
                <w:color w:val="000000"/>
                <w:sz w:val="21"/>
                <w:szCs w:val="21"/>
              </w:rPr>
              <w:t>1</w:t>
            </w:r>
          </w:p>
        </w:tc>
      </w:tr>
      <w:tr w:rsidR="008D7AD9" w14:paraId="53FBB1F8" w14:textId="77777777" w:rsidTr="008D7AD9">
        <w:trPr>
          <w:trHeight w:val="232"/>
        </w:trPr>
        <w:tc>
          <w:tcPr>
            <w:tcW w:w="2902" w:type="pct"/>
            <w:shd w:val="clear" w:color="auto" w:fill="FFFFFF"/>
          </w:tcPr>
          <w:p w14:paraId="1B294106" w14:textId="77777777" w:rsidR="008D7AD9" w:rsidRDefault="00000000">
            <w:pPr>
              <w:pStyle w:val="affa"/>
              <w:spacing w:before="0" w:after="0"/>
              <w:ind w:firstLineChars="0"/>
              <w:jc w:val="both"/>
              <w:rPr>
                <w:color w:val="000000"/>
                <w:sz w:val="21"/>
                <w:szCs w:val="21"/>
              </w:rPr>
            </w:pPr>
            <w:r>
              <w:rPr>
                <w:rFonts w:hint="eastAsia"/>
                <w:color w:val="000000"/>
                <w:sz w:val="21"/>
                <w:szCs w:val="21"/>
              </w:rPr>
              <w:t>项目社会效益</w:t>
            </w:r>
          </w:p>
        </w:tc>
        <w:tc>
          <w:tcPr>
            <w:tcW w:w="1087" w:type="pct"/>
            <w:shd w:val="clear" w:color="auto" w:fill="FFFFFF"/>
          </w:tcPr>
          <w:p w14:paraId="18B039F4" w14:textId="77777777" w:rsidR="008D7AD9" w:rsidRDefault="00000000">
            <w:pPr>
              <w:pStyle w:val="affa"/>
              <w:spacing w:before="0" w:after="0"/>
              <w:ind w:firstLineChars="0"/>
              <w:rPr>
                <w:color w:val="000000"/>
                <w:sz w:val="21"/>
                <w:szCs w:val="21"/>
              </w:rPr>
            </w:pPr>
            <w:r>
              <w:rPr>
                <w:rFonts w:hint="eastAsia"/>
                <w:color w:val="000000"/>
                <w:sz w:val="21"/>
                <w:szCs w:val="21"/>
              </w:rPr>
              <w:t>4.357</w:t>
            </w:r>
          </w:p>
        </w:tc>
        <w:tc>
          <w:tcPr>
            <w:tcW w:w="1009" w:type="pct"/>
            <w:shd w:val="clear" w:color="auto" w:fill="FFFFFF"/>
          </w:tcPr>
          <w:p w14:paraId="3BAC1703" w14:textId="77777777" w:rsidR="008D7AD9" w:rsidRDefault="00000000">
            <w:pPr>
              <w:pStyle w:val="affa"/>
              <w:spacing w:before="0" w:after="0"/>
              <w:ind w:firstLineChars="0"/>
              <w:rPr>
                <w:color w:val="000000"/>
                <w:sz w:val="21"/>
                <w:szCs w:val="21"/>
              </w:rPr>
            </w:pPr>
            <w:r>
              <w:rPr>
                <w:rFonts w:hint="eastAsia"/>
                <w:color w:val="000000"/>
                <w:sz w:val="21"/>
                <w:szCs w:val="21"/>
              </w:rPr>
              <w:t>2</w:t>
            </w:r>
          </w:p>
        </w:tc>
      </w:tr>
      <w:tr w:rsidR="008D7AD9" w14:paraId="2E4CC552" w14:textId="77777777" w:rsidTr="008D7AD9">
        <w:trPr>
          <w:trHeight w:val="232"/>
        </w:trPr>
        <w:tc>
          <w:tcPr>
            <w:tcW w:w="2902" w:type="pct"/>
            <w:shd w:val="clear" w:color="auto" w:fill="FFFFFF"/>
          </w:tcPr>
          <w:p w14:paraId="79E755CD" w14:textId="77777777" w:rsidR="008D7AD9" w:rsidRDefault="00000000">
            <w:pPr>
              <w:pStyle w:val="affa"/>
              <w:spacing w:before="0" w:after="0"/>
              <w:ind w:firstLineChars="0"/>
              <w:jc w:val="both"/>
              <w:rPr>
                <w:color w:val="000000"/>
                <w:sz w:val="21"/>
                <w:szCs w:val="21"/>
              </w:rPr>
            </w:pPr>
            <w:r>
              <w:rPr>
                <w:rFonts w:hint="eastAsia"/>
                <w:color w:val="000000"/>
                <w:sz w:val="21"/>
                <w:szCs w:val="21"/>
              </w:rPr>
              <w:lastRenderedPageBreak/>
              <w:t>项目环境效益</w:t>
            </w:r>
          </w:p>
        </w:tc>
        <w:tc>
          <w:tcPr>
            <w:tcW w:w="1087" w:type="pct"/>
            <w:shd w:val="clear" w:color="auto" w:fill="FFFFFF"/>
          </w:tcPr>
          <w:p w14:paraId="3AD38A17" w14:textId="77777777" w:rsidR="008D7AD9" w:rsidRDefault="00000000">
            <w:pPr>
              <w:pStyle w:val="affa"/>
              <w:spacing w:before="0" w:after="0"/>
              <w:ind w:firstLineChars="0"/>
              <w:rPr>
                <w:color w:val="000000"/>
                <w:sz w:val="21"/>
                <w:szCs w:val="21"/>
              </w:rPr>
            </w:pPr>
            <w:r>
              <w:rPr>
                <w:rFonts w:hint="eastAsia"/>
                <w:color w:val="000000"/>
                <w:sz w:val="21"/>
                <w:szCs w:val="21"/>
              </w:rPr>
              <w:t>4.322</w:t>
            </w:r>
          </w:p>
        </w:tc>
        <w:tc>
          <w:tcPr>
            <w:tcW w:w="1009" w:type="pct"/>
            <w:shd w:val="clear" w:color="auto" w:fill="FFFFFF"/>
          </w:tcPr>
          <w:p w14:paraId="60656E7E" w14:textId="77777777" w:rsidR="008D7AD9" w:rsidRDefault="00000000">
            <w:pPr>
              <w:pStyle w:val="affa"/>
              <w:spacing w:before="0" w:after="0"/>
              <w:ind w:firstLineChars="0"/>
              <w:rPr>
                <w:color w:val="000000"/>
                <w:sz w:val="21"/>
                <w:szCs w:val="21"/>
              </w:rPr>
            </w:pPr>
            <w:r>
              <w:rPr>
                <w:rFonts w:hint="eastAsia"/>
                <w:color w:val="000000"/>
                <w:sz w:val="21"/>
                <w:szCs w:val="21"/>
              </w:rPr>
              <w:t>3</w:t>
            </w:r>
          </w:p>
        </w:tc>
      </w:tr>
      <w:tr w:rsidR="008D7AD9" w14:paraId="51C4BCEB" w14:textId="77777777" w:rsidTr="008D7AD9">
        <w:trPr>
          <w:trHeight w:val="262"/>
        </w:trPr>
        <w:tc>
          <w:tcPr>
            <w:tcW w:w="2902" w:type="pct"/>
            <w:tcBorders>
              <w:top w:val="single" w:sz="4" w:space="0" w:color="000000"/>
            </w:tcBorders>
            <w:shd w:val="clear" w:color="auto" w:fill="FFFFFF"/>
          </w:tcPr>
          <w:p w14:paraId="523AA3B2" w14:textId="77777777" w:rsidR="008D7AD9" w:rsidRDefault="00000000">
            <w:pPr>
              <w:pStyle w:val="affa"/>
              <w:spacing w:before="0" w:after="0"/>
              <w:ind w:firstLineChars="0"/>
              <w:jc w:val="both"/>
              <w:rPr>
                <w:color w:val="000000"/>
                <w:sz w:val="21"/>
                <w:szCs w:val="21"/>
              </w:rPr>
            </w:pPr>
            <w:r>
              <w:rPr>
                <w:rFonts w:hint="eastAsia"/>
                <w:color w:val="000000"/>
                <w:sz w:val="21"/>
                <w:szCs w:val="21"/>
              </w:rPr>
              <w:t>电站安全稳定运行</w:t>
            </w:r>
          </w:p>
        </w:tc>
        <w:tc>
          <w:tcPr>
            <w:tcW w:w="1087" w:type="pct"/>
            <w:tcBorders>
              <w:top w:val="single" w:sz="4" w:space="0" w:color="000000"/>
            </w:tcBorders>
            <w:shd w:val="clear" w:color="auto" w:fill="FFFFFF"/>
          </w:tcPr>
          <w:p w14:paraId="2EA6B364" w14:textId="77777777" w:rsidR="008D7AD9" w:rsidRDefault="00000000">
            <w:pPr>
              <w:pStyle w:val="affa"/>
              <w:spacing w:before="0" w:after="0"/>
              <w:ind w:firstLineChars="0"/>
              <w:rPr>
                <w:color w:val="000000"/>
                <w:sz w:val="21"/>
                <w:szCs w:val="21"/>
              </w:rPr>
            </w:pPr>
            <w:r>
              <w:rPr>
                <w:rFonts w:hint="eastAsia"/>
                <w:color w:val="000000"/>
                <w:sz w:val="21"/>
                <w:szCs w:val="21"/>
              </w:rPr>
              <w:t>4.291</w:t>
            </w:r>
          </w:p>
        </w:tc>
        <w:tc>
          <w:tcPr>
            <w:tcW w:w="1009" w:type="pct"/>
            <w:tcBorders>
              <w:top w:val="single" w:sz="4" w:space="0" w:color="000000"/>
            </w:tcBorders>
            <w:shd w:val="clear" w:color="auto" w:fill="FFFFFF"/>
          </w:tcPr>
          <w:p w14:paraId="4C3CC0FE" w14:textId="77777777" w:rsidR="008D7AD9" w:rsidRDefault="00000000">
            <w:pPr>
              <w:pStyle w:val="affa"/>
              <w:spacing w:before="0" w:after="0"/>
              <w:ind w:firstLineChars="0"/>
              <w:rPr>
                <w:color w:val="000000"/>
                <w:sz w:val="21"/>
                <w:szCs w:val="21"/>
              </w:rPr>
            </w:pPr>
            <w:r>
              <w:rPr>
                <w:rFonts w:hint="eastAsia"/>
                <w:color w:val="000000"/>
                <w:sz w:val="21"/>
                <w:szCs w:val="21"/>
              </w:rPr>
              <w:t>4</w:t>
            </w:r>
          </w:p>
        </w:tc>
      </w:tr>
      <w:tr w:rsidR="008D7AD9" w14:paraId="0C2804FF" w14:textId="77777777" w:rsidTr="008D7AD9">
        <w:trPr>
          <w:trHeight w:val="232"/>
        </w:trPr>
        <w:tc>
          <w:tcPr>
            <w:tcW w:w="2902" w:type="pct"/>
            <w:shd w:val="clear" w:color="auto" w:fill="FFFFFF"/>
          </w:tcPr>
          <w:p w14:paraId="03906BC0" w14:textId="77777777" w:rsidR="008D7AD9" w:rsidRDefault="00000000">
            <w:pPr>
              <w:pStyle w:val="affa"/>
              <w:spacing w:before="0" w:after="0"/>
              <w:ind w:firstLineChars="0"/>
              <w:jc w:val="both"/>
              <w:rPr>
                <w:color w:val="000000"/>
                <w:sz w:val="21"/>
                <w:szCs w:val="21"/>
              </w:rPr>
            </w:pPr>
            <w:r>
              <w:rPr>
                <w:rFonts w:hint="eastAsia"/>
                <w:color w:val="000000"/>
                <w:sz w:val="21"/>
                <w:szCs w:val="21"/>
              </w:rPr>
              <w:t>促进新能源消纳</w:t>
            </w:r>
          </w:p>
        </w:tc>
        <w:tc>
          <w:tcPr>
            <w:tcW w:w="1087" w:type="pct"/>
            <w:shd w:val="clear" w:color="auto" w:fill="FFFFFF"/>
          </w:tcPr>
          <w:p w14:paraId="56825933" w14:textId="77777777" w:rsidR="008D7AD9" w:rsidRDefault="00000000">
            <w:pPr>
              <w:pStyle w:val="affa"/>
              <w:spacing w:before="0" w:after="0"/>
              <w:ind w:firstLineChars="0"/>
              <w:rPr>
                <w:color w:val="000000"/>
                <w:sz w:val="21"/>
                <w:szCs w:val="21"/>
              </w:rPr>
            </w:pPr>
            <w:r>
              <w:rPr>
                <w:rFonts w:hint="eastAsia"/>
                <w:color w:val="000000"/>
                <w:sz w:val="21"/>
                <w:szCs w:val="21"/>
              </w:rPr>
              <w:t>4.291</w:t>
            </w:r>
          </w:p>
        </w:tc>
        <w:tc>
          <w:tcPr>
            <w:tcW w:w="1009" w:type="pct"/>
            <w:shd w:val="clear" w:color="auto" w:fill="FFFFFF"/>
          </w:tcPr>
          <w:p w14:paraId="61A4D90F" w14:textId="77777777" w:rsidR="008D7AD9" w:rsidRDefault="00000000">
            <w:pPr>
              <w:pStyle w:val="affa"/>
              <w:spacing w:before="0" w:after="0"/>
              <w:ind w:firstLineChars="0"/>
              <w:rPr>
                <w:color w:val="000000"/>
                <w:sz w:val="21"/>
                <w:szCs w:val="21"/>
              </w:rPr>
            </w:pPr>
            <w:r>
              <w:rPr>
                <w:rFonts w:hint="eastAsia"/>
                <w:color w:val="000000"/>
                <w:sz w:val="21"/>
                <w:szCs w:val="21"/>
              </w:rPr>
              <w:t>4</w:t>
            </w:r>
          </w:p>
        </w:tc>
      </w:tr>
      <w:tr w:rsidR="008D7AD9" w14:paraId="546C87EB" w14:textId="77777777" w:rsidTr="008D7AD9">
        <w:trPr>
          <w:trHeight w:val="232"/>
        </w:trPr>
        <w:tc>
          <w:tcPr>
            <w:tcW w:w="2902" w:type="pct"/>
            <w:shd w:val="clear" w:color="auto" w:fill="FFFFFF"/>
          </w:tcPr>
          <w:p w14:paraId="7654575E" w14:textId="77777777" w:rsidR="008D7AD9" w:rsidRDefault="00000000">
            <w:pPr>
              <w:pStyle w:val="affa"/>
              <w:spacing w:before="0" w:after="0"/>
              <w:ind w:firstLineChars="0"/>
              <w:jc w:val="both"/>
              <w:rPr>
                <w:color w:val="000000"/>
                <w:sz w:val="21"/>
                <w:szCs w:val="21"/>
              </w:rPr>
            </w:pPr>
            <w:r>
              <w:rPr>
                <w:rFonts w:hint="eastAsia"/>
                <w:color w:val="000000"/>
                <w:sz w:val="21"/>
                <w:szCs w:val="21"/>
              </w:rPr>
              <w:t>项目投资成本控制</w:t>
            </w:r>
          </w:p>
        </w:tc>
        <w:tc>
          <w:tcPr>
            <w:tcW w:w="1087" w:type="pct"/>
            <w:shd w:val="clear" w:color="auto" w:fill="FFFFFF"/>
          </w:tcPr>
          <w:p w14:paraId="1CA89BD9" w14:textId="77777777" w:rsidR="008D7AD9" w:rsidRDefault="00000000">
            <w:pPr>
              <w:pStyle w:val="affa"/>
              <w:spacing w:before="0" w:after="0"/>
              <w:ind w:firstLineChars="0"/>
              <w:rPr>
                <w:color w:val="000000"/>
                <w:sz w:val="21"/>
                <w:szCs w:val="21"/>
              </w:rPr>
            </w:pPr>
            <w:r>
              <w:rPr>
                <w:rFonts w:hint="eastAsia"/>
                <w:color w:val="000000"/>
                <w:sz w:val="21"/>
                <w:szCs w:val="21"/>
              </w:rPr>
              <w:t>4.291</w:t>
            </w:r>
          </w:p>
        </w:tc>
        <w:tc>
          <w:tcPr>
            <w:tcW w:w="1009" w:type="pct"/>
            <w:shd w:val="clear" w:color="auto" w:fill="FFFFFF"/>
          </w:tcPr>
          <w:p w14:paraId="0B6FA07D" w14:textId="77777777" w:rsidR="008D7AD9" w:rsidRDefault="00000000">
            <w:pPr>
              <w:pStyle w:val="affa"/>
              <w:spacing w:before="0" w:after="0"/>
              <w:ind w:firstLineChars="0"/>
              <w:rPr>
                <w:color w:val="000000"/>
                <w:sz w:val="21"/>
                <w:szCs w:val="21"/>
              </w:rPr>
            </w:pPr>
            <w:r>
              <w:rPr>
                <w:rFonts w:hint="eastAsia"/>
                <w:color w:val="000000"/>
                <w:sz w:val="21"/>
                <w:szCs w:val="21"/>
              </w:rPr>
              <w:t>4</w:t>
            </w:r>
          </w:p>
        </w:tc>
      </w:tr>
      <w:tr w:rsidR="008D7AD9" w14:paraId="67E40DB4" w14:textId="77777777" w:rsidTr="008D7AD9">
        <w:trPr>
          <w:trHeight w:val="232"/>
        </w:trPr>
        <w:tc>
          <w:tcPr>
            <w:tcW w:w="2902" w:type="pct"/>
            <w:shd w:val="clear" w:color="auto" w:fill="FFFFFF"/>
          </w:tcPr>
          <w:p w14:paraId="62A7182A" w14:textId="77777777" w:rsidR="008D7AD9" w:rsidRDefault="00000000">
            <w:pPr>
              <w:pStyle w:val="affa"/>
              <w:spacing w:before="0" w:after="0"/>
              <w:ind w:firstLineChars="0"/>
              <w:jc w:val="both"/>
              <w:rPr>
                <w:color w:val="000000"/>
                <w:sz w:val="21"/>
                <w:szCs w:val="21"/>
              </w:rPr>
            </w:pPr>
            <w:r>
              <w:rPr>
                <w:rFonts w:hint="eastAsia"/>
                <w:color w:val="000000"/>
                <w:sz w:val="21"/>
                <w:szCs w:val="21"/>
              </w:rPr>
              <w:t>项目运维成本控制</w:t>
            </w:r>
          </w:p>
        </w:tc>
        <w:tc>
          <w:tcPr>
            <w:tcW w:w="1087" w:type="pct"/>
            <w:shd w:val="clear" w:color="auto" w:fill="FFFFFF"/>
          </w:tcPr>
          <w:p w14:paraId="3F56DC46" w14:textId="77777777" w:rsidR="008D7AD9" w:rsidRDefault="00000000">
            <w:pPr>
              <w:pStyle w:val="affa"/>
              <w:spacing w:before="0" w:after="0"/>
              <w:ind w:firstLineChars="0"/>
              <w:rPr>
                <w:color w:val="000000"/>
                <w:sz w:val="21"/>
                <w:szCs w:val="21"/>
              </w:rPr>
            </w:pPr>
            <w:r>
              <w:rPr>
                <w:rFonts w:hint="eastAsia"/>
                <w:color w:val="000000"/>
                <w:sz w:val="21"/>
                <w:szCs w:val="21"/>
              </w:rPr>
              <w:t>4.278</w:t>
            </w:r>
          </w:p>
        </w:tc>
        <w:tc>
          <w:tcPr>
            <w:tcW w:w="1009" w:type="pct"/>
            <w:shd w:val="clear" w:color="auto" w:fill="FFFFFF"/>
          </w:tcPr>
          <w:p w14:paraId="024D3B2E" w14:textId="77777777" w:rsidR="008D7AD9" w:rsidRDefault="00000000">
            <w:pPr>
              <w:pStyle w:val="affa"/>
              <w:spacing w:before="0" w:after="0"/>
              <w:ind w:firstLineChars="0"/>
              <w:rPr>
                <w:color w:val="000000"/>
                <w:sz w:val="21"/>
                <w:szCs w:val="21"/>
              </w:rPr>
            </w:pPr>
            <w:r>
              <w:rPr>
                <w:rFonts w:hint="eastAsia"/>
                <w:color w:val="000000"/>
                <w:sz w:val="21"/>
                <w:szCs w:val="21"/>
              </w:rPr>
              <w:t>7</w:t>
            </w:r>
          </w:p>
        </w:tc>
      </w:tr>
      <w:tr w:rsidR="008D7AD9" w14:paraId="2D7CAA6C" w14:textId="77777777" w:rsidTr="008D7AD9">
        <w:trPr>
          <w:trHeight w:val="232"/>
        </w:trPr>
        <w:tc>
          <w:tcPr>
            <w:tcW w:w="2902" w:type="pct"/>
            <w:shd w:val="clear" w:color="auto" w:fill="FFFFFF"/>
          </w:tcPr>
          <w:p w14:paraId="32EEA2DD" w14:textId="77777777" w:rsidR="008D7AD9" w:rsidRDefault="00000000">
            <w:pPr>
              <w:pStyle w:val="affa"/>
              <w:spacing w:before="0" w:after="0"/>
              <w:ind w:firstLineChars="0"/>
              <w:jc w:val="both"/>
              <w:rPr>
                <w:color w:val="000000"/>
                <w:sz w:val="21"/>
                <w:szCs w:val="21"/>
              </w:rPr>
            </w:pPr>
            <w:r>
              <w:rPr>
                <w:rFonts w:hint="eastAsia"/>
                <w:color w:val="000000"/>
                <w:sz w:val="21"/>
                <w:szCs w:val="21"/>
              </w:rPr>
              <w:t>项目经济效益</w:t>
            </w:r>
          </w:p>
        </w:tc>
        <w:tc>
          <w:tcPr>
            <w:tcW w:w="1087" w:type="pct"/>
            <w:shd w:val="clear" w:color="auto" w:fill="FFFFFF"/>
          </w:tcPr>
          <w:p w14:paraId="07EAB50E" w14:textId="77777777" w:rsidR="008D7AD9" w:rsidRDefault="00000000">
            <w:pPr>
              <w:pStyle w:val="affa"/>
              <w:spacing w:before="0" w:after="0"/>
              <w:ind w:firstLineChars="0"/>
              <w:rPr>
                <w:color w:val="000000"/>
                <w:sz w:val="21"/>
                <w:szCs w:val="21"/>
              </w:rPr>
            </w:pPr>
            <w:r>
              <w:rPr>
                <w:rFonts w:hint="eastAsia"/>
                <w:color w:val="000000"/>
                <w:sz w:val="21"/>
                <w:szCs w:val="21"/>
              </w:rPr>
              <w:t>4.278</w:t>
            </w:r>
          </w:p>
        </w:tc>
        <w:tc>
          <w:tcPr>
            <w:tcW w:w="1009" w:type="pct"/>
            <w:shd w:val="clear" w:color="auto" w:fill="FFFFFF"/>
          </w:tcPr>
          <w:p w14:paraId="52309979" w14:textId="77777777" w:rsidR="008D7AD9" w:rsidRDefault="00000000">
            <w:pPr>
              <w:pStyle w:val="affa"/>
              <w:spacing w:before="0" w:after="0"/>
              <w:ind w:firstLineChars="0"/>
              <w:rPr>
                <w:color w:val="000000"/>
                <w:sz w:val="21"/>
                <w:szCs w:val="21"/>
              </w:rPr>
            </w:pPr>
            <w:r>
              <w:rPr>
                <w:rFonts w:hint="eastAsia"/>
                <w:color w:val="000000"/>
                <w:sz w:val="21"/>
                <w:szCs w:val="21"/>
              </w:rPr>
              <w:t>7</w:t>
            </w:r>
          </w:p>
        </w:tc>
      </w:tr>
      <w:tr w:rsidR="008D7AD9" w14:paraId="5BA85171" w14:textId="77777777" w:rsidTr="008D7AD9">
        <w:trPr>
          <w:trHeight w:val="232"/>
        </w:trPr>
        <w:tc>
          <w:tcPr>
            <w:tcW w:w="2902" w:type="pct"/>
            <w:shd w:val="clear" w:color="auto" w:fill="FFFFFF"/>
          </w:tcPr>
          <w:p w14:paraId="22A2C78E" w14:textId="77777777" w:rsidR="008D7AD9" w:rsidRDefault="00000000">
            <w:pPr>
              <w:pStyle w:val="affa"/>
              <w:spacing w:before="0" w:after="0"/>
              <w:ind w:firstLineChars="0"/>
              <w:jc w:val="both"/>
              <w:rPr>
                <w:color w:val="000000"/>
                <w:sz w:val="21"/>
                <w:szCs w:val="21"/>
              </w:rPr>
            </w:pPr>
            <w:r>
              <w:rPr>
                <w:rFonts w:hint="eastAsia"/>
                <w:color w:val="000000"/>
                <w:sz w:val="21"/>
                <w:szCs w:val="21"/>
              </w:rPr>
              <w:t>技术创新</w:t>
            </w:r>
          </w:p>
        </w:tc>
        <w:tc>
          <w:tcPr>
            <w:tcW w:w="1087" w:type="pct"/>
            <w:shd w:val="clear" w:color="auto" w:fill="FFFFFF"/>
          </w:tcPr>
          <w:p w14:paraId="59CE4FA7" w14:textId="77777777" w:rsidR="008D7AD9" w:rsidRDefault="00000000">
            <w:pPr>
              <w:pStyle w:val="affa"/>
              <w:spacing w:before="0" w:after="0"/>
              <w:ind w:firstLineChars="0"/>
              <w:rPr>
                <w:color w:val="000000"/>
                <w:sz w:val="21"/>
                <w:szCs w:val="21"/>
              </w:rPr>
            </w:pPr>
            <w:r>
              <w:rPr>
                <w:rFonts w:hint="eastAsia"/>
                <w:color w:val="000000"/>
                <w:sz w:val="21"/>
                <w:szCs w:val="21"/>
              </w:rPr>
              <w:t>4.270</w:t>
            </w:r>
          </w:p>
        </w:tc>
        <w:tc>
          <w:tcPr>
            <w:tcW w:w="1009" w:type="pct"/>
            <w:shd w:val="clear" w:color="auto" w:fill="FFFFFF"/>
          </w:tcPr>
          <w:p w14:paraId="5AD294EE" w14:textId="77777777" w:rsidR="008D7AD9" w:rsidRDefault="00000000">
            <w:pPr>
              <w:pStyle w:val="affa"/>
              <w:spacing w:before="0" w:after="0"/>
              <w:ind w:firstLineChars="0"/>
              <w:rPr>
                <w:color w:val="000000"/>
                <w:sz w:val="21"/>
                <w:szCs w:val="21"/>
              </w:rPr>
            </w:pPr>
            <w:r>
              <w:rPr>
                <w:rFonts w:hint="eastAsia"/>
                <w:color w:val="000000"/>
                <w:sz w:val="21"/>
                <w:szCs w:val="21"/>
              </w:rPr>
              <w:t>9</w:t>
            </w:r>
          </w:p>
        </w:tc>
      </w:tr>
      <w:tr w:rsidR="008D7AD9" w14:paraId="3A94F394" w14:textId="77777777" w:rsidTr="008D7AD9">
        <w:trPr>
          <w:trHeight w:val="232"/>
        </w:trPr>
        <w:tc>
          <w:tcPr>
            <w:tcW w:w="2902" w:type="pct"/>
            <w:tcBorders>
              <w:bottom w:val="single" w:sz="12" w:space="0" w:color="000000"/>
            </w:tcBorders>
            <w:shd w:val="clear" w:color="auto" w:fill="FFFFFF"/>
          </w:tcPr>
          <w:p w14:paraId="634933DD" w14:textId="77777777" w:rsidR="008D7AD9" w:rsidRDefault="00000000">
            <w:pPr>
              <w:pStyle w:val="affa"/>
              <w:spacing w:before="0" w:after="0"/>
              <w:ind w:firstLineChars="0"/>
              <w:rPr>
                <w:b/>
                <w:bCs/>
                <w:color w:val="000000"/>
                <w:sz w:val="21"/>
                <w:szCs w:val="21"/>
              </w:rPr>
            </w:pPr>
            <w:r>
              <w:rPr>
                <w:rFonts w:hint="eastAsia"/>
                <w:b/>
                <w:bCs/>
                <w:color w:val="000000"/>
                <w:sz w:val="21"/>
                <w:szCs w:val="21"/>
              </w:rPr>
              <w:t>平均值</w:t>
            </w:r>
          </w:p>
        </w:tc>
        <w:tc>
          <w:tcPr>
            <w:tcW w:w="1087" w:type="pct"/>
            <w:tcBorders>
              <w:bottom w:val="single" w:sz="12" w:space="0" w:color="000000"/>
            </w:tcBorders>
            <w:shd w:val="clear" w:color="auto" w:fill="FFFFFF"/>
          </w:tcPr>
          <w:p w14:paraId="0A57A0FF" w14:textId="77777777" w:rsidR="008D7AD9" w:rsidRDefault="00000000">
            <w:pPr>
              <w:pStyle w:val="affa"/>
              <w:spacing w:before="0" w:after="0"/>
              <w:ind w:firstLineChars="0"/>
              <w:rPr>
                <w:b/>
                <w:bCs/>
                <w:color w:val="000000"/>
                <w:sz w:val="21"/>
                <w:szCs w:val="21"/>
              </w:rPr>
            </w:pPr>
            <w:r>
              <w:rPr>
                <w:rFonts w:hint="eastAsia"/>
                <w:b/>
                <w:bCs/>
                <w:color w:val="000000"/>
                <w:sz w:val="21"/>
                <w:szCs w:val="21"/>
              </w:rPr>
              <w:t>4.305</w:t>
            </w:r>
          </w:p>
        </w:tc>
        <w:tc>
          <w:tcPr>
            <w:tcW w:w="1009" w:type="pct"/>
            <w:tcBorders>
              <w:bottom w:val="single" w:sz="12" w:space="0" w:color="000000"/>
            </w:tcBorders>
            <w:shd w:val="clear" w:color="auto" w:fill="FFFFFF"/>
          </w:tcPr>
          <w:p w14:paraId="5EC805D7" w14:textId="77777777" w:rsidR="008D7AD9" w:rsidRDefault="008D7AD9">
            <w:pPr>
              <w:pStyle w:val="affa"/>
              <w:spacing w:before="0" w:after="0"/>
              <w:ind w:firstLineChars="0"/>
              <w:rPr>
                <w:b/>
                <w:bCs/>
                <w:color w:val="000000"/>
                <w:sz w:val="21"/>
                <w:szCs w:val="21"/>
              </w:rPr>
            </w:pPr>
          </w:p>
        </w:tc>
      </w:tr>
    </w:tbl>
    <w:p w14:paraId="7F5152DF" w14:textId="11265BC0" w:rsidR="008D7AD9" w:rsidRDefault="00000000">
      <w:pPr>
        <w:spacing w:beforeLines="50" w:before="156"/>
        <w:ind w:firstLine="420"/>
        <w:rPr>
          <w:rFonts w:cs="Times New Roman"/>
        </w:rPr>
      </w:pPr>
      <w:r>
        <w:rPr>
          <w:rFonts w:cs="Times New Roman"/>
        </w:rPr>
        <w:t>如</w:t>
      </w:r>
      <w:r w:rsidR="00835F8C">
        <w:rPr>
          <w:rFonts w:cs="Times New Roman"/>
        </w:rPr>
        <w:fldChar w:fldCharType="begin"/>
      </w:r>
      <w:r w:rsidR="00835F8C">
        <w:rPr>
          <w:rFonts w:cs="Times New Roman"/>
        </w:rPr>
        <w:instrText xml:space="preserve"> REF _Ref199254933 \h </w:instrText>
      </w:r>
      <w:r w:rsidR="00835F8C">
        <w:rPr>
          <w:rFonts w:cs="Times New Roman"/>
        </w:rPr>
      </w:r>
      <w:r w:rsidR="00835F8C">
        <w:rPr>
          <w:rFonts w:cs="Times New Roman"/>
        </w:rPr>
        <w:fldChar w:fldCharType="separate"/>
      </w:r>
      <w:r w:rsidR="00B1714C">
        <w:t>表</w:t>
      </w:r>
      <w:r w:rsidR="00B1714C">
        <w:t xml:space="preserve"> </w:t>
      </w:r>
      <w:r w:rsidR="00B1714C">
        <w:rPr>
          <w:rFonts w:hint="eastAsia"/>
          <w:noProof/>
        </w:rPr>
        <w:t>6</w:t>
      </w:r>
      <w:r w:rsidR="00835F8C">
        <w:rPr>
          <w:rFonts w:cs="Times New Roman"/>
        </w:rPr>
        <w:fldChar w:fldCharType="end"/>
      </w:r>
      <w:r>
        <w:rPr>
          <w:rFonts w:cs="Times New Roman"/>
        </w:rPr>
        <w:t>所示，抽蓄</w:t>
      </w:r>
      <w:r>
        <w:rPr>
          <w:rFonts w:cs="Times New Roman" w:hint="eastAsia"/>
        </w:rPr>
        <w:t>项目在</w:t>
      </w:r>
      <w:r>
        <w:rPr>
          <w:rFonts w:cs="Times New Roman"/>
        </w:rPr>
        <w:t>利益相关方</w:t>
      </w:r>
      <w:r>
        <w:rPr>
          <w:rFonts w:cs="Times New Roman" w:hint="eastAsia"/>
        </w:rPr>
        <w:t>中满意度较高，</w:t>
      </w:r>
      <w:r>
        <w:rPr>
          <w:rFonts w:cs="Times New Roman"/>
        </w:rPr>
        <w:t>具有</w:t>
      </w:r>
      <w:r>
        <w:rPr>
          <w:rFonts w:cs="Times New Roman" w:hint="eastAsia"/>
        </w:rPr>
        <w:t>良好</w:t>
      </w:r>
      <w:r>
        <w:rPr>
          <w:rFonts w:cs="Times New Roman"/>
        </w:rPr>
        <w:t>的社会</w:t>
      </w:r>
      <w:r>
        <w:rPr>
          <w:rFonts w:cs="Times New Roman" w:hint="eastAsia"/>
        </w:rPr>
        <w:t>和环境</w:t>
      </w:r>
      <w:r>
        <w:rPr>
          <w:rFonts w:cs="Times New Roman"/>
        </w:rPr>
        <w:t>效益，</w:t>
      </w:r>
      <w:r>
        <w:rPr>
          <w:rFonts w:cs="Times New Roman" w:hint="eastAsia"/>
        </w:rPr>
        <w:t>能够对源、网、荷侧起到较好的支撑和调节作用，并能够在保障自身安全稳定运行的前提下充分消纳新能源，但抽蓄项目运维成本控制和实现良好的经济效益仍是挑战。同时，技术创新需要重视，水库防渗、超高压力管道设计制造与安装、智能建造、地下洞室及隧道施</w:t>
      </w:r>
      <w:r>
        <w:rPr>
          <w:rFonts w:cs="Times New Roman" w:hint="eastAsia"/>
        </w:rPr>
        <w:t>工、数智化运行和多能互补协同方面都有很大的创新空间。</w:t>
      </w:r>
    </w:p>
    <w:p w14:paraId="6DE53A9B" w14:textId="77777777" w:rsidR="008D7AD9" w:rsidRDefault="00000000">
      <w:pPr>
        <w:widowControl/>
        <w:spacing w:beforeLines="50" w:before="156" w:line="240" w:lineRule="atLeast"/>
        <w:ind w:firstLineChars="0" w:firstLine="420"/>
        <w:rPr>
          <w:rFonts w:cs="Times New Roman"/>
          <w:b/>
          <w:bCs/>
          <w:kern w:val="0"/>
          <w:sz w:val="24"/>
          <w:szCs w:val="24"/>
        </w:rPr>
      </w:pPr>
      <w:r>
        <w:rPr>
          <w:rFonts w:cs="Times New Roman"/>
          <w:b/>
          <w:bCs/>
          <w:kern w:val="0"/>
          <w:sz w:val="24"/>
          <w:szCs w:val="24"/>
        </w:rPr>
        <w:t xml:space="preserve">4 </w:t>
      </w:r>
      <w:r>
        <w:rPr>
          <w:rFonts w:cs="Times New Roman" w:hint="eastAsia"/>
          <w:b/>
          <w:bCs/>
          <w:kern w:val="0"/>
          <w:sz w:val="24"/>
          <w:szCs w:val="24"/>
        </w:rPr>
        <w:t>模型验证与分析</w:t>
      </w:r>
    </w:p>
    <w:p w14:paraId="0E06476B" w14:textId="77777777" w:rsidR="008D7AD9" w:rsidRDefault="00000000">
      <w:pPr>
        <w:ind w:firstLine="422"/>
        <w:rPr>
          <w:rFonts w:cs="Times New Roman"/>
          <w:b/>
          <w:bCs/>
        </w:rPr>
      </w:pPr>
      <w:r>
        <w:rPr>
          <w:rFonts w:cs="Times New Roman"/>
          <w:b/>
          <w:bCs/>
        </w:rPr>
        <w:t>4.1</w:t>
      </w:r>
      <w:r>
        <w:rPr>
          <w:rFonts w:cs="Times New Roman"/>
          <w:b/>
          <w:bCs/>
        </w:rPr>
        <w:t>信</w:t>
      </w:r>
      <w:r>
        <w:rPr>
          <w:rFonts w:cs="Times New Roman" w:hint="eastAsia"/>
          <w:b/>
          <w:bCs/>
        </w:rPr>
        <w:t>效度检验</w:t>
      </w:r>
    </w:p>
    <w:p w14:paraId="21EE9822" w14:textId="581F21A5" w:rsidR="008D7AD9" w:rsidRDefault="00000000">
      <w:pPr>
        <w:ind w:firstLine="420"/>
        <w:rPr>
          <w:rFonts w:cs="Times New Roman"/>
        </w:rPr>
      </w:pPr>
      <w:r>
        <w:rPr>
          <w:rFonts w:cs="Times New Roman" w:hint="eastAsia"/>
        </w:rPr>
        <w:t>采用克隆巴赫系数（</w:t>
      </w:r>
      <w:r>
        <w:rPr>
          <w:rFonts w:cs="Times New Roman" w:hint="eastAsia"/>
        </w:rPr>
        <w:t>Cronbach</w:t>
      </w:r>
      <w:r>
        <w:rPr>
          <w:rFonts w:cs="Times New Roman"/>
        </w:rPr>
        <w:t>’</w:t>
      </w:r>
      <w:r>
        <w:rPr>
          <w:rFonts w:cs="Times New Roman" w:hint="eastAsia"/>
        </w:rPr>
        <w:t xml:space="preserve">s </w:t>
      </w:r>
      <w:r>
        <w:rPr>
          <w:rFonts w:cs="Times New Roman"/>
        </w:rPr>
        <w:t>α</w:t>
      </w:r>
      <w:r>
        <w:rPr>
          <w:rFonts w:cs="Times New Roman" w:hint="eastAsia"/>
        </w:rPr>
        <w:t>）与组合信度（</w:t>
      </w:r>
      <w:r>
        <w:rPr>
          <w:rFonts w:cs="Times New Roman" w:hint="eastAsia"/>
        </w:rPr>
        <w:t>Composite reliability</w:t>
      </w:r>
      <w:r>
        <w:rPr>
          <w:rFonts w:cs="Times New Roman" w:hint="eastAsia"/>
        </w:rPr>
        <w:t>，</w:t>
      </w:r>
      <w:r>
        <w:rPr>
          <w:rFonts w:cs="Times New Roman" w:hint="eastAsia"/>
        </w:rPr>
        <w:t>CR</w:t>
      </w:r>
      <w:r>
        <w:rPr>
          <w:rFonts w:cs="Times New Roman" w:hint="eastAsia"/>
        </w:rPr>
        <w:t>）评估量表的内部一致性。同时，运用平均方差萃取量（</w:t>
      </w:r>
      <w:r>
        <w:rPr>
          <w:rFonts w:cs="Times New Roman" w:hint="eastAsia"/>
        </w:rPr>
        <w:t>Average Variance Extracted, AVE</w:t>
      </w:r>
      <w:r>
        <w:rPr>
          <w:rFonts w:cs="Times New Roman" w:hint="eastAsia"/>
        </w:rPr>
        <w:t>）及</w:t>
      </w:r>
      <w:r>
        <w:rPr>
          <w:rFonts w:cs="Times New Roman" w:hint="eastAsia"/>
        </w:rPr>
        <w:t>Fornell-Larcker</w:t>
      </w:r>
      <w:r>
        <w:rPr>
          <w:rFonts w:cs="Times New Roman" w:hint="eastAsia"/>
        </w:rPr>
        <w:t>准则检验收敛效度与区别效度，检验结果如</w:t>
      </w:r>
      <w:r w:rsidR="00835F8C">
        <w:rPr>
          <w:rFonts w:cs="Times New Roman"/>
        </w:rPr>
        <w:fldChar w:fldCharType="begin"/>
      </w:r>
      <w:r w:rsidR="00835F8C">
        <w:rPr>
          <w:rFonts w:cs="Times New Roman"/>
        </w:rPr>
        <w:instrText xml:space="preserve"> </w:instrText>
      </w:r>
      <w:r w:rsidR="00835F8C">
        <w:rPr>
          <w:rFonts w:cs="Times New Roman" w:hint="eastAsia"/>
        </w:rPr>
        <w:instrText>REF _Ref199254958 \h</w:instrText>
      </w:r>
      <w:r w:rsidR="00835F8C">
        <w:rPr>
          <w:rFonts w:cs="Times New Roman"/>
        </w:rPr>
        <w:instrText xml:space="preserve"> </w:instrText>
      </w:r>
      <w:r w:rsidR="00835F8C">
        <w:rPr>
          <w:rFonts w:cs="Times New Roman"/>
        </w:rPr>
      </w:r>
      <w:r w:rsidR="00835F8C">
        <w:rPr>
          <w:rFonts w:cs="Times New Roman"/>
        </w:rPr>
        <w:fldChar w:fldCharType="separate"/>
      </w:r>
      <w:r w:rsidR="00B1714C">
        <w:t>表</w:t>
      </w:r>
      <w:r w:rsidR="00B1714C">
        <w:t xml:space="preserve"> </w:t>
      </w:r>
      <w:r w:rsidR="00B1714C">
        <w:rPr>
          <w:rFonts w:hint="eastAsia"/>
          <w:noProof/>
        </w:rPr>
        <w:t>7</w:t>
      </w:r>
      <w:r w:rsidR="00835F8C">
        <w:rPr>
          <w:rFonts w:cs="Times New Roman"/>
        </w:rPr>
        <w:fldChar w:fldCharType="end"/>
      </w:r>
      <w:r>
        <w:rPr>
          <w:rFonts w:cs="Times New Roman" w:hint="eastAsia"/>
        </w:rPr>
        <w:t>所示。</w:t>
      </w:r>
    </w:p>
    <w:p w14:paraId="594F1609" w14:textId="77777777" w:rsidR="008D7AD9" w:rsidRDefault="00000000">
      <w:pPr>
        <w:ind w:firstLine="420"/>
        <w:rPr>
          <w:rFonts w:cs="Times New Roman"/>
        </w:rPr>
      </w:pPr>
      <w:r>
        <w:rPr>
          <w:rFonts w:cs="Times New Roman"/>
        </w:rPr>
        <w:t>各潜变量</w:t>
      </w:r>
      <w:r>
        <w:rPr>
          <w:rFonts w:cs="Times New Roman" w:hint="eastAsia"/>
        </w:rPr>
        <w:t>克隆巴赫系数和组合信度</w:t>
      </w:r>
      <w:r>
        <w:rPr>
          <w:rFonts w:cs="Times New Roman"/>
        </w:rPr>
        <w:t>均大于</w:t>
      </w:r>
      <w:r>
        <w:rPr>
          <w:rFonts w:cs="Times New Roman"/>
        </w:rPr>
        <w:t>0.9</w:t>
      </w:r>
      <w:r>
        <w:rPr>
          <w:rFonts w:cs="Times New Roman" w:hint="eastAsia"/>
        </w:rPr>
        <w:t>，表明测量指标具有良好的信度和</w:t>
      </w:r>
      <w:r>
        <w:rPr>
          <w:rFonts w:cs="Times New Roman"/>
        </w:rPr>
        <w:t>内部一致性。</w:t>
      </w:r>
      <w:r>
        <w:rPr>
          <w:rFonts w:cs="Times New Roman" w:hint="eastAsia"/>
        </w:rPr>
        <w:t>各潜变量</w:t>
      </w:r>
      <w:r>
        <w:rPr>
          <w:rFonts w:cs="Times New Roman" w:hint="eastAsia"/>
        </w:rPr>
        <w:t>AVE</w:t>
      </w:r>
      <w:r>
        <w:rPr>
          <w:rFonts w:cs="Times New Roman" w:hint="eastAsia"/>
        </w:rPr>
        <w:t>值均高于</w:t>
      </w:r>
      <w:r>
        <w:rPr>
          <w:rFonts w:cs="Times New Roman" w:hint="eastAsia"/>
        </w:rPr>
        <w:t>0.5</w:t>
      </w:r>
      <w:r>
        <w:rPr>
          <w:rFonts w:cs="Times New Roman" w:hint="eastAsia"/>
        </w:rPr>
        <w:t>，表明该模型具有良好的收敛效度，同时，根据</w:t>
      </w:r>
      <w:r>
        <w:rPr>
          <w:rFonts w:cs="Times New Roman" w:hint="eastAsia"/>
        </w:rPr>
        <w:t>Fornell-Larcker</w:t>
      </w:r>
      <w:r>
        <w:rPr>
          <w:rFonts w:cs="Times New Roman" w:hint="eastAsia"/>
        </w:rPr>
        <w:t>准则进行判断，</w:t>
      </w:r>
      <w:r>
        <w:rPr>
          <w:rFonts w:cs="Times New Roman" w:hint="eastAsia"/>
        </w:rPr>
        <w:t>AVE</w:t>
      </w:r>
      <w:r>
        <w:rPr>
          <w:rFonts w:cs="Times New Roman" w:hint="eastAsia"/>
        </w:rPr>
        <w:t>平方根均大于相应潜变量间的相关系数，表明模型具有良好的区别效度。</w:t>
      </w:r>
    </w:p>
    <w:p w14:paraId="4A0D2E43" w14:textId="77777777" w:rsidR="008D7AD9" w:rsidRDefault="008D7AD9">
      <w:pPr>
        <w:spacing w:beforeLines="50" w:before="156"/>
        <w:ind w:firstLineChars="95" w:firstLine="199"/>
        <w:rPr>
          <w:rFonts w:cs="Times New Roman"/>
        </w:rPr>
        <w:sectPr w:rsidR="008D7AD9">
          <w:type w:val="continuous"/>
          <w:pgSz w:w="11906" w:h="16838"/>
          <w:pgMar w:top="1440" w:right="1106" w:bottom="1440" w:left="1106" w:header="851" w:footer="992" w:gutter="0"/>
          <w:cols w:num="2" w:space="425"/>
          <w:titlePg/>
          <w:docGrid w:type="linesAndChars" w:linePitch="312"/>
        </w:sectPr>
      </w:pPr>
    </w:p>
    <w:p w14:paraId="76B495C1" w14:textId="77777777" w:rsidR="008D7AD9" w:rsidRDefault="008D7AD9">
      <w:pPr>
        <w:ind w:firstLine="420"/>
      </w:pPr>
    </w:p>
    <w:p w14:paraId="08E21004" w14:textId="04F481B2" w:rsidR="008D7AD9" w:rsidRDefault="00000000">
      <w:pPr>
        <w:pStyle w:val="aff3"/>
        <w:ind w:firstLine="420"/>
        <w:rPr>
          <w:rFonts w:hint="eastAsia"/>
        </w:rPr>
      </w:pPr>
      <w:bookmarkStart w:id="10" w:name="_Ref199254958"/>
      <w:r>
        <w:t xml:space="preserve">表 </w:t>
      </w:r>
      <w:fldSimple w:instr=" SEQ 表 \* ARABIC ">
        <w:r w:rsidR="00B1714C">
          <w:rPr>
            <w:rFonts w:hint="eastAsia"/>
            <w:noProof/>
          </w:rPr>
          <w:t>7</w:t>
        </w:r>
      </w:fldSimple>
      <w:bookmarkEnd w:id="10"/>
      <w:r>
        <w:rPr>
          <w:rFonts w:hint="eastAsia"/>
        </w:rPr>
        <w:t xml:space="preserve"> 信效度检验结果</w:t>
      </w:r>
    </w:p>
    <w:tbl>
      <w:tblPr>
        <w:tblStyle w:val="affc"/>
        <w:tblW w:w="4991" w:type="pct"/>
        <w:tblCellMar>
          <w:left w:w="0" w:type="dxa"/>
          <w:right w:w="0" w:type="dxa"/>
        </w:tblCellMar>
        <w:tblLook w:val="04A0" w:firstRow="1" w:lastRow="0" w:firstColumn="1" w:lastColumn="0" w:noHBand="0" w:noVBand="1"/>
      </w:tblPr>
      <w:tblGrid>
        <w:gridCol w:w="1956"/>
        <w:gridCol w:w="1218"/>
        <w:gridCol w:w="785"/>
        <w:gridCol w:w="863"/>
        <w:gridCol w:w="954"/>
        <w:gridCol w:w="759"/>
        <w:gridCol w:w="803"/>
        <w:gridCol w:w="759"/>
        <w:gridCol w:w="759"/>
        <w:gridCol w:w="821"/>
      </w:tblGrid>
      <w:tr w:rsidR="008D7AD9" w14:paraId="431E6D9F" w14:textId="77777777" w:rsidTr="008D7AD9">
        <w:trPr>
          <w:cnfStyle w:val="100000000000" w:firstRow="1" w:lastRow="0" w:firstColumn="0" w:lastColumn="0" w:oddVBand="0" w:evenVBand="0" w:oddHBand="0" w:evenHBand="0" w:firstRowFirstColumn="0" w:firstRowLastColumn="0" w:lastRowFirstColumn="0" w:lastRowLastColumn="0"/>
          <w:cantSplit/>
          <w:trHeight w:val="136"/>
        </w:trPr>
        <w:tc>
          <w:tcPr>
            <w:tcW w:w="1010" w:type="pct"/>
            <w:vMerge w:val="restart"/>
            <w:vAlign w:val="center"/>
          </w:tcPr>
          <w:p w14:paraId="638D2984" w14:textId="77777777" w:rsidR="008D7AD9" w:rsidRDefault="00000000">
            <w:pPr>
              <w:pStyle w:val="affa"/>
              <w:ind w:firstLineChars="0"/>
              <w:rPr>
                <w:sz w:val="21"/>
                <w:szCs w:val="21"/>
              </w:rPr>
            </w:pPr>
            <w:r>
              <w:rPr>
                <w:rFonts w:hint="eastAsia"/>
                <w:sz w:val="21"/>
                <w:szCs w:val="21"/>
              </w:rPr>
              <w:t>潜变量</w:t>
            </w:r>
          </w:p>
        </w:tc>
        <w:tc>
          <w:tcPr>
            <w:tcW w:w="629" w:type="pct"/>
            <w:vMerge w:val="restart"/>
            <w:vAlign w:val="center"/>
          </w:tcPr>
          <w:p w14:paraId="397E9268" w14:textId="77777777" w:rsidR="008D7AD9" w:rsidRDefault="00000000">
            <w:pPr>
              <w:pStyle w:val="affa"/>
              <w:ind w:firstLineChars="0"/>
              <w:rPr>
                <w:sz w:val="21"/>
                <w:szCs w:val="21"/>
              </w:rPr>
            </w:pPr>
            <w:r>
              <w:rPr>
                <w:rFonts w:hint="eastAsia"/>
                <w:sz w:val="21"/>
                <w:szCs w:val="21"/>
              </w:rPr>
              <w:t>Cronbach</w:t>
            </w:r>
            <w:r>
              <w:rPr>
                <w:sz w:val="21"/>
                <w:szCs w:val="21"/>
              </w:rPr>
              <w:t>’</w:t>
            </w:r>
            <w:r>
              <w:rPr>
                <w:rFonts w:hint="eastAsia"/>
                <w:sz w:val="21"/>
                <w:szCs w:val="21"/>
              </w:rPr>
              <w:t xml:space="preserve">s </w:t>
            </w:r>
            <w:r>
              <w:rPr>
                <w:sz w:val="21"/>
                <w:szCs w:val="21"/>
              </w:rPr>
              <w:t>α</w:t>
            </w:r>
          </w:p>
        </w:tc>
        <w:tc>
          <w:tcPr>
            <w:tcW w:w="405" w:type="pct"/>
            <w:vMerge w:val="restart"/>
            <w:vAlign w:val="center"/>
          </w:tcPr>
          <w:p w14:paraId="47C3775F" w14:textId="77777777" w:rsidR="008D7AD9" w:rsidRDefault="00000000">
            <w:pPr>
              <w:pStyle w:val="affa"/>
              <w:ind w:firstLineChars="0"/>
              <w:rPr>
                <w:sz w:val="21"/>
                <w:szCs w:val="21"/>
              </w:rPr>
            </w:pPr>
            <w:r>
              <w:rPr>
                <w:rFonts w:hint="eastAsia"/>
                <w:sz w:val="21"/>
                <w:szCs w:val="21"/>
              </w:rPr>
              <w:t>CR</w:t>
            </w:r>
          </w:p>
        </w:tc>
        <w:tc>
          <w:tcPr>
            <w:tcW w:w="446" w:type="pct"/>
            <w:vMerge w:val="restart"/>
            <w:vAlign w:val="center"/>
          </w:tcPr>
          <w:p w14:paraId="30C75E51" w14:textId="77777777" w:rsidR="008D7AD9" w:rsidRDefault="00000000">
            <w:pPr>
              <w:pStyle w:val="affa"/>
              <w:ind w:firstLineChars="0"/>
              <w:rPr>
                <w:sz w:val="21"/>
                <w:szCs w:val="21"/>
              </w:rPr>
            </w:pPr>
            <w:r>
              <w:rPr>
                <w:rFonts w:hint="eastAsia"/>
                <w:sz w:val="21"/>
                <w:szCs w:val="21"/>
              </w:rPr>
              <w:t>AVE</w:t>
            </w:r>
          </w:p>
        </w:tc>
        <w:tc>
          <w:tcPr>
            <w:tcW w:w="2508" w:type="pct"/>
            <w:gridSpan w:val="6"/>
            <w:vAlign w:val="center"/>
          </w:tcPr>
          <w:p w14:paraId="6B7A04FE" w14:textId="77777777" w:rsidR="008D7AD9" w:rsidRDefault="00000000">
            <w:pPr>
              <w:pStyle w:val="affa"/>
              <w:ind w:firstLineChars="0"/>
              <w:rPr>
                <w:sz w:val="21"/>
                <w:szCs w:val="21"/>
              </w:rPr>
            </w:pPr>
            <w:r>
              <w:rPr>
                <w:rFonts w:hint="eastAsia"/>
                <w:sz w:val="21"/>
                <w:szCs w:val="21"/>
              </w:rPr>
              <w:t>相关系数和AVE平方根</w:t>
            </w:r>
          </w:p>
        </w:tc>
      </w:tr>
      <w:tr w:rsidR="008D7AD9" w14:paraId="4E105077" w14:textId="77777777" w:rsidTr="008D7AD9">
        <w:trPr>
          <w:cantSplit/>
          <w:trHeight w:val="136"/>
        </w:trPr>
        <w:tc>
          <w:tcPr>
            <w:tcW w:w="1010" w:type="pct"/>
            <w:vMerge/>
            <w:vAlign w:val="center"/>
          </w:tcPr>
          <w:p w14:paraId="01605597" w14:textId="77777777" w:rsidR="008D7AD9" w:rsidRDefault="008D7AD9">
            <w:pPr>
              <w:pStyle w:val="affa"/>
              <w:ind w:firstLineChars="0"/>
              <w:rPr>
                <w:sz w:val="21"/>
                <w:szCs w:val="21"/>
              </w:rPr>
            </w:pPr>
          </w:p>
        </w:tc>
        <w:tc>
          <w:tcPr>
            <w:tcW w:w="629" w:type="pct"/>
            <w:vMerge/>
            <w:tcBorders>
              <w:right w:val="nil"/>
            </w:tcBorders>
            <w:vAlign w:val="center"/>
          </w:tcPr>
          <w:p w14:paraId="67C039C0" w14:textId="77777777" w:rsidR="008D7AD9" w:rsidRDefault="008D7AD9">
            <w:pPr>
              <w:pStyle w:val="affa"/>
              <w:ind w:firstLineChars="0"/>
              <w:rPr>
                <w:sz w:val="21"/>
                <w:szCs w:val="21"/>
              </w:rPr>
            </w:pPr>
          </w:p>
        </w:tc>
        <w:tc>
          <w:tcPr>
            <w:tcW w:w="405" w:type="pct"/>
            <w:vMerge/>
            <w:tcBorders>
              <w:right w:val="nil"/>
            </w:tcBorders>
            <w:vAlign w:val="center"/>
          </w:tcPr>
          <w:p w14:paraId="547467EC" w14:textId="77777777" w:rsidR="008D7AD9" w:rsidRDefault="008D7AD9">
            <w:pPr>
              <w:pStyle w:val="affa"/>
              <w:ind w:firstLineChars="0"/>
              <w:rPr>
                <w:sz w:val="21"/>
                <w:szCs w:val="21"/>
              </w:rPr>
            </w:pPr>
          </w:p>
        </w:tc>
        <w:tc>
          <w:tcPr>
            <w:tcW w:w="446" w:type="pct"/>
            <w:vMerge/>
            <w:vAlign w:val="center"/>
          </w:tcPr>
          <w:p w14:paraId="10C3A0A1" w14:textId="77777777" w:rsidR="008D7AD9" w:rsidRDefault="008D7AD9">
            <w:pPr>
              <w:pStyle w:val="affa"/>
              <w:ind w:firstLineChars="0"/>
              <w:rPr>
                <w:sz w:val="21"/>
                <w:szCs w:val="21"/>
              </w:rPr>
            </w:pPr>
          </w:p>
        </w:tc>
        <w:tc>
          <w:tcPr>
            <w:tcW w:w="493" w:type="pct"/>
            <w:vAlign w:val="center"/>
          </w:tcPr>
          <w:p w14:paraId="3BF5F670" w14:textId="77777777" w:rsidR="008D7AD9" w:rsidRDefault="00000000">
            <w:pPr>
              <w:pStyle w:val="affa"/>
              <w:ind w:firstLineChars="0"/>
              <w:rPr>
                <w:sz w:val="21"/>
                <w:szCs w:val="21"/>
              </w:rPr>
            </w:pPr>
            <w:r>
              <w:rPr>
                <w:rFonts w:hint="eastAsia"/>
                <w:sz w:val="21"/>
                <w:szCs w:val="21"/>
              </w:rPr>
              <w:t>1</w:t>
            </w:r>
          </w:p>
        </w:tc>
        <w:tc>
          <w:tcPr>
            <w:tcW w:w="392" w:type="pct"/>
            <w:vAlign w:val="center"/>
          </w:tcPr>
          <w:p w14:paraId="65FBF822" w14:textId="77777777" w:rsidR="008D7AD9" w:rsidRDefault="00000000">
            <w:pPr>
              <w:pStyle w:val="affa"/>
              <w:ind w:firstLineChars="0"/>
              <w:rPr>
                <w:sz w:val="21"/>
                <w:szCs w:val="21"/>
              </w:rPr>
            </w:pPr>
            <w:r>
              <w:rPr>
                <w:rFonts w:hint="eastAsia"/>
                <w:sz w:val="21"/>
                <w:szCs w:val="21"/>
              </w:rPr>
              <w:t>2</w:t>
            </w:r>
          </w:p>
        </w:tc>
        <w:tc>
          <w:tcPr>
            <w:tcW w:w="415" w:type="pct"/>
            <w:vAlign w:val="center"/>
          </w:tcPr>
          <w:p w14:paraId="0E6B1B34" w14:textId="77777777" w:rsidR="008D7AD9" w:rsidRDefault="00000000">
            <w:pPr>
              <w:pStyle w:val="affa"/>
              <w:ind w:firstLineChars="0"/>
              <w:rPr>
                <w:sz w:val="21"/>
                <w:szCs w:val="21"/>
              </w:rPr>
            </w:pPr>
            <w:r>
              <w:rPr>
                <w:rFonts w:hint="eastAsia"/>
                <w:sz w:val="21"/>
                <w:szCs w:val="21"/>
              </w:rPr>
              <w:t>3</w:t>
            </w:r>
          </w:p>
        </w:tc>
        <w:tc>
          <w:tcPr>
            <w:tcW w:w="392" w:type="pct"/>
            <w:vAlign w:val="center"/>
          </w:tcPr>
          <w:p w14:paraId="3DFF4E1E" w14:textId="77777777" w:rsidR="008D7AD9" w:rsidRDefault="00000000">
            <w:pPr>
              <w:pStyle w:val="affa"/>
              <w:ind w:firstLineChars="0"/>
              <w:rPr>
                <w:sz w:val="21"/>
                <w:szCs w:val="21"/>
              </w:rPr>
            </w:pPr>
            <w:r>
              <w:rPr>
                <w:rFonts w:hint="eastAsia"/>
                <w:sz w:val="21"/>
                <w:szCs w:val="21"/>
              </w:rPr>
              <w:t>4</w:t>
            </w:r>
          </w:p>
        </w:tc>
        <w:tc>
          <w:tcPr>
            <w:tcW w:w="392" w:type="pct"/>
            <w:vAlign w:val="center"/>
          </w:tcPr>
          <w:p w14:paraId="06649F88" w14:textId="77777777" w:rsidR="008D7AD9" w:rsidRDefault="00000000">
            <w:pPr>
              <w:pStyle w:val="affa"/>
              <w:ind w:firstLineChars="0"/>
              <w:rPr>
                <w:sz w:val="21"/>
                <w:szCs w:val="21"/>
              </w:rPr>
            </w:pPr>
            <w:r>
              <w:rPr>
                <w:rFonts w:hint="eastAsia"/>
                <w:sz w:val="21"/>
                <w:szCs w:val="21"/>
              </w:rPr>
              <w:t>5</w:t>
            </w:r>
          </w:p>
        </w:tc>
        <w:tc>
          <w:tcPr>
            <w:tcW w:w="423" w:type="pct"/>
            <w:vAlign w:val="center"/>
          </w:tcPr>
          <w:p w14:paraId="5D48D495" w14:textId="77777777" w:rsidR="008D7AD9" w:rsidRDefault="00000000">
            <w:pPr>
              <w:pStyle w:val="affa"/>
              <w:ind w:firstLineChars="0"/>
              <w:rPr>
                <w:sz w:val="21"/>
                <w:szCs w:val="21"/>
              </w:rPr>
            </w:pPr>
            <w:r>
              <w:rPr>
                <w:rFonts w:hint="eastAsia"/>
                <w:sz w:val="21"/>
                <w:szCs w:val="21"/>
              </w:rPr>
              <w:t>6</w:t>
            </w:r>
          </w:p>
        </w:tc>
      </w:tr>
      <w:tr w:rsidR="008D7AD9" w14:paraId="2B19FC53" w14:textId="77777777" w:rsidTr="008D7AD9">
        <w:trPr>
          <w:cantSplit/>
          <w:trHeight w:val="136"/>
        </w:trPr>
        <w:tc>
          <w:tcPr>
            <w:tcW w:w="1010" w:type="pct"/>
            <w:vAlign w:val="center"/>
          </w:tcPr>
          <w:p w14:paraId="62EBB421" w14:textId="77777777" w:rsidR="008D7AD9" w:rsidRDefault="00000000">
            <w:pPr>
              <w:pStyle w:val="affa"/>
              <w:ind w:firstLineChars="0"/>
              <w:rPr>
                <w:sz w:val="21"/>
                <w:szCs w:val="21"/>
              </w:rPr>
            </w:pPr>
            <w:r>
              <w:rPr>
                <w:rFonts w:hint="eastAsia"/>
                <w:sz w:val="21"/>
                <w:szCs w:val="21"/>
              </w:rPr>
              <w:t>1.多能互补</w:t>
            </w:r>
          </w:p>
        </w:tc>
        <w:tc>
          <w:tcPr>
            <w:tcW w:w="629" w:type="pct"/>
            <w:vAlign w:val="center"/>
          </w:tcPr>
          <w:p w14:paraId="076A3A19" w14:textId="77777777" w:rsidR="008D7AD9" w:rsidRDefault="00000000">
            <w:pPr>
              <w:pStyle w:val="affa"/>
              <w:ind w:firstLineChars="0"/>
              <w:rPr>
                <w:sz w:val="21"/>
                <w:szCs w:val="21"/>
              </w:rPr>
            </w:pPr>
            <w:r>
              <w:rPr>
                <w:rFonts w:hint="eastAsia"/>
                <w:sz w:val="21"/>
                <w:szCs w:val="21"/>
              </w:rPr>
              <w:t>0.964</w:t>
            </w:r>
          </w:p>
        </w:tc>
        <w:tc>
          <w:tcPr>
            <w:tcW w:w="405" w:type="pct"/>
            <w:vAlign w:val="center"/>
          </w:tcPr>
          <w:p w14:paraId="114377F9" w14:textId="77777777" w:rsidR="008D7AD9" w:rsidRDefault="00000000">
            <w:pPr>
              <w:pStyle w:val="affa"/>
              <w:ind w:firstLineChars="0"/>
              <w:rPr>
                <w:sz w:val="21"/>
                <w:szCs w:val="21"/>
              </w:rPr>
            </w:pPr>
            <w:r>
              <w:rPr>
                <w:rFonts w:hint="eastAsia"/>
                <w:sz w:val="21"/>
                <w:szCs w:val="21"/>
              </w:rPr>
              <w:t>0.957</w:t>
            </w:r>
          </w:p>
        </w:tc>
        <w:tc>
          <w:tcPr>
            <w:tcW w:w="446" w:type="pct"/>
            <w:vAlign w:val="center"/>
          </w:tcPr>
          <w:p w14:paraId="645E4959" w14:textId="77777777" w:rsidR="008D7AD9" w:rsidRDefault="00000000">
            <w:pPr>
              <w:pStyle w:val="affa"/>
              <w:ind w:firstLineChars="0"/>
              <w:rPr>
                <w:sz w:val="21"/>
                <w:szCs w:val="21"/>
              </w:rPr>
            </w:pPr>
            <w:r>
              <w:rPr>
                <w:rFonts w:hint="eastAsia"/>
                <w:sz w:val="21"/>
                <w:szCs w:val="21"/>
              </w:rPr>
              <w:t>0.816</w:t>
            </w:r>
          </w:p>
        </w:tc>
        <w:tc>
          <w:tcPr>
            <w:tcW w:w="493" w:type="pct"/>
            <w:vAlign w:val="center"/>
          </w:tcPr>
          <w:p w14:paraId="1030B686" w14:textId="77777777" w:rsidR="008D7AD9" w:rsidRDefault="00000000">
            <w:pPr>
              <w:pStyle w:val="affa"/>
              <w:ind w:firstLineChars="0"/>
              <w:rPr>
                <w:b/>
                <w:bCs/>
                <w:sz w:val="21"/>
                <w:szCs w:val="21"/>
              </w:rPr>
            </w:pPr>
            <w:r>
              <w:rPr>
                <w:rFonts w:hint="eastAsia"/>
                <w:b/>
                <w:bCs/>
                <w:sz w:val="21"/>
                <w:szCs w:val="21"/>
              </w:rPr>
              <w:t>0.903</w:t>
            </w:r>
          </w:p>
        </w:tc>
        <w:tc>
          <w:tcPr>
            <w:tcW w:w="392" w:type="pct"/>
            <w:vAlign w:val="center"/>
          </w:tcPr>
          <w:p w14:paraId="37D6E854" w14:textId="77777777" w:rsidR="008D7AD9" w:rsidRDefault="008D7AD9">
            <w:pPr>
              <w:pStyle w:val="affa"/>
              <w:ind w:firstLineChars="0"/>
              <w:rPr>
                <w:sz w:val="21"/>
                <w:szCs w:val="21"/>
              </w:rPr>
            </w:pPr>
          </w:p>
        </w:tc>
        <w:tc>
          <w:tcPr>
            <w:tcW w:w="415" w:type="pct"/>
            <w:vAlign w:val="center"/>
          </w:tcPr>
          <w:p w14:paraId="4A9BBA74" w14:textId="77777777" w:rsidR="008D7AD9" w:rsidRDefault="008D7AD9">
            <w:pPr>
              <w:pStyle w:val="affa"/>
              <w:ind w:firstLineChars="0"/>
              <w:rPr>
                <w:sz w:val="21"/>
                <w:szCs w:val="21"/>
              </w:rPr>
            </w:pPr>
          </w:p>
        </w:tc>
        <w:tc>
          <w:tcPr>
            <w:tcW w:w="392" w:type="pct"/>
            <w:vAlign w:val="center"/>
          </w:tcPr>
          <w:p w14:paraId="534CC91C" w14:textId="77777777" w:rsidR="008D7AD9" w:rsidRDefault="008D7AD9">
            <w:pPr>
              <w:pStyle w:val="affa"/>
              <w:ind w:firstLineChars="0"/>
              <w:rPr>
                <w:sz w:val="21"/>
                <w:szCs w:val="21"/>
              </w:rPr>
            </w:pPr>
          </w:p>
        </w:tc>
        <w:tc>
          <w:tcPr>
            <w:tcW w:w="392" w:type="pct"/>
            <w:vAlign w:val="center"/>
          </w:tcPr>
          <w:p w14:paraId="43CC1043" w14:textId="77777777" w:rsidR="008D7AD9" w:rsidRDefault="008D7AD9">
            <w:pPr>
              <w:pStyle w:val="affa"/>
              <w:ind w:firstLineChars="0"/>
              <w:rPr>
                <w:sz w:val="21"/>
                <w:szCs w:val="21"/>
              </w:rPr>
            </w:pPr>
          </w:p>
        </w:tc>
        <w:tc>
          <w:tcPr>
            <w:tcW w:w="423" w:type="pct"/>
            <w:vAlign w:val="center"/>
          </w:tcPr>
          <w:p w14:paraId="0698B30F" w14:textId="77777777" w:rsidR="008D7AD9" w:rsidRDefault="008D7AD9">
            <w:pPr>
              <w:pStyle w:val="affa"/>
              <w:ind w:firstLineChars="0"/>
              <w:rPr>
                <w:sz w:val="21"/>
                <w:szCs w:val="21"/>
              </w:rPr>
            </w:pPr>
          </w:p>
        </w:tc>
      </w:tr>
      <w:tr w:rsidR="008D7AD9" w14:paraId="60FC52A6" w14:textId="77777777" w:rsidTr="008D7AD9">
        <w:trPr>
          <w:cantSplit/>
          <w:trHeight w:val="136"/>
        </w:trPr>
        <w:tc>
          <w:tcPr>
            <w:tcW w:w="1010" w:type="pct"/>
            <w:vAlign w:val="center"/>
          </w:tcPr>
          <w:p w14:paraId="1EF1C6A2" w14:textId="77777777" w:rsidR="008D7AD9" w:rsidRDefault="00000000">
            <w:pPr>
              <w:pStyle w:val="affa"/>
              <w:ind w:firstLineChars="0"/>
              <w:rPr>
                <w:sz w:val="21"/>
                <w:szCs w:val="21"/>
              </w:rPr>
            </w:pPr>
            <w:r>
              <w:rPr>
                <w:rFonts w:hint="eastAsia"/>
                <w:sz w:val="21"/>
                <w:szCs w:val="21"/>
              </w:rPr>
              <w:t>2.整体条件</w:t>
            </w:r>
          </w:p>
        </w:tc>
        <w:tc>
          <w:tcPr>
            <w:tcW w:w="629" w:type="pct"/>
            <w:vAlign w:val="center"/>
          </w:tcPr>
          <w:p w14:paraId="3C5DFD75" w14:textId="77777777" w:rsidR="008D7AD9" w:rsidRDefault="00000000">
            <w:pPr>
              <w:pStyle w:val="affa"/>
              <w:ind w:firstLineChars="0"/>
              <w:rPr>
                <w:sz w:val="21"/>
                <w:szCs w:val="21"/>
              </w:rPr>
            </w:pPr>
            <w:r>
              <w:rPr>
                <w:rFonts w:hint="eastAsia"/>
                <w:sz w:val="21"/>
                <w:szCs w:val="21"/>
              </w:rPr>
              <w:t>0.904</w:t>
            </w:r>
          </w:p>
        </w:tc>
        <w:tc>
          <w:tcPr>
            <w:tcW w:w="405" w:type="pct"/>
            <w:vAlign w:val="center"/>
          </w:tcPr>
          <w:p w14:paraId="7CD14BB7" w14:textId="77777777" w:rsidR="008D7AD9" w:rsidRDefault="00000000">
            <w:pPr>
              <w:pStyle w:val="affa"/>
              <w:ind w:firstLineChars="0"/>
              <w:rPr>
                <w:sz w:val="21"/>
                <w:szCs w:val="21"/>
              </w:rPr>
            </w:pPr>
            <w:r>
              <w:rPr>
                <w:rFonts w:hint="eastAsia"/>
                <w:sz w:val="21"/>
                <w:szCs w:val="21"/>
              </w:rPr>
              <w:t>0.927</w:t>
            </w:r>
          </w:p>
        </w:tc>
        <w:tc>
          <w:tcPr>
            <w:tcW w:w="446" w:type="pct"/>
            <w:vAlign w:val="center"/>
          </w:tcPr>
          <w:p w14:paraId="04529FFF" w14:textId="77777777" w:rsidR="008D7AD9" w:rsidRDefault="00000000">
            <w:pPr>
              <w:pStyle w:val="affa"/>
              <w:ind w:firstLineChars="0"/>
              <w:rPr>
                <w:sz w:val="21"/>
                <w:szCs w:val="21"/>
              </w:rPr>
            </w:pPr>
            <w:r>
              <w:rPr>
                <w:rFonts w:hint="eastAsia"/>
                <w:sz w:val="21"/>
                <w:szCs w:val="21"/>
              </w:rPr>
              <w:t>0.680</w:t>
            </w:r>
          </w:p>
        </w:tc>
        <w:tc>
          <w:tcPr>
            <w:tcW w:w="493" w:type="pct"/>
            <w:vAlign w:val="center"/>
          </w:tcPr>
          <w:p w14:paraId="70D0BE7E" w14:textId="77777777" w:rsidR="008D7AD9" w:rsidRDefault="00000000">
            <w:pPr>
              <w:pStyle w:val="affa"/>
              <w:ind w:firstLineChars="0"/>
              <w:rPr>
                <w:sz w:val="21"/>
                <w:szCs w:val="21"/>
              </w:rPr>
            </w:pPr>
            <w:r>
              <w:rPr>
                <w:rFonts w:hint="eastAsia"/>
                <w:sz w:val="21"/>
                <w:szCs w:val="21"/>
              </w:rPr>
              <w:t>0.629</w:t>
            </w:r>
          </w:p>
        </w:tc>
        <w:tc>
          <w:tcPr>
            <w:tcW w:w="392" w:type="pct"/>
            <w:vAlign w:val="center"/>
          </w:tcPr>
          <w:p w14:paraId="1328E535" w14:textId="77777777" w:rsidR="008D7AD9" w:rsidRDefault="00000000">
            <w:pPr>
              <w:pStyle w:val="affa"/>
              <w:ind w:firstLineChars="0"/>
              <w:rPr>
                <w:b/>
                <w:bCs/>
                <w:sz w:val="21"/>
                <w:szCs w:val="21"/>
              </w:rPr>
            </w:pPr>
            <w:r>
              <w:rPr>
                <w:rFonts w:hint="eastAsia"/>
                <w:b/>
                <w:bCs/>
                <w:sz w:val="21"/>
                <w:szCs w:val="21"/>
              </w:rPr>
              <w:t>0.824</w:t>
            </w:r>
          </w:p>
        </w:tc>
        <w:tc>
          <w:tcPr>
            <w:tcW w:w="415" w:type="pct"/>
            <w:vAlign w:val="center"/>
          </w:tcPr>
          <w:p w14:paraId="22EDD86E" w14:textId="77777777" w:rsidR="008D7AD9" w:rsidRDefault="008D7AD9">
            <w:pPr>
              <w:pStyle w:val="affa"/>
              <w:ind w:firstLineChars="0"/>
              <w:rPr>
                <w:sz w:val="21"/>
                <w:szCs w:val="21"/>
              </w:rPr>
            </w:pPr>
          </w:p>
        </w:tc>
        <w:tc>
          <w:tcPr>
            <w:tcW w:w="392" w:type="pct"/>
            <w:vAlign w:val="center"/>
          </w:tcPr>
          <w:p w14:paraId="1994B3F4" w14:textId="77777777" w:rsidR="008D7AD9" w:rsidRDefault="008D7AD9">
            <w:pPr>
              <w:pStyle w:val="affa"/>
              <w:ind w:firstLineChars="0"/>
              <w:rPr>
                <w:sz w:val="21"/>
                <w:szCs w:val="21"/>
              </w:rPr>
            </w:pPr>
          </w:p>
        </w:tc>
        <w:tc>
          <w:tcPr>
            <w:tcW w:w="392" w:type="pct"/>
            <w:vAlign w:val="center"/>
          </w:tcPr>
          <w:p w14:paraId="78C84FC2" w14:textId="77777777" w:rsidR="008D7AD9" w:rsidRDefault="008D7AD9">
            <w:pPr>
              <w:pStyle w:val="affa"/>
              <w:ind w:firstLineChars="0"/>
              <w:rPr>
                <w:sz w:val="21"/>
                <w:szCs w:val="21"/>
              </w:rPr>
            </w:pPr>
          </w:p>
        </w:tc>
        <w:tc>
          <w:tcPr>
            <w:tcW w:w="423" w:type="pct"/>
            <w:vAlign w:val="center"/>
          </w:tcPr>
          <w:p w14:paraId="37A8C78E" w14:textId="77777777" w:rsidR="008D7AD9" w:rsidRDefault="008D7AD9">
            <w:pPr>
              <w:pStyle w:val="affa"/>
              <w:ind w:firstLineChars="0"/>
              <w:rPr>
                <w:sz w:val="21"/>
                <w:szCs w:val="21"/>
              </w:rPr>
            </w:pPr>
          </w:p>
        </w:tc>
      </w:tr>
      <w:tr w:rsidR="008D7AD9" w14:paraId="330C04E9" w14:textId="77777777" w:rsidTr="008D7AD9">
        <w:trPr>
          <w:cantSplit/>
          <w:trHeight w:val="136"/>
        </w:trPr>
        <w:tc>
          <w:tcPr>
            <w:tcW w:w="1010" w:type="pct"/>
            <w:vAlign w:val="center"/>
          </w:tcPr>
          <w:p w14:paraId="4AFB8FC2" w14:textId="77777777" w:rsidR="008D7AD9" w:rsidRDefault="00000000">
            <w:pPr>
              <w:pStyle w:val="affa"/>
              <w:ind w:firstLineChars="0"/>
              <w:rPr>
                <w:sz w:val="21"/>
                <w:szCs w:val="21"/>
              </w:rPr>
            </w:pPr>
            <w:r>
              <w:rPr>
                <w:rFonts w:hint="eastAsia"/>
                <w:sz w:val="21"/>
                <w:szCs w:val="21"/>
              </w:rPr>
              <w:t>3.方案选择</w:t>
            </w:r>
          </w:p>
        </w:tc>
        <w:tc>
          <w:tcPr>
            <w:tcW w:w="629" w:type="pct"/>
            <w:vAlign w:val="center"/>
          </w:tcPr>
          <w:p w14:paraId="2FC6DD12" w14:textId="77777777" w:rsidR="008D7AD9" w:rsidRDefault="00000000">
            <w:pPr>
              <w:pStyle w:val="affa"/>
              <w:ind w:firstLineChars="0"/>
              <w:rPr>
                <w:sz w:val="21"/>
                <w:szCs w:val="21"/>
              </w:rPr>
            </w:pPr>
            <w:r>
              <w:rPr>
                <w:rFonts w:hint="eastAsia"/>
                <w:sz w:val="21"/>
                <w:szCs w:val="21"/>
              </w:rPr>
              <w:t>0.950</w:t>
            </w:r>
          </w:p>
        </w:tc>
        <w:tc>
          <w:tcPr>
            <w:tcW w:w="405" w:type="pct"/>
            <w:vAlign w:val="center"/>
          </w:tcPr>
          <w:p w14:paraId="7B1BBBF9" w14:textId="77777777" w:rsidR="008D7AD9" w:rsidRDefault="00000000">
            <w:pPr>
              <w:pStyle w:val="affa"/>
              <w:ind w:firstLineChars="0"/>
              <w:rPr>
                <w:sz w:val="21"/>
                <w:szCs w:val="21"/>
              </w:rPr>
            </w:pPr>
            <w:r>
              <w:rPr>
                <w:rFonts w:hint="eastAsia"/>
                <w:sz w:val="21"/>
                <w:szCs w:val="21"/>
              </w:rPr>
              <w:t>0.927</w:t>
            </w:r>
          </w:p>
        </w:tc>
        <w:tc>
          <w:tcPr>
            <w:tcW w:w="446" w:type="pct"/>
            <w:vAlign w:val="center"/>
          </w:tcPr>
          <w:p w14:paraId="720747C0" w14:textId="77777777" w:rsidR="008D7AD9" w:rsidRDefault="00000000">
            <w:pPr>
              <w:pStyle w:val="affa"/>
              <w:ind w:firstLineChars="0"/>
              <w:rPr>
                <w:sz w:val="21"/>
                <w:szCs w:val="21"/>
              </w:rPr>
            </w:pPr>
            <w:r>
              <w:rPr>
                <w:rFonts w:hint="eastAsia"/>
                <w:sz w:val="21"/>
                <w:szCs w:val="21"/>
              </w:rPr>
              <w:t>0.680</w:t>
            </w:r>
          </w:p>
        </w:tc>
        <w:tc>
          <w:tcPr>
            <w:tcW w:w="493" w:type="pct"/>
            <w:vAlign w:val="center"/>
          </w:tcPr>
          <w:p w14:paraId="1C587A2D" w14:textId="77777777" w:rsidR="008D7AD9" w:rsidRDefault="00000000">
            <w:pPr>
              <w:pStyle w:val="affa"/>
              <w:ind w:firstLineChars="0"/>
              <w:rPr>
                <w:sz w:val="21"/>
                <w:szCs w:val="21"/>
              </w:rPr>
            </w:pPr>
            <w:r>
              <w:rPr>
                <w:rFonts w:hint="eastAsia"/>
                <w:sz w:val="21"/>
                <w:szCs w:val="21"/>
              </w:rPr>
              <w:t>0.539</w:t>
            </w:r>
          </w:p>
        </w:tc>
        <w:tc>
          <w:tcPr>
            <w:tcW w:w="392" w:type="pct"/>
            <w:vAlign w:val="center"/>
          </w:tcPr>
          <w:p w14:paraId="0953D9B5" w14:textId="77777777" w:rsidR="008D7AD9" w:rsidRDefault="00000000">
            <w:pPr>
              <w:pStyle w:val="affa"/>
              <w:ind w:firstLineChars="0"/>
              <w:rPr>
                <w:sz w:val="21"/>
                <w:szCs w:val="21"/>
              </w:rPr>
            </w:pPr>
            <w:r>
              <w:rPr>
                <w:rFonts w:hint="eastAsia"/>
                <w:sz w:val="21"/>
                <w:szCs w:val="21"/>
              </w:rPr>
              <w:t>0.799</w:t>
            </w:r>
          </w:p>
        </w:tc>
        <w:tc>
          <w:tcPr>
            <w:tcW w:w="415" w:type="pct"/>
            <w:vAlign w:val="center"/>
          </w:tcPr>
          <w:p w14:paraId="70D3A18F" w14:textId="77777777" w:rsidR="008D7AD9" w:rsidRDefault="00000000">
            <w:pPr>
              <w:pStyle w:val="affa"/>
              <w:ind w:firstLineChars="0"/>
              <w:rPr>
                <w:b/>
                <w:bCs/>
                <w:sz w:val="21"/>
                <w:szCs w:val="21"/>
              </w:rPr>
            </w:pPr>
            <w:r>
              <w:rPr>
                <w:rFonts w:hint="eastAsia"/>
                <w:b/>
                <w:bCs/>
                <w:sz w:val="21"/>
                <w:szCs w:val="21"/>
              </w:rPr>
              <w:t>0.825</w:t>
            </w:r>
          </w:p>
        </w:tc>
        <w:tc>
          <w:tcPr>
            <w:tcW w:w="392" w:type="pct"/>
            <w:vAlign w:val="center"/>
          </w:tcPr>
          <w:p w14:paraId="01E9DC9F" w14:textId="77777777" w:rsidR="008D7AD9" w:rsidRDefault="008D7AD9">
            <w:pPr>
              <w:pStyle w:val="affa"/>
              <w:ind w:firstLineChars="0"/>
              <w:rPr>
                <w:sz w:val="21"/>
                <w:szCs w:val="21"/>
              </w:rPr>
            </w:pPr>
          </w:p>
        </w:tc>
        <w:tc>
          <w:tcPr>
            <w:tcW w:w="392" w:type="pct"/>
            <w:vAlign w:val="center"/>
          </w:tcPr>
          <w:p w14:paraId="03C16202" w14:textId="77777777" w:rsidR="008D7AD9" w:rsidRDefault="008D7AD9">
            <w:pPr>
              <w:pStyle w:val="affa"/>
              <w:ind w:firstLineChars="0"/>
              <w:rPr>
                <w:sz w:val="21"/>
                <w:szCs w:val="21"/>
              </w:rPr>
            </w:pPr>
          </w:p>
        </w:tc>
        <w:tc>
          <w:tcPr>
            <w:tcW w:w="423" w:type="pct"/>
            <w:vAlign w:val="center"/>
          </w:tcPr>
          <w:p w14:paraId="2CD99A95" w14:textId="77777777" w:rsidR="008D7AD9" w:rsidRDefault="008D7AD9">
            <w:pPr>
              <w:pStyle w:val="affa"/>
              <w:ind w:firstLineChars="0"/>
              <w:rPr>
                <w:sz w:val="21"/>
                <w:szCs w:val="21"/>
              </w:rPr>
            </w:pPr>
          </w:p>
        </w:tc>
      </w:tr>
      <w:tr w:rsidR="008D7AD9" w14:paraId="5E772F51" w14:textId="77777777" w:rsidTr="008D7AD9">
        <w:trPr>
          <w:cantSplit/>
          <w:trHeight w:val="136"/>
        </w:trPr>
        <w:tc>
          <w:tcPr>
            <w:tcW w:w="1010" w:type="pct"/>
            <w:vAlign w:val="center"/>
          </w:tcPr>
          <w:p w14:paraId="6F25317A" w14:textId="77777777" w:rsidR="008D7AD9" w:rsidRDefault="00000000">
            <w:pPr>
              <w:pStyle w:val="affa"/>
              <w:ind w:firstLineChars="0"/>
              <w:rPr>
                <w:sz w:val="21"/>
                <w:szCs w:val="21"/>
              </w:rPr>
            </w:pPr>
            <w:r>
              <w:rPr>
                <w:rFonts w:hint="eastAsia"/>
                <w:sz w:val="21"/>
                <w:szCs w:val="21"/>
              </w:rPr>
              <w:t>4.电价和市场机制</w:t>
            </w:r>
          </w:p>
        </w:tc>
        <w:tc>
          <w:tcPr>
            <w:tcW w:w="629" w:type="pct"/>
            <w:vAlign w:val="center"/>
          </w:tcPr>
          <w:p w14:paraId="00E7FAD1" w14:textId="77777777" w:rsidR="008D7AD9" w:rsidRDefault="00000000">
            <w:pPr>
              <w:pStyle w:val="affa"/>
              <w:ind w:firstLineChars="0"/>
              <w:rPr>
                <w:sz w:val="21"/>
                <w:szCs w:val="21"/>
              </w:rPr>
            </w:pPr>
            <w:r>
              <w:rPr>
                <w:rFonts w:hint="eastAsia"/>
                <w:sz w:val="21"/>
                <w:szCs w:val="21"/>
              </w:rPr>
              <w:t>0.965</w:t>
            </w:r>
          </w:p>
        </w:tc>
        <w:tc>
          <w:tcPr>
            <w:tcW w:w="405" w:type="pct"/>
            <w:vAlign w:val="center"/>
          </w:tcPr>
          <w:p w14:paraId="5E8DC591" w14:textId="77777777" w:rsidR="008D7AD9" w:rsidRDefault="00000000">
            <w:pPr>
              <w:pStyle w:val="affa"/>
              <w:ind w:firstLineChars="0"/>
              <w:rPr>
                <w:sz w:val="21"/>
                <w:szCs w:val="21"/>
              </w:rPr>
            </w:pPr>
            <w:r>
              <w:rPr>
                <w:rFonts w:hint="eastAsia"/>
                <w:sz w:val="21"/>
                <w:szCs w:val="21"/>
              </w:rPr>
              <w:t>0.958</w:t>
            </w:r>
          </w:p>
        </w:tc>
        <w:tc>
          <w:tcPr>
            <w:tcW w:w="446" w:type="pct"/>
            <w:vAlign w:val="center"/>
          </w:tcPr>
          <w:p w14:paraId="7FE13ADE" w14:textId="77777777" w:rsidR="008D7AD9" w:rsidRDefault="00000000">
            <w:pPr>
              <w:pStyle w:val="affa"/>
              <w:ind w:firstLineChars="0"/>
              <w:rPr>
                <w:sz w:val="21"/>
                <w:szCs w:val="21"/>
              </w:rPr>
            </w:pPr>
            <w:r>
              <w:rPr>
                <w:rFonts w:hint="eastAsia"/>
                <w:sz w:val="21"/>
                <w:szCs w:val="21"/>
              </w:rPr>
              <w:t>0.774</w:t>
            </w:r>
          </w:p>
        </w:tc>
        <w:tc>
          <w:tcPr>
            <w:tcW w:w="493" w:type="pct"/>
            <w:vAlign w:val="center"/>
          </w:tcPr>
          <w:p w14:paraId="7E9C513A" w14:textId="77777777" w:rsidR="008D7AD9" w:rsidRDefault="00000000">
            <w:pPr>
              <w:pStyle w:val="affa"/>
              <w:ind w:firstLineChars="0"/>
              <w:rPr>
                <w:sz w:val="21"/>
                <w:szCs w:val="21"/>
              </w:rPr>
            </w:pPr>
            <w:r>
              <w:rPr>
                <w:rFonts w:hint="eastAsia"/>
                <w:sz w:val="21"/>
                <w:szCs w:val="21"/>
              </w:rPr>
              <w:t>0.636</w:t>
            </w:r>
          </w:p>
        </w:tc>
        <w:tc>
          <w:tcPr>
            <w:tcW w:w="392" w:type="pct"/>
            <w:vAlign w:val="center"/>
          </w:tcPr>
          <w:p w14:paraId="4DE52491" w14:textId="77777777" w:rsidR="008D7AD9" w:rsidRDefault="00000000">
            <w:pPr>
              <w:pStyle w:val="affa"/>
              <w:ind w:firstLineChars="0"/>
              <w:rPr>
                <w:sz w:val="21"/>
                <w:szCs w:val="21"/>
              </w:rPr>
            </w:pPr>
            <w:r>
              <w:rPr>
                <w:rFonts w:hint="eastAsia"/>
                <w:sz w:val="21"/>
                <w:szCs w:val="21"/>
              </w:rPr>
              <w:t>0.745</w:t>
            </w:r>
          </w:p>
        </w:tc>
        <w:tc>
          <w:tcPr>
            <w:tcW w:w="415" w:type="pct"/>
            <w:vAlign w:val="center"/>
          </w:tcPr>
          <w:p w14:paraId="6AB8AA50" w14:textId="77777777" w:rsidR="008D7AD9" w:rsidRDefault="00000000">
            <w:pPr>
              <w:pStyle w:val="affa"/>
              <w:ind w:firstLineChars="0"/>
              <w:rPr>
                <w:sz w:val="21"/>
                <w:szCs w:val="21"/>
              </w:rPr>
            </w:pPr>
            <w:r>
              <w:rPr>
                <w:rFonts w:hint="eastAsia"/>
                <w:sz w:val="21"/>
                <w:szCs w:val="21"/>
              </w:rPr>
              <w:t>0.762</w:t>
            </w:r>
          </w:p>
        </w:tc>
        <w:tc>
          <w:tcPr>
            <w:tcW w:w="392" w:type="pct"/>
            <w:vAlign w:val="center"/>
          </w:tcPr>
          <w:p w14:paraId="496A9E85" w14:textId="77777777" w:rsidR="008D7AD9" w:rsidRDefault="00000000">
            <w:pPr>
              <w:pStyle w:val="affa"/>
              <w:ind w:firstLineChars="0"/>
              <w:rPr>
                <w:b/>
                <w:bCs/>
                <w:sz w:val="21"/>
                <w:szCs w:val="21"/>
              </w:rPr>
            </w:pPr>
            <w:r>
              <w:rPr>
                <w:rFonts w:hint="eastAsia"/>
                <w:b/>
                <w:bCs/>
                <w:sz w:val="21"/>
                <w:szCs w:val="21"/>
              </w:rPr>
              <w:t>0.880</w:t>
            </w:r>
          </w:p>
        </w:tc>
        <w:tc>
          <w:tcPr>
            <w:tcW w:w="392" w:type="pct"/>
            <w:vAlign w:val="center"/>
          </w:tcPr>
          <w:p w14:paraId="1A503DE5" w14:textId="77777777" w:rsidR="008D7AD9" w:rsidRDefault="008D7AD9">
            <w:pPr>
              <w:pStyle w:val="affa"/>
              <w:ind w:firstLineChars="0"/>
              <w:rPr>
                <w:sz w:val="21"/>
                <w:szCs w:val="21"/>
              </w:rPr>
            </w:pPr>
          </w:p>
        </w:tc>
        <w:tc>
          <w:tcPr>
            <w:tcW w:w="423" w:type="pct"/>
            <w:vAlign w:val="center"/>
          </w:tcPr>
          <w:p w14:paraId="13632B0C" w14:textId="77777777" w:rsidR="008D7AD9" w:rsidRDefault="008D7AD9">
            <w:pPr>
              <w:pStyle w:val="affa"/>
              <w:ind w:firstLineChars="0"/>
              <w:rPr>
                <w:sz w:val="21"/>
                <w:szCs w:val="21"/>
              </w:rPr>
            </w:pPr>
          </w:p>
        </w:tc>
      </w:tr>
      <w:tr w:rsidR="008D7AD9" w14:paraId="2E7D9A4F" w14:textId="77777777" w:rsidTr="008D7AD9">
        <w:trPr>
          <w:cantSplit/>
          <w:trHeight w:val="136"/>
        </w:trPr>
        <w:tc>
          <w:tcPr>
            <w:tcW w:w="1010" w:type="pct"/>
            <w:vAlign w:val="center"/>
          </w:tcPr>
          <w:p w14:paraId="1D5F2CF7" w14:textId="77777777" w:rsidR="008D7AD9" w:rsidRDefault="00000000">
            <w:pPr>
              <w:pStyle w:val="affa"/>
              <w:ind w:firstLineChars="0"/>
              <w:rPr>
                <w:sz w:val="21"/>
                <w:szCs w:val="21"/>
              </w:rPr>
            </w:pPr>
            <w:r>
              <w:rPr>
                <w:rFonts w:hint="eastAsia"/>
                <w:sz w:val="21"/>
                <w:szCs w:val="21"/>
              </w:rPr>
              <w:t>5.电站运营管理</w:t>
            </w:r>
          </w:p>
        </w:tc>
        <w:tc>
          <w:tcPr>
            <w:tcW w:w="629" w:type="pct"/>
            <w:vAlign w:val="center"/>
          </w:tcPr>
          <w:p w14:paraId="674CC0D7" w14:textId="77777777" w:rsidR="008D7AD9" w:rsidRDefault="00000000">
            <w:pPr>
              <w:pStyle w:val="affa"/>
              <w:ind w:firstLineChars="0"/>
              <w:rPr>
                <w:sz w:val="21"/>
                <w:szCs w:val="21"/>
              </w:rPr>
            </w:pPr>
            <w:r>
              <w:rPr>
                <w:rFonts w:hint="eastAsia"/>
                <w:sz w:val="21"/>
                <w:szCs w:val="21"/>
              </w:rPr>
              <w:t>0.962</w:t>
            </w:r>
          </w:p>
        </w:tc>
        <w:tc>
          <w:tcPr>
            <w:tcW w:w="405" w:type="pct"/>
            <w:vAlign w:val="center"/>
          </w:tcPr>
          <w:p w14:paraId="068EF264" w14:textId="77777777" w:rsidR="008D7AD9" w:rsidRDefault="00000000">
            <w:pPr>
              <w:pStyle w:val="affa"/>
              <w:ind w:firstLineChars="0"/>
              <w:rPr>
                <w:sz w:val="21"/>
                <w:szCs w:val="21"/>
              </w:rPr>
            </w:pPr>
            <w:r>
              <w:rPr>
                <w:rFonts w:hint="eastAsia"/>
                <w:sz w:val="21"/>
                <w:szCs w:val="21"/>
              </w:rPr>
              <w:t>0.957</w:t>
            </w:r>
          </w:p>
        </w:tc>
        <w:tc>
          <w:tcPr>
            <w:tcW w:w="446" w:type="pct"/>
            <w:vAlign w:val="center"/>
          </w:tcPr>
          <w:p w14:paraId="34F5AA97" w14:textId="77777777" w:rsidR="008D7AD9" w:rsidRDefault="00000000">
            <w:pPr>
              <w:pStyle w:val="affa"/>
              <w:ind w:firstLineChars="0"/>
              <w:rPr>
                <w:sz w:val="21"/>
                <w:szCs w:val="21"/>
              </w:rPr>
            </w:pPr>
            <w:r>
              <w:rPr>
                <w:rFonts w:hint="eastAsia"/>
                <w:sz w:val="21"/>
                <w:szCs w:val="21"/>
              </w:rPr>
              <w:t>0.847</w:t>
            </w:r>
          </w:p>
        </w:tc>
        <w:tc>
          <w:tcPr>
            <w:tcW w:w="493" w:type="pct"/>
            <w:vAlign w:val="center"/>
          </w:tcPr>
          <w:p w14:paraId="4F9E288A" w14:textId="77777777" w:rsidR="008D7AD9" w:rsidRDefault="00000000">
            <w:pPr>
              <w:pStyle w:val="affa"/>
              <w:ind w:firstLineChars="0"/>
              <w:rPr>
                <w:sz w:val="21"/>
                <w:szCs w:val="21"/>
              </w:rPr>
            </w:pPr>
            <w:r>
              <w:rPr>
                <w:rFonts w:hint="eastAsia"/>
                <w:sz w:val="21"/>
                <w:szCs w:val="21"/>
              </w:rPr>
              <w:t>0.630</w:t>
            </w:r>
          </w:p>
        </w:tc>
        <w:tc>
          <w:tcPr>
            <w:tcW w:w="392" w:type="pct"/>
            <w:vAlign w:val="center"/>
          </w:tcPr>
          <w:p w14:paraId="01860D21" w14:textId="77777777" w:rsidR="008D7AD9" w:rsidRDefault="00000000">
            <w:pPr>
              <w:pStyle w:val="affa"/>
              <w:ind w:firstLineChars="0"/>
              <w:rPr>
                <w:sz w:val="21"/>
                <w:szCs w:val="21"/>
              </w:rPr>
            </w:pPr>
            <w:r>
              <w:rPr>
                <w:rFonts w:hint="eastAsia"/>
                <w:sz w:val="21"/>
                <w:szCs w:val="21"/>
              </w:rPr>
              <w:t>0.773</w:t>
            </w:r>
          </w:p>
        </w:tc>
        <w:tc>
          <w:tcPr>
            <w:tcW w:w="415" w:type="pct"/>
            <w:vAlign w:val="center"/>
          </w:tcPr>
          <w:p w14:paraId="0EB25A0C" w14:textId="77777777" w:rsidR="008D7AD9" w:rsidRDefault="00000000">
            <w:pPr>
              <w:pStyle w:val="affa"/>
              <w:ind w:firstLineChars="0"/>
              <w:rPr>
                <w:sz w:val="21"/>
                <w:szCs w:val="21"/>
              </w:rPr>
            </w:pPr>
            <w:r>
              <w:rPr>
                <w:rFonts w:hint="eastAsia"/>
                <w:sz w:val="21"/>
                <w:szCs w:val="21"/>
              </w:rPr>
              <w:t>0.804</w:t>
            </w:r>
          </w:p>
        </w:tc>
        <w:tc>
          <w:tcPr>
            <w:tcW w:w="392" w:type="pct"/>
            <w:vAlign w:val="center"/>
          </w:tcPr>
          <w:p w14:paraId="6B353488" w14:textId="77777777" w:rsidR="008D7AD9" w:rsidRDefault="00000000">
            <w:pPr>
              <w:pStyle w:val="affa"/>
              <w:ind w:firstLineChars="0"/>
              <w:rPr>
                <w:sz w:val="21"/>
                <w:szCs w:val="21"/>
              </w:rPr>
            </w:pPr>
            <w:r>
              <w:rPr>
                <w:rFonts w:hint="eastAsia"/>
                <w:sz w:val="21"/>
                <w:szCs w:val="21"/>
              </w:rPr>
              <w:t>0.887</w:t>
            </w:r>
          </w:p>
        </w:tc>
        <w:tc>
          <w:tcPr>
            <w:tcW w:w="392" w:type="pct"/>
            <w:vAlign w:val="center"/>
          </w:tcPr>
          <w:p w14:paraId="732D3742" w14:textId="77777777" w:rsidR="008D7AD9" w:rsidRDefault="00000000">
            <w:pPr>
              <w:pStyle w:val="affa"/>
              <w:ind w:firstLineChars="0"/>
              <w:rPr>
                <w:b/>
                <w:bCs/>
                <w:sz w:val="21"/>
                <w:szCs w:val="21"/>
              </w:rPr>
            </w:pPr>
            <w:r>
              <w:rPr>
                <w:rFonts w:hint="eastAsia"/>
                <w:b/>
                <w:bCs/>
                <w:sz w:val="21"/>
                <w:szCs w:val="21"/>
              </w:rPr>
              <w:t>0.920</w:t>
            </w:r>
          </w:p>
        </w:tc>
        <w:tc>
          <w:tcPr>
            <w:tcW w:w="423" w:type="pct"/>
            <w:vAlign w:val="center"/>
          </w:tcPr>
          <w:p w14:paraId="28ADCC26" w14:textId="77777777" w:rsidR="008D7AD9" w:rsidRDefault="008D7AD9">
            <w:pPr>
              <w:pStyle w:val="affa"/>
              <w:ind w:firstLineChars="0"/>
              <w:rPr>
                <w:sz w:val="21"/>
                <w:szCs w:val="21"/>
              </w:rPr>
            </w:pPr>
          </w:p>
        </w:tc>
      </w:tr>
      <w:tr w:rsidR="008D7AD9" w14:paraId="5B8C739E" w14:textId="77777777" w:rsidTr="008D7AD9">
        <w:trPr>
          <w:cantSplit/>
          <w:trHeight w:val="136"/>
        </w:trPr>
        <w:tc>
          <w:tcPr>
            <w:tcW w:w="1010" w:type="pct"/>
            <w:vAlign w:val="center"/>
          </w:tcPr>
          <w:p w14:paraId="23958DA3" w14:textId="77777777" w:rsidR="008D7AD9" w:rsidRDefault="00000000">
            <w:pPr>
              <w:pStyle w:val="affa"/>
              <w:ind w:firstLineChars="0"/>
              <w:rPr>
                <w:sz w:val="21"/>
                <w:szCs w:val="21"/>
              </w:rPr>
            </w:pPr>
            <w:r>
              <w:rPr>
                <w:rFonts w:hint="eastAsia"/>
                <w:sz w:val="21"/>
                <w:szCs w:val="21"/>
              </w:rPr>
              <w:t>6.项目绩效</w:t>
            </w:r>
          </w:p>
        </w:tc>
        <w:tc>
          <w:tcPr>
            <w:tcW w:w="629" w:type="pct"/>
            <w:vAlign w:val="center"/>
          </w:tcPr>
          <w:p w14:paraId="3B675DE3" w14:textId="77777777" w:rsidR="008D7AD9" w:rsidRDefault="00000000">
            <w:pPr>
              <w:pStyle w:val="affa"/>
              <w:ind w:firstLineChars="0"/>
              <w:rPr>
                <w:sz w:val="21"/>
                <w:szCs w:val="21"/>
              </w:rPr>
            </w:pPr>
            <w:r>
              <w:rPr>
                <w:rFonts w:hint="eastAsia"/>
                <w:sz w:val="21"/>
                <w:szCs w:val="21"/>
              </w:rPr>
              <w:t>0.959</w:t>
            </w:r>
          </w:p>
        </w:tc>
        <w:tc>
          <w:tcPr>
            <w:tcW w:w="405" w:type="pct"/>
            <w:vAlign w:val="center"/>
          </w:tcPr>
          <w:p w14:paraId="0789A5BC" w14:textId="77777777" w:rsidR="008D7AD9" w:rsidRDefault="00000000">
            <w:pPr>
              <w:pStyle w:val="affa"/>
              <w:ind w:firstLineChars="0"/>
              <w:rPr>
                <w:sz w:val="21"/>
                <w:szCs w:val="21"/>
              </w:rPr>
            </w:pPr>
            <w:r>
              <w:rPr>
                <w:rFonts w:hint="eastAsia"/>
                <w:sz w:val="21"/>
                <w:szCs w:val="21"/>
              </w:rPr>
              <w:t>0.965</w:t>
            </w:r>
          </w:p>
        </w:tc>
        <w:tc>
          <w:tcPr>
            <w:tcW w:w="446" w:type="pct"/>
            <w:vAlign w:val="center"/>
          </w:tcPr>
          <w:p w14:paraId="46A7CFB9" w14:textId="77777777" w:rsidR="008D7AD9" w:rsidRDefault="00000000">
            <w:pPr>
              <w:pStyle w:val="affa"/>
              <w:ind w:firstLineChars="0"/>
              <w:rPr>
                <w:sz w:val="21"/>
                <w:szCs w:val="21"/>
              </w:rPr>
            </w:pPr>
            <w:r>
              <w:rPr>
                <w:rFonts w:hint="eastAsia"/>
                <w:sz w:val="21"/>
                <w:szCs w:val="21"/>
              </w:rPr>
              <w:t>0.752</w:t>
            </w:r>
          </w:p>
        </w:tc>
        <w:tc>
          <w:tcPr>
            <w:tcW w:w="493" w:type="pct"/>
            <w:vAlign w:val="center"/>
          </w:tcPr>
          <w:p w14:paraId="2ED8CF6A" w14:textId="77777777" w:rsidR="008D7AD9" w:rsidRDefault="00000000">
            <w:pPr>
              <w:pStyle w:val="affa"/>
              <w:ind w:firstLineChars="0"/>
              <w:rPr>
                <w:sz w:val="21"/>
                <w:szCs w:val="21"/>
              </w:rPr>
            </w:pPr>
            <w:r>
              <w:rPr>
                <w:rFonts w:hint="eastAsia"/>
                <w:sz w:val="21"/>
                <w:szCs w:val="21"/>
              </w:rPr>
              <w:t>0.587</w:t>
            </w:r>
          </w:p>
        </w:tc>
        <w:tc>
          <w:tcPr>
            <w:tcW w:w="392" w:type="pct"/>
            <w:vAlign w:val="center"/>
          </w:tcPr>
          <w:p w14:paraId="4E99DBDD" w14:textId="77777777" w:rsidR="008D7AD9" w:rsidRDefault="00000000">
            <w:pPr>
              <w:pStyle w:val="affa"/>
              <w:ind w:firstLineChars="0"/>
              <w:rPr>
                <w:sz w:val="21"/>
                <w:szCs w:val="21"/>
              </w:rPr>
            </w:pPr>
            <w:r>
              <w:rPr>
                <w:rFonts w:hint="eastAsia"/>
                <w:sz w:val="21"/>
                <w:szCs w:val="21"/>
              </w:rPr>
              <w:t>0.736</w:t>
            </w:r>
          </w:p>
        </w:tc>
        <w:tc>
          <w:tcPr>
            <w:tcW w:w="415" w:type="pct"/>
            <w:vAlign w:val="center"/>
          </w:tcPr>
          <w:p w14:paraId="7F949CA0" w14:textId="77777777" w:rsidR="008D7AD9" w:rsidRDefault="00000000">
            <w:pPr>
              <w:pStyle w:val="affa"/>
              <w:ind w:firstLineChars="0"/>
              <w:rPr>
                <w:sz w:val="21"/>
                <w:szCs w:val="21"/>
              </w:rPr>
            </w:pPr>
            <w:r>
              <w:rPr>
                <w:rFonts w:hint="eastAsia"/>
                <w:sz w:val="21"/>
                <w:szCs w:val="21"/>
              </w:rPr>
              <w:t>0.751</w:t>
            </w:r>
          </w:p>
        </w:tc>
        <w:tc>
          <w:tcPr>
            <w:tcW w:w="392" w:type="pct"/>
            <w:vAlign w:val="center"/>
          </w:tcPr>
          <w:p w14:paraId="0349A32F" w14:textId="77777777" w:rsidR="008D7AD9" w:rsidRDefault="00000000">
            <w:pPr>
              <w:pStyle w:val="affa"/>
              <w:ind w:firstLineChars="0"/>
              <w:rPr>
                <w:sz w:val="21"/>
                <w:szCs w:val="21"/>
              </w:rPr>
            </w:pPr>
            <w:r>
              <w:rPr>
                <w:rFonts w:hint="eastAsia"/>
                <w:sz w:val="21"/>
                <w:szCs w:val="21"/>
              </w:rPr>
              <w:t>0.781</w:t>
            </w:r>
          </w:p>
        </w:tc>
        <w:tc>
          <w:tcPr>
            <w:tcW w:w="392" w:type="pct"/>
            <w:vAlign w:val="center"/>
          </w:tcPr>
          <w:p w14:paraId="3B05FBB2" w14:textId="77777777" w:rsidR="008D7AD9" w:rsidRDefault="00000000">
            <w:pPr>
              <w:pStyle w:val="affa"/>
              <w:ind w:firstLineChars="0"/>
              <w:rPr>
                <w:sz w:val="21"/>
                <w:szCs w:val="21"/>
              </w:rPr>
            </w:pPr>
            <w:r>
              <w:rPr>
                <w:rFonts w:hint="eastAsia"/>
                <w:sz w:val="21"/>
                <w:szCs w:val="21"/>
              </w:rPr>
              <w:t>0.836</w:t>
            </w:r>
          </w:p>
        </w:tc>
        <w:tc>
          <w:tcPr>
            <w:tcW w:w="423" w:type="pct"/>
            <w:vAlign w:val="center"/>
          </w:tcPr>
          <w:p w14:paraId="6F95A94A" w14:textId="77777777" w:rsidR="008D7AD9" w:rsidRDefault="00000000">
            <w:pPr>
              <w:pStyle w:val="affa"/>
              <w:ind w:firstLineChars="0"/>
              <w:rPr>
                <w:b/>
                <w:bCs/>
                <w:sz w:val="21"/>
                <w:szCs w:val="21"/>
              </w:rPr>
            </w:pPr>
            <w:r>
              <w:rPr>
                <w:rFonts w:hint="eastAsia"/>
                <w:b/>
                <w:bCs/>
                <w:sz w:val="21"/>
                <w:szCs w:val="21"/>
              </w:rPr>
              <w:t>0.867</w:t>
            </w:r>
          </w:p>
        </w:tc>
      </w:tr>
    </w:tbl>
    <w:p w14:paraId="363C586E" w14:textId="77777777" w:rsidR="008D7AD9" w:rsidRDefault="00000000">
      <w:pPr>
        <w:spacing w:beforeLines="50" w:before="120"/>
        <w:ind w:firstLine="400"/>
        <w:rPr>
          <w:sz w:val="20"/>
        </w:rPr>
      </w:pPr>
      <w:r>
        <w:rPr>
          <w:rFonts w:hint="eastAsia"/>
          <w:sz w:val="20"/>
        </w:rPr>
        <w:t>注：右侧五维矩阵对角线为</w:t>
      </w:r>
      <w:r>
        <w:rPr>
          <w:rFonts w:hint="eastAsia"/>
          <w:sz w:val="20"/>
        </w:rPr>
        <w:t>AVE</w:t>
      </w:r>
      <w:r>
        <w:rPr>
          <w:rFonts w:hint="eastAsia"/>
          <w:sz w:val="20"/>
        </w:rPr>
        <w:t>平方根值，其余为相关系数</w:t>
      </w:r>
    </w:p>
    <w:p w14:paraId="65D17AAA" w14:textId="77777777" w:rsidR="008D7AD9" w:rsidRDefault="008D7AD9">
      <w:pPr>
        <w:spacing w:beforeLines="50" w:before="120"/>
        <w:ind w:firstLine="400"/>
        <w:rPr>
          <w:sz w:val="20"/>
        </w:rPr>
      </w:pPr>
    </w:p>
    <w:p w14:paraId="44193A3E" w14:textId="77777777" w:rsidR="007A446F" w:rsidRDefault="007A446F">
      <w:pPr>
        <w:spacing w:beforeLines="50" w:before="120"/>
        <w:ind w:firstLine="400"/>
        <w:rPr>
          <w:sz w:val="20"/>
        </w:rPr>
        <w:sectPr w:rsidR="007A446F">
          <w:type w:val="continuous"/>
          <w:pgSz w:w="11906" w:h="16838"/>
          <w:pgMar w:top="1440" w:right="1106" w:bottom="1440" w:left="1106" w:header="851" w:footer="992" w:gutter="0"/>
          <w:cols w:space="425"/>
          <w:titlePg/>
          <w:docGrid w:linePitch="312" w:charSpace="47234"/>
        </w:sectPr>
      </w:pPr>
    </w:p>
    <w:p w14:paraId="16DC44E7" w14:textId="77777777" w:rsidR="008D7AD9" w:rsidRDefault="00000000">
      <w:pPr>
        <w:ind w:firstLine="422"/>
        <w:rPr>
          <w:rFonts w:cs="Times New Roman"/>
          <w:b/>
          <w:bCs/>
        </w:rPr>
      </w:pPr>
      <w:r>
        <w:rPr>
          <w:rFonts w:cs="Times New Roman"/>
          <w:b/>
          <w:bCs/>
        </w:rPr>
        <w:t xml:space="preserve">4.2 </w:t>
      </w:r>
      <w:r>
        <w:rPr>
          <w:rFonts w:cs="Times New Roman" w:hint="eastAsia"/>
          <w:b/>
          <w:bCs/>
        </w:rPr>
        <w:t>结构模型检验</w:t>
      </w:r>
    </w:p>
    <w:p w14:paraId="1B4C065F" w14:textId="28CAB179" w:rsidR="008D7AD9" w:rsidRDefault="00000000">
      <w:pPr>
        <w:ind w:firstLine="420"/>
        <w:rPr>
          <w:rFonts w:cs="Times New Roman"/>
        </w:rPr>
      </w:pPr>
      <w:r>
        <w:rPr>
          <w:rFonts w:cs="Times New Roman" w:hint="eastAsia"/>
        </w:rPr>
        <w:t>采用拔靴法（</w:t>
      </w:r>
      <w:r>
        <w:rPr>
          <w:rFonts w:cs="Times New Roman" w:hint="eastAsia"/>
        </w:rPr>
        <w:t>Bootstrapping</w:t>
      </w:r>
      <w:r>
        <w:rPr>
          <w:rFonts w:cs="Times New Roman" w:hint="eastAsia"/>
        </w:rPr>
        <w:t>）计算模型的路径系数和显著性水平，取样次数为</w:t>
      </w:r>
      <w:r>
        <w:rPr>
          <w:rFonts w:cs="Times New Roman" w:hint="eastAsia"/>
        </w:rPr>
        <w:t>5000</w:t>
      </w:r>
      <w:r>
        <w:rPr>
          <w:rFonts w:cs="Times New Roman" w:hint="eastAsia"/>
        </w:rPr>
        <w:t>次。检验结果如</w:t>
      </w:r>
      <w:r>
        <w:rPr>
          <w:rFonts w:cs="Times New Roman" w:hint="eastAsia"/>
        </w:rPr>
        <w:fldChar w:fldCharType="begin"/>
      </w:r>
      <w:r>
        <w:rPr>
          <w:rFonts w:cs="Times New Roman" w:hint="eastAsia"/>
        </w:rPr>
        <w:instrText xml:space="preserve"> REF _Ref18057 \h </w:instrText>
      </w:r>
      <w:r>
        <w:rPr>
          <w:rFonts w:cs="Times New Roman" w:hint="eastAsia"/>
        </w:rPr>
      </w:r>
      <w:r>
        <w:rPr>
          <w:rFonts w:cs="Times New Roman" w:hint="eastAsia"/>
        </w:rPr>
        <w:fldChar w:fldCharType="separate"/>
      </w:r>
      <w:r w:rsidR="00B1714C">
        <w:t>表</w:t>
      </w:r>
      <w:r w:rsidR="00B1714C">
        <w:t xml:space="preserve"> </w:t>
      </w:r>
      <w:r w:rsidR="00B1714C">
        <w:rPr>
          <w:rFonts w:hint="eastAsia"/>
          <w:noProof/>
        </w:rPr>
        <w:t>8</w:t>
      </w:r>
      <w:r>
        <w:rPr>
          <w:rFonts w:cs="Times New Roman" w:hint="eastAsia"/>
        </w:rPr>
        <w:fldChar w:fldCharType="end"/>
      </w:r>
      <w:r>
        <w:rPr>
          <w:rFonts w:cs="Times New Roman" w:hint="eastAsia"/>
        </w:rPr>
        <w:t>所示，本研究提出的</w:t>
      </w:r>
      <w:r>
        <w:rPr>
          <w:rFonts w:cs="Times New Roman" w:hint="eastAsia"/>
        </w:rPr>
        <w:t>8</w:t>
      </w:r>
      <w:r>
        <w:rPr>
          <w:rFonts w:cs="Times New Roman" w:hint="eastAsia"/>
        </w:rPr>
        <w:t>条路径的路径系数</w:t>
      </w:r>
      <w:r>
        <w:rPr>
          <w:rFonts w:ascii="Arial" w:hAnsi="Arial" w:cs="Arial"/>
          <w:i/>
          <w:iCs/>
        </w:rPr>
        <w:t>β</w:t>
      </w:r>
      <w:r>
        <w:rPr>
          <w:rFonts w:cs="Times New Roman" w:hint="eastAsia"/>
        </w:rPr>
        <w:t>均大于</w:t>
      </w:r>
      <w:r>
        <w:rPr>
          <w:rFonts w:cs="Times New Roman" w:hint="eastAsia"/>
        </w:rPr>
        <w:t>0</w:t>
      </w:r>
      <w:r>
        <w:rPr>
          <w:rFonts w:cs="Times New Roman" w:hint="eastAsia"/>
        </w:rPr>
        <w:t>，且</w:t>
      </w:r>
      <w:r>
        <w:rPr>
          <w:rFonts w:cs="Times New Roman" w:hint="eastAsia"/>
        </w:rPr>
        <w:t>p</w:t>
      </w:r>
      <w:r>
        <w:rPr>
          <w:rFonts w:cs="Times New Roman" w:hint="eastAsia"/>
        </w:rPr>
        <w:t>值均小于</w:t>
      </w:r>
      <w:r>
        <w:rPr>
          <w:rFonts w:cs="Times New Roman" w:hint="eastAsia"/>
        </w:rPr>
        <w:t>0.001</w:t>
      </w:r>
      <w:r>
        <w:rPr>
          <w:rFonts w:cs="Times New Roman" w:hint="eastAsia"/>
        </w:rPr>
        <w:t>（即在</w:t>
      </w:r>
      <w:r>
        <w:rPr>
          <w:rFonts w:cs="Times New Roman" w:hint="eastAsia"/>
        </w:rPr>
        <w:t>1</w:t>
      </w:r>
      <w:r>
        <w:rPr>
          <w:rFonts w:cs="Times New Roman" w:hint="eastAsia"/>
        </w:rPr>
        <w:t>‰水平上显著），模型假设路径均通过验证，如</w:t>
      </w:r>
      <w:r>
        <w:rPr>
          <w:rFonts w:cs="Times New Roman" w:hint="eastAsia"/>
        </w:rPr>
        <w:fldChar w:fldCharType="begin"/>
      </w:r>
      <w:r>
        <w:rPr>
          <w:rFonts w:cs="Times New Roman" w:hint="eastAsia"/>
        </w:rPr>
        <w:instrText xml:space="preserve"> REF _Ref5202 \h </w:instrText>
      </w:r>
      <w:r>
        <w:rPr>
          <w:rFonts w:cs="Times New Roman" w:hint="eastAsia"/>
        </w:rPr>
      </w:r>
      <w:r>
        <w:rPr>
          <w:rFonts w:cs="Times New Roman" w:hint="eastAsia"/>
        </w:rPr>
        <w:fldChar w:fldCharType="separate"/>
      </w:r>
      <w:r w:rsidR="00B1714C">
        <w:t>图</w:t>
      </w:r>
      <w:r w:rsidR="00B1714C">
        <w:t xml:space="preserve"> </w:t>
      </w:r>
      <w:r w:rsidR="00B1714C">
        <w:rPr>
          <w:noProof/>
        </w:rPr>
        <w:t>2</w:t>
      </w:r>
      <w:r>
        <w:rPr>
          <w:rFonts w:cs="Times New Roman" w:hint="eastAsia"/>
        </w:rPr>
        <w:fldChar w:fldCharType="end"/>
      </w:r>
      <w:r>
        <w:rPr>
          <w:rFonts w:cs="Times New Roman" w:hint="eastAsia"/>
        </w:rPr>
        <w:t>所示。</w:t>
      </w:r>
    </w:p>
    <w:p w14:paraId="4E9D23AE" w14:textId="6DE18A2F" w:rsidR="008D7AD9" w:rsidRDefault="00000000">
      <w:pPr>
        <w:ind w:firstLine="420"/>
        <w:rPr>
          <w:rFonts w:cs="Times New Roman"/>
        </w:rPr>
      </w:pPr>
      <w:r>
        <w:rPr>
          <w:rFonts w:cs="Times New Roman" w:hint="eastAsia"/>
        </w:rPr>
        <w:t>由</w:t>
      </w:r>
      <w:r w:rsidR="00835F8C">
        <w:rPr>
          <w:rFonts w:cs="Times New Roman"/>
        </w:rPr>
        <w:fldChar w:fldCharType="begin"/>
      </w:r>
      <w:r w:rsidR="00835F8C">
        <w:rPr>
          <w:rFonts w:cs="Times New Roman"/>
        </w:rPr>
        <w:instrText xml:space="preserve"> </w:instrText>
      </w:r>
      <w:r w:rsidR="00835F8C">
        <w:rPr>
          <w:rFonts w:cs="Times New Roman" w:hint="eastAsia"/>
        </w:rPr>
        <w:instrText>REF _Ref199255008 \h</w:instrText>
      </w:r>
      <w:r w:rsidR="00835F8C">
        <w:rPr>
          <w:rFonts w:cs="Times New Roman"/>
        </w:rPr>
        <w:instrText xml:space="preserve"> </w:instrText>
      </w:r>
      <w:r w:rsidR="00835F8C">
        <w:rPr>
          <w:rFonts w:cs="Times New Roman"/>
        </w:rPr>
      </w:r>
      <w:r w:rsidR="00835F8C">
        <w:rPr>
          <w:rFonts w:cs="Times New Roman"/>
        </w:rPr>
        <w:fldChar w:fldCharType="separate"/>
      </w:r>
      <w:r w:rsidR="00B1714C">
        <w:t>表</w:t>
      </w:r>
      <w:r w:rsidR="00B1714C">
        <w:t xml:space="preserve"> </w:t>
      </w:r>
      <w:r w:rsidR="00B1714C">
        <w:rPr>
          <w:rFonts w:hint="eastAsia"/>
          <w:noProof/>
        </w:rPr>
        <w:t>9</w:t>
      </w:r>
      <w:r w:rsidR="00835F8C">
        <w:rPr>
          <w:rFonts w:cs="Times New Roman"/>
        </w:rPr>
        <w:fldChar w:fldCharType="end"/>
      </w:r>
      <w:r>
        <w:rPr>
          <w:rFonts w:cs="Times New Roman" w:hint="eastAsia"/>
        </w:rPr>
        <w:t>可知，模型内生变量调整后的解释力</w:t>
      </w:r>
      <m:oMath>
        <m:sSubSup>
          <m:sSubSupPr>
            <m:ctrlPr>
              <w:rPr>
                <w:rFonts w:ascii="Cambria Math" w:hAnsi="Cambria Math" w:cs="Times New Roman"/>
                <w:i/>
              </w:rPr>
            </m:ctrlPr>
          </m:sSubSupPr>
          <m:e>
            <m:r>
              <w:rPr>
                <w:rFonts w:ascii="Cambria Math" w:hAnsi="Cambria Math" w:cs="Times New Roman"/>
              </w:rPr>
              <m:t>R</m:t>
            </m:r>
          </m:e>
          <m:sub>
            <m:r>
              <w:rPr>
                <w:rFonts w:ascii="Cambria Math" w:hAnsi="Cambria Math" w:cs="Times New Roman"/>
              </w:rPr>
              <m:t>a</m:t>
            </m:r>
          </m:sub>
          <m:sup>
            <m:r>
              <w:rPr>
                <w:rFonts w:ascii="Cambria Math" w:hAnsi="Cambria Math" w:cs="Times New Roman"/>
              </w:rPr>
              <m:t>2</m:t>
            </m:r>
          </m:sup>
        </m:sSubSup>
      </m:oMath>
      <w:r>
        <w:rPr>
          <w:rFonts w:cs="Times New Roman" w:hint="eastAsia"/>
        </w:rPr>
        <w:t>均接近或大于</w:t>
      </w:r>
      <w:r>
        <w:rPr>
          <w:rFonts w:cs="Times New Roman" w:hint="eastAsia"/>
        </w:rPr>
        <w:t>0.67</w:t>
      </w:r>
      <w:r>
        <w:rPr>
          <w:rFonts w:cs="Times New Roman" w:hint="eastAsia"/>
        </w:rPr>
        <w:t>，模型对电价和市场机制、方案选择、电站运营管理和项目绩效内生变量的解释力较强。使用</w:t>
      </w:r>
      <w:r>
        <w:rPr>
          <w:rFonts w:cs="Times New Roman" w:hint="eastAsia"/>
        </w:rPr>
        <w:t>Blindfolding</w:t>
      </w:r>
      <w:r>
        <w:rPr>
          <w:rFonts w:cs="Times New Roman" w:hint="eastAsia"/>
        </w:rPr>
        <w:t>方法中交叉验证冗余（</w:t>
      </w:r>
      <w:r>
        <w:rPr>
          <w:rFonts w:cs="Times New Roman" w:hint="eastAsia"/>
        </w:rPr>
        <w:t>cross-validated redundancy</w:t>
      </w:r>
      <w:r>
        <w:rPr>
          <w:rFonts w:cs="Times New Roman" w:hint="eastAsia"/>
        </w:rPr>
        <w:t>）得到预测相关性</w:t>
      </w:r>
      <m:oMath>
        <m:sSup>
          <m:sSupPr>
            <m:ctrlPr>
              <w:rPr>
                <w:rFonts w:ascii="Cambria Math" w:hAnsi="Cambria Math" w:cs="Times New Roman"/>
                <w:i/>
              </w:rPr>
            </m:ctrlPr>
          </m:sSupPr>
          <m:e>
            <m:r>
              <w:rPr>
                <w:rFonts w:ascii="Cambria Math" w:hAnsi="Cambria Math" w:cs="Times New Roman"/>
              </w:rPr>
              <m:t>Q</m:t>
            </m:r>
          </m:e>
          <m:sup>
            <m:r>
              <w:rPr>
                <w:rFonts w:ascii="Cambria Math" w:hAnsi="Cambria Math" w:cs="Times New Roman"/>
              </w:rPr>
              <m:t>2</m:t>
            </m:r>
          </m:sup>
        </m:sSup>
      </m:oMath>
      <w:r>
        <w:rPr>
          <w:rFonts w:cs="Times New Roman" w:hint="eastAsia"/>
        </w:rPr>
        <w:t>，设定省略距离（</w:t>
      </w:r>
      <w:r>
        <w:rPr>
          <w:rFonts w:cs="Times New Roman" w:hint="eastAsia"/>
        </w:rPr>
        <w:t>Omission Distance</w:t>
      </w:r>
      <w:r>
        <w:rPr>
          <w:rFonts w:cs="Times New Roman" w:hint="eastAsia"/>
        </w:rPr>
        <w:t>）</w:t>
      </w:r>
      <w:r>
        <w:rPr>
          <w:rFonts w:cs="Times New Roman" w:hint="eastAsia"/>
        </w:rPr>
        <w:t>D=7</w:t>
      </w:r>
      <w:r>
        <w:rPr>
          <w:rFonts w:cs="Times New Roman" w:hint="eastAsia"/>
        </w:rPr>
        <w:t>，</w:t>
      </w:r>
      <m:oMath>
        <m:sSup>
          <m:sSupPr>
            <m:ctrlPr>
              <w:rPr>
                <w:rFonts w:ascii="Cambria Math" w:hAnsi="Cambria Math" w:cs="Times New Roman"/>
                <w:i/>
              </w:rPr>
            </m:ctrlPr>
          </m:sSupPr>
          <m:e>
            <m:r>
              <w:rPr>
                <w:rFonts w:ascii="Cambria Math" w:hAnsi="Cambria Math" w:cs="Times New Roman" w:hint="eastAsia"/>
              </w:rPr>
              <m:t>Q</m:t>
            </m:r>
          </m:e>
          <m:sup>
            <m:r>
              <w:rPr>
                <w:rFonts w:ascii="Cambria Math" w:hAnsi="Cambria Math" w:cs="Times New Roman"/>
              </w:rPr>
              <m:t>2</m:t>
            </m:r>
          </m:sup>
        </m:sSup>
      </m:oMath>
      <w:r>
        <w:rPr>
          <w:rFonts w:cs="Times New Roman" w:hint="eastAsia"/>
        </w:rPr>
        <w:t>值均大于</w:t>
      </w:r>
      <w:r>
        <w:rPr>
          <w:rFonts w:cs="Times New Roman" w:hint="eastAsia"/>
        </w:rPr>
        <w:t>0</w:t>
      </w:r>
      <w:r>
        <w:rPr>
          <w:rFonts w:cs="Times New Roman" w:hint="eastAsia"/>
        </w:rPr>
        <w:t>，表明模型具有预测相关性。此外，模型拟合指标：</w:t>
      </w:r>
      <w:r>
        <w:rPr>
          <w:rFonts w:cs="Times New Roman" w:hint="eastAsia"/>
        </w:rPr>
        <w:t>SRMR=0.046&lt;0.08</w:t>
      </w:r>
      <w:r>
        <w:rPr>
          <w:rFonts w:cs="Times New Roman" w:hint="eastAsia"/>
        </w:rPr>
        <w:t>，模型适配度良好。</w:t>
      </w:r>
    </w:p>
    <w:p w14:paraId="7D6EBAC0" w14:textId="77777777" w:rsidR="008D7AD9" w:rsidRDefault="008D7AD9">
      <w:pPr>
        <w:ind w:firstLine="420"/>
        <w:rPr>
          <w:rFonts w:cs="Times New Roman"/>
        </w:rPr>
        <w:sectPr w:rsidR="008D7AD9">
          <w:type w:val="continuous"/>
          <w:pgSz w:w="11906" w:h="16838"/>
          <w:pgMar w:top="1440" w:right="1106" w:bottom="1440" w:left="1106" w:header="851" w:footer="992" w:gutter="0"/>
          <w:cols w:num="2" w:space="425"/>
          <w:titlePg/>
          <w:docGrid w:type="linesAndChars" w:linePitch="312"/>
        </w:sectPr>
      </w:pPr>
    </w:p>
    <w:p w14:paraId="1BFF5136" w14:textId="77777777" w:rsidR="008D7AD9" w:rsidRDefault="008D7AD9">
      <w:pPr>
        <w:ind w:firstLine="420"/>
      </w:pPr>
    </w:p>
    <w:p w14:paraId="2CDB4907" w14:textId="50B7497B" w:rsidR="008D7AD9" w:rsidRDefault="00000000">
      <w:pPr>
        <w:pStyle w:val="aff3"/>
        <w:ind w:firstLine="420"/>
        <w:rPr>
          <w:rFonts w:hint="eastAsia"/>
        </w:rPr>
      </w:pPr>
      <w:bookmarkStart w:id="11" w:name="_Ref18057"/>
      <w:r>
        <w:t xml:space="preserve">表 </w:t>
      </w:r>
      <w:fldSimple w:instr=" SEQ 表 \* ARABIC ">
        <w:r w:rsidR="00B1714C">
          <w:rPr>
            <w:rFonts w:hint="eastAsia"/>
            <w:noProof/>
          </w:rPr>
          <w:t>8</w:t>
        </w:r>
      </w:fldSimple>
      <w:bookmarkEnd w:id="11"/>
      <w:r>
        <w:rPr>
          <w:rFonts w:hint="eastAsia"/>
        </w:rPr>
        <w:t xml:space="preserve"> 结构方程模型路径系数及显著性</w:t>
      </w:r>
    </w:p>
    <w:tbl>
      <w:tblPr>
        <w:tblStyle w:val="110"/>
        <w:tblW w:w="4998" w:type="pct"/>
        <w:tblLook w:val="04A0" w:firstRow="1" w:lastRow="0" w:firstColumn="1" w:lastColumn="0" w:noHBand="0" w:noVBand="1"/>
      </w:tblPr>
      <w:tblGrid>
        <w:gridCol w:w="5614"/>
        <w:gridCol w:w="1837"/>
        <w:gridCol w:w="1167"/>
        <w:gridCol w:w="1288"/>
      </w:tblGrid>
      <w:tr w:rsidR="008D7AD9" w14:paraId="725DFDF8" w14:textId="77777777" w:rsidTr="008D7AD9">
        <w:trPr>
          <w:cnfStyle w:val="100000000000" w:firstRow="1" w:lastRow="0" w:firstColumn="0" w:lastColumn="0" w:oddVBand="0" w:evenVBand="0" w:oddHBand="0" w:evenHBand="0" w:firstRowFirstColumn="0" w:firstRowLastColumn="0" w:lastRowFirstColumn="0" w:lastRowLastColumn="0"/>
          <w:trHeight w:val="170"/>
        </w:trPr>
        <w:tc>
          <w:tcPr>
            <w:tcW w:w="2832" w:type="pct"/>
          </w:tcPr>
          <w:p w14:paraId="738D6529" w14:textId="77777777" w:rsidR="008D7AD9" w:rsidRDefault="00000000">
            <w:pPr>
              <w:pStyle w:val="affa"/>
              <w:spacing w:before="0" w:after="0"/>
              <w:ind w:firstLineChars="0"/>
              <w:rPr>
                <w:b w:val="0"/>
                <w:sz w:val="21"/>
                <w:szCs w:val="21"/>
              </w:rPr>
            </w:pPr>
            <w:r>
              <w:rPr>
                <w:rFonts w:hint="eastAsia"/>
                <w:sz w:val="21"/>
                <w:szCs w:val="21"/>
              </w:rPr>
              <w:t>假设</w:t>
            </w:r>
          </w:p>
        </w:tc>
        <w:tc>
          <w:tcPr>
            <w:tcW w:w="926" w:type="pct"/>
          </w:tcPr>
          <w:p w14:paraId="126ECB03" w14:textId="77777777" w:rsidR="008D7AD9" w:rsidRDefault="00000000">
            <w:pPr>
              <w:pStyle w:val="affa"/>
              <w:spacing w:before="0" w:after="0"/>
              <w:ind w:firstLineChars="0"/>
              <w:rPr>
                <w:b w:val="0"/>
                <w:sz w:val="21"/>
                <w:szCs w:val="21"/>
              </w:rPr>
            </w:pPr>
            <w:r>
              <w:rPr>
                <w:rFonts w:hint="eastAsia"/>
                <w:sz w:val="21"/>
                <w:szCs w:val="21"/>
              </w:rPr>
              <w:t>路径系数</w:t>
            </w:r>
            <w:r>
              <w:rPr>
                <w:rFonts w:ascii="Arial" w:hAnsi="Arial" w:cs="Arial"/>
                <w:i/>
                <w:iCs/>
              </w:rPr>
              <w:t>β</w:t>
            </w:r>
          </w:p>
        </w:tc>
        <w:tc>
          <w:tcPr>
            <w:tcW w:w="589" w:type="pct"/>
          </w:tcPr>
          <w:p w14:paraId="3F6EE1F8" w14:textId="77777777" w:rsidR="008D7AD9" w:rsidRDefault="00000000">
            <w:pPr>
              <w:pStyle w:val="affa"/>
              <w:spacing w:before="0" w:after="0"/>
              <w:ind w:firstLineChars="0"/>
              <w:rPr>
                <w:b w:val="0"/>
                <w:sz w:val="21"/>
                <w:szCs w:val="21"/>
              </w:rPr>
            </w:pPr>
            <w:r>
              <w:rPr>
                <w:rFonts w:hint="eastAsia"/>
                <w:sz w:val="21"/>
                <w:szCs w:val="21"/>
              </w:rPr>
              <w:t>t</w:t>
            </w:r>
          </w:p>
        </w:tc>
        <w:tc>
          <w:tcPr>
            <w:tcW w:w="650" w:type="pct"/>
          </w:tcPr>
          <w:p w14:paraId="1BDFC38F" w14:textId="77777777" w:rsidR="008D7AD9" w:rsidRDefault="00000000">
            <w:pPr>
              <w:pStyle w:val="affa"/>
              <w:spacing w:before="0" w:after="0"/>
              <w:ind w:firstLineChars="0"/>
              <w:rPr>
                <w:b w:val="0"/>
                <w:sz w:val="21"/>
                <w:szCs w:val="21"/>
              </w:rPr>
            </w:pPr>
            <w:r>
              <w:rPr>
                <w:rFonts w:hint="eastAsia"/>
                <w:sz w:val="21"/>
                <w:szCs w:val="21"/>
              </w:rPr>
              <w:t>p</w:t>
            </w:r>
          </w:p>
        </w:tc>
      </w:tr>
      <w:tr w:rsidR="008D7AD9" w14:paraId="357054FE" w14:textId="77777777" w:rsidTr="008D7AD9">
        <w:trPr>
          <w:trHeight w:val="170"/>
        </w:trPr>
        <w:tc>
          <w:tcPr>
            <w:tcW w:w="2832" w:type="pct"/>
          </w:tcPr>
          <w:p w14:paraId="1AE4F5B4" w14:textId="77777777" w:rsidR="008D7AD9" w:rsidRDefault="00000000">
            <w:pPr>
              <w:pStyle w:val="affa"/>
              <w:spacing w:before="0" w:after="0"/>
              <w:ind w:firstLineChars="0"/>
              <w:rPr>
                <w:sz w:val="21"/>
                <w:szCs w:val="21"/>
              </w:rPr>
            </w:pPr>
            <w:r>
              <w:rPr>
                <w:rFonts w:hint="eastAsia"/>
                <w:sz w:val="21"/>
                <w:szCs w:val="21"/>
              </w:rPr>
              <w:t>假设</w:t>
            </w:r>
            <w:r>
              <w:rPr>
                <w:rFonts w:hint="eastAsia"/>
                <w:sz w:val="21"/>
                <w:szCs w:val="21"/>
              </w:rPr>
              <w:t>1</w:t>
            </w:r>
            <w:r>
              <w:rPr>
                <w:rFonts w:hint="eastAsia"/>
                <w:sz w:val="21"/>
                <w:szCs w:val="21"/>
              </w:rPr>
              <w:t>：多能互补→整体条件</w:t>
            </w:r>
          </w:p>
        </w:tc>
        <w:tc>
          <w:tcPr>
            <w:tcW w:w="926" w:type="pct"/>
          </w:tcPr>
          <w:p w14:paraId="5CB2AF5D" w14:textId="77777777" w:rsidR="008D7AD9" w:rsidRDefault="00000000">
            <w:pPr>
              <w:pStyle w:val="affa"/>
              <w:spacing w:before="0" w:after="0"/>
              <w:ind w:firstLineChars="0"/>
              <w:rPr>
                <w:sz w:val="21"/>
                <w:szCs w:val="21"/>
              </w:rPr>
            </w:pPr>
            <w:r>
              <w:rPr>
                <w:rFonts w:hint="eastAsia"/>
                <w:sz w:val="21"/>
                <w:szCs w:val="21"/>
              </w:rPr>
              <w:t>0.629</w:t>
            </w:r>
          </w:p>
        </w:tc>
        <w:tc>
          <w:tcPr>
            <w:tcW w:w="589" w:type="pct"/>
          </w:tcPr>
          <w:p w14:paraId="4DFE6CBC" w14:textId="77777777" w:rsidR="008D7AD9" w:rsidRDefault="00000000">
            <w:pPr>
              <w:pStyle w:val="affa"/>
              <w:spacing w:before="0" w:after="0"/>
              <w:ind w:firstLineChars="0"/>
              <w:rPr>
                <w:sz w:val="21"/>
                <w:szCs w:val="21"/>
              </w:rPr>
            </w:pPr>
            <w:r>
              <w:rPr>
                <w:rFonts w:hint="eastAsia"/>
                <w:sz w:val="21"/>
                <w:szCs w:val="21"/>
              </w:rPr>
              <w:t>11.324</w:t>
            </w:r>
          </w:p>
        </w:tc>
        <w:tc>
          <w:tcPr>
            <w:tcW w:w="650" w:type="pct"/>
          </w:tcPr>
          <w:p w14:paraId="349E3BFE" w14:textId="77777777" w:rsidR="008D7AD9" w:rsidRDefault="00000000">
            <w:pPr>
              <w:pStyle w:val="affa"/>
              <w:spacing w:before="0" w:after="0"/>
              <w:ind w:firstLineChars="0"/>
              <w:rPr>
                <w:sz w:val="21"/>
                <w:szCs w:val="21"/>
              </w:rPr>
            </w:pPr>
            <w:r>
              <w:rPr>
                <w:rFonts w:hint="eastAsia"/>
                <w:sz w:val="21"/>
                <w:szCs w:val="21"/>
              </w:rPr>
              <w:t>&lt;0.001</w:t>
            </w:r>
          </w:p>
        </w:tc>
      </w:tr>
      <w:tr w:rsidR="008D7AD9" w14:paraId="388D6100" w14:textId="77777777" w:rsidTr="008D7AD9">
        <w:trPr>
          <w:trHeight w:val="170"/>
        </w:trPr>
        <w:tc>
          <w:tcPr>
            <w:tcW w:w="2832" w:type="pct"/>
          </w:tcPr>
          <w:p w14:paraId="31796652" w14:textId="77777777" w:rsidR="008D7AD9" w:rsidRDefault="00000000">
            <w:pPr>
              <w:pStyle w:val="affa"/>
              <w:spacing w:before="0" w:after="0"/>
              <w:ind w:firstLineChars="0"/>
              <w:rPr>
                <w:sz w:val="21"/>
                <w:szCs w:val="21"/>
              </w:rPr>
            </w:pPr>
            <w:r>
              <w:rPr>
                <w:rFonts w:hint="eastAsia"/>
                <w:sz w:val="21"/>
                <w:szCs w:val="21"/>
              </w:rPr>
              <w:t>假设</w:t>
            </w:r>
            <w:r>
              <w:rPr>
                <w:rFonts w:hint="eastAsia"/>
                <w:sz w:val="21"/>
                <w:szCs w:val="21"/>
              </w:rPr>
              <w:t>2</w:t>
            </w:r>
            <w:r>
              <w:rPr>
                <w:rFonts w:hint="eastAsia"/>
                <w:sz w:val="21"/>
                <w:szCs w:val="21"/>
              </w:rPr>
              <w:t>：多能互补→电价和市场机制</w:t>
            </w:r>
          </w:p>
        </w:tc>
        <w:tc>
          <w:tcPr>
            <w:tcW w:w="926" w:type="pct"/>
          </w:tcPr>
          <w:p w14:paraId="19572DA9" w14:textId="77777777" w:rsidR="008D7AD9" w:rsidRDefault="00000000">
            <w:pPr>
              <w:pStyle w:val="affa"/>
              <w:spacing w:before="0" w:after="0"/>
              <w:ind w:firstLineChars="0"/>
              <w:rPr>
                <w:sz w:val="21"/>
                <w:szCs w:val="21"/>
              </w:rPr>
            </w:pPr>
            <w:r>
              <w:rPr>
                <w:rFonts w:hint="eastAsia"/>
                <w:sz w:val="21"/>
                <w:szCs w:val="21"/>
              </w:rPr>
              <w:t>0.278</w:t>
            </w:r>
          </w:p>
        </w:tc>
        <w:tc>
          <w:tcPr>
            <w:tcW w:w="589" w:type="pct"/>
          </w:tcPr>
          <w:p w14:paraId="407F6604" w14:textId="77777777" w:rsidR="008D7AD9" w:rsidRDefault="00000000">
            <w:pPr>
              <w:pStyle w:val="affa"/>
              <w:spacing w:before="0" w:after="0"/>
              <w:ind w:firstLineChars="0"/>
              <w:rPr>
                <w:sz w:val="21"/>
                <w:szCs w:val="21"/>
              </w:rPr>
            </w:pPr>
            <w:r>
              <w:rPr>
                <w:rFonts w:hint="eastAsia"/>
                <w:sz w:val="21"/>
                <w:szCs w:val="21"/>
              </w:rPr>
              <w:t>4.622</w:t>
            </w:r>
          </w:p>
        </w:tc>
        <w:tc>
          <w:tcPr>
            <w:tcW w:w="650" w:type="pct"/>
          </w:tcPr>
          <w:p w14:paraId="72797513" w14:textId="77777777" w:rsidR="008D7AD9" w:rsidRDefault="00000000">
            <w:pPr>
              <w:pStyle w:val="affa"/>
              <w:spacing w:before="0" w:after="0"/>
              <w:ind w:firstLineChars="0"/>
              <w:rPr>
                <w:sz w:val="21"/>
                <w:szCs w:val="21"/>
              </w:rPr>
            </w:pPr>
            <w:r>
              <w:rPr>
                <w:rFonts w:hint="eastAsia"/>
                <w:sz w:val="21"/>
                <w:szCs w:val="21"/>
              </w:rPr>
              <w:t>&lt;0.001</w:t>
            </w:r>
          </w:p>
        </w:tc>
      </w:tr>
      <w:tr w:rsidR="008D7AD9" w14:paraId="2B21F6A2" w14:textId="77777777" w:rsidTr="008D7AD9">
        <w:trPr>
          <w:trHeight w:val="170"/>
        </w:trPr>
        <w:tc>
          <w:tcPr>
            <w:tcW w:w="2832" w:type="pct"/>
          </w:tcPr>
          <w:p w14:paraId="22CF03A9" w14:textId="77777777" w:rsidR="008D7AD9" w:rsidRDefault="00000000">
            <w:pPr>
              <w:pStyle w:val="affa"/>
              <w:spacing w:before="0" w:after="0"/>
              <w:ind w:firstLineChars="0"/>
              <w:rPr>
                <w:sz w:val="21"/>
                <w:szCs w:val="21"/>
              </w:rPr>
            </w:pPr>
            <w:r>
              <w:rPr>
                <w:rFonts w:hint="eastAsia"/>
                <w:sz w:val="21"/>
                <w:szCs w:val="21"/>
              </w:rPr>
              <w:t>假设</w:t>
            </w:r>
            <w:r>
              <w:rPr>
                <w:rFonts w:hint="eastAsia"/>
                <w:sz w:val="21"/>
                <w:szCs w:val="21"/>
              </w:rPr>
              <w:t>3</w:t>
            </w:r>
            <w:r>
              <w:rPr>
                <w:rFonts w:hint="eastAsia"/>
                <w:sz w:val="21"/>
                <w:szCs w:val="21"/>
              </w:rPr>
              <w:t>：整体条件→电价和市场机制</w:t>
            </w:r>
          </w:p>
        </w:tc>
        <w:tc>
          <w:tcPr>
            <w:tcW w:w="926" w:type="pct"/>
          </w:tcPr>
          <w:p w14:paraId="7ACC28E2" w14:textId="77777777" w:rsidR="008D7AD9" w:rsidRDefault="00000000">
            <w:pPr>
              <w:pStyle w:val="affa"/>
              <w:spacing w:before="0" w:after="0"/>
              <w:ind w:firstLineChars="0"/>
              <w:rPr>
                <w:sz w:val="21"/>
                <w:szCs w:val="21"/>
              </w:rPr>
            </w:pPr>
            <w:r>
              <w:rPr>
                <w:rFonts w:hint="eastAsia"/>
                <w:sz w:val="21"/>
                <w:szCs w:val="21"/>
              </w:rPr>
              <w:t>0.570</w:t>
            </w:r>
          </w:p>
        </w:tc>
        <w:tc>
          <w:tcPr>
            <w:tcW w:w="589" w:type="pct"/>
          </w:tcPr>
          <w:p w14:paraId="054952AD" w14:textId="77777777" w:rsidR="008D7AD9" w:rsidRDefault="00000000">
            <w:pPr>
              <w:pStyle w:val="affa"/>
              <w:spacing w:before="0" w:after="0"/>
              <w:ind w:firstLineChars="0"/>
              <w:rPr>
                <w:sz w:val="21"/>
                <w:szCs w:val="21"/>
              </w:rPr>
            </w:pPr>
            <w:r>
              <w:rPr>
                <w:rFonts w:hint="eastAsia"/>
                <w:sz w:val="21"/>
                <w:szCs w:val="21"/>
              </w:rPr>
              <w:t>9.100</w:t>
            </w:r>
          </w:p>
        </w:tc>
        <w:tc>
          <w:tcPr>
            <w:tcW w:w="650" w:type="pct"/>
          </w:tcPr>
          <w:p w14:paraId="68F571F7" w14:textId="77777777" w:rsidR="008D7AD9" w:rsidRDefault="00000000">
            <w:pPr>
              <w:pStyle w:val="affa"/>
              <w:spacing w:before="0" w:after="0"/>
              <w:ind w:firstLineChars="0"/>
              <w:rPr>
                <w:sz w:val="21"/>
                <w:szCs w:val="21"/>
              </w:rPr>
            </w:pPr>
            <w:r>
              <w:rPr>
                <w:rFonts w:hint="eastAsia"/>
                <w:sz w:val="21"/>
                <w:szCs w:val="21"/>
              </w:rPr>
              <w:t>&lt;0.001</w:t>
            </w:r>
          </w:p>
        </w:tc>
      </w:tr>
      <w:tr w:rsidR="008D7AD9" w14:paraId="3D944A0D" w14:textId="77777777" w:rsidTr="008D7AD9">
        <w:trPr>
          <w:trHeight w:val="170"/>
        </w:trPr>
        <w:tc>
          <w:tcPr>
            <w:tcW w:w="2832" w:type="pct"/>
          </w:tcPr>
          <w:p w14:paraId="50FF7FE4" w14:textId="77777777" w:rsidR="008D7AD9" w:rsidRDefault="00000000">
            <w:pPr>
              <w:pStyle w:val="affa"/>
              <w:spacing w:before="0" w:after="0"/>
              <w:ind w:firstLineChars="0"/>
              <w:rPr>
                <w:sz w:val="21"/>
                <w:szCs w:val="21"/>
              </w:rPr>
            </w:pPr>
            <w:r>
              <w:rPr>
                <w:rFonts w:hint="eastAsia"/>
                <w:sz w:val="21"/>
                <w:szCs w:val="21"/>
              </w:rPr>
              <w:t>假设</w:t>
            </w:r>
            <w:r>
              <w:rPr>
                <w:rFonts w:hint="eastAsia"/>
                <w:sz w:val="21"/>
                <w:szCs w:val="21"/>
              </w:rPr>
              <w:t>4</w:t>
            </w:r>
            <w:r>
              <w:rPr>
                <w:rFonts w:hint="eastAsia"/>
                <w:sz w:val="21"/>
                <w:szCs w:val="21"/>
              </w:rPr>
              <w:t>：整体条件→方案选择</w:t>
            </w:r>
          </w:p>
        </w:tc>
        <w:tc>
          <w:tcPr>
            <w:tcW w:w="926" w:type="pct"/>
          </w:tcPr>
          <w:p w14:paraId="74DA1BE7" w14:textId="77777777" w:rsidR="008D7AD9" w:rsidRDefault="00000000">
            <w:pPr>
              <w:pStyle w:val="affa"/>
              <w:spacing w:before="0" w:after="0"/>
              <w:ind w:firstLineChars="0"/>
              <w:rPr>
                <w:sz w:val="21"/>
                <w:szCs w:val="21"/>
              </w:rPr>
            </w:pPr>
            <w:r>
              <w:rPr>
                <w:rFonts w:hint="eastAsia"/>
                <w:sz w:val="21"/>
                <w:szCs w:val="21"/>
              </w:rPr>
              <w:t>0.519</w:t>
            </w:r>
          </w:p>
        </w:tc>
        <w:tc>
          <w:tcPr>
            <w:tcW w:w="589" w:type="pct"/>
          </w:tcPr>
          <w:p w14:paraId="6E6D5118" w14:textId="77777777" w:rsidR="008D7AD9" w:rsidRDefault="00000000">
            <w:pPr>
              <w:pStyle w:val="affa"/>
              <w:spacing w:before="0" w:after="0"/>
              <w:ind w:firstLineChars="0"/>
              <w:rPr>
                <w:sz w:val="21"/>
                <w:szCs w:val="21"/>
              </w:rPr>
            </w:pPr>
            <w:r>
              <w:rPr>
                <w:rFonts w:hint="eastAsia"/>
                <w:sz w:val="21"/>
                <w:szCs w:val="21"/>
              </w:rPr>
              <w:t>7.508</w:t>
            </w:r>
          </w:p>
        </w:tc>
        <w:tc>
          <w:tcPr>
            <w:tcW w:w="650" w:type="pct"/>
          </w:tcPr>
          <w:p w14:paraId="72CD0060" w14:textId="77777777" w:rsidR="008D7AD9" w:rsidRDefault="00000000">
            <w:pPr>
              <w:pStyle w:val="affa"/>
              <w:spacing w:before="0" w:after="0"/>
              <w:ind w:firstLineChars="0"/>
              <w:rPr>
                <w:sz w:val="21"/>
                <w:szCs w:val="21"/>
              </w:rPr>
            </w:pPr>
            <w:r>
              <w:rPr>
                <w:rFonts w:hint="eastAsia"/>
                <w:sz w:val="21"/>
                <w:szCs w:val="21"/>
              </w:rPr>
              <w:t>&lt;0.001</w:t>
            </w:r>
          </w:p>
        </w:tc>
      </w:tr>
      <w:tr w:rsidR="008D7AD9" w14:paraId="554BEB23" w14:textId="77777777" w:rsidTr="008D7AD9">
        <w:trPr>
          <w:trHeight w:val="170"/>
        </w:trPr>
        <w:tc>
          <w:tcPr>
            <w:tcW w:w="2832" w:type="pct"/>
          </w:tcPr>
          <w:p w14:paraId="7CE9B334" w14:textId="77777777" w:rsidR="008D7AD9" w:rsidRDefault="00000000">
            <w:pPr>
              <w:pStyle w:val="affa"/>
              <w:spacing w:before="0" w:after="0"/>
              <w:ind w:firstLineChars="0"/>
              <w:rPr>
                <w:sz w:val="21"/>
                <w:szCs w:val="21"/>
              </w:rPr>
            </w:pPr>
            <w:r>
              <w:rPr>
                <w:rFonts w:hint="eastAsia"/>
                <w:sz w:val="21"/>
                <w:szCs w:val="21"/>
              </w:rPr>
              <w:t>假设</w:t>
            </w:r>
            <w:r>
              <w:rPr>
                <w:rFonts w:hint="eastAsia"/>
                <w:sz w:val="21"/>
                <w:szCs w:val="21"/>
              </w:rPr>
              <w:t>5</w:t>
            </w:r>
            <w:r>
              <w:rPr>
                <w:rFonts w:hint="eastAsia"/>
                <w:sz w:val="21"/>
                <w:szCs w:val="21"/>
              </w:rPr>
              <w:t>：电价和市场机制→方案选择</w:t>
            </w:r>
          </w:p>
        </w:tc>
        <w:tc>
          <w:tcPr>
            <w:tcW w:w="926" w:type="pct"/>
          </w:tcPr>
          <w:p w14:paraId="2C8CD3F8" w14:textId="77777777" w:rsidR="008D7AD9" w:rsidRDefault="00000000">
            <w:pPr>
              <w:pStyle w:val="affa"/>
              <w:spacing w:before="0" w:after="0"/>
              <w:ind w:firstLineChars="0"/>
              <w:rPr>
                <w:sz w:val="21"/>
                <w:szCs w:val="21"/>
              </w:rPr>
            </w:pPr>
            <w:r>
              <w:rPr>
                <w:rFonts w:hint="eastAsia"/>
                <w:sz w:val="21"/>
                <w:szCs w:val="21"/>
              </w:rPr>
              <w:t>0.376</w:t>
            </w:r>
          </w:p>
        </w:tc>
        <w:tc>
          <w:tcPr>
            <w:tcW w:w="589" w:type="pct"/>
          </w:tcPr>
          <w:p w14:paraId="31AC9129" w14:textId="77777777" w:rsidR="008D7AD9" w:rsidRDefault="00000000">
            <w:pPr>
              <w:pStyle w:val="affa"/>
              <w:spacing w:before="0" w:after="0"/>
              <w:ind w:firstLineChars="0"/>
              <w:rPr>
                <w:sz w:val="21"/>
                <w:szCs w:val="21"/>
              </w:rPr>
            </w:pPr>
            <w:r>
              <w:rPr>
                <w:rFonts w:hint="eastAsia"/>
                <w:sz w:val="21"/>
                <w:szCs w:val="21"/>
              </w:rPr>
              <w:t>5.285</w:t>
            </w:r>
          </w:p>
        </w:tc>
        <w:tc>
          <w:tcPr>
            <w:tcW w:w="650" w:type="pct"/>
          </w:tcPr>
          <w:p w14:paraId="444990FC" w14:textId="77777777" w:rsidR="008D7AD9" w:rsidRDefault="00000000">
            <w:pPr>
              <w:pStyle w:val="affa"/>
              <w:spacing w:before="0" w:after="0"/>
              <w:ind w:firstLineChars="0"/>
              <w:rPr>
                <w:sz w:val="21"/>
                <w:szCs w:val="21"/>
              </w:rPr>
            </w:pPr>
            <w:r>
              <w:rPr>
                <w:rFonts w:hint="eastAsia"/>
                <w:sz w:val="21"/>
                <w:szCs w:val="21"/>
              </w:rPr>
              <w:t>&lt;0.001</w:t>
            </w:r>
          </w:p>
        </w:tc>
      </w:tr>
      <w:tr w:rsidR="008D7AD9" w14:paraId="174F5635" w14:textId="77777777" w:rsidTr="008D7AD9">
        <w:trPr>
          <w:trHeight w:val="170"/>
        </w:trPr>
        <w:tc>
          <w:tcPr>
            <w:tcW w:w="2832" w:type="pct"/>
          </w:tcPr>
          <w:p w14:paraId="5C888484" w14:textId="77777777" w:rsidR="008D7AD9" w:rsidRDefault="00000000">
            <w:pPr>
              <w:pStyle w:val="affa"/>
              <w:spacing w:before="0" w:after="0"/>
              <w:ind w:firstLineChars="0"/>
              <w:rPr>
                <w:sz w:val="21"/>
                <w:szCs w:val="21"/>
              </w:rPr>
            </w:pPr>
            <w:r>
              <w:rPr>
                <w:rFonts w:hint="eastAsia"/>
                <w:sz w:val="21"/>
                <w:szCs w:val="21"/>
              </w:rPr>
              <w:t>假设</w:t>
            </w:r>
            <w:r>
              <w:rPr>
                <w:rFonts w:hint="eastAsia"/>
                <w:sz w:val="21"/>
                <w:szCs w:val="21"/>
              </w:rPr>
              <w:t>6</w:t>
            </w:r>
            <w:r>
              <w:rPr>
                <w:rFonts w:hint="eastAsia"/>
                <w:sz w:val="21"/>
                <w:szCs w:val="21"/>
              </w:rPr>
              <w:t>：电价和市场机制→电站运营管理</w:t>
            </w:r>
          </w:p>
        </w:tc>
        <w:tc>
          <w:tcPr>
            <w:tcW w:w="926" w:type="pct"/>
          </w:tcPr>
          <w:p w14:paraId="7C509DE2" w14:textId="77777777" w:rsidR="008D7AD9" w:rsidRDefault="00000000">
            <w:pPr>
              <w:pStyle w:val="affa"/>
              <w:spacing w:before="0" w:after="0"/>
              <w:ind w:firstLineChars="0"/>
              <w:rPr>
                <w:sz w:val="21"/>
                <w:szCs w:val="21"/>
              </w:rPr>
            </w:pPr>
            <w:r>
              <w:rPr>
                <w:rFonts w:hint="eastAsia"/>
                <w:sz w:val="21"/>
                <w:szCs w:val="21"/>
              </w:rPr>
              <w:t>0.656</w:t>
            </w:r>
          </w:p>
        </w:tc>
        <w:tc>
          <w:tcPr>
            <w:tcW w:w="589" w:type="pct"/>
          </w:tcPr>
          <w:p w14:paraId="3BC5D074" w14:textId="77777777" w:rsidR="008D7AD9" w:rsidRDefault="00000000">
            <w:pPr>
              <w:pStyle w:val="affa"/>
              <w:spacing w:before="0" w:after="0"/>
              <w:ind w:firstLineChars="0"/>
              <w:rPr>
                <w:sz w:val="21"/>
                <w:szCs w:val="21"/>
              </w:rPr>
            </w:pPr>
            <w:r>
              <w:rPr>
                <w:rFonts w:hint="eastAsia"/>
                <w:sz w:val="21"/>
                <w:szCs w:val="21"/>
              </w:rPr>
              <w:t>11.290</w:t>
            </w:r>
          </w:p>
        </w:tc>
        <w:tc>
          <w:tcPr>
            <w:tcW w:w="650" w:type="pct"/>
          </w:tcPr>
          <w:p w14:paraId="2EDAB49A" w14:textId="77777777" w:rsidR="008D7AD9" w:rsidRDefault="00000000">
            <w:pPr>
              <w:pStyle w:val="affa"/>
              <w:spacing w:before="0" w:after="0"/>
              <w:ind w:firstLineChars="0"/>
              <w:rPr>
                <w:sz w:val="21"/>
                <w:szCs w:val="21"/>
              </w:rPr>
            </w:pPr>
            <w:r>
              <w:rPr>
                <w:rFonts w:hint="eastAsia"/>
                <w:sz w:val="21"/>
                <w:szCs w:val="21"/>
              </w:rPr>
              <w:t>&lt;0.001</w:t>
            </w:r>
          </w:p>
        </w:tc>
      </w:tr>
      <w:tr w:rsidR="008D7AD9" w14:paraId="0109B392" w14:textId="77777777" w:rsidTr="008D7AD9">
        <w:trPr>
          <w:trHeight w:val="170"/>
        </w:trPr>
        <w:tc>
          <w:tcPr>
            <w:tcW w:w="2832" w:type="pct"/>
          </w:tcPr>
          <w:p w14:paraId="59AAF60F" w14:textId="77777777" w:rsidR="008D7AD9" w:rsidRDefault="00000000">
            <w:pPr>
              <w:pStyle w:val="affa"/>
              <w:spacing w:before="0" w:after="0"/>
              <w:ind w:firstLineChars="0"/>
              <w:rPr>
                <w:sz w:val="21"/>
                <w:szCs w:val="21"/>
              </w:rPr>
            </w:pPr>
            <w:r>
              <w:rPr>
                <w:rFonts w:hint="eastAsia"/>
                <w:sz w:val="21"/>
                <w:szCs w:val="21"/>
              </w:rPr>
              <w:t>假设</w:t>
            </w:r>
            <w:r>
              <w:rPr>
                <w:rFonts w:hint="eastAsia"/>
                <w:sz w:val="21"/>
                <w:szCs w:val="21"/>
              </w:rPr>
              <w:t>7</w:t>
            </w:r>
            <w:r>
              <w:rPr>
                <w:rFonts w:hint="eastAsia"/>
                <w:sz w:val="21"/>
                <w:szCs w:val="21"/>
              </w:rPr>
              <w:t>：方案选择→电站运营管理</w:t>
            </w:r>
          </w:p>
        </w:tc>
        <w:tc>
          <w:tcPr>
            <w:tcW w:w="926" w:type="pct"/>
          </w:tcPr>
          <w:p w14:paraId="0EAE903E" w14:textId="77777777" w:rsidR="008D7AD9" w:rsidRDefault="00000000">
            <w:pPr>
              <w:pStyle w:val="affa"/>
              <w:spacing w:before="0" w:after="0"/>
              <w:ind w:firstLineChars="0"/>
              <w:rPr>
                <w:sz w:val="21"/>
                <w:szCs w:val="21"/>
              </w:rPr>
            </w:pPr>
            <w:r>
              <w:rPr>
                <w:rFonts w:hint="eastAsia"/>
                <w:sz w:val="21"/>
                <w:szCs w:val="21"/>
              </w:rPr>
              <w:t>0.304</w:t>
            </w:r>
          </w:p>
        </w:tc>
        <w:tc>
          <w:tcPr>
            <w:tcW w:w="589" w:type="pct"/>
          </w:tcPr>
          <w:p w14:paraId="59E0587D" w14:textId="77777777" w:rsidR="008D7AD9" w:rsidRDefault="00000000">
            <w:pPr>
              <w:pStyle w:val="affa"/>
              <w:spacing w:before="0" w:after="0"/>
              <w:ind w:firstLineChars="0"/>
              <w:rPr>
                <w:sz w:val="21"/>
                <w:szCs w:val="21"/>
              </w:rPr>
            </w:pPr>
            <w:r>
              <w:rPr>
                <w:rFonts w:hint="eastAsia"/>
                <w:sz w:val="21"/>
                <w:szCs w:val="21"/>
              </w:rPr>
              <w:t>4.975</w:t>
            </w:r>
          </w:p>
        </w:tc>
        <w:tc>
          <w:tcPr>
            <w:tcW w:w="650" w:type="pct"/>
          </w:tcPr>
          <w:p w14:paraId="0EAF9592" w14:textId="77777777" w:rsidR="008D7AD9" w:rsidRDefault="00000000">
            <w:pPr>
              <w:pStyle w:val="affa"/>
              <w:spacing w:before="0" w:after="0"/>
              <w:ind w:firstLineChars="0"/>
              <w:rPr>
                <w:sz w:val="21"/>
                <w:szCs w:val="21"/>
              </w:rPr>
            </w:pPr>
            <w:r>
              <w:rPr>
                <w:rFonts w:hint="eastAsia"/>
                <w:sz w:val="21"/>
                <w:szCs w:val="21"/>
              </w:rPr>
              <w:t>&lt;0.001</w:t>
            </w:r>
          </w:p>
        </w:tc>
      </w:tr>
      <w:tr w:rsidR="008D7AD9" w14:paraId="429D41B1" w14:textId="77777777" w:rsidTr="008D7AD9">
        <w:trPr>
          <w:trHeight w:val="170"/>
        </w:trPr>
        <w:tc>
          <w:tcPr>
            <w:tcW w:w="2832" w:type="pct"/>
          </w:tcPr>
          <w:p w14:paraId="6C3A9DFC" w14:textId="77777777" w:rsidR="008D7AD9" w:rsidRDefault="00000000">
            <w:pPr>
              <w:pStyle w:val="affa"/>
              <w:spacing w:before="0" w:after="0"/>
              <w:ind w:firstLineChars="0"/>
              <w:rPr>
                <w:sz w:val="21"/>
                <w:szCs w:val="21"/>
              </w:rPr>
            </w:pPr>
            <w:r>
              <w:rPr>
                <w:rFonts w:hint="eastAsia"/>
                <w:sz w:val="21"/>
                <w:szCs w:val="21"/>
              </w:rPr>
              <w:t>假设</w:t>
            </w:r>
            <w:r>
              <w:rPr>
                <w:rFonts w:hint="eastAsia"/>
                <w:sz w:val="21"/>
                <w:szCs w:val="21"/>
              </w:rPr>
              <w:t>8</w:t>
            </w:r>
            <w:r>
              <w:rPr>
                <w:rFonts w:hint="eastAsia"/>
                <w:sz w:val="21"/>
                <w:szCs w:val="21"/>
              </w:rPr>
              <w:t>：电站运营管理→项目绩效</w:t>
            </w:r>
          </w:p>
        </w:tc>
        <w:tc>
          <w:tcPr>
            <w:tcW w:w="926" w:type="pct"/>
          </w:tcPr>
          <w:p w14:paraId="1FCBC45C" w14:textId="77777777" w:rsidR="008D7AD9" w:rsidRDefault="00000000">
            <w:pPr>
              <w:pStyle w:val="affa"/>
              <w:spacing w:before="0" w:after="0"/>
              <w:ind w:firstLineChars="0"/>
              <w:rPr>
                <w:sz w:val="21"/>
                <w:szCs w:val="21"/>
              </w:rPr>
            </w:pPr>
            <w:r>
              <w:rPr>
                <w:rFonts w:hint="eastAsia"/>
                <w:sz w:val="21"/>
                <w:szCs w:val="21"/>
              </w:rPr>
              <w:t>0.836</w:t>
            </w:r>
          </w:p>
        </w:tc>
        <w:tc>
          <w:tcPr>
            <w:tcW w:w="589" w:type="pct"/>
          </w:tcPr>
          <w:p w14:paraId="6738CD85" w14:textId="77777777" w:rsidR="008D7AD9" w:rsidRDefault="00000000">
            <w:pPr>
              <w:pStyle w:val="affa"/>
              <w:spacing w:before="0" w:after="0"/>
              <w:ind w:firstLineChars="0"/>
              <w:rPr>
                <w:sz w:val="21"/>
                <w:szCs w:val="21"/>
              </w:rPr>
            </w:pPr>
            <w:r>
              <w:rPr>
                <w:rFonts w:hint="eastAsia"/>
                <w:sz w:val="21"/>
                <w:szCs w:val="21"/>
              </w:rPr>
              <w:t>30.321</w:t>
            </w:r>
          </w:p>
        </w:tc>
        <w:tc>
          <w:tcPr>
            <w:tcW w:w="650" w:type="pct"/>
          </w:tcPr>
          <w:p w14:paraId="093147D4" w14:textId="77777777" w:rsidR="008D7AD9" w:rsidRDefault="00000000">
            <w:pPr>
              <w:pStyle w:val="affa"/>
              <w:spacing w:before="0" w:after="0"/>
              <w:ind w:firstLineChars="0"/>
              <w:rPr>
                <w:sz w:val="21"/>
                <w:szCs w:val="21"/>
              </w:rPr>
            </w:pPr>
            <w:r>
              <w:rPr>
                <w:rFonts w:hint="eastAsia"/>
                <w:sz w:val="21"/>
                <w:szCs w:val="21"/>
              </w:rPr>
              <w:t>&lt;0.001</w:t>
            </w:r>
          </w:p>
        </w:tc>
      </w:tr>
    </w:tbl>
    <w:p w14:paraId="25EE0D8D" w14:textId="0BA8D663" w:rsidR="008D7AD9" w:rsidRDefault="00000000">
      <w:pPr>
        <w:pStyle w:val="aff3"/>
        <w:spacing w:beforeLines="50" w:before="120"/>
        <w:ind w:firstLine="420"/>
        <w:rPr>
          <w:rFonts w:hint="eastAsia"/>
        </w:rPr>
      </w:pPr>
      <w:bookmarkStart w:id="12" w:name="_Ref199255008"/>
      <w:r>
        <w:lastRenderedPageBreak/>
        <w:t xml:space="preserve">表 </w:t>
      </w:r>
      <w:fldSimple w:instr=" SEQ 表 \* ARABIC ">
        <w:r w:rsidR="00B1714C">
          <w:rPr>
            <w:rFonts w:hint="eastAsia"/>
            <w:noProof/>
          </w:rPr>
          <w:t>9</w:t>
        </w:r>
      </w:fldSimple>
      <w:bookmarkEnd w:id="12"/>
      <w:r>
        <w:rPr>
          <w:rFonts w:hint="eastAsia"/>
        </w:rPr>
        <w:t xml:space="preserve"> 结构模型解释力</w:t>
      </w:r>
    </w:p>
    <w:tbl>
      <w:tblPr>
        <w:tblStyle w:val="110"/>
        <w:tblW w:w="5000" w:type="pct"/>
        <w:tblLook w:val="04A0" w:firstRow="1" w:lastRow="0" w:firstColumn="1" w:lastColumn="0" w:noHBand="0" w:noVBand="1"/>
      </w:tblPr>
      <w:tblGrid>
        <w:gridCol w:w="2476"/>
        <w:gridCol w:w="2476"/>
        <w:gridCol w:w="2479"/>
        <w:gridCol w:w="2479"/>
      </w:tblGrid>
      <w:tr w:rsidR="008D7AD9" w14:paraId="6288FBD7" w14:textId="77777777" w:rsidTr="008D7AD9">
        <w:trPr>
          <w:cnfStyle w:val="100000000000" w:firstRow="1" w:lastRow="0" w:firstColumn="0" w:lastColumn="0" w:oddVBand="0" w:evenVBand="0" w:oddHBand="0" w:evenHBand="0" w:firstRowFirstColumn="0" w:firstRowLastColumn="0" w:lastRowFirstColumn="0" w:lastRowLastColumn="0"/>
          <w:trHeight w:val="23"/>
        </w:trPr>
        <w:tc>
          <w:tcPr>
            <w:tcW w:w="1249" w:type="pct"/>
            <w:vAlign w:val="center"/>
          </w:tcPr>
          <w:p w14:paraId="388AA36E" w14:textId="77777777" w:rsidR="008D7AD9" w:rsidRDefault="00000000">
            <w:pPr>
              <w:pStyle w:val="affa"/>
              <w:spacing w:before="0" w:after="0"/>
              <w:ind w:firstLineChars="0"/>
              <w:rPr>
                <w:b w:val="0"/>
                <w:sz w:val="21"/>
                <w:szCs w:val="21"/>
              </w:rPr>
            </w:pPr>
            <w:r>
              <w:rPr>
                <w:rFonts w:hint="eastAsia"/>
                <w:sz w:val="21"/>
                <w:szCs w:val="21"/>
              </w:rPr>
              <w:t>内生变量</w:t>
            </w:r>
          </w:p>
        </w:tc>
        <w:tc>
          <w:tcPr>
            <w:tcW w:w="1249" w:type="pct"/>
            <w:vAlign w:val="center"/>
          </w:tcPr>
          <w:p w14:paraId="39AC7832" w14:textId="77777777" w:rsidR="008D7AD9" w:rsidRDefault="00000000">
            <w:pPr>
              <w:pStyle w:val="affa"/>
              <w:spacing w:before="0" w:after="0"/>
              <w:ind w:firstLineChars="0"/>
              <w:rPr>
                <w:b w:val="0"/>
                <w:sz w:val="21"/>
                <w:szCs w:val="21"/>
              </w:rPr>
            </w:pPr>
            <m:oMathPara>
              <m:oMath>
                <m:sSup>
                  <m:sSupPr>
                    <m:ctrlPr>
                      <w:rPr>
                        <w:rFonts w:ascii="Cambria Math" w:hAnsi="Cambria Math"/>
                        <w:i/>
                        <w:sz w:val="21"/>
                        <w:szCs w:val="21"/>
                      </w:rPr>
                    </m:ctrlPr>
                  </m:sSupPr>
                  <m:e>
                    <m:r>
                      <m:rPr>
                        <m:sty m:val="bi"/>
                      </m:rPr>
                      <w:rPr>
                        <w:rFonts w:ascii="Cambria Math" w:hAnsi="Cambria Math"/>
                        <w:sz w:val="21"/>
                        <w:szCs w:val="21"/>
                      </w:rPr>
                      <m:t>R</m:t>
                    </m:r>
                  </m:e>
                  <m:sup>
                    <m:r>
                      <m:rPr>
                        <m:sty m:val="bi"/>
                      </m:rPr>
                      <w:rPr>
                        <w:rFonts w:ascii="Cambria Math" w:hAnsi="Cambria Math"/>
                        <w:sz w:val="21"/>
                        <w:szCs w:val="21"/>
                      </w:rPr>
                      <m:t>2</m:t>
                    </m:r>
                  </m:sup>
                </m:sSup>
              </m:oMath>
            </m:oMathPara>
          </w:p>
        </w:tc>
        <w:tc>
          <w:tcPr>
            <w:tcW w:w="1250" w:type="pct"/>
            <w:vAlign w:val="center"/>
          </w:tcPr>
          <w:p w14:paraId="288BE9B6" w14:textId="77777777" w:rsidR="008D7AD9" w:rsidRDefault="00000000">
            <w:pPr>
              <w:pStyle w:val="affa"/>
              <w:spacing w:before="0" w:after="0"/>
              <w:ind w:firstLineChars="0"/>
              <w:rPr>
                <w:b w:val="0"/>
                <w:sz w:val="21"/>
                <w:szCs w:val="21"/>
              </w:rPr>
            </w:pPr>
            <m:oMathPara>
              <m:oMath>
                <m:sSubSup>
                  <m:sSubSupPr>
                    <m:ctrlPr>
                      <w:rPr>
                        <w:rFonts w:ascii="Cambria Math" w:hAnsi="Cambria Math" w:hint="eastAsia"/>
                        <w:sz w:val="21"/>
                        <w:szCs w:val="21"/>
                      </w:rPr>
                    </m:ctrlPr>
                  </m:sSubSupPr>
                  <m:e>
                    <m:r>
                      <m:rPr>
                        <m:sty m:val="b"/>
                      </m:rPr>
                      <w:rPr>
                        <w:rFonts w:ascii="Cambria Math" w:hAnsi="Cambria Math" w:hint="eastAsia"/>
                        <w:sz w:val="21"/>
                        <w:szCs w:val="21"/>
                      </w:rPr>
                      <m:t>R</m:t>
                    </m:r>
                  </m:e>
                  <m:sub>
                    <m:r>
                      <m:rPr>
                        <m:sty m:val="b"/>
                      </m:rPr>
                      <w:rPr>
                        <w:rFonts w:ascii="Cambria Math" w:hAnsi="Cambria Math" w:hint="eastAsia"/>
                        <w:sz w:val="21"/>
                        <w:szCs w:val="21"/>
                      </w:rPr>
                      <m:t>a</m:t>
                    </m:r>
                  </m:sub>
                  <m:sup>
                    <m:r>
                      <m:rPr>
                        <m:sty m:val="b"/>
                      </m:rPr>
                      <w:rPr>
                        <w:rFonts w:ascii="Cambria Math" w:hAnsi="Cambria Math" w:hint="eastAsia"/>
                        <w:sz w:val="21"/>
                        <w:szCs w:val="21"/>
                      </w:rPr>
                      <m:t>2</m:t>
                    </m:r>
                  </m:sup>
                </m:sSubSup>
              </m:oMath>
            </m:oMathPara>
          </w:p>
        </w:tc>
        <w:tc>
          <w:tcPr>
            <w:tcW w:w="1250" w:type="pct"/>
            <w:vAlign w:val="center"/>
          </w:tcPr>
          <w:p w14:paraId="1A91B2E7" w14:textId="77777777" w:rsidR="008D7AD9" w:rsidRDefault="00000000">
            <w:pPr>
              <w:pStyle w:val="affa"/>
              <w:spacing w:before="0" w:after="0"/>
              <w:ind w:firstLineChars="0"/>
              <w:rPr>
                <w:b w:val="0"/>
                <w:sz w:val="21"/>
                <w:szCs w:val="21"/>
              </w:rPr>
            </w:pPr>
            <m:oMathPara>
              <m:oMath>
                <m:sSup>
                  <m:sSupPr>
                    <m:ctrlPr>
                      <w:rPr>
                        <w:rFonts w:ascii="Cambria Math" w:hAnsi="Cambria Math"/>
                        <w:i/>
                        <w:sz w:val="21"/>
                        <w:szCs w:val="21"/>
                      </w:rPr>
                    </m:ctrlPr>
                  </m:sSupPr>
                  <m:e>
                    <m:r>
                      <m:rPr>
                        <m:sty m:val="bi"/>
                      </m:rPr>
                      <w:rPr>
                        <w:rFonts w:ascii="Cambria Math" w:hAnsi="Cambria Math"/>
                        <w:sz w:val="21"/>
                        <w:szCs w:val="21"/>
                      </w:rPr>
                      <m:t>Q</m:t>
                    </m:r>
                  </m:e>
                  <m:sup>
                    <m:r>
                      <m:rPr>
                        <m:sty m:val="bi"/>
                      </m:rPr>
                      <w:rPr>
                        <w:rFonts w:ascii="Cambria Math" w:hAnsi="Cambria Math"/>
                        <w:sz w:val="21"/>
                        <w:szCs w:val="21"/>
                      </w:rPr>
                      <m:t>2</m:t>
                    </m:r>
                  </m:sup>
                </m:sSup>
              </m:oMath>
            </m:oMathPara>
          </w:p>
        </w:tc>
      </w:tr>
      <w:tr w:rsidR="008D7AD9" w14:paraId="64DC2EB0" w14:textId="77777777" w:rsidTr="008D7AD9">
        <w:trPr>
          <w:trHeight w:val="23"/>
        </w:trPr>
        <w:tc>
          <w:tcPr>
            <w:tcW w:w="1249" w:type="pct"/>
          </w:tcPr>
          <w:p w14:paraId="3C326296" w14:textId="77777777" w:rsidR="008D7AD9" w:rsidRDefault="00000000">
            <w:pPr>
              <w:pStyle w:val="affa"/>
              <w:spacing w:before="0" w:after="0"/>
              <w:ind w:firstLineChars="0"/>
              <w:rPr>
                <w:sz w:val="21"/>
                <w:szCs w:val="21"/>
              </w:rPr>
            </w:pPr>
            <w:r>
              <w:rPr>
                <w:rFonts w:hint="eastAsia"/>
                <w:sz w:val="21"/>
                <w:szCs w:val="21"/>
              </w:rPr>
              <w:t>方案选择</w:t>
            </w:r>
          </w:p>
        </w:tc>
        <w:tc>
          <w:tcPr>
            <w:tcW w:w="1249" w:type="pct"/>
          </w:tcPr>
          <w:p w14:paraId="73FCFB84" w14:textId="77777777" w:rsidR="008D7AD9" w:rsidRDefault="00000000">
            <w:pPr>
              <w:pStyle w:val="affa"/>
              <w:spacing w:before="0" w:after="0"/>
              <w:ind w:firstLineChars="0"/>
              <w:rPr>
                <w:sz w:val="21"/>
                <w:szCs w:val="21"/>
              </w:rPr>
            </w:pPr>
            <w:r>
              <w:rPr>
                <w:rFonts w:hint="eastAsia"/>
                <w:sz w:val="21"/>
                <w:szCs w:val="21"/>
              </w:rPr>
              <w:t>0.701</w:t>
            </w:r>
          </w:p>
        </w:tc>
        <w:tc>
          <w:tcPr>
            <w:tcW w:w="1250" w:type="pct"/>
          </w:tcPr>
          <w:p w14:paraId="4B49EDCA" w14:textId="77777777" w:rsidR="008D7AD9" w:rsidRDefault="00000000">
            <w:pPr>
              <w:pStyle w:val="affa"/>
              <w:spacing w:before="0" w:after="0"/>
              <w:ind w:firstLineChars="0"/>
              <w:rPr>
                <w:sz w:val="21"/>
                <w:szCs w:val="21"/>
              </w:rPr>
            </w:pPr>
            <w:r>
              <w:rPr>
                <w:rFonts w:hint="eastAsia"/>
                <w:sz w:val="21"/>
                <w:szCs w:val="21"/>
              </w:rPr>
              <w:t>0.698</w:t>
            </w:r>
          </w:p>
        </w:tc>
        <w:tc>
          <w:tcPr>
            <w:tcW w:w="1250" w:type="pct"/>
          </w:tcPr>
          <w:p w14:paraId="6E343B84" w14:textId="77777777" w:rsidR="008D7AD9" w:rsidRDefault="00000000">
            <w:pPr>
              <w:pStyle w:val="affa"/>
              <w:spacing w:before="0" w:after="0"/>
              <w:ind w:firstLineChars="0"/>
              <w:rPr>
                <w:sz w:val="21"/>
                <w:szCs w:val="21"/>
              </w:rPr>
            </w:pPr>
            <w:r>
              <w:rPr>
                <w:rFonts w:hint="eastAsia"/>
                <w:sz w:val="21"/>
                <w:szCs w:val="21"/>
              </w:rPr>
              <w:t>0.467</w:t>
            </w:r>
          </w:p>
        </w:tc>
      </w:tr>
      <w:tr w:rsidR="008D7AD9" w14:paraId="0F975F21" w14:textId="77777777" w:rsidTr="008D7AD9">
        <w:trPr>
          <w:trHeight w:val="23"/>
        </w:trPr>
        <w:tc>
          <w:tcPr>
            <w:tcW w:w="1249" w:type="pct"/>
          </w:tcPr>
          <w:p w14:paraId="6DF7F9F7" w14:textId="77777777" w:rsidR="008D7AD9" w:rsidRDefault="00000000">
            <w:pPr>
              <w:pStyle w:val="affa"/>
              <w:spacing w:before="0" w:after="0"/>
              <w:ind w:firstLineChars="0"/>
              <w:rPr>
                <w:sz w:val="21"/>
                <w:szCs w:val="21"/>
              </w:rPr>
            </w:pPr>
            <w:r>
              <w:rPr>
                <w:rFonts w:hint="eastAsia"/>
                <w:sz w:val="21"/>
                <w:szCs w:val="21"/>
              </w:rPr>
              <w:t>电价和市场机制</w:t>
            </w:r>
          </w:p>
        </w:tc>
        <w:tc>
          <w:tcPr>
            <w:tcW w:w="1249" w:type="pct"/>
          </w:tcPr>
          <w:p w14:paraId="5D3D6560" w14:textId="77777777" w:rsidR="008D7AD9" w:rsidRDefault="00000000">
            <w:pPr>
              <w:pStyle w:val="affa"/>
              <w:spacing w:before="0" w:after="0"/>
              <w:ind w:firstLineChars="0"/>
              <w:rPr>
                <w:sz w:val="21"/>
                <w:szCs w:val="21"/>
              </w:rPr>
            </w:pPr>
            <w:r>
              <w:rPr>
                <w:rFonts w:hint="eastAsia"/>
                <w:sz w:val="21"/>
                <w:szCs w:val="21"/>
              </w:rPr>
              <w:t>0.601</w:t>
            </w:r>
          </w:p>
        </w:tc>
        <w:tc>
          <w:tcPr>
            <w:tcW w:w="1250" w:type="pct"/>
          </w:tcPr>
          <w:p w14:paraId="1766FC67" w14:textId="77777777" w:rsidR="008D7AD9" w:rsidRDefault="00000000">
            <w:pPr>
              <w:pStyle w:val="affa"/>
              <w:spacing w:before="0" w:after="0"/>
              <w:ind w:firstLineChars="0"/>
              <w:rPr>
                <w:sz w:val="21"/>
                <w:szCs w:val="21"/>
              </w:rPr>
            </w:pPr>
            <w:r>
              <w:rPr>
                <w:rFonts w:hint="eastAsia"/>
                <w:sz w:val="21"/>
                <w:szCs w:val="21"/>
              </w:rPr>
              <w:t>0.598</w:t>
            </w:r>
          </w:p>
        </w:tc>
        <w:tc>
          <w:tcPr>
            <w:tcW w:w="1250" w:type="pct"/>
          </w:tcPr>
          <w:p w14:paraId="64EDBDCD" w14:textId="77777777" w:rsidR="008D7AD9" w:rsidRDefault="00000000">
            <w:pPr>
              <w:pStyle w:val="affa"/>
              <w:spacing w:before="0" w:after="0"/>
              <w:ind w:firstLineChars="0"/>
              <w:rPr>
                <w:sz w:val="21"/>
                <w:szCs w:val="21"/>
              </w:rPr>
            </w:pPr>
            <w:r>
              <w:rPr>
                <w:rFonts w:hint="eastAsia"/>
                <w:sz w:val="21"/>
                <w:szCs w:val="21"/>
              </w:rPr>
              <w:t>0.459</w:t>
            </w:r>
          </w:p>
        </w:tc>
      </w:tr>
      <w:tr w:rsidR="008D7AD9" w14:paraId="2B434B17" w14:textId="77777777" w:rsidTr="008D7AD9">
        <w:trPr>
          <w:trHeight w:val="23"/>
        </w:trPr>
        <w:tc>
          <w:tcPr>
            <w:tcW w:w="1249" w:type="pct"/>
          </w:tcPr>
          <w:p w14:paraId="3D293FEB" w14:textId="77777777" w:rsidR="008D7AD9" w:rsidRDefault="00000000">
            <w:pPr>
              <w:pStyle w:val="affa"/>
              <w:spacing w:before="0" w:after="0"/>
              <w:ind w:firstLineChars="0"/>
              <w:rPr>
                <w:sz w:val="21"/>
                <w:szCs w:val="21"/>
              </w:rPr>
            </w:pPr>
            <w:r>
              <w:rPr>
                <w:rFonts w:hint="eastAsia"/>
                <w:sz w:val="21"/>
                <w:szCs w:val="21"/>
              </w:rPr>
              <w:t>电站运营管理</w:t>
            </w:r>
          </w:p>
        </w:tc>
        <w:tc>
          <w:tcPr>
            <w:tcW w:w="1249" w:type="pct"/>
          </w:tcPr>
          <w:p w14:paraId="7285E66C" w14:textId="77777777" w:rsidR="008D7AD9" w:rsidRDefault="00000000">
            <w:pPr>
              <w:pStyle w:val="affa"/>
              <w:spacing w:before="0" w:after="0"/>
              <w:ind w:firstLineChars="0"/>
              <w:rPr>
                <w:sz w:val="21"/>
                <w:szCs w:val="21"/>
              </w:rPr>
            </w:pPr>
            <w:r>
              <w:rPr>
                <w:rFonts w:hint="eastAsia"/>
                <w:sz w:val="21"/>
                <w:szCs w:val="21"/>
              </w:rPr>
              <w:t>0.826</w:t>
            </w:r>
          </w:p>
        </w:tc>
        <w:tc>
          <w:tcPr>
            <w:tcW w:w="1250" w:type="pct"/>
          </w:tcPr>
          <w:p w14:paraId="15E5A517" w14:textId="77777777" w:rsidR="008D7AD9" w:rsidRDefault="00000000">
            <w:pPr>
              <w:pStyle w:val="affa"/>
              <w:spacing w:before="0" w:after="0"/>
              <w:ind w:firstLineChars="0"/>
              <w:rPr>
                <w:sz w:val="21"/>
                <w:szCs w:val="21"/>
              </w:rPr>
            </w:pPr>
            <w:r>
              <w:rPr>
                <w:rFonts w:hint="eastAsia"/>
                <w:sz w:val="21"/>
                <w:szCs w:val="21"/>
              </w:rPr>
              <w:t>0.824</w:t>
            </w:r>
          </w:p>
        </w:tc>
        <w:tc>
          <w:tcPr>
            <w:tcW w:w="1250" w:type="pct"/>
          </w:tcPr>
          <w:p w14:paraId="25FB0D8B" w14:textId="77777777" w:rsidR="008D7AD9" w:rsidRDefault="00000000">
            <w:pPr>
              <w:pStyle w:val="affa"/>
              <w:spacing w:before="0" w:after="0"/>
              <w:ind w:firstLineChars="0"/>
              <w:rPr>
                <w:sz w:val="21"/>
                <w:szCs w:val="21"/>
              </w:rPr>
            </w:pPr>
            <w:r>
              <w:rPr>
                <w:rFonts w:hint="eastAsia"/>
                <w:sz w:val="21"/>
                <w:szCs w:val="21"/>
              </w:rPr>
              <w:t>0.690</w:t>
            </w:r>
          </w:p>
        </w:tc>
      </w:tr>
      <w:tr w:rsidR="008D7AD9" w14:paraId="5E841FC3" w14:textId="77777777" w:rsidTr="008D7AD9">
        <w:trPr>
          <w:trHeight w:val="23"/>
        </w:trPr>
        <w:tc>
          <w:tcPr>
            <w:tcW w:w="1249" w:type="pct"/>
          </w:tcPr>
          <w:p w14:paraId="4FA470AB" w14:textId="77777777" w:rsidR="008D7AD9" w:rsidRDefault="00000000">
            <w:pPr>
              <w:pStyle w:val="affa"/>
              <w:spacing w:before="0" w:after="0"/>
              <w:ind w:firstLineChars="0"/>
              <w:rPr>
                <w:sz w:val="21"/>
                <w:szCs w:val="21"/>
              </w:rPr>
            </w:pPr>
            <w:r>
              <w:rPr>
                <w:rFonts w:hint="eastAsia"/>
                <w:sz w:val="21"/>
                <w:szCs w:val="21"/>
              </w:rPr>
              <w:t>项目绩效</w:t>
            </w:r>
          </w:p>
        </w:tc>
        <w:tc>
          <w:tcPr>
            <w:tcW w:w="1249" w:type="pct"/>
          </w:tcPr>
          <w:p w14:paraId="72833C9D" w14:textId="77777777" w:rsidR="008D7AD9" w:rsidRDefault="00000000">
            <w:pPr>
              <w:pStyle w:val="affa"/>
              <w:spacing w:before="0" w:after="0"/>
              <w:ind w:firstLineChars="0"/>
              <w:rPr>
                <w:sz w:val="21"/>
                <w:szCs w:val="21"/>
              </w:rPr>
            </w:pPr>
            <w:r>
              <w:rPr>
                <w:rFonts w:hint="eastAsia"/>
                <w:sz w:val="21"/>
                <w:szCs w:val="21"/>
              </w:rPr>
              <w:t>0.699</w:t>
            </w:r>
          </w:p>
        </w:tc>
        <w:tc>
          <w:tcPr>
            <w:tcW w:w="1250" w:type="pct"/>
          </w:tcPr>
          <w:p w14:paraId="2FB953D7" w14:textId="77777777" w:rsidR="008D7AD9" w:rsidRDefault="00000000">
            <w:pPr>
              <w:pStyle w:val="affa"/>
              <w:spacing w:before="0" w:after="0"/>
              <w:ind w:firstLineChars="0"/>
              <w:rPr>
                <w:sz w:val="21"/>
                <w:szCs w:val="21"/>
              </w:rPr>
            </w:pPr>
            <w:r>
              <w:rPr>
                <w:rFonts w:hint="eastAsia"/>
                <w:sz w:val="21"/>
                <w:szCs w:val="21"/>
              </w:rPr>
              <w:t>0.697</w:t>
            </w:r>
          </w:p>
        </w:tc>
        <w:tc>
          <w:tcPr>
            <w:tcW w:w="1250" w:type="pct"/>
          </w:tcPr>
          <w:p w14:paraId="73D21BDF" w14:textId="77777777" w:rsidR="008D7AD9" w:rsidRDefault="00000000">
            <w:pPr>
              <w:pStyle w:val="affa"/>
              <w:spacing w:before="0" w:after="0"/>
              <w:ind w:firstLineChars="0"/>
              <w:rPr>
                <w:sz w:val="21"/>
                <w:szCs w:val="21"/>
              </w:rPr>
            </w:pPr>
            <w:r>
              <w:rPr>
                <w:rFonts w:hint="eastAsia"/>
                <w:sz w:val="21"/>
                <w:szCs w:val="21"/>
              </w:rPr>
              <w:t>0.518</w:t>
            </w:r>
          </w:p>
        </w:tc>
      </w:tr>
    </w:tbl>
    <w:p w14:paraId="0DC36F75" w14:textId="77777777" w:rsidR="008D7AD9" w:rsidRDefault="008D7AD9">
      <w:pPr>
        <w:pStyle w:val="affa"/>
        <w:ind w:firstLine="420"/>
        <w:rPr>
          <w:sz w:val="21"/>
          <w:szCs w:val="21"/>
        </w:rPr>
      </w:pPr>
    </w:p>
    <w:p w14:paraId="1D979966" w14:textId="77777777" w:rsidR="008D7AD9" w:rsidRDefault="00000000">
      <w:pPr>
        <w:ind w:firstLineChars="0" w:firstLine="0"/>
        <w:jc w:val="center"/>
      </w:pPr>
      <w:r>
        <w:rPr>
          <w:rFonts w:hint="eastAsia"/>
          <w:noProof/>
        </w:rPr>
        <w:drawing>
          <wp:inline distT="0" distB="0" distL="114300" distR="114300" wp14:anchorId="531C2714" wp14:editId="63BDF457">
            <wp:extent cx="6005568" cy="3096000"/>
            <wp:effectExtent l="0" t="0" r="0" b="9525"/>
            <wp:docPr id="7" name="图片 7" descr="小论文模型带路径系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小论文模型带路径系数"/>
                    <pic:cNvPicPr>
                      <a:picLocks noChangeAspect="1"/>
                    </pic:cNvPicPr>
                  </pic:nvPicPr>
                  <pic:blipFill>
                    <a:blip r:embed="rId16"/>
                    <a:stretch>
                      <a:fillRect/>
                    </a:stretch>
                  </pic:blipFill>
                  <pic:spPr>
                    <a:xfrm>
                      <a:off x="0" y="0"/>
                      <a:ext cx="6005568" cy="3096000"/>
                    </a:xfrm>
                    <a:prstGeom prst="rect">
                      <a:avLst/>
                    </a:prstGeom>
                  </pic:spPr>
                </pic:pic>
              </a:graphicData>
            </a:graphic>
          </wp:inline>
        </w:drawing>
      </w:r>
    </w:p>
    <w:p w14:paraId="5BE492E1" w14:textId="77777777" w:rsidR="008D7AD9" w:rsidRDefault="00000000">
      <w:pPr>
        <w:spacing w:afterLines="50" w:after="120"/>
        <w:ind w:firstLine="400"/>
        <w:jc w:val="left"/>
        <w:rPr>
          <w:sz w:val="20"/>
          <w:szCs w:val="20"/>
        </w:rPr>
      </w:pPr>
      <w:r>
        <w:rPr>
          <w:rFonts w:hint="eastAsia"/>
          <w:sz w:val="20"/>
          <w:szCs w:val="20"/>
        </w:rPr>
        <w:t>注：</w:t>
      </w:r>
      <w:r>
        <w:rPr>
          <w:rFonts w:hint="eastAsia"/>
          <w:sz w:val="20"/>
          <w:szCs w:val="20"/>
        </w:rPr>
        <w:t xml:space="preserve"> ***</w:t>
      </w:r>
      <w:r>
        <w:rPr>
          <w:rFonts w:hint="eastAsia"/>
          <w:sz w:val="20"/>
          <w:szCs w:val="20"/>
        </w:rPr>
        <w:t>表示</w:t>
      </w:r>
      <w:r>
        <w:rPr>
          <w:rFonts w:cs="Times New Roman" w:hint="eastAsia"/>
          <w:sz w:val="20"/>
          <w:szCs w:val="20"/>
        </w:rPr>
        <w:t>在</w:t>
      </w:r>
      <w:r>
        <w:rPr>
          <w:rFonts w:cs="Times New Roman" w:hint="eastAsia"/>
          <w:sz w:val="20"/>
          <w:szCs w:val="20"/>
        </w:rPr>
        <w:t>0</w:t>
      </w:r>
      <w:r>
        <w:rPr>
          <w:rFonts w:cs="Times New Roman"/>
          <w:sz w:val="20"/>
          <w:szCs w:val="20"/>
        </w:rPr>
        <w:t>.001</w:t>
      </w:r>
      <w:r>
        <w:rPr>
          <w:rFonts w:cs="Times New Roman" w:hint="eastAsia"/>
          <w:sz w:val="20"/>
          <w:szCs w:val="20"/>
        </w:rPr>
        <w:t>水平上显著相关</w:t>
      </w:r>
      <w:r>
        <w:rPr>
          <w:rFonts w:hint="eastAsia"/>
          <w:sz w:val="20"/>
          <w:szCs w:val="20"/>
        </w:rPr>
        <w:t>。</w:t>
      </w:r>
    </w:p>
    <w:p w14:paraId="6AE39DBF" w14:textId="3864C3EB" w:rsidR="008D7AD9" w:rsidRDefault="00000000">
      <w:pPr>
        <w:pStyle w:val="aff9"/>
        <w:spacing w:after="120"/>
      </w:pPr>
      <w:bookmarkStart w:id="13" w:name="_Ref5202"/>
      <w:r>
        <w:t>图</w:t>
      </w:r>
      <w:r>
        <w:t xml:space="preserve"> </w:t>
      </w:r>
      <w:r>
        <w:fldChar w:fldCharType="begin"/>
      </w:r>
      <w:r>
        <w:instrText xml:space="preserve"> SEQ </w:instrText>
      </w:r>
      <w:r>
        <w:instrText>图</w:instrText>
      </w:r>
      <w:r>
        <w:instrText xml:space="preserve"> \* ARABIC </w:instrText>
      </w:r>
      <w:r>
        <w:fldChar w:fldCharType="separate"/>
      </w:r>
      <w:r w:rsidR="00B1714C">
        <w:rPr>
          <w:noProof/>
        </w:rPr>
        <w:t>2</w:t>
      </w:r>
      <w:r>
        <w:fldChar w:fldCharType="end"/>
      </w:r>
      <w:bookmarkEnd w:id="13"/>
      <w:r>
        <w:rPr>
          <w:rFonts w:hint="eastAsia"/>
        </w:rPr>
        <w:t xml:space="preserve"> </w:t>
      </w:r>
      <w:r>
        <w:rPr>
          <w:rFonts w:hint="eastAsia"/>
        </w:rPr>
        <w:t>多能互补视角下抽水蓄能电站管理模型检验结果</w:t>
      </w:r>
    </w:p>
    <w:p w14:paraId="3927AAB0" w14:textId="77777777" w:rsidR="008D7AD9" w:rsidRDefault="008D7AD9">
      <w:pPr>
        <w:spacing w:afterLines="50" w:after="120"/>
        <w:ind w:firstLine="420"/>
        <w:jc w:val="center"/>
        <w:sectPr w:rsidR="008D7AD9">
          <w:type w:val="continuous"/>
          <w:pgSz w:w="11906" w:h="16838"/>
          <w:pgMar w:top="1440" w:right="1106" w:bottom="1440" w:left="1106" w:header="851" w:footer="992" w:gutter="0"/>
          <w:cols w:space="425"/>
          <w:titlePg/>
          <w:docGrid w:linePitch="312" w:charSpace="47234"/>
        </w:sectPr>
      </w:pPr>
    </w:p>
    <w:p w14:paraId="41CBF6FB" w14:textId="77777777" w:rsidR="008D7AD9" w:rsidRDefault="00000000">
      <w:pPr>
        <w:ind w:firstLine="420"/>
        <w:rPr>
          <w:rFonts w:cs="Times New Roman"/>
        </w:rPr>
      </w:pPr>
      <w:r>
        <w:rPr>
          <w:rFonts w:cs="Times New Roman" w:hint="eastAsia"/>
        </w:rPr>
        <w:t>为进一步认识各变量之间的作用关系，对以下两条路径进行深入讨论：</w:t>
      </w:r>
    </w:p>
    <w:p w14:paraId="48CEDB3E" w14:textId="77777777" w:rsidR="008D7AD9" w:rsidRDefault="00000000">
      <w:pPr>
        <w:ind w:firstLine="420"/>
      </w:pPr>
      <w:r>
        <w:rPr>
          <w:rFonts w:hint="eastAsia"/>
        </w:rPr>
        <w:t>（</w:t>
      </w:r>
      <w:r>
        <w:rPr>
          <w:rFonts w:hint="eastAsia"/>
        </w:rPr>
        <w:t>1</w:t>
      </w:r>
      <w:r>
        <w:rPr>
          <w:rFonts w:hint="eastAsia"/>
        </w:rPr>
        <w:t>）“多能互补→电价和市场机制→电站运营管理→项目绩效”：多能互补对电价和市场机制、电价和市场机制对电站运营管理、电站运营管理对项目绩效具有积极正向作用。多能互补的实施能推动电力市场主体多元化，有利于实现抽水蓄能作为独立市场主体参与电力交易，推动成本分摊及效益补偿完善和电力市场机制创新。</w:t>
      </w:r>
    </w:p>
    <w:p w14:paraId="42BDAE1E" w14:textId="77777777" w:rsidR="008D7AD9" w:rsidRDefault="00000000">
      <w:pPr>
        <w:ind w:firstLine="420"/>
      </w:pPr>
      <w:r>
        <w:rPr>
          <w:rFonts w:hint="eastAsia"/>
        </w:rPr>
        <w:t>电价和市场机制的完善进一步为电站运营管理赋能。主要体现在两方面：一是通过价格信号（如峰谷价差）引导抽水蓄能电站优化抽水与发电的时序策略；二是拓展收益渠道，包括参与调频、备用等辅助服务市场、签订中长期供电合约以及灵活参与现货市场交易。市场化的竞争环境激励电站提升数智化应用水平，以增强电站运行和交易能力。</w:t>
      </w:r>
    </w:p>
    <w:p w14:paraId="01CD9184" w14:textId="77777777" w:rsidR="008D7AD9" w:rsidRDefault="00000000">
      <w:pPr>
        <w:ind w:firstLine="420"/>
      </w:pPr>
      <w:r>
        <w:rPr>
          <w:rFonts w:hint="eastAsia"/>
        </w:rPr>
        <w:t>良好的运营管理能够提升电站安全稳定运行水平，促进新能源消纳，有效控制成本，提升经济效益、社会效益和环境效益，增强利益相关方满意度，</w:t>
      </w:r>
      <w:r>
        <w:rPr>
          <w:rFonts w:hint="eastAsia"/>
        </w:rPr>
        <w:t>推动技术创新。通过数智化管理实时监测电站运行状态，能够提升电站运维效率，保障电站高效运行，进而提升项目绩效。</w:t>
      </w:r>
    </w:p>
    <w:p w14:paraId="4654158C" w14:textId="77777777" w:rsidR="008D7AD9" w:rsidRDefault="00000000">
      <w:pPr>
        <w:ind w:firstLine="420"/>
      </w:pPr>
      <w:r>
        <w:rPr>
          <w:rFonts w:hint="eastAsia"/>
        </w:rPr>
        <w:t>（</w:t>
      </w:r>
      <w:r>
        <w:rPr>
          <w:rFonts w:hint="eastAsia"/>
        </w:rPr>
        <w:t>2</w:t>
      </w:r>
      <w:r>
        <w:rPr>
          <w:rFonts w:hint="eastAsia"/>
        </w:rPr>
        <w:t>）“整体条件→电价和市场机制→方案选择→电站运营管理”：整体条件对电价和市场机制、电价和市场机制对方案选择、方案选择对电站运营管理、电站运营管理对项目绩效具有积极正向作用。抽水蓄能整体条件涵盖政策、需求、技术等多个维度，良好的条件有助于抽蓄电站提供有市场竞争力的低价电力。</w:t>
      </w:r>
    </w:p>
    <w:p w14:paraId="22CB763A" w14:textId="77777777" w:rsidR="008D7AD9" w:rsidRDefault="00000000">
      <w:pPr>
        <w:ind w:firstLine="420"/>
      </w:pPr>
      <w:r>
        <w:rPr>
          <w:rFonts w:hint="eastAsia"/>
        </w:rPr>
        <w:t>电价机制和市场规则从技术经济性引导抽蓄电站技术方案选择，激励其选择高效、灵活的机组和合理的装机规模。响应速度快的机组能更好适应现货市场和辅助服务需求。分时电价与补偿机制、两部制电价等机制通过保障收益、分摊成本提升抽蓄电站的经济吸引力，推动方案选择时更倾向于技术先进、规模合理的设计。此外，分时电价和现货市场的价差信号、辅助服务的交易量和价格有助于促进抽蓄电站选址时充分考虑多能互补一体化运营和</w:t>
      </w:r>
      <w:r>
        <w:rPr>
          <w:rFonts w:hint="eastAsia"/>
        </w:rPr>
        <w:lastRenderedPageBreak/>
        <w:t>源网荷储一体化管理。</w:t>
      </w:r>
    </w:p>
    <w:p w14:paraId="72835BCB" w14:textId="77777777" w:rsidR="008D7AD9" w:rsidRDefault="00000000">
      <w:pPr>
        <w:ind w:firstLine="420"/>
      </w:pPr>
      <w:r>
        <w:rPr>
          <w:rFonts w:hint="eastAsia"/>
        </w:rPr>
        <w:t>抽蓄项目方案是电站运营管理的基础，良好的项目方案包括多能互补方式、电站布置和机组选型等，会对电站的运营及效益产生积极影响。</w:t>
      </w:r>
    </w:p>
    <w:p w14:paraId="34657AF3" w14:textId="77777777" w:rsidR="008D7AD9" w:rsidRDefault="00000000">
      <w:pPr>
        <w:widowControl/>
        <w:spacing w:beforeLines="50" w:before="156" w:line="240" w:lineRule="atLeast"/>
        <w:ind w:firstLineChars="0" w:firstLine="420"/>
        <w:rPr>
          <w:rFonts w:cs="Times New Roman"/>
          <w:b/>
          <w:bCs/>
          <w:kern w:val="0"/>
          <w:sz w:val="24"/>
          <w:szCs w:val="24"/>
        </w:rPr>
      </w:pPr>
      <w:r>
        <w:rPr>
          <w:rFonts w:cs="Times New Roman"/>
          <w:b/>
          <w:bCs/>
          <w:kern w:val="0"/>
          <w:sz w:val="24"/>
          <w:szCs w:val="24"/>
        </w:rPr>
        <w:t xml:space="preserve">5 </w:t>
      </w:r>
      <w:r>
        <w:rPr>
          <w:rFonts w:cs="Times New Roman"/>
          <w:b/>
          <w:bCs/>
          <w:kern w:val="0"/>
          <w:sz w:val="24"/>
          <w:szCs w:val="24"/>
        </w:rPr>
        <w:t>案例分析</w:t>
      </w:r>
    </w:p>
    <w:p w14:paraId="342A8E06" w14:textId="77777777" w:rsidR="008D7AD9" w:rsidRDefault="00000000">
      <w:pPr>
        <w:ind w:firstLine="420"/>
        <w:rPr>
          <w:rFonts w:cs="Times New Roman"/>
        </w:rPr>
      </w:pPr>
      <w:r>
        <w:rPr>
          <w:rFonts w:cs="Times New Roman" w:hint="eastAsia"/>
        </w:rPr>
        <w:t>L</w:t>
      </w:r>
      <w:r>
        <w:rPr>
          <w:rFonts w:cs="Times New Roman" w:hint="eastAsia"/>
        </w:rPr>
        <w:t>江流域是我国重点规划实施的清洁能源基地之一，旨在实现水电、风电、光伏和储能一体化开发，推动能源绿色转型和新型电力系统建设。</w:t>
      </w:r>
    </w:p>
    <w:p w14:paraId="5F975C89" w14:textId="77777777" w:rsidR="008D7AD9" w:rsidRDefault="00000000">
      <w:pPr>
        <w:ind w:firstLine="422"/>
        <w:rPr>
          <w:rFonts w:cs="Times New Roman"/>
          <w:b/>
          <w:bCs/>
        </w:rPr>
      </w:pPr>
      <w:r>
        <w:rPr>
          <w:rFonts w:cs="Times New Roman"/>
          <w:b/>
          <w:bCs/>
        </w:rPr>
        <w:t>5.1</w:t>
      </w:r>
      <w:r>
        <w:rPr>
          <w:rFonts w:cs="Times New Roman"/>
          <w:b/>
          <w:bCs/>
        </w:rPr>
        <w:t>概况</w:t>
      </w:r>
    </w:p>
    <w:p w14:paraId="4CC5E43D" w14:textId="77777777" w:rsidR="008D7AD9" w:rsidRDefault="00000000">
      <w:pPr>
        <w:ind w:firstLine="420"/>
        <w:rPr>
          <w:rFonts w:cs="Times New Roman"/>
        </w:rPr>
      </w:pPr>
      <w:r>
        <w:rPr>
          <w:rFonts w:cs="Times New Roman" w:hint="eastAsia"/>
        </w:rPr>
        <w:t>L</w:t>
      </w:r>
      <w:r>
        <w:rPr>
          <w:rFonts w:cs="Times New Roman" w:hint="eastAsia"/>
        </w:rPr>
        <w:t>江流域水风光资源丰富，区域内具备大量优质的抽水蓄能站点资源，具备良好的多能互补实施条件。流域内水电资源丰富，技术可开发规模超</w:t>
      </w:r>
      <w:r>
        <w:rPr>
          <w:rFonts w:cs="Times New Roman" w:hint="eastAsia"/>
        </w:rPr>
        <w:t>3200</w:t>
      </w:r>
      <w:r>
        <w:rPr>
          <w:rFonts w:cs="Times New Roman" w:hint="eastAsia"/>
        </w:rPr>
        <w:t>万千瓦，已建成水电装机约</w:t>
      </w:r>
      <w:r>
        <w:rPr>
          <w:rFonts w:cs="Times New Roman" w:hint="eastAsia"/>
        </w:rPr>
        <w:t>2275</w:t>
      </w:r>
      <w:r>
        <w:rPr>
          <w:rFonts w:cs="Times New Roman" w:hint="eastAsia"/>
        </w:rPr>
        <w:t>万千瓦，周边新能源资源可开发规模约</w:t>
      </w:r>
      <w:r>
        <w:rPr>
          <w:rFonts w:cs="Times New Roman" w:hint="eastAsia"/>
        </w:rPr>
        <w:t>5500</w:t>
      </w:r>
      <w:r>
        <w:rPr>
          <w:rFonts w:cs="Times New Roman" w:hint="eastAsia"/>
        </w:rPr>
        <w:t>万千瓦。项目拟通过水风光储一体化开发，合理配置水电、风电、光伏和抽蓄电站，以促进新能源消纳，提升系统的稳定性和经济性。</w:t>
      </w:r>
    </w:p>
    <w:p w14:paraId="5ED1C449" w14:textId="77777777" w:rsidR="008D7AD9" w:rsidRDefault="00000000">
      <w:pPr>
        <w:ind w:firstLine="422"/>
        <w:rPr>
          <w:rFonts w:cs="Times New Roman"/>
          <w:b/>
          <w:bCs/>
        </w:rPr>
      </w:pPr>
      <w:r>
        <w:rPr>
          <w:rFonts w:cs="Times New Roman"/>
          <w:b/>
          <w:bCs/>
        </w:rPr>
        <w:t xml:space="preserve">5.2 </w:t>
      </w:r>
      <w:bookmarkStart w:id="14" w:name="_Toc196061906"/>
      <w:r>
        <w:rPr>
          <w:rFonts w:cs="Times New Roman" w:hint="eastAsia"/>
          <w:b/>
          <w:bCs/>
        </w:rPr>
        <w:t>多能互补、抽蓄方案选择</w:t>
      </w:r>
      <w:bookmarkEnd w:id="14"/>
      <w:r>
        <w:rPr>
          <w:rFonts w:cs="Times New Roman" w:hint="eastAsia"/>
          <w:b/>
          <w:bCs/>
        </w:rPr>
        <w:t>与运营管理</w:t>
      </w:r>
    </w:p>
    <w:p w14:paraId="30641357" w14:textId="77777777" w:rsidR="008D7AD9" w:rsidRDefault="00000000">
      <w:pPr>
        <w:ind w:firstLine="420"/>
        <w:rPr>
          <w:rFonts w:cs="Times New Roman"/>
        </w:rPr>
      </w:pPr>
      <w:r>
        <w:rPr>
          <w:rFonts w:cs="Times New Roman" w:hint="eastAsia"/>
        </w:rPr>
        <w:t>抽蓄电站通过与水电协同、与风光互补，体现多能互补电源的匹配性。规划开发抽蓄电站和梯级水电站，形成以调节电源为核心，周边配置分布式风光场址的组网模式，促进风光资源开发消纳。抽蓄电站可带动</w:t>
      </w:r>
      <w:r>
        <w:rPr>
          <w:rFonts w:cs="Times New Roman" w:hint="eastAsia"/>
        </w:rPr>
        <w:t>3~4</w:t>
      </w:r>
      <w:r>
        <w:rPr>
          <w:rFonts w:cs="Times New Roman" w:hint="eastAsia"/>
        </w:rPr>
        <w:t>倍的新能源装机规模，发挥着重要的调节作用。同时，抽蓄电站可与梯级水电协同提供秒级波动平滑，支撑电网安全稳定运行。通过新建</w:t>
      </w:r>
      <w:r>
        <w:rPr>
          <w:rFonts w:cs="Times New Roman" w:hint="eastAsia"/>
        </w:rPr>
        <w:t>800kV</w:t>
      </w:r>
      <w:r>
        <w:rPr>
          <w:rFonts w:cs="Times New Roman" w:hint="eastAsia"/>
        </w:rPr>
        <w:t>直流线路提升输电通道利用率，减少新能源弃电率，以期实现电源集中开发与电力供需良好匹配。</w:t>
      </w:r>
    </w:p>
    <w:p w14:paraId="0A46BCE3" w14:textId="77777777" w:rsidR="008D7AD9" w:rsidRDefault="00000000">
      <w:pPr>
        <w:ind w:firstLine="420"/>
        <w:rPr>
          <w:rFonts w:cs="Times New Roman"/>
        </w:rPr>
      </w:pPr>
      <w:r>
        <w:rPr>
          <w:rFonts w:cs="Times New Roman"/>
        </w:rPr>
        <w:t>考虑抽蓄站点的</w:t>
      </w:r>
      <w:r>
        <w:rPr>
          <w:rFonts w:cs="Times New Roman" w:hint="eastAsia"/>
        </w:rPr>
        <w:t>地形地质、水源、</w:t>
      </w:r>
      <w:r>
        <w:rPr>
          <w:rFonts w:cs="Times New Roman"/>
        </w:rPr>
        <w:t>水头、距高比</w:t>
      </w:r>
      <w:r>
        <w:rPr>
          <w:rFonts w:cs="Times New Roman" w:hint="eastAsia"/>
        </w:rPr>
        <w:t>等</w:t>
      </w:r>
      <w:r>
        <w:rPr>
          <w:rFonts w:cs="Times New Roman"/>
        </w:rPr>
        <w:t>自然</w:t>
      </w:r>
      <w:r>
        <w:rPr>
          <w:rFonts w:cs="Times New Roman" w:hint="eastAsia"/>
        </w:rPr>
        <w:t>和技术</w:t>
      </w:r>
      <w:r>
        <w:rPr>
          <w:rFonts w:cs="Times New Roman"/>
        </w:rPr>
        <w:t>条件，考虑避让生态保护红线，</w:t>
      </w:r>
      <w:r>
        <w:rPr>
          <w:rFonts w:cs="Times New Roman" w:hint="eastAsia"/>
        </w:rPr>
        <w:t>筛选出</w:t>
      </w:r>
      <w:r>
        <w:rPr>
          <w:rFonts w:cs="Times New Roman"/>
        </w:rPr>
        <w:t>MKRB</w:t>
      </w:r>
      <w:r>
        <w:rPr>
          <w:rFonts w:cs="Times New Roman"/>
        </w:rPr>
        <w:t>、</w:t>
      </w:r>
      <w:r>
        <w:rPr>
          <w:rFonts w:cs="Times New Roman"/>
        </w:rPr>
        <w:t>CYJT</w:t>
      </w:r>
      <w:r>
        <w:rPr>
          <w:rFonts w:cs="Times New Roman"/>
        </w:rPr>
        <w:t>、</w:t>
      </w:r>
      <w:bookmarkStart w:id="15" w:name="_Hlk192669144"/>
      <w:r>
        <w:rPr>
          <w:rFonts w:cs="Times New Roman"/>
        </w:rPr>
        <w:t>CYYX</w:t>
      </w:r>
      <w:bookmarkEnd w:id="15"/>
      <w:r>
        <w:rPr>
          <w:rFonts w:cs="Times New Roman"/>
        </w:rPr>
        <w:t>三个</w:t>
      </w:r>
      <w:r>
        <w:rPr>
          <w:rFonts w:cs="Times New Roman" w:hint="eastAsia"/>
        </w:rPr>
        <w:t>站点</w:t>
      </w:r>
      <w:r>
        <w:rPr>
          <w:rFonts w:cs="Times New Roman"/>
        </w:rPr>
        <w:t>作为</w:t>
      </w:r>
      <w:r>
        <w:rPr>
          <w:rFonts w:cs="Times New Roman" w:hint="eastAsia"/>
        </w:rPr>
        <w:t>重点实施的抽蓄项目</w:t>
      </w:r>
      <w:r>
        <w:rPr>
          <w:rFonts w:cs="Times New Roman"/>
        </w:rPr>
        <w:t>。</w:t>
      </w:r>
      <w:r>
        <w:rPr>
          <w:rFonts w:cs="Times New Roman" w:hint="eastAsia"/>
        </w:rPr>
        <w:t>进一步考虑方案技术经济性、电源和电网布局、多能互补一体化运营等，拟对</w:t>
      </w:r>
      <w:r>
        <w:rPr>
          <w:rFonts w:cs="Times New Roman" w:hint="eastAsia"/>
        </w:rPr>
        <w:t>MKRB</w:t>
      </w:r>
      <w:r>
        <w:rPr>
          <w:rFonts w:cs="Times New Roman" w:hint="eastAsia"/>
        </w:rPr>
        <w:t>和</w:t>
      </w:r>
      <w:r>
        <w:rPr>
          <w:rFonts w:cs="Times New Roman" w:hint="eastAsia"/>
        </w:rPr>
        <w:t>CYJT</w:t>
      </w:r>
      <w:r>
        <w:rPr>
          <w:rFonts w:cs="Times New Roman" w:hint="eastAsia"/>
        </w:rPr>
        <w:t>两个抽蓄项目实施开发，规划装机容量共计</w:t>
      </w:r>
      <w:r>
        <w:rPr>
          <w:rFonts w:cs="Times New Roman" w:hint="eastAsia"/>
        </w:rPr>
        <w:t>660</w:t>
      </w:r>
      <w:r>
        <w:rPr>
          <w:rFonts w:cs="Times New Roman" w:hint="eastAsia"/>
        </w:rPr>
        <w:t>万千瓦，调节性能均为日调节，匹配风光日内波动，优化电网峰谷负荷。此外，电站可采用高水头大容量和变速机组等技术，为电站高效运营提供基础。</w:t>
      </w:r>
    </w:p>
    <w:p w14:paraId="56C9007E" w14:textId="77777777" w:rsidR="008D7AD9" w:rsidRDefault="00000000">
      <w:pPr>
        <w:ind w:firstLine="422"/>
        <w:rPr>
          <w:rFonts w:cs="Times New Roman"/>
          <w:b/>
          <w:bCs/>
        </w:rPr>
      </w:pPr>
      <w:r>
        <w:rPr>
          <w:rFonts w:cs="Times New Roman"/>
          <w:b/>
          <w:bCs/>
        </w:rPr>
        <w:t xml:space="preserve">5.3 </w:t>
      </w:r>
      <w:r>
        <w:rPr>
          <w:rFonts w:cs="Times New Roman" w:hint="eastAsia"/>
          <w:b/>
          <w:bCs/>
        </w:rPr>
        <w:t>多能互补、电价和市场机制与运营管理</w:t>
      </w:r>
    </w:p>
    <w:p w14:paraId="7824CC2B" w14:textId="77777777" w:rsidR="008D7AD9" w:rsidRDefault="00000000">
      <w:pPr>
        <w:ind w:firstLine="420"/>
        <w:rPr>
          <w:rFonts w:cs="Times New Roman"/>
        </w:rPr>
      </w:pPr>
      <w:r>
        <w:rPr>
          <w:rFonts w:cs="Times New Roman" w:hint="eastAsia"/>
        </w:rPr>
        <w:t>L</w:t>
      </w:r>
      <w:r>
        <w:rPr>
          <w:rFonts w:cs="Times New Roman" w:hint="eastAsia"/>
        </w:rPr>
        <w:t>江流域多能互补基地规划送电至广东电网，其运营管理需结合电价和市场机制制定合理的管理策略，以提升电站运营效率和项目绩效。</w:t>
      </w:r>
    </w:p>
    <w:p w14:paraId="36B98B20" w14:textId="77777777" w:rsidR="008D7AD9" w:rsidRDefault="00000000">
      <w:pPr>
        <w:ind w:firstLine="420"/>
        <w:rPr>
          <w:rFonts w:cs="Times New Roman"/>
        </w:rPr>
      </w:pPr>
      <w:r>
        <w:rPr>
          <w:rFonts w:cs="Times New Roman" w:hint="eastAsia"/>
        </w:rPr>
        <w:t>抽蓄电站的经济性和盈利情况受电价机制和市</w:t>
      </w:r>
      <w:r>
        <w:rPr>
          <w:rFonts w:cs="Times New Roman" w:hint="eastAsia"/>
        </w:rPr>
        <w:t>场环境影响较大。广东电力现货市场已实现全电量竞争，抽蓄电站可通过“报量报价”模式参与，申报抽水和发电状态的价格曲线，利用电价差异最大化收益。抽蓄电站需结合</w:t>
      </w:r>
      <w:r>
        <w:rPr>
          <w:rFonts w:cs="Times New Roman" w:hint="eastAsia"/>
        </w:rPr>
        <w:t>L</w:t>
      </w:r>
      <w:r>
        <w:rPr>
          <w:rFonts w:cs="Times New Roman" w:hint="eastAsia"/>
        </w:rPr>
        <w:t>江基地风光出力特性、负荷峰谷时段，利用数智化技术优化电站运行及电力交易策略。针对服务多能互补基地的抽蓄电站，需明确各电源主体的分摊比例（如按受益电量或调节频次计算），并通过合同协议固化分摊规则。也可考虑抽蓄电站作为独立市场主体参与现货市场和辅助服务市场交易，根据市场价格信号灵活调整抽水和发电运行，实现良好的经济效益。</w:t>
      </w:r>
    </w:p>
    <w:p w14:paraId="071B2E0F" w14:textId="77777777" w:rsidR="008D7AD9" w:rsidRDefault="00000000">
      <w:pPr>
        <w:widowControl/>
        <w:spacing w:beforeLines="50" w:before="156" w:line="240" w:lineRule="atLeast"/>
        <w:ind w:firstLineChars="0" w:firstLine="420"/>
        <w:rPr>
          <w:rFonts w:cs="Times New Roman"/>
          <w:b/>
          <w:bCs/>
          <w:kern w:val="0"/>
          <w:sz w:val="24"/>
          <w:szCs w:val="24"/>
        </w:rPr>
      </w:pPr>
      <w:r>
        <w:rPr>
          <w:rFonts w:cs="Times New Roman"/>
          <w:b/>
          <w:bCs/>
          <w:kern w:val="0"/>
          <w:sz w:val="24"/>
          <w:szCs w:val="24"/>
        </w:rPr>
        <w:t xml:space="preserve">6 </w:t>
      </w:r>
      <w:r>
        <w:rPr>
          <w:rFonts w:cs="Times New Roman" w:hint="eastAsia"/>
          <w:b/>
          <w:bCs/>
          <w:kern w:val="0"/>
          <w:sz w:val="24"/>
          <w:szCs w:val="24"/>
        </w:rPr>
        <w:t>多能互补视角下抽水蓄能管理建议</w:t>
      </w:r>
    </w:p>
    <w:p w14:paraId="38C2AA59" w14:textId="77777777" w:rsidR="008D7AD9" w:rsidRDefault="00000000">
      <w:pPr>
        <w:ind w:firstLine="420"/>
        <w:rPr>
          <w:rFonts w:cs="Times New Roman"/>
        </w:rPr>
      </w:pPr>
      <w:r>
        <w:rPr>
          <w:rFonts w:cs="Times New Roman" w:hint="eastAsia"/>
        </w:rPr>
        <w:t>（</w:t>
      </w:r>
      <w:r>
        <w:rPr>
          <w:rFonts w:cs="Times New Roman" w:hint="eastAsia"/>
        </w:rPr>
        <w:t>1</w:t>
      </w:r>
      <w:r>
        <w:rPr>
          <w:rFonts w:cs="Times New Roman" w:hint="eastAsia"/>
        </w:rPr>
        <w:t>）强化多能互补协同规划</w:t>
      </w:r>
    </w:p>
    <w:p w14:paraId="1F0DFB51" w14:textId="77777777" w:rsidR="008D7AD9" w:rsidRDefault="00000000">
      <w:pPr>
        <w:ind w:firstLine="420"/>
        <w:rPr>
          <w:rFonts w:cs="Times New Roman"/>
        </w:rPr>
      </w:pPr>
      <w:r>
        <w:rPr>
          <w:rFonts w:cs="Times New Roman" w:hint="eastAsia"/>
        </w:rPr>
        <w:t>结合当地气象条件和负荷特征，优化多能互补电源匹配性，合理配比风电、光伏与抽蓄电站装机容量。加快输电通道能力建设，形成源网协同。优先在输电通道区域布局抽蓄电站，并强化多能互补集中开发。</w:t>
      </w:r>
    </w:p>
    <w:p w14:paraId="766F03E0" w14:textId="77777777" w:rsidR="008D7AD9" w:rsidRDefault="00000000">
      <w:pPr>
        <w:ind w:firstLine="420"/>
        <w:rPr>
          <w:rFonts w:cs="Times New Roman"/>
        </w:rPr>
      </w:pPr>
      <w:r>
        <w:rPr>
          <w:rFonts w:cs="Times New Roman" w:hint="eastAsia"/>
        </w:rPr>
        <w:t>（</w:t>
      </w:r>
      <w:r>
        <w:rPr>
          <w:rFonts w:cs="Times New Roman"/>
        </w:rPr>
        <w:t>2</w:t>
      </w:r>
      <w:r>
        <w:rPr>
          <w:rFonts w:cs="Times New Roman" w:hint="eastAsia"/>
        </w:rPr>
        <w:t>）构建抽蓄电站多维度评价模型</w:t>
      </w:r>
    </w:p>
    <w:p w14:paraId="1BF4A416" w14:textId="77777777" w:rsidR="008D7AD9" w:rsidRDefault="00000000">
      <w:pPr>
        <w:ind w:firstLine="420"/>
        <w:rPr>
          <w:rFonts w:cs="Times New Roman"/>
        </w:rPr>
      </w:pPr>
      <w:r>
        <w:rPr>
          <w:rFonts w:cs="Times New Roman" w:hint="eastAsia"/>
        </w:rPr>
        <w:t>构建涵盖技术可行性、经济性、生态影响、社会影响的四维评价模型，实施站点比选分级管理。技术方面，应注重在机组设备、智能建造、不同电源协同调度方面加强攻关，创新可变速机组、超高水头水泵水轮机、地下工程智能建造、水风光储多能互补调度平台等关键技术。</w:t>
      </w:r>
    </w:p>
    <w:p w14:paraId="13478F46" w14:textId="77777777" w:rsidR="008D7AD9" w:rsidRDefault="00000000">
      <w:pPr>
        <w:ind w:firstLine="420"/>
        <w:rPr>
          <w:rFonts w:cs="Times New Roman"/>
        </w:rPr>
      </w:pPr>
      <w:r>
        <w:rPr>
          <w:rFonts w:cs="Times New Roman" w:hint="eastAsia"/>
        </w:rPr>
        <w:t>（</w:t>
      </w:r>
      <w:r>
        <w:rPr>
          <w:rFonts w:cs="Times New Roman"/>
        </w:rPr>
        <w:t>3</w:t>
      </w:r>
      <w:r>
        <w:rPr>
          <w:rFonts w:cs="Times New Roman" w:hint="eastAsia"/>
        </w:rPr>
        <w:t>）完善电价和电力市场机制</w:t>
      </w:r>
    </w:p>
    <w:p w14:paraId="3B503B82" w14:textId="77777777" w:rsidR="008D7AD9" w:rsidRDefault="00000000">
      <w:pPr>
        <w:ind w:firstLine="420"/>
        <w:rPr>
          <w:rFonts w:cs="Times New Roman"/>
        </w:rPr>
      </w:pPr>
      <w:r>
        <w:rPr>
          <w:rFonts w:cs="Times New Roman" w:hint="eastAsia"/>
        </w:rPr>
        <w:t>构建多维度抽水蓄能价值评估体系，包括电网安全支撑效益（如调频、调峰、黑启动）及其与风电、光伏、新型储能的协同运行效益，如减少弃风弃光率。完善电力现货市场参与机制和辅助服务品类，并进一步细化辅助服务效益补偿与分摊机制，细化调频、黑启动等服务品种的定价规则，将抽蓄</w:t>
      </w:r>
      <w:r>
        <w:rPr>
          <w:rFonts w:cs="Times New Roman" w:hint="eastAsia"/>
        </w:rPr>
        <w:t xml:space="preserve"> </w:t>
      </w:r>
      <w:r>
        <w:rPr>
          <w:rFonts w:cs="Times New Roman" w:hint="eastAsia"/>
        </w:rPr>
        <w:t>电站的调节效能与效益补偿挂钩。成本分摊机制需遵循“谁受益、谁承担”的原则实现利益相关方共担，还应通过动态电价机制适应电力市场供需。</w:t>
      </w:r>
    </w:p>
    <w:p w14:paraId="1007C438" w14:textId="77777777" w:rsidR="008D7AD9" w:rsidRDefault="00000000">
      <w:pPr>
        <w:ind w:left="420" w:firstLineChars="0" w:firstLine="0"/>
        <w:rPr>
          <w:rFonts w:cs="Times New Roman"/>
        </w:rPr>
      </w:pPr>
      <w:r>
        <w:rPr>
          <w:rFonts w:cs="Times New Roman" w:hint="eastAsia"/>
        </w:rPr>
        <w:t>（</w:t>
      </w:r>
      <w:r>
        <w:rPr>
          <w:rFonts w:cs="Times New Roman"/>
        </w:rPr>
        <w:t>4</w:t>
      </w:r>
      <w:r>
        <w:rPr>
          <w:rFonts w:cs="Times New Roman" w:hint="eastAsia"/>
        </w:rPr>
        <w:t>）加强电站数智化运营</w:t>
      </w:r>
    </w:p>
    <w:p w14:paraId="14FF5198" w14:textId="77777777" w:rsidR="008D7AD9" w:rsidRDefault="00000000">
      <w:pPr>
        <w:ind w:firstLine="420"/>
      </w:pPr>
      <w:r>
        <w:rPr>
          <w:rFonts w:hint="eastAsia"/>
        </w:rPr>
        <w:t>利用数智化技术优化电站运行和电力交易水平。建立多能互补调度平台，实时分析新能源出力、负荷需求波动和现货市场价格，动态调整机组出力计划。开发适应现货市场的多场景竞价模型，</w:t>
      </w:r>
      <w:r>
        <w:t>实现日前市场竞价、实时调度指令与机组</w:t>
      </w:r>
      <w:r>
        <w:rPr>
          <w:rFonts w:hint="eastAsia"/>
        </w:rPr>
        <w:t>出力</w:t>
      </w:r>
      <w:r>
        <w:t>的动态匹配</w:t>
      </w:r>
      <w:r>
        <w:rPr>
          <w:rFonts w:hint="eastAsia"/>
        </w:rPr>
        <w:t>。</w:t>
      </w:r>
    </w:p>
    <w:p w14:paraId="21E9DF01" w14:textId="77777777" w:rsidR="008D7AD9" w:rsidRDefault="00000000">
      <w:pPr>
        <w:widowControl/>
        <w:spacing w:beforeLines="50" w:before="156" w:line="240" w:lineRule="atLeast"/>
        <w:ind w:firstLineChars="0" w:firstLine="420"/>
        <w:rPr>
          <w:rFonts w:cs="Times New Roman"/>
          <w:b/>
          <w:bCs/>
          <w:kern w:val="0"/>
          <w:sz w:val="24"/>
          <w:szCs w:val="24"/>
        </w:rPr>
      </w:pPr>
      <w:r>
        <w:rPr>
          <w:rFonts w:cs="Times New Roman"/>
          <w:b/>
          <w:bCs/>
          <w:kern w:val="0"/>
          <w:sz w:val="24"/>
          <w:szCs w:val="24"/>
        </w:rPr>
        <w:t xml:space="preserve">7 </w:t>
      </w:r>
      <w:r>
        <w:rPr>
          <w:rFonts w:cs="Times New Roman" w:hint="eastAsia"/>
          <w:b/>
          <w:bCs/>
          <w:kern w:val="0"/>
          <w:sz w:val="24"/>
          <w:szCs w:val="24"/>
        </w:rPr>
        <w:t>结论与展望</w:t>
      </w:r>
    </w:p>
    <w:p w14:paraId="241CF857" w14:textId="77777777" w:rsidR="008D7AD9" w:rsidRDefault="00000000">
      <w:pPr>
        <w:ind w:firstLine="420"/>
        <w:rPr>
          <w:rFonts w:cs="Times New Roman"/>
        </w:rPr>
      </w:pPr>
      <w:r>
        <w:rPr>
          <w:rFonts w:cs="Times New Roman" w:hint="eastAsia"/>
        </w:rPr>
        <w:t>构建并验证了多能互补视角下抽水蓄能电站管</w:t>
      </w:r>
      <w:r>
        <w:rPr>
          <w:rFonts w:cs="Times New Roman" w:hint="eastAsia"/>
        </w:rPr>
        <w:lastRenderedPageBreak/>
        <w:t>理模型，揭示了该视角下抽蓄电站管理的关键影响因素及其间作用关系，识别了“多能互补→电价和市场机制→电站运营管理→项目绩效”、“整体条件→电价和市场机制→方案选择→电站运营管理”</w:t>
      </w:r>
      <w:r>
        <w:rPr>
          <w:rFonts w:cs="Times New Roman" w:hint="eastAsia"/>
        </w:rPr>
        <w:t>2</w:t>
      </w:r>
      <w:r>
        <w:rPr>
          <w:rFonts w:cs="Times New Roman" w:hint="eastAsia"/>
        </w:rPr>
        <w:t>条作用路径。结果表明，多能互补和整体条件通过电价和市场机制、方案选择影响电站运营管理，进而影响项目绩效。</w:t>
      </w:r>
    </w:p>
    <w:p w14:paraId="066FE652" w14:textId="77777777" w:rsidR="008D7AD9" w:rsidRDefault="00000000">
      <w:pPr>
        <w:ind w:firstLine="420"/>
        <w:rPr>
          <w:rFonts w:cs="Times New Roman"/>
        </w:rPr>
      </w:pPr>
      <w:r>
        <w:rPr>
          <w:rFonts w:cs="Times New Roman" w:hint="eastAsia"/>
        </w:rPr>
        <w:t>建立了多能互补视角下抽水蓄能电站管理测量指标体系，包括多能互补、整体条件、电价和市场机制、方案选择、电站运营管理及项目绩效六个变量的测量指标体系，调研了该视角下抽水蓄能电站管理现状，深入分析了该视角下抽蓄电站管理应重点关注的因素，可为制定抽蓄电站管理措施提供参考依据。</w:t>
      </w:r>
    </w:p>
    <w:p w14:paraId="0DE37A8F" w14:textId="77777777" w:rsidR="008D7AD9" w:rsidRDefault="00000000">
      <w:pPr>
        <w:ind w:firstLine="420"/>
        <w:rPr>
          <w:rFonts w:cs="Times New Roman"/>
        </w:rPr>
      </w:pPr>
      <w:r>
        <w:rPr>
          <w:rFonts w:cs="Times New Roman" w:hint="eastAsia"/>
        </w:rPr>
        <w:t>基于以上，结合案例分析，提出了多能互补视角下抽水蓄能管理建议，主要包括：</w:t>
      </w:r>
      <w:r>
        <w:rPr>
          <w:rFonts w:cs="Times New Roman" w:hint="eastAsia"/>
        </w:rPr>
        <w:t>1</w:t>
      </w:r>
      <w:r>
        <w:rPr>
          <w:rFonts w:cs="Times New Roman" w:hint="eastAsia"/>
        </w:rPr>
        <w:t>）强化多能互补协同规划；</w:t>
      </w:r>
      <w:r>
        <w:rPr>
          <w:rFonts w:cs="Times New Roman" w:hint="eastAsia"/>
        </w:rPr>
        <w:t>2</w:t>
      </w:r>
      <w:r>
        <w:rPr>
          <w:rFonts w:cs="Times New Roman" w:hint="eastAsia"/>
        </w:rPr>
        <w:t>）构建抽蓄电站多维度评价模型；</w:t>
      </w:r>
      <w:r>
        <w:rPr>
          <w:rFonts w:cs="Times New Roman" w:hint="eastAsia"/>
        </w:rPr>
        <w:t>3</w:t>
      </w:r>
      <w:r>
        <w:rPr>
          <w:rFonts w:cs="Times New Roman" w:hint="eastAsia"/>
        </w:rPr>
        <w:t>）完善电价和电力市场机制；</w:t>
      </w:r>
      <w:r>
        <w:rPr>
          <w:rFonts w:cs="Times New Roman" w:hint="eastAsia"/>
        </w:rPr>
        <w:t>4</w:t>
      </w:r>
      <w:r>
        <w:rPr>
          <w:rFonts w:cs="Times New Roman" w:hint="eastAsia"/>
        </w:rPr>
        <w:t>）加强电站数智化运营。未来在以上方面需进一步深入研究。</w:t>
      </w:r>
    </w:p>
    <w:p w14:paraId="12B447F3" w14:textId="77777777" w:rsidR="007A446F" w:rsidRDefault="007A446F">
      <w:pPr>
        <w:ind w:firstLine="420"/>
        <w:rPr>
          <w:rFonts w:cs="Times New Roman"/>
        </w:rPr>
      </w:pPr>
    </w:p>
    <w:p w14:paraId="6AE17E36" w14:textId="77777777" w:rsidR="008D7AD9" w:rsidRDefault="00000000">
      <w:pPr>
        <w:widowControl/>
        <w:tabs>
          <w:tab w:val="left" w:pos="420"/>
        </w:tabs>
        <w:spacing w:line="240" w:lineRule="atLeast"/>
        <w:ind w:left="360" w:hangingChars="200" w:hanging="360"/>
        <w:jc w:val="center"/>
        <w:rPr>
          <w:rFonts w:eastAsia="黑体"/>
          <w:sz w:val="18"/>
          <w:szCs w:val="18"/>
        </w:rPr>
      </w:pPr>
      <w:r>
        <w:rPr>
          <w:rFonts w:eastAsia="黑体"/>
          <w:sz w:val="18"/>
          <w:szCs w:val="18"/>
        </w:rPr>
        <w:t>参考文献（</w:t>
      </w:r>
      <w:r>
        <w:rPr>
          <w:rFonts w:eastAsia="黑体"/>
          <w:sz w:val="18"/>
          <w:szCs w:val="18"/>
        </w:rPr>
        <w:t>References</w:t>
      </w:r>
      <w:r>
        <w:rPr>
          <w:rFonts w:eastAsia="黑体"/>
          <w:sz w:val="18"/>
          <w:szCs w:val="18"/>
        </w:rPr>
        <w:t>）</w:t>
      </w:r>
    </w:p>
    <w:p w14:paraId="67B3DBA5" w14:textId="4D57B64A" w:rsidR="008D7AD9" w:rsidRDefault="00000000">
      <w:pPr>
        <w:pStyle w:val="af9"/>
        <w:numPr>
          <w:ilvl w:val="0"/>
          <w:numId w:val="1"/>
        </w:numPr>
        <w:tabs>
          <w:tab w:val="left" w:pos="0"/>
          <w:tab w:val="left" w:pos="735"/>
        </w:tabs>
        <w:spacing w:line="320" w:lineRule="exact"/>
        <w:ind w:firstLineChars="0"/>
        <w:rPr>
          <w:rFonts w:cs="Times New Roman"/>
          <w:sz w:val="18"/>
          <w:szCs w:val="18"/>
        </w:rPr>
      </w:pPr>
      <w:bookmarkStart w:id="16" w:name="_Ref137585232"/>
      <w:bookmarkStart w:id="17" w:name="_Ref137568964"/>
      <w:r>
        <w:rPr>
          <w:rFonts w:cs="Times New Roman" w:hint="eastAsia"/>
          <w:caps/>
          <w:sz w:val="18"/>
          <w:szCs w:val="18"/>
        </w:rPr>
        <w:t>Odoi-Yorke</w:t>
      </w:r>
      <w:r>
        <w:rPr>
          <w:rFonts w:cs="Times New Roman" w:hint="eastAsia"/>
          <w:sz w:val="18"/>
          <w:szCs w:val="18"/>
        </w:rPr>
        <w:t xml:space="preserve"> F, </w:t>
      </w:r>
      <w:r>
        <w:rPr>
          <w:rFonts w:cs="Times New Roman" w:hint="eastAsia"/>
          <w:caps/>
          <w:sz w:val="18"/>
          <w:szCs w:val="18"/>
        </w:rPr>
        <w:t xml:space="preserve">Abbey </w:t>
      </w:r>
      <w:r>
        <w:rPr>
          <w:rFonts w:cs="Times New Roman" w:hint="eastAsia"/>
          <w:sz w:val="18"/>
          <w:szCs w:val="18"/>
        </w:rPr>
        <w:t xml:space="preserve">A A, </w:t>
      </w:r>
      <w:r>
        <w:rPr>
          <w:rFonts w:cs="Times New Roman" w:hint="eastAsia"/>
          <w:caps/>
          <w:sz w:val="18"/>
          <w:szCs w:val="18"/>
        </w:rPr>
        <w:t>Frimpong</w:t>
      </w:r>
      <w:r>
        <w:rPr>
          <w:rFonts w:cs="Times New Roman" w:hint="eastAsia"/>
          <w:sz w:val="18"/>
          <w:szCs w:val="18"/>
        </w:rPr>
        <w:t xml:space="preserve"> T A, et al. A bird's eye view of pumped hydro energy storage: A bibliometric analysis of global research trends and future directions[J]. Journal of Energy Storage, 2024, 103</w:t>
      </w:r>
      <w:r w:rsidR="005B4340">
        <w:rPr>
          <w:rFonts w:cs="Times New Roman" w:hint="eastAsia"/>
          <w:sz w:val="18"/>
          <w:szCs w:val="18"/>
        </w:rPr>
        <w:t>: 114339</w:t>
      </w:r>
      <w:r>
        <w:rPr>
          <w:rFonts w:cs="Times New Roman" w:hint="eastAsia"/>
          <w:sz w:val="18"/>
          <w:szCs w:val="18"/>
        </w:rPr>
        <w:t>.</w:t>
      </w:r>
    </w:p>
    <w:p w14:paraId="79FE36DC"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刘德旭</w:t>
      </w:r>
      <w:r>
        <w:rPr>
          <w:rFonts w:cs="Times New Roman" w:hint="eastAsia"/>
          <w:sz w:val="18"/>
          <w:szCs w:val="18"/>
        </w:rPr>
        <w:t xml:space="preserve">, </w:t>
      </w:r>
      <w:r>
        <w:rPr>
          <w:rFonts w:cs="Times New Roman" w:hint="eastAsia"/>
          <w:sz w:val="18"/>
          <w:szCs w:val="18"/>
        </w:rPr>
        <w:t>杨迎</w:t>
      </w:r>
      <w:r>
        <w:rPr>
          <w:rFonts w:cs="Times New Roman" w:hint="eastAsia"/>
          <w:sz w:val="18"/>
          <w:szCs w:val="18"/>
        </w:rPr>
        <w:t xml:space="preserve">, </w:t>
      </w:r>
      <w:r>
        <w:rPr>
          <w:rFonts w:cs="Times New Roman" w:hint="eastAsia"/>
          <w:sz w:val="18"/>
          <w:szCs w:val="18"/>
        </w:rPr>
        <w:t>黄宏旭</w:t>
      </w:r>
      <w:r>
        <w:rPr>
          <w:rFonts w:cs="Times New Roman" w:hint="eastAsia"/>
          <w:sz w:val="18"/>
          <w:szCs w:val="18"/>
        </w:rPr>
        <w:t xml:space="preserve">, </w:t>
      </w:r>
      <w:r>
        <w:rPr>
          <w:rFonts w:cs="Times New Roman" w:hint="eastAsia"/>
          <w:sz w:val="18"/>
          <w:szCs w:val="18"/>
        </w:rPr>
        <w:t>等</w:t>
      </w:r>
      <w:r>
        <w:rPr>
          <w:rFonts w:cs="Times New Roman" w:hint="eastAsia"/>
          <w:sz w:val="18"/>
          <w:szCs w:val="18"/>
        </w:rPr>
        <w:t xml:space="preserve">. </w:t>
      </w:r>
      <w:r>
        <w:rPr>
          <w:rFonts w:cs="Times New Roman" w:hint="eastAsia"/>
          <w:sz w:val="18"/>
          <w:szCs w:val="18"/>
        </w:rPr>
        <w:t>新型电力系统大规模抽水蓄能调度运行与控制综述及展望</w:t>
      </w:r>
      <w:r>
        <w:rPr>
          <w:rFonts w:cs="Times New Roman" w:hint="eastAsia"/>
          <w:sz w:val="18"/>
          <w:szCs w:val="18"/>
        </w:rPr>
        <w:t xml:space="preserve">[J]. </w:t>
      </w:r>
      <w:r>
        <w:rPr>
          <w:rFonts w:cs="Times New Roman" w:hint="eastAsia"/>
          <w:sz w:val="18"/>
          <w:szCs w:val="18"/>
        </w:rPr>
        <w:t>中国电机工程学报</w:t>
      </w:r>
      <w:r>
        <w:rPr>
          <w:rFonts w:cs="Times New Roman" w:hint="eastAsia"/>
          <w:sz w:val="18"/>
          <w:szCs w:val="18"/>
        </w:rPr>
        <w:t>, 2024: 1-19.</w:t>
      </w:r>
      <w:r>
        <w:rPr>
          <w:rFonts w:cs="Times New Roman" w:hint="eastAsia"/>
          <w:sz w:val="18"/>
          <w:szCs w:val="18"/>
        </w:rPr>
        <w:br/>
        <w:t xml:space="preserve">LIU D X, YANG Y, HUANG H X, et al.An Overview and Outlook of the Operation and Control of Large-scale Pumped Hydro Storages in Modern Power Systems[J]. Proceedings of the CSEE, 2024: 1-19. </w:t>
      </w:r>
      <w:r>
        <w:rPr>
          <w:rFonts w:cs="Times New Roman"/>
          <w:sz w:val="18"/>
          <w:szCs w:val="18"/>
        </w:rPr>
        <w:t>(in Chinese)</w:t>
      </w:r>
    </w:p>
    <w:p w14:paraId="288B81AC"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caps/>
          <w:sz w:val="18"/>
          <w:szCs w:val="18"/>
        </w:rPr>
        <w:t>Muhammad</w:t>
      </w:r>
      <w:r>
        <w:rPr>
          <w:rFonts w:cs="Times New Roman" w:hint="eastAsia"/>
          <w:sz w:val="18"/>
          <w:szCs w:val="18"/>
        </w:rPr>
        <w:t xml:space="preserve"> J, </w:t>
      </w:r>
      <w:r>
        <w:rPr>
          <w:rFonts w:cs="Times New Roman" w:hint="eastAsia"/>
          <w:caps/>
          <w:sz w:val="18"/>
          <w:szCs w:val="18"/>
        </w:rPr>
        <w:t>Muhammad</w:t>
      </w:r>
      <w:r>
        <w:rPr>
          <w:rFonts w:cs="Times New Roman" w:hint="eastAsia"/>
          <w:sz w:val="18"/>
          <w:szCs w:val="18"/>
        </w:rPr>
        <w:t xml:space="preserve"> </w:t>
      </w:r>
      <w:r>
        <w:rPr>
          <w:rFonts w:cs="Times New Roman" w:hint="eastAsia"/>
          <w:caps/>
          <w:sz w:val="18"/>
          <w:szCs w:val="18"/>
        </w:rPr>
        <w:t>Shahzad</w:t>
      </w:r>
      <w:r>
        <w:rPr>
          <w:rFonts w:cs="Times New Roman" w:hint="eastAsia"/>
          <w:sz w:val="18"/>
          <w:szCs w:val="18"/>
        </w:rPr>
        <w:t xml:space="preserve"> J, </w:t>
      </w:r>
      <w:r>
        <w:rPr>
          <w:rFonts w:cs="Times New Roman" w:hint="eastAsia"/>
          <w:caps/>
          <w:sz w:val="18"/>
          <w:szCs w:val="18"/>
        </w:rPr>
        <w:t>Jakub</w:t>
      </w:r>
      <w:r>
        <w:rPr>
          <w:rFonts w:cs="Times New Roman" w:hint="eastAsia"/>
          <w:sz w:val="18"/>
          <w:szCs w:val="18"/>
        </w:rPr>
        <w:t xml:space="preserve"> J, et al. Solar and wind power generation systems with pumped hydro storage: Review and future perspectives[J]. Renewable Energy, 2020, </w:t>
      </w:r>
      <w:r>
        <w:rPr>
          <w:rFonts w:cs="Times New Roman"/>
          <w:sz w:val="18"/>
          <w:szCs w:val="18"/>
        </w:rPr>
        <w:t>148: 176-192</w:t>
      </w:r>
      <w:r>
        <w:rPr>
          <w:rFonts w:cs="Times New Roman" w:hint="eastAsia"/>
          <w:sz w:val="18"/>
          <w:szCs w:val="18"/>
        </w:rPr>
        <w:t>.</w:t>
      </w:r>
    </w:p>
    <w:p w14:paraId="0AFA5EC2"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caps/>
          <w:sz w:val="18"/>
          <w:szCs w:val="18"/>
        </w:rPr>
        <w:t>Javed</w:t>
      </w:r>
      <w:r>
        <w:rPr>
          <w:rFonts w:cs="Times New Roman" w:hint="eastAsia"/>
          <w:sz w:val="18"/>
          <w:szCs w:val="18"/>
        </w:rPr>
        <w:t xml:space="preserve"> M S, </w:t>
      </w:r>
      <w:r>
        <w:rPr>
          <w:rFonts w:cs="Times New Roman" w:hint="eastAsia"/>
          <w:caps/>
          <w:sz w:val="18"/>
          <w:szCs w:val="18"/>
        </w:rPr>
        <w:t>Ma</w:t>
      </w:r>
      <w:r>
        <w:rPr>
          <w:rFonts w:cs="Times New Roman" w:hint="eastAsia"/>
          <w:sz w:val="18"/>
          <w:szCs w:val="18"/>
        </w:rPr>
        <w:t xml:space="preserve"> T, </w:t>
      </w:r>
      <w:r>
        <w:rPr>
          <w:rFonts w:cs="Times New Roman" w:hint="eastAsia"/>
          <w:caps/>
          <w:sz w:val="18"/>
          <w:szCs w:val="18"/>
        </w:rPr>
        <w:t>Jurasz</w:t>
      </w:r>
      <w:r>
        <w:rPr>
          <w:rFonts w:cs="Times New Roman" w:hint="eastAsia"/>
          <w:sz w:val="18"/>
          <w:szCs w:val="18"/>
        </w:rPr>
        <w:t xml:space="preserve"> J, et al. Solar and wind power generation systems with pumped hydro storage: Review and future perspectives[J]. Renewable Energy, 2020, 148: 176-192.</w:t>
      </w:r>
    </w:p>
    <w:p w14:paraId="4211DF97"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高洁</w:t>
      </w:r>
      <w:r>
        <w:rPr>
          <w:rFonts w:cs="Times New Roman" w:hint="eastAsia"/>
          <w:sz w:val="18"/>
          <w:szCs w:val="18"/>
        </w:rPr>
        <w:t xml:space="preserve">, </w:t>
      </w:r>
      <w:r>
        <w:rPr>
          <w:rFonts w:cs="Times New Roman" w:hint="eastAsia"/>
          <w:sz w:val="18"/>
          <w:szCs w:val="18"/>
        </w:rPr>
        <w:t>朱方亮</w:t>
      </w:r>
      <w:r>
        <w:rPr>
          <w:rFonts w:cs="Times New Roman" w:hint="eastAsia"/>
          <w:sz w:val="18"/>
          <w:szCs w:val="18"/>
        </w:rPr>
        <w:t xml:space="preserve">, </w:t>
      </w:r>
      <w:r>
        <w:rPr>
          <w:rFonts w:cs="Times New Roman" w:hint="eastAsia"/>
          <w:sz w:val="18"/>
          <w:szCs w:val="18"/>
        </w:rPr>
        <w:t>卢有麟</w:t>
      </w:r>
      <w:r>
        <w:rPr>
          <w:rFonts w:cs="Times New Roman" w:hint="eastAsia"/>
          <w:sz w:val="18"/>
          <w:szCs w:val="18"/>
        </w:rPr>
        <w:t xml:space="preserve">, </w:t>
      </w:r>
      <w:r>
        <w:rPr>
          <w:rFonts w:cs="Times New Roman" w:hint="eastAsia"/>
          <w:sz w:val="18"/>
          <w:szCs w:val="18"/>
        </w:rPr>
        <w:t>等</w:t>
      </w:r>
      <w:r>
        <w:rPr>
          <w:rFonts w:cs="Times New Roman" w:hint="eastAsia"/>
          <w:sz w:val="18"/>
          <w:szCs w:val="18"/>
        </w:rPr>
        <w:t xml:space="preserve">. </w:t>
      </w:r>
      <w:r>
        <w:rPr>
          <w:rFonts w:cs="Times New Roman" w:hint="eastAsia"/>
          <w:sz w:val="18"/>
          <w:szCs w:val="18"/>
        </w:rPr>
        <w:t>浅谈多能互补清洁能源基地开发规划</w:t>
      </w:r>
      <w:r>
        <w:rPr>
          <w:rFonts w:cs="Times New Roman" w:hint="eastAsia"/>
          <w:sz w:val="18"/>
          <w:szCs w:val="18"/>
        </w:rPr>
        <w:t xml:space="preserve">[J]. </w:t>
      </w:r>
      <w:r>
        <w:rPr>
          <w:rFonts w:cs="Times New Roman" w:hint="eastAsia"/>
          <w:sz w:val="18"/>
          <w:szCs w:val="18"/>
        </w:rPr>
        <w:t>水力发电</w:t>
      </w:r>
      <w:r>
        <w:rPr>
          <w:rFonts w:cs="Times New Roman" w:hint="eastAsia"/>
          <w:sz w:val="18"/>
          <w:szCs w:val="18"/>
        </w:rPr>
        <w:t>, 2023, 49(10): 7-11.</w:t>
      </w:r>
      <w:r>
        <w:rPr>
          <w:rFonts w:cs="Times New Roman"/>
          <w:sz w:val="18"/>
          <w:szCs w:val="18"/>
        </w:rPr>
        <w:br/>
      </w:r>
      <w:r>
        <w:rPr>
          <w:rFonts w:cs="Times New Roman" w:hint="eastAsia"/>
          <w:sz w:val="18"/>
          <w:szCs w:val="18"/>
        </w:rPr>
        <w:t xml:space="preserve">GAO J, ZHU F L, LU Y L, et al. </w:t>
      </w:r>
      <w:r>
        <w:rPr>
          <w:rFonts w:cs="Times New Roman"/>
          <w:sz w:val="18"/>
          <w:szCs w:val="18"/>
        </w:rPr>
        <w:t>Discussion on the Development Planning of Hybrid Power for Clean Energy Bases</w:t>
      </w:r>
      <w:r>
        <w:rPr>
          <w:rFonts w:cs="Times New Roman" w:hint="eastAsia"/>
          <w:sz w:val="18"/>
          <w:szCs w:val="18"/>
        </w:rPr>
        <w:t xml:space="preserve">[J]. Water Power, </w:t>
      </w:r>
      <w:r>
        <w:rPr>
          <w:rFonts w:cs="Times New Roman"/>
          <w:sz w:val="18"/>
          <w:szCs w:val="18"/>
        </w:rPr>
        <w:t>2023, 49(10): 7-11.</w:t>
      </w:r>
      <w:r>
        <w:rPr>
          <w:rFonts w:cs="Times New Roman" w:hint="eastAsia"/>
          <w:sz w:val="18"/>
          <w:szCs w:val="18"/>
        </w:rPr>
        <w:t xml:space="preserve"> </w:t>
      </w:r>
      <w:r>
        <w:rPr>
          <w:rFonts w:cs="Times New Roman"/>
          <w:sz w:val="18"/>
          <w:szCs w:val="18"/>
        </w:rPr>
        <w:t>(in Chinese)</w:t>
      </w:r>
    </w:p>
    <w:p w14:paraId="42BB76A7"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韩冬</w:t>
      </w:r>
      <w:r>
        <w:rPr>
          <w:rFonts w:cs="Times New Roman" w:hint="eastAsia"/>
          <w:sz w:val="18"/>
          <w:szCs w:val="18"/>
        </w:rPr>
        <w:t xml:space="preserve">, </w:t>
      </w:r>
      <w:r>
        <w:rPr>
          <w:rFonts w:cs="Times New Roman" w:hint="eastAsia"/>
          <w:sz w:val="18"/>
          <w:szCs w:val="18"/>
        </w:rPr>
        <w:t>任伟楠</w:t>
      </w:r>
      <w:r>
        <w:rPr>
          <w:rFonts w:cs="Times New Roman" w:hint="eastAsia"/>
          <w:sz w:val="18"/>
          <w:szCs w:val="18"/>
        </w:rPr>
        <w:t xml:space="preserve">, </w:t>
      </w:r>
      <w:r>
        <w:rPr>
          <w:rFonts w:cs="Times New Roman" w:hint="eastAsia"/>
          <w:sz w:val="18"/>
          <w:szCs w:val="18"/>
        </w:rPr>
        <w:t>周力</w:t>
      </w:r>
      <w:r>
        <w:rPr>
          <w:rFonts w:cs="Times New Roman" w:hint="eastAsia"/>
          <w:sz w:val="18"/>
          <w:szCs w:val="18"/>
        </w:rPr>
        <w:t xml:space="preserve">, et al. </w:t>
      </w:r>
      <w:r>
        <w:rPr>
          <w:rFonts w:cs="Times New Roman" w:hint="eastAsia"/>
          <w:sz w:val="18"/>
          <w:szCs w:val="18"/>
        </w:rPr>
        <w:t>中国抽水蓄能发展形势和展望</w:t>
      </w:r>
      <w:r>
        <w:rPr>
          <w:rFonts w:cs="Times New Roman" w:hint="eastAsia"/>
          <w:sz w:val="18"/>
          <w:szCs w:val="18"/>
        </w:rPr>
        <w:t xml:space="preserve">[J]. </w:t>
      </w:r>
      <w:r>
        <w:rPr>
          <w:rFonts w:cs="Times New Roman" w:hint="eastAsia"/>
          <w:sz w:val="18"/>
          <w:szCs w:val="18"/>
        </w:rPr>
        <w:t>人民长江</w:t>
      </w:r>
      <w:r>
        <w:rPr>
          <w:rFonts w:cs="Times New Roman" w:hint="eastAsia"/>
          <w:sz w:val="18"/>
          <w:szCs w:val="18"/>
        </w:rPr>
        <w:t>, 2024, 55(11): 39-45.</w:t>
      </w:r>
      <w:r>
        <w:rPr>
          <w:rFonts w:cs="Times New Roman"/>
          <w:sz w:val="18"/>
          <w:szCs w:val="18"/>
        </w:rPr>
        <w:br/>
      </w:r>
      <w:r>
        <w:rPr>
          <w:rFonts w:cs="Times New Roman" w:hint="eastAsia"/>
          <w:sz w:val="18"/>
          <w:szCs w:val="18"/>
        </w:rPr>
        <w:t xml:space="preserve">HAN D, REN W N, ZHOU L, et al. </w:t>
      </w:r>
      <w:r>
        <w:rPr>
          <w:rFonts w:cs="Times New Roman"/>
          <w:sz w:val="18"/>
          <w:szCs w:val="18"/>
        </w:rPr>
        <w:t>Development status and outlook of pumped storage hydropower in China</w:t>
      </w:r>
      <w:r>
        <w:rPr>
          <w:rFonts w:cs="Times New Roman" w:hint="eastAsia"/>
          <w:sz w:val="18"/>
          <w:szCs w:val="18"/>
        </w:rPr>
        <w:t xml:space="preserve">[J]. Yangtze River, </w:t>
      </w:r>
      <w:r>
        <w:rPr>
          <w:rFonts w:cs="Times New Roman"/>
          <w:sz w:val="18"/>
          <w:szCs w:val="18"/>
        </w:rPr>
        <w:t>2024, 55(11): 39-45.</w:t>
      </w:r>
      <w:r>
        <w:rPr>
          <w:rFonts w:cs="Times New Roman" w:hint="eastAsia"/>
          <w:sz w:val="18"/>
          <w:szCs w:val="18"/>
        </w:rPr>
        <w:t xml:space="preserve"> </w:t>
      </w:r>
      <w:r>
        <w:rPr>
          <w:rFonts w:cs="Times New Roman"/>
          <w:sz w:val="18"/>
          <w:szCs w:val="18"/>
        </w:rPr>
        <w:t>(in Chinese)</w:t>
      </w:r>
    </w:p>
    <w:p w14:paraId="2CC3B37E"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P</w:t>
      </w:r>
      <w:r>
        <w:rPr>
          <w:rFonts w:cs="Times New Roman" w:hint="eastAsia"/>
          <w:caps/>
          <w:sz w:val="18"/>
          <w:szCs w:val="18"/>
        </w:rPr>
        <w:t>eng</w:t>
      </w:r>
      <w:r>
        <w:rPr>
          <w:rFonts w:cs="Times New Roman" w:hint="eastAsia"/>
          <w:sz w:val="18"/>
          <w:szCs w:val="18"/>
        </w:rPr>
        <w:t xml:space="preserve"> Y M, </w:t>
      </w:r>
      <w:r>
        <w:rPr>
          <w:rFonts w:cs="Times New Roman" w:hint="eastAsia"/>
          <w:caps/>
          <w:sz w:val="18"/>
          <w:szCs w:val="18"/>
        </w:rPr>
        <w:t>Yang</w:t>
      </w:r>
      <w:r>
        <w:rPr>
          <w:rFonts w:cs="Times New Roman" w:hint="eastAsia"/>
          <w:sz w:val="18"/>
          <w:szCs w:val="18"/>
        </w:rPr>
        <w:t xml:space="preserve"> Y, </w:t>
      </w:r>
      <w:r>
        <w:rPr>
          <w:rFonts w:cs="Times New Roman" w:hint="eastAsia"/>
          <w:caps/>
          <w:sz w:val="18"/>
          <w:szCs w:val="18"/>
        </w:rPr>
        <w:t>Chen</w:t>
      </w:r>
      <w:r>
        <w:rPr>
          <w:rFonts w:cs="Times New Roman" w:hint="eastAsia"/>
          <w:sz w:val="18"/>
          <w:szCs w:val="18"/>
        </w:rPr>
        <w:t xml:space="preserve"> M, et al. Value Evaluation Method for Pumped Storage in the New Power System[J]. Chinese Journal of Electrical Engineering, 2023, 9(3): 26-38.</w:t>
      </w:r>
    </w:p>
    <w:p w14:paraId="6AC9C5E8" w14:textId="5097F60F"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caps/>
          <w:sz w:val="18"/>
          <w:szCs w:val="18"/>
        </w:rPr>
        <w:t>Blakers</w:t>
      </w:r>
      <w:r>
        <w:rPr>
          <w:rFonts w:cs="Times New Roman" w:hint="eastAsia"/>
          <w:sz w:val="18"/>
          <w:szCs w:val="18"/>
        </w:rPr>
        <w:t xml:space="preserve"> A, </w:t>
      </w:r>
      <w:r>
        <w:rPr>
          <w:rFonts w:cs="Times New Roman" w:hint="eastAsia"/>
          <w:caps/>
          <w:sz w:val="18"/>
          <w:szCs w:val="18"/>
        </w:rPr>
        <w:t>Stocks</w:t>
      </w:r>
      <w:r>
        <w:rPr>
          <w:rFonts w:cs="Times New Roman" w:hint="eastAsia"/>
          <w:sz w:val="18"/>
          <w:szCs w:val="18"/>
        </w:rPr>
        <w:t xml:space="preserve"> M, </w:t>
      </w:r>
      <w:r>
        <w:rPr>
          <w:rFonts w:cs="Times New Roman" w:hint="eastAsia"/>
          <w:caps/>
          <w:sz w:val="18"/>
          <w:szCs w:val="18"/>
        </w:rPr>
        <w:t>Lu</w:t>
      </w:r>
      <w:r>
        <w:rPr>
          <w:rFonts w:cs="Times New Roman" w:hint="eastAsia"/>
          <w:sz w:val="18"/>
          <w:szCs w:val="18"/>
        </w:rPr>
        <w:t xml:space="preserve"> B, et al. A review of pumped hydro energy storage[J]. Progress in Energy, 2021, 3(2)</w:t>
      </w:r>
      <w:r w:rsidR="0078655B">
        <w:rPr>
          <w:rFonts w:cs="Times New Roman" w:hint="eastAsia"/>
          <w:sz w:val="18"/>
          <w:szCs w:val="18"/>
        </w:rPr>
        <w:t>: 022003</w:t>
      </w:r>
      <w:r>
        <w:rPr>
          <w:rFonts w:cs="Times New Roman" w:hint="eastAsia"/>
          <w:sz w:val="18"/>
          <w:szCs w:val="18"/>
        </w:rPr>
        <w:t>.</w:t>
      </w:r>
    </w:p>
    <w:p w14:paraId="59BA4D04"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J</w:t>
      </w:r>
      <w:r>
        <w:rPr>
          <w:rFonts w:cs="Times New Roman" w:hint="eastAsia"/>
          <w:caps/>
          <w:sz w:val="18"/>
          <w:szCs w:val="18"/>
        </w:rPr>
        <w:t>uras</w:t>
      </w:r>
      <w:r>
        <w:rPr>
          <w:rFonts w:cs="Times New Roman" w:hint="eastAsia"/>
          <w:sz w:val="18"/>
          <w:szCs w:val="18"/>
        </w:rPr>
        <w:t xml:space="preserve"> J, C</w:t>
      </w:r>
      <w:r>
        <w:rPr>
          <w:rFonts w:cs="Times New Roman" w:hint="eastAsia"/>
          <w:caps/>
          <w:sz w:val="18"/>
          <w:szCs w:val="18"/>
        </w:rPr>
        <w:t>anales</w:t>
      </w:r>
      <w:r>
        <w:rPr>
          <w:rFonts w:cs="Times New Roman" w:hint="eastAsia"/>
          <w:sz w:val="18"/>
          <w:szCs w:val="18"/>
        </w:rPr>
        <w:t xml:space="preserve"> F A, K</w:t>
      </w:r>
      <w:r>
        <w:rPr>
          <w:rFonts w:cs="Times New Roman" w:hint="eastAsia"/>
          <w:caps/>
          <w:sz w:val="18"/>
          <w:szCs w:val="18"/>
        </w:rPr>
        <w:t>ies</w:t>
      </w:r>
      <w:r>
        <w:rPr>
          <w:rFonts w:cs="Times New Roman" w:hint="eastAsia"/>
          <w:sz w:val="18"/>
          <w:szCs w:val="18"/>
        </w:rPr>
        <w:t xml:space="preserve"> A, et al. A review on the complementarity of renewable energy sources: Concept, metrics, application and future research directions[J]. Solar Energy, 2020, 195: 703-724.</w:t>
      </w:r>
    </w:p>
    <w:p w14:paraId="5B29767B"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P</w:t>
      </w:r>
      <w:r>
        <w:rPr>
          <w:rFonts w:cs="Times New Roman" w:hint="eastAsia"/>
          <w:caps/>
          <w:sz w:val="18"/>
          <w:szCs w:val="18"/>
        </w:rPr>
        <w:t>é</w:t>
      </w:r>
      <w:r>
        <w:rPr>
          <w:rFonts w:cs="Times New Roman" w:hint="eastAsia"/>
          <w:caps/>
          <w:sz w:val="18"/>
          <w:szCs w:val="18"/>
        </w:rPr>
        <w:t>rez-D</w:t>
      </w:r>
      <w:r>
        <w:rPr>
          <w:rFonts w:cs="Times New Roman" w:hint="eastAsia"/>
          <w:caps/>
          <w:sz w:val="18"/>
          <w:szCs w:val="18"/>
        </w:rPr>
        <w:t>í</w:t>
      </w:r>
      <w:r>
        <w:rPr>
          <w:rFonts w:cs="Times New Roman" w:hint="eastAsia"/>
          <w:caps/>
          <w:sz w:val="18"/>
          <w:szCs w:val="18"/>
        </w:rPr>
        <w:t>az</w:t>
      </w:r>
      <w:r>
        <w:rPr>
          <w:rFonts w:cs="Times New Roman" w:hint="eastAsia"/>
          <w:sz w:val="18"/>
          <w:szCs w:val="18"/>
        </w:rPr>
        <w:t xml:space="preserve"> J I, C</w:t>
      </w:r>
      <w:r>
        <w:rPr>
          <w:rFonts w:cs="Times New Roman" w:hint="eastAsia"/>
          <w:caps/>
          <w:sz w:val="18"/>
          <w:szCs w:val="18"/>
        </w:rPr>
        <w:t>hazarra</w:t>
      </w:r>
      <w:r>
        <w:rPr>
          <w:rFonts w:cs="Times New Roman" w:hint="eastAsia"/>
          <w:sz w:val="18"/>
          <w:szCs w:val="18"/>
        </w:rPr>
        <w:t xml:space="preserve"> M, G</w:t>
      </w:r>
      <w:r>
        <w:rPr>
          <w:rFonts w:cs="Times New Roman" w:hint="eastAsia"/>
          <w:caps/>
          <w:sz w:val="18"/>
          <w:szCs w:val="18"/>
        </w:rPr>
        <w:t>arc</w:t>
      </w:r>
      <w:r>
        <w:rPr>
          <w:rFonts w:cs="Times New Roman" w:hint="eastAsia"/>
          <w:caps/>
          <w:sz w:val="18"/>
          <w:szCs w:val="18"/>
        </w:rPr>
        <w:t>í</w:t>
      </w:r>
      <w:r>
        <w:rPr>
          <w:rFonts w:cs="Times New Roman" w:hint="eastAsia"/>
          <w:caps/>
          <w:sz w:val="18"/>
          <w:szCs w:val="18"/>
        </w:rPr>
        <w:t>a-Gonz</w:t>
      </w:r>
      <w:r>
        <w:rPr>
          <w:rFonts w:cs="Times New Roman" w:hint="eastAsia"/>
          <w:caps/>
          <w:sz w:val="18"/>
          <w:szCs w:val="18"/>
        </w:rPr>
        <w:t>á</w:t>
      </w:r>
      <w:r>
        <w:rPr>
          <w:rFonts w:cs="Times New Roman" w:hint="eastAsia"/>
          <w:caps/>
          <w:sz w:val="18"/>
          <w:szCs w:val="18"/>
        </w:rPr>
        <w:t>lez</w:t>
      </w:r>
      <w:r>
        <w:rPr>
          <w:rFonts w:cs="Times New Roman" w:hint="eastAsia"/>
          <w:sz w:val="18"/>
          <w:szCs w:val="18"/>
        </w:rPr>
        <w:t xml:space="preserve"> J, et al. Trends and challenges in the operation of pumped-storage hydropower plants[J]. Renewable &amp; Sustainable Energy Reviews, 2015, 44: 767-784.</w:t>
      </w:r>
    </w:p>
    <w:p w14:paraId="60B33954" w14:textId="237D9DF0"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caps/>
          <w:sz w:val="18"/>
          <w:szCs w:val="18"/>
        </w:rPr>
        <w:t>Meng</w:t>
      </w:r>
      <w:r>
        <w:rPr>
          <w:rFonts w:cs="Times New Roman" w:hint="eastAsia"/>
          <w:sz w:val="18"/>
          <w:szCs w:val="18"/>
        </w:rPr>
        <w:t xml:space="preserve"> X X, </w:t>
      </w:r>
      <w:r>
        <w:rPr>
          <w:rFonts w:cs="Times New Roman" w:hint="eastAsia"/>
          <w:caps/>
          <w:sz w:val="18"/>
          <w:szCs w:val="18"/>
        </w:rPr>
        <w:t>Zhang</w:t>
      </w:r>
      <w:r>
        <w:rPr>
          <w:rFonts w:cs="Times New Roman" w:hint="eastAsia"/>
          <w:sz w:val="18"/>
          <w:szCs w:val="18"/>
        </w:rPr>
        <w:t xml:space="preserve"> Y K, </w:t>
      </w:r>
      <w:r>
        <w:rPr>
          <w:rFonts w:cs="Times New Roman" w:hint="eastAsia"/>
          <w:caps/>
          <w:sz w:val="18"/>
          <w:szCs w:val="18"/>
        </w:rPr>
        <w:t>Wu</w:t>
      </w:r>
      <w:r>
        <w:rPr>
          <w:rFonts w:cs="Times New Roman" w:hint="eastAsia"/>
          <w:sz w:val="18"/>
          <w:szCs w:val="18"/>
        </w:rPr>
        <w:t xml:space="preserve"> Z K, et al. Enhancing Operations Management of Pumped Storage Power Stations by Partnering from the Perspective of Multi-Energy Complementarity[J]. Energies, 2023, 16(19)</w:t>
      </w:r>
      <w:r w:rsidR="0078655B">
        <w:rPr>
          <w:rFonts w:cs="Times New Roman" w:hint="eastAsia"/>
          <w:sz w:val="18"/>
          <w:szCs w:val="18"/>
        </w:rPr>
        <w:t>: 7005</w:t>
      </w:r>
      <w:r>
        <w:rPr>
          <w:rFonts w:cs="Times New Roman" w:hint="eastAsia"/>
          <w:sz w:val="18"/>
          <w:szCs w:val="18"/>
        </w:rPr>
        <w:t>.</w:t>
      </w:r>
    </w:p>
    <w:p w14:paraId="56AB33E4" w14:textId="0A8C4ACA"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Z</w:t>
      </w:r>
      <w:r>
        <w:rPr>
          <w:rFonts w:cs="Times New Roman" w:hint="eastAsia"/>
          <w:caps/>
          <w:sz w:val="18"/>
          <w:szCs w:val="18"/>
        </w:rPr>
        <w:t>hao</w:t>
      </w:r>
      <w:r>
        <w:rPr>
          <w:rFonts w:cs="Times New Roman" w:hint="eastAsia"/>
          <w:sz w:val="18"/>
          <w:szCs w:val="18"/>
        </w:rPr>
        <w:t xml:space="preserve"> K, </w:t>
      </w:r>
      <w:r>
        <w:rPr>
          <w:rFonts w:cs="Times New Roman" w:hint="eastAsia"/>
          <w:caps/>
          <w:sz w:val="18"/>
          <w:szCs w:val="18"/>
        </w:rPr>
        <w:t>Wang</w:t>
      </w:r>
      <w:r>
        <w:rPr>
          <w:rFonts w:cs="Times New Roman" w:hint="eastAsia"/>
          <w:sz w:val="18"/>
          <w:szCs w:val="18"/>
        </w:rPr>
        <w:t xml:space="preserve"> J, </w:t>
      </w:r>
      <w:r>
        <w:rPr>
          <w:rFonts w:cs="Times New Roman" w:hint="eastAsia"/>
          <w:caps/>
          <w:sz w:val="18"/>
          <w:szCs w:val="18"/>
        </w:rPr>
        <w:t>Qiu</w:t>
      </w:r>
      <w:r>
        <w:rPr>
          <w:rFonts w:cs="Times New Roman" w:hint="eastAsia"/>
          <w:sz w:val="18"/>
          <w:szCs w:val="18"/>
        </w:rPr>
        <w:t xml:space="preserve"> L. Approval and progress analysis of pumped storage power stations in Central China during the 14th five-year plan period[J]. Journal of Energy Storage, 2024, 102</w:t>
      </w:r>
      <w:r w:rsidR="0078655B">
        <w:rPr>
          <w:rFonts w:cs="Times New Roman" w:hint="eastAsia"/>
          <w:sz w:val="18"/>
          <w:szCs w:val="18"/>
        </w:rPr>
        <w:t>: 114104</w:t>
      </w:r>
      <w:r>
        <w:rPr>
          <w:rFonts w:cs="Times New Roman" w:hint="eastAsia"/>
          <w:sz w:val="18"/>
          <w:szCs w:val="18"/>
        </w:rPr>
        <w:t>.</w:t>
      </w:r>
    </w:p>
    <w:p w14:paraId="00F28CA5" w14:textId="3D201115"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S</w:t>
      </w:r>
      <w:r>
        <w:rPr>
          <w:rFonts w:cs="Times New Roman" w:hint="eastAsia"/>
          <w:caps/>
          <w:sz w:val="18"/>
          <w:szCs w:val="18"/>
        </w:rPr>
        <w:t>hahid</w:t>
      </w:r>
      <w:r>
        <w:rPr>
          <w:rFonts w:cs="Times New Roman" w:hint="eastAsia"/>
          <w:sz w:val="18"/>
          <w:szCs w:val="18"/>
        </w:rPr>
        <w:t xml:space="preserve"> A, R</w:t>
      </w:r>
      <w:r>
        <w:rPr>
          <w:rFonts w:cs="Times New Roman" w:hint="eastAsia"/>
          <w:caps/>
          <w:sz w:val="18"/>
          <w:szCs w:val="18"/>
        </w:rPr>
        <w:t>odney</w:t>
      </w:r>
      <w:r>
        <w:rPr>
          <w:rFonts w:cs="Times New Roman" w:hint="eastAsia"/>
          <w:sz w:val="18"/>
          <w:szCs w:val="18"/>
        </w:rPr>
        <w:t xml:space="preserve"> </w:t>
      </w:r>
      <w:r>
        <w:rPr>
          <w:rFonts w:cs="Times New Roman" w:hint="eastAsia"/>
          <w:caps/>
          <w:sz w:val="18"/>
          <w:szCs w:val="18"/>
        </w:rPr>
        <w:t>Anthony</w:t>
      </w:r>
      <w:r>
        <w:rPr>
          <w:rFonts w:cs="Times New Roman" w:hint="eastAsia"/>
          <w:sz w:val="18"/>
          <w:szCs w:val="18"/>
        </w:rPr>
        <w:t xml:space="preserve"> S, </w:t>
      </w:r>
      <w:r>
        <w:rPr>
          <w:rFonts w:cs="Times New Roman" w:hint="eastAsia"/>
          <w:caps/>
          <w:sz w:val="18"/>
          <w:szCs w:val="18"/>
        </w:rPr>
        <w:t>Oz</w:t>
      </w:r>
      <w:r>
        <w:rPr>
          <w:rFonts w:cs="Times New Roman" w:hint="eastAsia"/>
          <w:sz w:val="18"/>
          <w:szCs w:val="18"/>
        </w:rPr>
        <w:t xml:space="preserve"> S. Drivers and barriers to the deployment of pumped hydro energy storage applications: Systematic literature review[J]. </w:t>
      </w:r>
      <w:r>
        <w:rPr>
          <w:rFonts w:cs="Times New Roman"/>
          <w:sz w:val="18"/>
          <w:szCs w:val="18"/>
        </w:rPr>
        <w:t>Cleaner Engineering and Technology</w:t>
      </w:r>
      <w:r>
        <w:rPr>
          <w:rFonts w:cs="Times New Roman" w:hint="eastAsia"/>
          <w:sz w:val="18"/>
          <w:szCs w:val="18"/>
        </w:rPr>
        <w:t>, 2021, 5</w:t>
      </w:r>
      <w:r w:rsidR="00546D51">
        <w:rPr>
          <w:rFonts w:cs="Times New Roman" w:hint="eastAsia"/>
          <w:sz w:val="18"/>
          <w:szCs w:val="18"/>
        </w:rPr>
        <w:t>: 100281</w:t>
      </w:r>
      <w:r>
        <w:rPr>
          <w:rFonts w:cs="Times New Roman" w:hint="eastAsia"/>
          <w:sz w:val="18"/>
          <w:szCs w:val="18"/>
        </w:rPr>
        <w:t xml:space="preserve">. </w:t>
      </w:r>
    </w:p>
    <w:p w14:paraId="740A4F1C"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Z</w:t>
      </w:r>
      <w:r>
        <w:rPr>
          <w:rFonts w:cs="Times New Roman" w:hint="eastAsia"/>
          <w:caps/>
          <w:sz w:val="18"/>
          <w:szCs w:val="18"/>
        </w:rPr>
        <w:t>hao</w:t>
      </w:r>
      <w:r>
        <w:rPr>
          <w:rFonts w:cs="Times New Roman" w:hint="eastAsia"/>
          <w:sz w:val="18"/>
          <w:szCs w:val="18"/>
        </w:rPr>
        <w:t xml:space="preserve"> J-F, </w:t>
      </w:r>
      <w:r>
        <w:rPr>
          <w:rFonts w:cs="Times New Roman" w:hint="eastAsia"/>
          <w:caps/>
          <w:sz w:val="18"/>
          <w:szCs w:val="18"/>
        </w:rPr>
        <w:t>Oh</w:t>
      </w:r>
      <w:r>
        <w:rPr>
          <w:rFonts w:cs="Times New Roman" w:hint="eastAsia"/>
          <w:sz w:val="18"/>
          <w:szCs w:val="18"/>
        </w:rPr>
        <w:t xml:space="preserve"> U-J, P</w:t>
      </w:r>
      <w:r>
        <w:rPr>
          <w:rFonts w:cs="Times New Roman" w:hint="eastAsia"/>
          <w:caps/>
          <w:sz w:val="18"/>
          <w:szCs w:val="18"/>
        </w:rPr>
        <w:t>ark</w:t>
      </w:r>
      <w:r>
        <w:rPr>
          <w:rFonts w:cs="Times New Roman" w:hint="eastAsia"/>
          <w:sz w:val="18"/>
          <w:szCs w:val="18"/>
        </w:rPr>
        <w:t xml:space="preserve"> J-C, et al. A Review of World-wide Advanced Pumped Storage Hydropower Technologies[J]. IFAC-PapersOnLine, 2022, 55(9): 170-174.</w:t>
      </w:r>
    </w:p>
    <w:p w14:paraId="4A89D5B7" w14:textId="68052288"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caps/>
          <w:sz w:val="18"/>
          <w:szCs w:val="18"/>
        </w:rPr>
        <w:t>Jing</w:t>
      </w:r>
      <w:r>
        <w:rPr>
          <w:rFonts w:cs="Times New Roman" w:hint="eastAsia"/>
          <w:sz w:val="18"/>
          <w:szCs w:val="18"/>
        </w:rPr>
        <w:t xml:space="preserve"> Z, </w:t>
      </w:r>
      <w:r>
        <w:rPr>
          <w:rFonts w:cs="Times New Roman" w:hint="eastAsia"/>
          <w:caps/>
          <w:sz w:val="18"/>
          <w:szCs w:val="18"/>
        </w:rPr>
        <w:t>Wang</w:t>
      </w:r>
      <w:r>
        <w:rPr>
          <w:rFonts w:cs="Times New Roman" w:hint="eastAsia"/>
          <w:sz w:val="18"/>
          <w:szCs w:val="18"/>
        </w:rPr>
        <w:t xml:space="preserve"> Y, C</w:t>
      </w:r>
      <w:r>
        <w:rPr>
          <w:rFonts w:cs="Times New Roman" w:hint="eastAsia"/>
          <w:caps/>
          <w:sz w:val="18"/>
          <w:szCs w:val="18"/>
        </w:rPr>
        <w:t>hang</w:t>
      </w:r>
      <w:r>
        <w:rPr>
          <w:rFonts w:cs="Times New Roman" w:hint="eastAsia"/>
          <w:sz w:val="18"/>
          <w:szCs w:val="18"/>
        </w:rPr>
        <w:t xml:space="preserve"> J, et al. Construction of pumped storage power stations among cascade reservoirs to support the high-quality power supply of the </w:t>
      </w:r>
      <w:r>
        <w:rPr>
          <w:rFonts w:cs="Times New Roman" w:hint="eastAsia"/>
          <w:sz w:val="18"/>
          <w:szCs w:val="18"/>
        </w:rPr>
        <w:lastRenderedPageBreak/>
        <w:t xml:space="preserve">hydro-wind-photovoltaic power generation system[J]. Energy Conversion and Management, 2025, 323(PA): 119239. </w:t>
      </w:r>
    </w:p>
    <w:p w14:paraId="24D8AC1E"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耿新民</w:t>
      </w:r>
      <w:r>
        <w:rPr>
          <w:rFonts w:cs="Times New Roman" w:hint="eastAsia"/>
          <w:sz w:val="18"/>
          <w:szCs w:val="18"/>
        </w:rPr>
        <w:t xml:space="preserve">, </w:t>
      </w:r>
      <w:r>
        <w:rPr>
          <w:rFonts w:cs="Times New Roman" w:hint="eastAsia"/>
          <w:sz w:val="18"/>
          <w:szCs w:val="18"/>
        </w:rPr>
        <w:t>许贝贝</w:t>
      </w:r>
      <w:r>
        <w:rPr>
          <w:rFonts w:cs="Times New Roman" w:hint="eastAsia"/>
          <w:sz w:val="18"/>
          <w:szCs w:val="18"/>
        </w:rPr>
        <w:t xml:space="preserve">. </w:t>
      </w:r>
      <w:r>
        <w:rPr>
          <w:rFonts w:cs="Times New Roman" w:hint="eastAsia"/>
          <w:sz w:val="18"/>
          <w:szCs w:val="18"/>
        </w:rPr>
        <w:t>兼顾可靠性与经济性的风光火蓄多能系统容量配置方法</w:t>
      </w:r>
      <w:r>
        <w:rPr>
          <w:rFonts w:cs="Times New Roman" w:hint="eastAsia"/>
          <w:sz w:val="18"/>
          <w:szCs w:val="18"/>
        </w:rPr>
        <w:t xml:space="preserve">[J]. </w:t>
      </w:r>
      <w:r>
        <w:rPr>
          <w:rFonts w:cs="Times New Roman" w:hint="eastAsia"/>
          <w:sz w:val="18"/>
          <w:szCs w:val="18"/>
        </w:rPr>
        <w:t>水电与抽水蓄能</w:t>
      </w:r>
      <w:r>
        <w:rPr>
          <w:rFonts w:cs="Times New Roman" w:hint="eastAsia"/>
          <w:sz w:val="18"/>
          <w:szCs w:val="18"/>
        </w:rPr>
        <w:t>, 2023, 9(05): 53-60.</w:t>
      </w:r>
      <w:r>
        <w:rPr>
          <w:rFonts w:cs="Times New Roman"/>
          <w:sz w:val="18"/>
          <w:szCs w:val="18"/>
        </w:rPr>
        <w:br/>
      </w:r>
      <w:r>
        <w:rPr>
          <w:rFonts w:cs="Times New Roman" w:hint="eastAsia"/>
          <w:sz w:val="18"/>
          <w:szCs w:val="18"/>
        </w:rPr>
        <w:t xml:space="preserve">GENG X M, XU B B, </w:t>
      </w:r>
      <w:r>
        <w:rPr>
          <w:rFonts w:cs="Times New Roman"/>
          <w:sz w:val="18"/>
          <w:szCs w:val="18"/>
        </w:rPr>
        <w:t>Capacity Configuration Method of Wind</w:t>
      </w:r>
      <w:r>
        <w:rPr>
          <w:rFonts w:cs="Times New Roman" w:hint="eastAsia"/>
          <w:sz w:val="18"/>
          <w:szCs w:val="18"/>
        </w:rPr>
        <w:t>-</w:t>
      </w:r>
      <w:r>
        <w:rPr>
          <w:rFonts w:cs="Times New Roman"/>
          <w:sz w:val="18"/>
          <w:szCs w:val="18"/>
        </w:rPr>
        <w:t>Photovoltaic-Thermal</w:t>
      </w:r>
      <w:r>
        <w:rPr>
          <w:rFonts w:cs="Times New Roman" w:hint="eastAsia"/>
          <w:sz w:val="18"/>
          <w:szCs w:val="18"/>
        </w:rPr>
        <w:t xml:space="preserve"> and </w:t>
      </w:r>
      <w:r>
        <w:rPr>
          <w:rFonts w:cs="Times New Roman"/>
          <w:sz w:val="18"/>
          <w:szCs w:val="18"/>
        </w:rPr>
        <w:t>Pumped</w:t>
      </w:r>
      <w:r>
        <w:rPr>
          <w:rFonts w:cs="Times New Roman" w:hint="eastAsia"/>
          <w:sz w:val="18"/>
          <w:szCs w:val="18"/>
        </w:rPr>
        <w:t xml:space="preserve"> </w:t>
      </w:r>
      <w:r>
        <w:rPr>
          <w:rFonts w:cs="Times New Roman"/>
          <w:sz w:val="18"/>
          <w:szCs w:val="18"/>
        </w:rPr>
        <w:t>Storage</w:t>
      </w:r>
      <w:r>
        <w:rPr>
          <w:rFonts w:cs="Times New Roman" w:hint="eastAsia"/>
          <w:sz w:val="18"/>
          <w:szCs w:val="18"/>
        </w:rPr>
        <w:t xml:space="preserve"> power stations M</w:t>
      </w:r>
      <w:r>
        <w:rPr>
          <w:rFonts w:cs="Times New Roman"/>
          <w:sz w:val="18"/>
          <w:szCs w:val="18"/>
        </w:rPr>
        <w:t>ulti-Energy System Considering Reliability and Economy</w:t>
      </w:r>
      <w:r>
        <w:rPr>
          <w:rFonts w:cs="Times New Roman" w:hint="eastAsia"/>
          <w:sz w:val="18"/>
          <w:szCs w:val="18"/>
        </w:rPr>
        <w:t xml:space="preserve"> [J]. </w:t>
      </w:r>
      <w:r>
        <w:rPr>
          <w:rFonts w:cs="Times New Roman"/>
          <w:sz w:val="18"/>
          <w:szCs w:val="18"/>
        </w:rPr>
        <w:t>Hydropower and Pumped Storage</w:t>
      </w:r>
      <w:r>
        <w:rPr>
          <w:rFonts w:cs="Times New Roman" w:hint="eastAsia"/>
          <w:sz w:val="18"/>
          <w:szCs w:val="18"/>
        </w:rPr>
        <w:t xml:space="preserve">, </w:t>
      </w:r>
      <w:r>
        <w:rPr>
          <w:rFonts w:cs="Times New Roman"/>
          <w:sz w:val="18"/>
          <w:szCs w:val="18"/>
        </w:rPr>
        <w:t>2023, 9(05): 53-60.</w:t>
      </w:r>
      <w:r>
        <w:rPr>
          <w:rFonts w:cs="Times New Roman" w:hint="eastAsia"/>
          <w:sz w:val="18"/>
          <w:szCs w:val="18"/>
        </w:rPr>
        <w:t xml:space="preserve"> </w:t>
      </w:r>
      <w:r>
        <w:rPr>
          <w:rFonts w:cs="Times New Roman"/>
          <w:sz w:val="18"/>
          <w:szCs w:val="18"/>
        </w:rPr>
        <w:t>(in Chinese)</w:t>
      </w:r>
    </w:p>
    <w:p w14:paraId="274FBE30"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T</w:t>
      </w:r>
      <w:r>
        <w:rPr>
          <w:rFonts w:cs="Times New Roman" w:hint="eastAsia"/>
          <w:caps/>
          <w:sz w:val="18"/>
          <w:szCs w:val="18"/>
        </w:rPr>
        <w:t>akle</w:t>
      </w:r>
      <w:r>
        <w:rPr>
          <w:rFonts w:cs="Times New Roman" w:hint="eastAsia"/>
          <w:sz w:val="18"/>
          <w:szCs w:val="18"/>
        </w:rPr>
        <w:t xml:space="preserve"> E S, S</w:t>
      </w:r>
      <w:r>
        <w:rPr>
          <w:rFonts w:cs="Times New Roman" w:hint="eastAsia"/>
          <w:caps/>
          <w:sz w:val="18"/>
          <w:szCs w:val="18"/>
        </w:rPr>
        <w:t>haw</w:t>
      </w:r>
      <w:r>
        <w:rPr>
          <w:rFonts w:cs="Times New Roman" w:hint="eastAsia"/>
          <w:sz w:val="18"/>
          <w:szCs w:val="18"/>
        </w:rPr>
        <w:t xml:space="preserve"> R H. Complimentary nature of wind and solar energy at a continental mid-latitude station[J]. International Journal of Energy Research, 1979, 3(2): 103-112.</w:t>
      </w:r>
    </w:p>
    <w:p w14:paraId="393FEF43" w14:textId="0B12B859"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caps/>
          <w:sz w:val="18"/>
          <w:szCs w:val="18"/>
        </w:rPr>
        <w:t>Li</w:t>
      </w:r>
      <w:r>
        <w:rPr>
          <w:rFonts w:cs="Times New Roman" w:hint="eastAsia"/>
          <w:sz w:val="18"/>
          <w:szCs w:val="18"/>
        </w:rPr>
        <w:t xml:space="preserve"> L, </w:t>
      </w:r>
      <w:r>
        <w:rPr>
          <w:rFonts w:cs="Times New Roman" w:hint="eastAsia"/>
          <w:caps/>
          <w:sz w:val="18"/>
          <w:szCs w:val="18"/>
        </w:rPr>
        <w:t>Qin</w:t>
      </w:r>
      <w:r>
        <w:rPr>
          <w:rFonts w:cs="Times New Roman" w:hint="eastAsia"/>
          <w:sz w:val="18"/>
          <w:szCs w:val="18"/>
        </w:rPr>
        <w:t xml:space="preserve"> W, </w:t>
      </w:r>
      <w:r>
        <w:rPr>
          <w:rFonts w:cs="Times New Roman" w:hint="eastAsia"/>
          <w:caps/>
          <w:sz w:val="18"/>
          <w:szCs w:val="18"/>
        </w:rPr>
        <w:t>Jia</w:t>
      </w:r>
      <w:r>
        <w:rPr>
          <w:rFonts w:cs="Times New Roman" w:hint="eastAsia"/>
          <w:sz w:val="18"/>
          <w:szCs w:val="18"/>
        </w:rPr>
        <w:t xml:space="preserve"> B, et al. Optimal Scheduling Strategy for Power Systems Considering Multi Energy Complementarity[C]// </w:t>
      </w:r>
      <w:r>
        <w:rPr>
          <w:rFonts w:cs="Times New Roman"/>
          <w:sz w:val="18"/>
          <w:szCs w:val="18"/>
        </w:rPr>
        <w:t xml:space="preserve">2024 The 9th International Conference on Power and Renewable Energy (ICPRE), </w:t>
      </w:r>
      <w:r w:rsidR="0074719C" w:rsidRPr="0074719C">
        <w:rPr>
          <w:rFonts w:cs="Times New Roman"/>
          <w:sz w:val="18"/>
          <w:szCs w:val="18"/>
        </w:rPr>
        <w:t>Piscataway, NJ. IEEE,</w:t>
      </w:r>
      <w:r w:rsidR="0074719C">
        <w:rPr>
          <w:rFonts w:cs="Times New Roman" w:hint="eastAsia"/>
          <w:sz w:val="18"/>
          <w:szCs w:val="18"/>
        </w:rPr>
        <w:t xml:space="preserve"> </w:t>
      </w:r>
      <w:r>
        <w:rPr>
          <w:rFonts w:cs="Times New Roman"/>
          <w:sz w:val="18"/>
          <w:szCs w:val="18"/>
        </w:rPr>
        <w:t>2024. 1784-1789</w:t>
      </w:r>
      <w:r>
        <w:rPr>
          <w:rFonts w:cs="Times New Roman" w:hint="eastAsia"/>
          <w:sz w:val="18"/>
          <w:szCs w:val="18"/>
        </w:rPr>
        <w:t>.</w:t>
      </w:r>
    </w:p>
    <w:p w14:paraId="64CA9D2D" w14:textId="543F45B8"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Z</w:t>
      </w:r>
      <w:r>
        <w:rPr>
          <w:rFonts w:cs="Times New Roman" w:hint="eastAsia"/>
          <w:caps/>
          <w:sz w:val="18"/>
          <w:szCs w:val="18"/>
        </w:rPr>
        <w:t>hang</w:t>
      </w:r>
      <w:r>
        <w:rPr>
          <w:rFonts w:cs="Times New Roman" w:hint="eastAsia"/>
          <w:sz w:val="18"/>
          <w:szCs w:val="18"/>
        </w:rPr>
        <w:t xml:space="preserve"> X, </w:t>
      </w:r>
      <w:r>
        <w:rPr>
          <w:rFonts w:cs="Times New Roman" w:hint="eastAsia"/>
          <w:caps/>
          <w:sz w:val="18"/>
          <w:szCs w:val="18"/>
        </w:rPr>
        <w:t>Patelli</w:t>
      </w:r>
      <w:r>
        <w:rPr>
          <w:rFonts w:cs="Times New Roman" w:hint="eastAsia"/>
          <w:sz w:val="18"/>
          <w:szCs w:val="18"/>
        </w:rPr>
        <w:t xml:space="preserve"> E, </w:t>
      </w:r>
      <w:r>
        <w:rPr>
          <w:rFonts w:cs="Times New Roman" w:hint="eastAsia"/>
          <w:caps/>
          <w:sz w:val="18"/>
          <w:szCs w:val="18"/>
        </w:rPr>
        <w:t>Zhou</w:t>
      </w:r>
      <w:r>
        <w:rPr>
          <w:rFonts w:cs="Times New Roman" w:hint="eastAsia"/>
          <w:sz w:val="18"/>
          <w:szCs w:val="18"/>
        </w:rPr>
        <w:t xml:space="preserve"> Y, et al. Enhancing the economic efficiency of cross-regional renewable energy trading via optimizing pumped hydro storage capacity[J]. Renewable Energy, 2025, 240</w:t>
      </w:r>
      <w:r w:rsidR="00102E42">
        <w:rPr>
          <w:rFonts w:cs="Times New Roman" w:hint="eastAsia"/>
          <w:sz w:val="18"/>
          <w:szCs w:val="18"/>
        </w:rPr>
        <w:t>: 122205</w:t>
      </w:r>
      <w:r>
        <w:rPr>
          <w:rFonts w:cs="Times New Roman" w:hint="eastAsia"/>
          <w:sz w:val="18"/>
          <w:szCs w:val="18"/>
        </w:rPr>
        <w:t>.</w:t>
      </w:r>
    </w:p>
    <w:p w14:paraId="4BFCBE42" w14:textId="78A119A4" w:rsidR="008D7AD9" w:rsidRPr="00DE05AE" w:rsidRDefault="00000000">
      <w:pPr>
        <w:pStyle w:val="af9"/>
        <w:numPr>
          <w:ilvl w:val="0"/>
          <w:numId w:val="1"/>
        </w:numPr>
        <w:tabs>
          <w:tab w:val="left" w:pos="0"/>
          <w:tab w:val="left" w:pos="735"/>
        </w:tabs>
        <w:spacing w:line="320" w:lineRule="exact"/>
        <w:ind w:firstLineChars="0"/>
        <w:rPr>
          <w:rFonts w:cs="Times New Roman"/>
          <w:sz w:val="18"/>
          <w:szCs w:val="18"/>
        </w:rPr>
      </w:pPr>
      <w:r w:rsidRPr="00DE05AE">
        <w:rPr>
          <w:rFonts w:cs="Times New Roman" w:hint="eastAsia"/>
          <w:sz w:val="18"/>
          <w:szCs w:val="18"/>
        </w:rPr>
        <w:t xml:space="preserve">ZHOU Y, XIA J L, WANG L L, et al. Research on Pumped Storage Capacity Allocation of Cascade Hydro-Wind-Solar-Pumped Storage Hybrid System Considering Economy and Operational Stability[C]// </w:t>
      </w:r>
      <w:r w:rsidR="00CB3209" w:rsidRPr="00DE05AE">
        <w:rPr>
          <w:rFonts w:cs="Times New Roman"/>
          <w:sz w:val="18"/>
          <w:szCs w:val="18"/>
        </w:rPr>
        <w:t>2023 IEEE/IAS Industrial and Commercial Power System Asia (I&amp;CPS Asia)</w:t>
      </w:r>
      <w:r w:rsidR="00CB3209" w:rsidRPr="00DE05AE">
        <w:rPr>
          <w:rFonts w:cs="Times New Roman" w:hint="eastAsia"/>
          <w:sz w:val="18"/>
          <w:szCs w:val="18"/>
        </w:rPr>
        <w:t xml:space="preserve">. </w:t>
      </w:r>
      <w:r w:rsidR="00DE05AE" w:rsidRPr="00DE05AE">
        <w:rPr>
          <w:rFonts w:cs="Times New Roman" w:hint="eastAsia"/>
          <w:sz w:val="18"/>
          <w:szCs w:val="18"/>
        </w:rPr>
        <w:t>Piscataway, NJ.</w:t>
      </w:r>
      <w:r w:rsidRPr="00DE05AE">
        <w:rPr>
          <w:rFonts w:cs="Times New Roman" w:hint="eastAsia"/>
          <w:sz w:val="18"/>
          <w:szCs w:val="18"/>
        </w:rPr>
        <w:t xml:space="preserve"> </w:t>
      </w:r>
      <w:r w:rsidR="00DE05AE" w:rsidRPr="00DE05AE">
        <w:rPr>
          <w:rFonts w:cs="Times New Roman" w:hint="eastAsia"/>
          <w:sz w:val="18"/>
          <w:szCs w:val="18"/>
        </w:rPr>
        <w:t>IEEE</w:t>
      </w:r>
      <w:r w:rsidRPr="00DE05AE">
        <w:rPr>
          <w:rFonts w:cs="Times New Roman" w:hint="eastAsia"/>
          <w:sz w:val="18"/>
          <w:szCs w:val="18"/>
        </w:rPr>
        <w:t>, 2023:</w:t>
      </w:r>
      <w:r w:rsidR="00DE05AE" w:rsidRPr="00DE05AE">
        <w:rPr>
          <w:rFonts w:cs="Times New Roman" w:hint="eastAsia"/>
          <w:sz w:val="18"/>
          <w:szCs w:val="18"/>
        </w:rPr>
        <w:t xml:space="preserve"> </w:t>
      </w:r>
      <w:r w:rsidRPr="00DE05AE">
        <w:rPr>
          <w:rFonts w:cs="Times New Roman" w:hint="eastAsia"/>
          <w:sz w:val="18"/>
          <w:szCs w:val="18"/>
        </w:rPr>
        <w:t>601-607.</w:t>
      </w:r>
    </w:p>
    <w:p w14:paraId="3A1BCDEE"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吴迪</w:t>
      </w:r>
      <w:r>
        <w:rPr>
          <w:rFonts w:cs="Times New Roman" w:hint="eastAsia"/>
          <w:sz w:val="18"/>
          <w:szCs w:val="18"/>
        </w:rPr>
        <w:t xml:space="preserve">. </w:t>
      </w:r>
      <w:r>
        <w:rPr>
          <w:rFonts w:cs="Times New Roman" w:hint="eastAsia"/>
          <w:sz w:val="18"/>
          <w:szCs w:val="18"/>
        </w:rPr>
        <w:t>风光火储一体化、风光储一体化的多能互补基地电源配置思路研究</w:t>
      </w:r>
      <w:r>
        <w:rPr>
          <w:rFonts w:cs="Times New Roman" w:hint="eastAsia"/>
          <w:sz w:val="18"/>
          <w:szCs w:val="18"/>
        </w:rPr>
        <w:t xml:space="preserve">[J]. </w:t>
      </w:r>
      <w:r>
        <w:rPr>
          <w:rFonts w:cs="Times New Roman" w:hint="eastAsia"/>
          <w:sz w:val="18"/>
          <w:szCs w:val="18"/>
        </w:rPr>
        <w:t>电力学报</w:t>
      </w:r>
      <w:r>
        <w:rPr>
          <w:rFonts w:cs="Times New Roman" w:hint="eastAsia"/>
          <w:sz w:val="18"/>
          <w:szCs w:val="18"/>
        </w:rPr>
        <w:t xml:space="preserve">, 2024, 39(05): 464-468. </w:t>
      </w:r>
      <w:r>
        <w:rPr>
          <w:rFonts w:cs="Times New Roman"/>
          <w:sz w:val="18"/>
          <w:szCs w:val="18"/>
        </w:rPr>
        <w:br/>
      </w:r>
      <w:r>
        <w:rPr>
          <w:rFonts w:cs="Times New Roman" w:hint="eastAsia"/>
          <w:sz w:val="18"/>
          <w:szCs w:val="18"/>
        </w:rPr>
        <w:t xml:space="preserve">WU D, </w:t>
      </w:r>
      <w:r>
        <w:rPr>
          <w:rFonts w:cs="Times New Roman"/>
          <w:sz w:val="18"/>
          <w:szCs w:val="18"/>
        </w:rPr>
        <w:t>Study on Power Configuration Concept for the Multi</w:t>
      </w:r>
      <w:r>
        <w:rPr>
          <w:rFonts w:cs="Times New Roman" w:hint="eastAsia"/>
          <w:sz w:val="18"/>
          <w:szCs w:val="18"/>
        </w:rPr>
        <w:t>-</w:t>
      </w:r>
      <w:r>
        <w:rPr>
          <w:rFonts w:cs="Times New Roman"/>
          <w:sz w:val="18"/>
          <w:szCs w:val="18"/>
        </w:rPr>
        <w:t>Energy Complementary Based on</w:t>
      </w:r>
      <w:r>
        <w:rPr>
          <w:rFonts w:cs="Times New Roman" w:hint="eastAsia"/>
          <w:sz w:val="18"/>
          <w:szCs w:val="18"/>
        </w:rPr>
        <w:t xml:space="preserve"> </w:t>
      </w:r>
      <w:r>
        <w:rPr>
          <w:rFonts w:cs="Times New Roman"/>
          <w:sz w:val="18"/>
          <w:szCs w:val="18"/>
        </w:rPr>
        <w:t>Wind-photovoltaic-thermal-energy Storage Integration and Wind-photovoltaic-energy Storage Integration</w:t>
      </w:r>
      <w:r>
        <w:rPr>
          <w:rFonts w:cs="Times New Roman" w:hint="eastAsia"/>
          <w:sz w:val="18"/>
          <w:szCs w:val="18"/>
        </w:rPr>
        <w:t xml:space="preserve"> [J]. </w:t>
      </w:r>
      <w:r>
        <w:rPr>
          <w:rFonts w:cs="Times New Roman"/>
          <w:sz w:val="18"/>
          <w:szCs w:val="18"/>
        </w:rPr>
        <w:t>Journal of Electric Power</w:t>
      </w:r>
      <w:r>
        <w:rPr>
          <w:rFonts w:cs="Times New Roman" w:hint="eastAsia"/>
          <w:sz w:val="18"/>
          <w:szCs w:val="18"/>
        </w:rPr>
        <w:t xml:space="preserve">, </w:t>
      </w:r>
      <w:r>
        <w:rPr>
          <w:rFonts w:cs="Times New Roman"/>
          <w:sz w:val="18"/>
          <w:szCs w:val="18"/>
        </w:rPr>
        <w:t>2024, 39(05): 464-468.</w:t>
      </w:r>
      <w:r>
        <w:rPr>
          <w:rFonts w:cs="Times New Roman" w:hint="eastAsia"/>
          <w:sz w:val="18"/>
          <w:szCs w:val="18"/>
        </w:rPr>
        <w:t xml:space="preserve"> </w:t>
      </w:r>
      <w:r>
        <w:rPr>
          <w:rFonts w:cs="Times New Roman"/>
          <w:sz w:val="18"/>
          <w:szCs w:val="18"/>
        </w:rPr>
        <w:t>(in Chinese)</w:t>
      </w:r>
    </w:p>
    <w:p w14:paraId="57B80923" w14:textId="77DAB11E"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Z</w:t>
      </w:r>
      <w:r>
        <w:rPr>
          <w:rFonts w:cs="Times New Roman" w:hint="eastAsia"/>
          <w:caps/>
          <w:sz w:val="18"/>
          <w:szCs w:val="18"/>
        </w:rPr>
        <w:t>hao</w:t>
      </w:r>
      <w:r>
        <w:rPr>
          <w:rFonts w:cs="Times New Roman" w:hint="eastAsia"/>
          <w:sz w:val="18"/>
          <w:szCs w:val="18"/>
        </w:rPr>
        <w:t xml:space="preserve"> Z, </w:t>
      </w:r>
      <w:r>
        <w:rPr>
          <w:rFonts w:cs="Times New Roman" w:hint="eastAsia"/>
          <w:caps/>
          <w:sz w:val="18"/>
          <w:szCs w:val="18"/>
        </w:rPr>
        <w:t>Zhang</w:t>
      </w:r>
      <w:r>
        <w:rPr>
          <w:rFonts w:cs="Times New Roman" w:hint="eastAsia"/>
          <w:sz w:val="18"/>
          <w:szCs w:val="18"/>
        </w:rPr>
        <w:t xml:space="preserve"> M, </w:t>
      </w:r>
      <w:r>
        <w:rPr>
          <w:rFonts w:cs="Times New Roman" w:hint="eastAsia"/>
          <w:caps/>
          <w:sz w:val="18"/>
          <w:szCs w:val="18"/>
        </w:rPr>
        <w:t>He</w:t>
      </w:r>
      <w:r>
        <w:rPr>
          <w:rFonts w:cs="Times New Roman" w:hint="eastAsia"/>
          <w:sz w:val="18"/>
          <w:szCs w:val="18"/>
        </w:rPr>
        <w:t xml:space="preserve"> M, et al. Beyond fixed-speed pumped storage: A comprehensive evaluation of different flexible pumped storage technologies in energy systems[J]. Journal of Cleaner Production, 2024, 434</w:t>
      </w:r>
      <w:r w:rsidR="00102E42">
        <w:rPr>
          <w:rFonts w:cs="Times New Roman" w:hint="eastAsia"/>
          <w:sz w:val="18"/>
          <w:szCs w:val="18"/>
        </w:rPr>
        <w:t xml:space="preserve">: </w:t>
      </w:r>
      <w:r w:rsidR="00102E42">
        <w:rPr>
          <w:rFonts w:cs="Times New Roman" w:hint="eastAsia"/>
          <w:sz w:val="18"/>
          <w:szCs w:val="18"/>
        </w:rPr>
        <w:t>139994</w:t>
      </w:r>
      <w:r w:rsidR="00102E42">
        <w:rPr>
          <w:rFonts w:cs="Times New Roman"/>
          <w:sz w:val="18"/>
          <w:szCs w:val="18"/>
        </w:rPr>
        <w:tab/>
      </w:r>
      <w:r>
        <w:rPr>
          <w:rFonts w:cs="Times New Roman" w:hint="eastAsia"/>
          <w:sz w:val="18"/>
          <w:szCs w:val="18"/>
        </w:rPr>
        <w:t>.</w:t>
      </w:r>
    </w:p>
    <w:p w14:paraId="4A437036"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赵宏</w:t>
      </w:r>
      <w:r>
        <w:rPr>
          <w:rFonts w:cs="Times New Roman" w:hint="eastAsia"/>
          <w:sz w:val="18"/>
          <w:szCs w:val="18"/>
        </w:rPr>
        <w:t xml:space="preserve">, </w:t>
      </w:r>
      <w:r>
        <w:rPr>
          <w:rFonts w:cs="Times New Roman" w:hint="eastAsia"/>
          <w:sz w:val="18"/>
          <w:szCs w:val="18"/>
        </w:rPr>
        <w:t>王庆</w:t>
      </w:r>
      <w:r>
        <w:rPr>
          <w:rFonts w:cs="Times New Roman" w:hint="eastAsia"/>
          <w:sz w:val="18"/>
          <w:szCs w:val="18"/>
        </w:rPr>
        <w:t xml:space="preserve">, </w:t>
      </w:r>
      <w:r>
        <w:rPr>
          <w:rFonts w:cs="Times New Roman" w:hint="eastAsia"/>
          <w:sz w:val="18"/>
          <w:szCs w:val="18"/>
        </w:rPr>
        <w:t>陈静漪</w:t>
      </w:r>
      <w:r>
        <w:rPr>
          <w:rFonts w:cs="Times New Roman" w:hint="eastAsia"/>
          <w:sz w:val="18"/>
          <w:szCs w:val="18"/>
        </w:rPr>
        <w:t xml:space="preserve">. </w:t>
      </w:r>
      <w:r>
        <w:rPr>
          <w:rFonts w:cs="Times New Roman" w:hint="eastAsia"/>
          <w:sz w:val="18"/>
          <w:szCs w:val="18"/>
        </w:rPr>
        <w:t>新型电力系统中抽水蓄能功能定位与价格形成机制研究</w:t>
      </w:r>
      <w:r>
        <w:rPr>
          <w:rFonts w:cs="Times New Roman" w:hint="eastAsia"/>
          <w:sz w:val="18"/>
          <w:szCs w:val="18"/>
        </w:rPr>
        <w:t xml:space="preserve">[J]. </w:t>
      </w:r>
      <w:r>
        <w:rPr>
          <w:rFonts w:cs="Times New Roman" w:hint="eastAsia"/>
          <w:sz w:val="18"/>
          <w:szCs w:val="18"/>
        </w:rPr>
        <w:t>价格理论与实践</w:t>
      </w:r>
      <w:r>
        <w:rPr>
          <w:rFonts w:cs="Times New Roman" w:hint="eastAsia"/>
          <w:sz w:val="18"/>
          <w:szCs w:val="18"/>
        </w:rPr>
        <w:t>, 2024(05): 87-91.</w:t>
      </w:r>
      <w:r>
        <w:rPr>
          <w:rFonts w:cs="Times New Roman"/>
          <w:sz w:val="18"/>
          <w:szCs w:val="18"/>
        </w:rPr>
        <w:br/>
      </w:r>
      <w:r>
        <w:rPr>
          <w:rFonts w:cs="Times New Roman" w:hint="eastAsia"/>
          <w:sz w:val="18"/>
          <w:szCs w:val="18"/>
        </w:rPr>
        <w:t xml:space="preserve">ZHAO Q, WANG Q, CHEN J Y, </w:t>
      </w:r>
      <w:r>
        <w:rPr>
          <w:rFonts w:cs="Times New Roman"/>
          <w:sz w:val="18"/>
          <w:szCs w:val="18"/>
        </w:rPr>
        <w:t>Research on the Functional Positioning and Price Formation Mechanism of Pumped Storage in the New Power System</w:t>
      </w:r>
      <w:r>
        <w:rPr>
          <w:rFonts w:cs="Times New Roman" w:hint="eastAsia"/>
          <w:sz w:val="18"/>
          <w:szCs w:val="18"/>
        </w:rPr>
        <w:t xml:space="preserve">[J], </w:t>
      </w:r>
      <w:r>
        <w:rPr>
          <w:rFonts w:cs="Times New Roman"/>
          <w:sz w:val="18"/>
          <w:szCs w:val="18"/>
        </w:rPr>
        <w:t>Price:Theory &amp; Practice</w:t>
      </w:r>
      <w:r>
        <w:rPr>
          <w:rFonts w:cs="Times New Roman" w:hint="eastAsia"/>
          <w:sz w:val="18"/>
          <w:szCs w:val="18"/>
        </w:rPr>
        <w:t xml:space="preserve">, </w:t>
      </w:r>
      <w:r>
        <w:rPr>
          <w:rFonts w:cs="Times New Roman"/>
          <w:sz w:val="18"/>
          <w:szCs w:val="18"/>
        </w:rPr>
        <w:t>2024(05): 87-91.</w:t>
      </w:r>
      <w:r>
        <w:rPr>
          <w:rFonts w:cs="Times New Roman" w:hint="eastAsia"/>
          <w:sz w:val="18"/>
          <w:szCs w:val="18"/>
        </w:rPr>
        <w:t xml:space="preserve"> </w:t>
      </w:r>
      <w:r>
        <w:rPr>
          <w:rFonts w:cs="Times New Roman"/>
          <w:sz w:val="18"/>
          <w:szCs w:val="18"/>
        </w:rPr>
        <w:t>(in Chinese)</w:t>
      </w:r>
    </w:p>
    <w:p w14:paraId="1834A20F"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李东伟</w:t>
      </w:r>
      <w:r>
        <w:rPr>
          <w:rFonts w:cs="Times New Roman" w:hint="eastAsia"/>
          <w:sz w:val="18"/>
          <w:szCs w:val="18"/>
        </w:rPr>
        <w:t xml:space="preserve">, </w:t>
      </w:r>
      <w:r>
        <w:rPr>
          <w:rFonts w:cs="Times New Roman" w:hint="eastAsia"/>
          <w:sz w:val="18"/>
          <w:szCs w:val="18"/>
        </w:rPr>
        <w:t>周子东</w:t>
      </w:r>
      <w:r>
        <w:rPr>
          <w:rFonts w:cs="Times New Roman" w:hint="eastAsia"/>
          <w:sz w:val="18"/>
          <w:szCs w:val="18"/>
        </w:rPr>
        <w:t xml:space="preserve">, </w:t>
      </w:r>
      <w:r>
        <w:rPr>
          <w:rFonts w:cs="Times New Roman" w:hint="eastAsia"/>
          <w:sz w:val="18"/>
          <w:szCs w:val="18"/>
        </w:rPr>
        <w:t>刘秋实</w:t>
      </w:r>
      <w:r>
        <w:rPr>
          <w:rFonts w:cs="Times New Roman" w:hint="eastAsia"/>
          <w:sz w:val="18"/>
          <w:szCs w:val="18"/>
        </w:rPr>
        <w:t xml:space="preserve">, </w:t>
      </w:r>
      <w:r>
        <w:rPr>
          <w:rFonts w:cs="Times New Roman" w:hint="eastAsia"/>
          <w:sz w:val="18"/>
          <w:szCs w:val="18"/>
        </w:rPr>
        <w:t>等</w:t>
      </w:r>
      <w:r>
        <w:rPr>
          <w:rFonts w:cs="Times New Roman" w:hint="eastAsia"/>
          <w:sz w:val="18"/>
          <w:szCs w:val="18"/>
        </w:rPr>
        <w:t xml:space="preserve">. </w:t>
      </w:r>
      <w:r>
        <w:rPr>
          <w:rFonts w:cs="Times New Roman" w:hint="eastAsia"/>
          <w:sz w:val="18"/>
          <w:szCs w:val="18"/>
        </w:rPr>
        <w:t>基于电力市场化的抽水蓄能电站电价收益研究</w:t>
      </w:r>
      <w:r>
        <w:rPr>
          <w:rFonts w:cs="Times New Roman" w:hint="eastAsia"/>
          <w:sz w:val="18"/>
          <w:szCs w:val="18"/>
        </w:rPr>
        <w:t xml:space="preserve">[J]. </w:t>
      </w:r>
      <w:r>
        <w:rPr>
          <w:rFonts w:cs="Times New Roman" w:hint="eastAsia"/>
          <w:sz w:val="18"/>
          <w:szCs w:val="18"/>
        </w:rPr>
        <w:t>人民长江</w:t>
      </w:r>
      <w:r>
        <w:rPr>
          <w:rFonts w:cs="Times New Roman" w:hint="eastAsia"/>
          <w:sz w:val="18"/>
          <w:szCs w:val="18"/>
        </w:rPr>
        <w:t>, 2024, 55(03): 243-248.</w:t>
      </w:r>
      <w:r>
        <w:rPr>
          <w:rFonts w:cs="Times New Roman"/>
          <w:sz w:val="18"/>
          <w:szCs w:val="18"/>
        </w:rPr>
        <w:br/>
      </w:r>
      <w:r>
        <w:rPr>
          <w:rFonts w:cs="Times New Roman" w:hint="eastAsia"/>
          <w:sz w:val="18"/>
          <w:szCs w:val="18"/>
        </w:rPr>
        <w:t xml:space="preserve">LI D W, ZHOU Z D, LIU Q S, et al. </w:t>
      </w:r>
      <w:r>
        <w:rPr>
          <w:rFonts w:cs="Times New Roman"/>
          <w:sz w:val="18"/>
          <w:szCs w:val="18"/>
        </w:rPr>
        <w:t>Electricity price profit of pumped storage power station based on mature electricity market</w:t>
      </w:r>
      <w:r>
        <w:rPr>
          <w:rFonts w:cs="Times New Roman" w:hint="eastAsia"/>
          <w:sz w:val="18"/>
          <w:szCs w:val="18"/>
        </w:rPr>
        <w:t xml:space="preserve">[J]. </w:t>
      </w:r>
      <w:r>
        <w:rPr>
          <w:rFonts w:cs="Times New Roman"/>
          <w:sz w:val="18"/>
          <w:szCs w:val="18"/>
        </w:rPr>
        <w:t>Yangtze River</w:t>
      </w:r>
      <w:r>
        <w:rPr>
          <w:rFonts w:cs="Times New Roman" w:hint="eastAsia"/>
          <w:sz w:val="18"/>
          <w:szCs w:val="18"/>
        </w:rPr>
        <w:t xml:space="preserve">, </w:t>
      </w:r>
      <w:r>
        <w:rPr>
          <w:rFonts w:cs="Times New Roman"/>
          <w:sz w:val="18"/>
          <w:szCs w:val="18"/>
        </w:rPr>
        <w:t>2024, 55(03): 243-248.</w:t>
      </w:r>
      <w:r>
        <w:rPr>
          <w:rFonts w:cs="Times New Roman" w:hint="eastAsia"/>
          <w:sz w:val="18"/>
          <w:szCs w:val="18"/>
        </w:rPr>
        <w:t xml:space="preserve"> </w:t>
      </w:r>
      <w:r>
        <w:rPr>
          <w:rFonts w:cs="Times New Roman"/>
          <w:sz w:val="18"/>
          <w:szCs w:val="18"/>
        </w:rPr>
        <w:t>(in Chinese)</w:t>
      </w:r>
    </w:p>
    <w:p w14:paraId="3639D624"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叶泽</w:t>
      </w:r>
      <w:r>
        <w:rPr>
          <w:rFonts w:cs="Times New Roman" w:hint="eastAsia"/>
          <w:sz w:val="18"/>
          <w:szCs w:val="18"/>
        </w:rPr>
        <w:t xml:space="preserve">, </w:t>
      </w:r>
      <w:r>
        <w:rPr>
          <w:rFonts w:cs="Times New Roman" w:hint="eastAsia"/>
          <w:sz w:val="18"/>
          <w:szCs w:val="18"/>
        </w:rPr>
        <w:t>黄姗姗</w:t>
      </w:r>
      <w:r>
        <w:rPr>
          <w:rFonts w:cs="Times New Roman" w:hint="eastAsia"/>
          <w:sz w:val="18"/>
          <w:szCs w:val="18"/>
        </w:rPr>
        <w:t xml:space="preserve">, </w:t>
      </w:r>
      <w:r>
        <w:rPr>
          <w:rFonts w:cs="Times New Roman" w:hint="eastAsia"/>
          <w:sz w:val="18"/>
          <w:szCs w:val="18"/>
        </w:rPr>
        <w:t>王亚莉</w:t>
      </w:r>
      <w:r>
        <w:rPr>
          <w:rFonts w:cs="Times New Roman" w:hint="eastAsia"/>
          <w:sz w:val="18"/>
          <w:szCs w:val="18"/>
        </w:rPr>
        <w:t xml:space="preserve">. </w:t>
      </w:r>
      <w:r>
        <w:rPr>
          <w:rFonts w:cs="Times New Roman" w:hint="eastAsia"/>
          <w:sz w:val="18"/>
          <w:szCs w:val="18"/>
        </w:rPr>
        <w:t>电力市场改革背景下抽水蓄能电站电价机制研究</w:t>
      </w:r>
      <w:r>
        <w:rPr>
          <w:rFonts w:cs="Times New Roman" w:hint="eastAsia"/>
          <w:sz w:val="18"/>
          <w:szCs w:val="18"/>
        </w:rPr>
        <w:t xml:space="preserve">[J]. </w:t>
      </w:r>
      <w:r>
        <w:rPr>
          <w:rFonts w:cs="Times New Roman" w:hint="eastAsia"/>
          <w:sz w:val="18"/>
          <w:szCs w:val="18"/>
        </w:rPr>
        <w:t>价格理论与实践</w:t>
      </w:r>
      <w:r>
        <w:rPr>
          <w:rFonts w:cs="Times New Roman" w:hint="eastAsia"/>
          <w:sz w:val="18"/>
          <w:szCs w:val="18"/>
        </w:rPr>
        <w:t>, 2020(11): 26-29+40.</w:t>
      </w:r>
      <w:r>
        <w:rPr>
          <w:rFonts w:cs="Times New Roman"/>
          <w:sz w:val="18"/>
          <w:szCs w:val="18"/>
        </w:rPr>
        <w:br/>
      </w:r>
      <w:r>
        <w:rPr>
          <w:rFonts w:cs="Times New Roman" w:hint="eastAsia"/>
          <w:sz w:val="18"/>
          <w:szCs w:val="18"/>
        </w:rPr>
        <w:t xml:space="preserve">YE Z, HAUNG S S, WANG Y L, </w:t>
      </w:r>
      <w:r>
        <w:rPr>
          <w:rFonts w:cs="Times New Roman"/>
          <w:sz w:val="18"/>
          <w:szCs w:val="18"/>
        </w:rPr>
        <w:t>Research on Electricity Price Mechanism of Pumped Storage Power Station under the</w:t>
      </w:r>
      <w:r>
        <w:rPr>
          <w:rFonts w:cs="Times New Roman" w:hint="eastAsia"/>
          <w:sz w:val="18"/>
          <w:szCs w:val="18"/>
        </w:rPr>
        <w:t xml:space="preserve"> </w:t>
      </w:r>
      <w:r>
        <w:rPr>
          <w:rFonts w:cs="Times New Roman"/>
          <w:sz w:val="18"/>
          <w:szCs w:val="18"/>
        </w:rPr>
        <w:t>Background of Electricity Market Reform</w:t>
      </w:r>
      <w:r>
        <w:rPr>
          <w:rFonts w:cs="Times New Roman" w:hint="eastAsia"/>
          <w:sz w:val="18"/>
          <w:szCs w:val="18"/>
        </w:rPr>
        <w:t xml:space="preserve">[J]. </w:t>
      </w:r>
      <w:r>
        <w:rPr>
          <w:rFonts w:cs="Times New Roman"/>
          <w:sz w:val="18"/>
          <w:szCs w:val="18"/>
        </w:rPr>
        <w:t>Price:Theory &amp; Practice</w:t>
      </w:r>
      <w:r>
        <w:rPr>
          <w:rFonts w:cs="Times New Roman" w:hint="eastAsia"/>
          <w:sz w:val="18"/>
          <w:szCs w:val="18"/>
        </w:rPr>
        <w:t xml:space="preserve">, </w:t>
      </w:r>
      <w:r>
        <w:rPr>
          <w:rFonts w:cs="Times New Roman"/>
          <w:sz w:val="18"/>
          <w:szCs w:val="18"/>
        </w:rPr>
        <w:t>2020(11): 26-29+40.</w:t>
      </w:r>
      <w:r>
        <w:rPr>
          <w:rFonts w:cs="Times New Roman" w:hint="eastAsia"/>
          <w:sz w:val="18"/>
          <w:szCs w:val="18"/>
        </w:rPr>
        <w:t xml:space="preserve"> </w:t>
      </w:r>
      <w:r>
        <w:rPr>
          <w:rFonts w:cs="Times New Roman"/>
          <w:sz w:val="18"/>
          <w:szCs w:val="18"/>
        </w:rPr>
        <w:t>(in Chinese)</w:t>
      </w:r>
    </w:p>
    <w:p w14:paraId="63D901DC"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张洪基</w:t>
      </w:r>
      <w:r>
        <w:rPr>
          <w:rFonts w:cs="Times New Roman" w:hint="eastAsia"/>
          <w:sz w:val="18"/>
          <w:szCs w:val="18"/>
        </w:rPr>
        <w:t xml:space="preserve">, </w:t>
      </w:r>
      <w:r>
        <w:rPr>
          <w:rFonts w:cs="Times New Roman" w:hint="eastAsia"/>
          <w:sz w:val="18"/>
          <w:szCs w:val="18"/>
        </w:rPr>
        <w:t>丁涛</w:t>
      </w:r>
      <w:r>
        <w:rPr>
          <w:rFonts w:cs="Times New Roman" w:hint="eastAsia"/>
          <w:sz w:val="18"/>
          <w:szCs w:val="18"/>
        </w:rPr>
        <w:t xml:space="preserve">, </w:t>
      </w:r>
      <w:r>
        <w:rPr>
          <w:rFonts w:cs="Times New Roman" w:hint="eastAsia"/>
          <w:sz w:val="18"/>
          <w:szCs w:val="18"/>
        </w:rPr>
        <w:t>黄雨涵</w:t>
      </w:r>
      <w:r>
        <w:rPr>
          <w:rFonts w:cs="Times New Roman" w:hint="eastAsia"/>
          <w:sz w:val="18"/>
          <w:szCs w:val="18"/>
        </w:rPr>
        <w:t xml:space="preserve">, </w:t>
      </w:r>
      <w:r>
        <w:rPr>
          <w:rFonts w:cs="Times New Roman" w:hint="eastAsia"/>
          <w:sz w:val="18"/>
          <w:szCs w:val="18"/>
        </w:rPr>
        <w:t>等</w:t>
      </w:r>
      <w:r>
        <w:rPr>
          <w:rFonts w:cs="Times New Roman" w:hint="eastAsia"/>
          <w:sz w:val="18"/>
          <w:szCs w:val="18"/>
        </w:rPr>
        <w:t xml:space="preserve">. </w:t>
      </w:r>
      <w:r>
        <w:rPr>
          <w:rFonts w:cs="Times New Roman" w:hint="eastAsia"/>
          <w:sz w:val="18"/>
          <w:szCs w:val="18"/>
        </w:rPr>
        <w:t>电力市场环境下抽水蓄能电站容量电费定价与成本分摊方法</w:t>
      </w:r>
      <w:r>
        <w:rPr>
          <w:rFonts w:cs="Times New Roman" w:hint="eastAsia"/>
          <w:sz w:val="18"/>
          <w:szCs w:val="18"/>
        </w:rPr>
        <w:t xml:space="preserve">[J]. </w:t>
      </w:r>
      <w:r>
        <w:rPr>
          <w:rFonts w:cs="Times New Roman" w:hint="eastAsia"/>
          <w:sz w:val="18"/>
          <w:szCs w:val="18"/>
        </w:rPr>
        <w:t>电力系统自动化</w:t>
      </w:r>
      <w:r>
        <w:rPr>
          <w:rFonts w:cs="Times New Roman" w:hint="eastAsia"/>
          <w:sz w:val="18"/>
          <w:szCs w:val="18"/>
        </w:rPr>
        <w:t>, 2024, 48(11): 88-99.</w:t>
      </w:r>
      <w:r>
        <w:rPr>
          <w:rFonts w:cs="Times New Roman"/>
          <w:sz w:val="18"/>
          <w:szCs w:val="18"/>
        </w:rPr>
        <w:br/>
      </w:r>
      <w:r>
        <w:rPr>
          <w:rFonts w:cs="Times New Roman" w:hint="eastAsia"/>
          <w:sz w:val="18"/>
          <w:szCs w:val="18"/>
        </w:rPr>
        <w:t xml:space="preserve">ZHANG H J, DING T, HUANG Y H, et al. </w:t>
      </w:r>
      <w:r>
        <w:rPr>
          <w:rFonts w:cs="Times New Roman"/>
          <w:sz w:val="18"/>
          <w:szCs w:val="18"/>
        </w:rPr>
        <w:t>Pricing and Cost Allocation Methods for Capacity Charges of Pumped Storage Power Stations in Electricity Market Environment</w:t>
      </w:r>
      <w:r>
        <w:rPr>
          <w:rFonts w:cs="Times New Roman" w:hint="eastAsia"/>
          <w:sz w:val="18"/>
          <w:szCs w:val="18"/>
        </w:rPr>
        <w:t xml:space="preserve">[J]. </w:t>
      </w:r>
      <w:r>
        <w:rPr>
          <w:rFonts w:cs="Times New Roman"/>
          <w:sz w:val="18"/>
          <w:szCs w:val="18"/>
        </w:rPr>
        <w:t>Automation of Electric Power Systems</w:t>
      </w:r>
      <w:r>
        <w:rPr>
          <w:rFonts w:cs="Times New Roman" w:hint="eastAsia"/>
          <w:sz w:val="18"/>
          <w:szCs w:val="18"/>
        </w:rPr>
        <w:t xml:space="preserve">, </w:t>
      </w:r>
      <w:r>
        <w:rPr>
          <w:rFonts w:cs="Times New Roman"/>
          <w:sz w:val="18"/>
          <w:szCs w:val="18"/>
        </w:rPr>
        <w:t>2024, 48(11): 88-99.</w:t>
      </w:r>
      <w:r>
        <w:rPr>
          <w:rFonts w:cs="Times New Roman" w:hint="eastAsia"/>
          <w:sz w:val="18"/>
          <w:szCs w:val="18"/>
        </w:rPr>
        <w:t xml:space="preserve"> </w:t>
      </w:r>
      <w:r>
        <w:rPr>
          <w:rFonts w:cs="Times New Roman"/>
          <w:sz w:val="18"/>
          <w:szCs w:val="18"/>
        </w:rPr>
        <w:t>(in Chinese)</w:t>
      </w:r>
    </w:p>
    <w:p w14:paraId="17294C83"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彭晨芳</w:t>
      </w:r>
      <w:r>
        <w:rPr>
          <w:rFonts w:cs="Times New Roman" w:hint="eastAsia"/>
          <w:sz w:val="18"/>
          <w:szCs w:val="18"/>
        </w:rPr>
        <w:t xml:space="preserve">, </w:t>
      </w:r>
      <w:r>
        <w:rPr>
          <w:rFonts w:cs="Times New Roman" w:hint="eastAsia"/>
          <w:sz w:val="18"/>
          <w:szCs w:val="18"/>
        </w:rPr>
        <w:t>李沐阳</w:t>
      </w:r>
      <w:r>
        <w:rPr>
          <w:rFonts w:cs="Times New Roman" w:hint="eastAsia"/>
          <w:sz w:val="18"/>
          <w:szCs w:val="18"/>
        </w:rPr>
        <w:t xml:space="preserve">, </w:t>
      </w:r>
      <w:r>
        <w:rPr>
          <w:rFonts w:cs="Times New Roman" w:hint="eastAsia"/>
          <w:sz w:val="18"/>
          <w:szCs w:val="18"/>
        </w:rPr>
        <w:t>李泽峰</w:t>
      </w:r>
      <w:r>
        <w:rPr>
          <w:rFonts w:cs="Times New Roman" w:hint="eastAsia"/>
          <w:sz w:val="18"/>
          <w:szCs w:val="18"/>
        </w:rPr>
        <w:t xml:space="preserve">, et al. </w:t>
      </w:r>
      <w:r>
        <w:rPr>
          <w:rFonts w:cs="Times New Roman" w:hint="eastAsia"/>
          <w:sz w:val="18"/>
          <w:szCs w:val="18"/>
        </w:rPr>
        <w:t>抽水蓄能电站电价机制及疏导路径研究</w:t>
      </w:r>
      <w:r>
        <w:rPr>
          <w:rFonts w:cs="Times New Roman" w:hint="eastAsia"/>
          <w:sz w:val="18"/>
          <w:szCs w:val="18"/>
        </w:rPr>
        <w:t xml:space="preserve">[J]. </w:t>
      </w:r>
      <w:r>
        <w:rPr>
          <w:rFonts w:cs="Times New Roman" w:hint="eastAsia"/>
          <w:sz w:val="18"/>
          <w:szCs w:val="18"/>
        </w:rPr>
        <w:t>建筑经济</w:t>
      </w:r>
      <w:r>
        <w:rPr>
          <w:rFonts w:cs="Times New Roman" w:hint="eastAsia"/>
          <w:sz w:val="18"/>
          <w:szCs w:val="18"/>
        </w:rPr>
        <w:t>, 2024, 45(S2): 506-508.</w:t>
      </w:r>
      <w:r>
        <w:rPr>
          <w:rFonts w:cs="Times New Roman"/>
          <w:sz w:val="18"/>
          <w:szCs w:val="18"/>
        </w:rPr>
        <w:br/>
      </w:r>
      <w:r>
        <w:rPr>
          <w:rFonts w:cs="Times New Roman" w:hint="eastAsia"/>
          <w:sz w:val="18"/>
          <w:szCs w:val="18"/>
        </w:rPr>
        <w:t xml:space="preserve">PENG C F, LI M Y, LI Z F, et al. </w:t>
      </w:r>
      <w:r>
        <w:rPr>
          <w:rFonts w:cs="Times New Roman"/>
          <w:sz w:val="18"/>
          <w:szCs w:val="18"/>
        </w:rPr>
        <w:t>Research on the Electricity Price Mechanism and Diversion Path of Pumped Storage Power Stations</w:t>
      </w:r>
      <w:r>
        <w:rPr>
          <w:rFonts w:cs="Times New Roman" w:hint="eastAsia"/>
          <w:sz w:val="18"/>
          <w:szCs w:val="18"/>
        </w:rPr>
        <w:t xml:space="preserve">[J]. </w:t>
      </w:r>
      <w:r>
        <w:rPr>
          <w:rFonts w:cs="Times New Roman"/>
          <w:sz w:val="18"/>
          <w:szCs w:val="18"/>
        </w:rPr>
        <w:t>Construction Economy</w:t>
      </w:r>
      <w:r>
        <w:rPr>
          <w:rFonts w:cs="Times New Roman" w:hint="eastAsia"/>
          <w:sz w:val="18"/>
          <w:szCs w:val="18"/>
        </w:rPr>
        <w:t xml:space="preserve">, </w:t>
      </w:r>
      <w:r>
        <w:rPr>
          <w:rFonts w:cs="Times New Roman"/>
          <w:sz w:val="18"/>
          <w:szCs w:val="18"/>
        </w:rPr>
        <w:t>2024, 45(S2): 506-508.</w:t>
      </w:r>
      <w:r>
        <w:rPr>
          <w:rFonts w:cs="Times New Roman" w:hint="eastAsia"/>
          <w:sz w:val="18"/>
          <w:szCs w:val="18"/>
        </w:rPr>
        <w:t xml:space="preserve"> </w:t>
      </w:r>
      <w:r>
        <w:rPr>
          <w:rFonts w:cs="Times New Roman"/>
          <w:sz w:val="18"/>
          <w:szCs w:val="18"/>
        </w:rPr>
        <w:t>(in Chinese)</w:t>
      </w:r>
    </w:p>
    <w:p w14:paraId="2668ED2C" w14:textId="61D346B3"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C</w:t>
      </w:r>
      <w:r>
        <w:rPr>
          <w:rFonts w:cs="Times New Roman" w:hint="eastAsia"/>
          <w:caps/>
          <w:sz w:val="18"/>
          <w:szCs w:val="18"/>
        </w:rPr>
        <w:t>heng</w:t>
      </w:r>
      <w:r>
        <w:rPr>
          <w:rFonts w:cs="Times New Roman" w:hint="eastAsia"/>
          <w:sz w:val="18"/>
          <w:szCs w:val="18"/>
        </w:rPr>
        <w:t xml:space="preserve"> X, </w:t>
      </w:r>
      <w:r>
        <w:rPr>
          <w:rFonts w:cs="Times New Roman" w:hint="eastAsia"/>
          <w:caps/>
          <w:sz w:val="18"/>
          <w:szCs w:val="18"/>
        </w:rPr>
        <w:t>Zhao</w:t>
      </w:r>
      <w:r>
        <w:rPr>
          <w:rFonts w:cs="Times New Roman" w:hint="eastAsia"/>
          <w:sz w:val="18"/>
          <w:szCs w:val="18"/>
        </w:rPr>
        <w:t xml:space="preserve"> H, Z</w:t>
      </w:r>
      <w:r>
        <w:rPr>
          <w:rFonts w:cs="Times New Roman" w:hint="eastAsia"/>
          <w:caps/>
          <w:sz w:val="18"/>
          <w:szCs w:val="18"/>
        </w:rPr>
        <w:t>hang</w:t>
      </w:r>
      <w:r>
        <w:rPr>
          <w:rFonts w:cs="Times New Roman" w:hint="eastAsia"/>
          <w:sz w:val="18"/>
          <w:szCs w:val="18"/>
        </w:rPr>
        <w:t xml:space="preserve"> Y, et al. A study on site selection of pumped storage power plants based on C-OWA-AHP and VIKOR-GRA: A case study in China[J]. Journal of Energy Storage, 2023, 72</w:t>
      </w:r>
      <w:r w:rsidR="00180B6F">
        <w:rPr>
          <w:rFonts w:cs="Times New Roman" w:hint="eastAsia"/>
          <w:sz w:val="18"/>
          <w:szCs w:val="18"/>
        </w:rPr>
        <w:t>: 108623</w:t>
      </w:r>
      <w:r>
        <w:rPr>
          <w:rFonts w:cs="Times New Roman" w:hint="eastAsia"/>
          <w:sz w:val="18"/>
          <w:szCs w:val="18"/>
        </w:rPr>
        <w:t>.</w:t>
      </w:r>
    </w:p>
    <w:p w14:paraId="225F7193"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韩冬</w:t>
      </w:r>
      <w:r>
        <w:rPr>
          <w:rFonts w:cs="Times New Roman" w:hint="eastAsia"/>
          <w:sz w:val="18"/>
          <w:szCs w:val="18"/>
        </w:rPr>
        <w:t xml:space="preserve">, </w:t>
      </w:r>
      <w:r>
        <w:rPr>
          <w:rFonts w:cs="Times New Roman" w:hint="eastAsia"/>
          <w:sz w:val="18"/>
          <w:szCs w:val="18"/>
        </w:rPr>
        <w:t>郑静</w:t>
      </w:r>
      <w:r>
        <w:rPr>
          <w:rFonts w:cs="Times New Roman" w:hint="eastAsia"/>
          <w:sz w:val="18"/>
          <w:szCs w:val="18"/>
        </w:rPr>
        <w:t xml:space="preserve">, </w:t>
      </w:r>
      <w:r>
        <w:rPr>
          <w:rFonts w:cs="Times New Roman" w:hint="eastAsia"/>
          <w:sz w:val="18"/>
          <w:szCs w:val="18"/>
        </w:rPr>
        <w:t>周力</w:t>
      </w:r>
      <w:r>
        <w:rPr>
          <w:rFonts w:cs="Times New Roman" w:hint="eastAsia"/>
          <w:sz w:val="18"/>
          <w:szCs w:val="18"/>
        </w:rPr>
        <w:t xml:space="preserve">, </w:t>
      </w:r>
      <w:r>
        <w:rPr>
          <w:rFonts w:cs="Times New Roman" w:hint="eastAsia"/>
          <w:sz w:val="18"/>
          <w:szCs w:val="18"/>
        </w:rPr>
        <w:t>等</w:t>
      </w:r>
      <w:r>
        <w:rPr>
          <w:rFonts w:cs="Times New Roman" w:hint="eastAsia"/>
          <w:sz w:val="18"/>
          <w:szCs w:val="18"/>
        </w:rPr>
        <w:t xml:space="preserve">. </w:t>
      </w:r>
      <w:r>
        <w:rPr>
          <w:rFonts w:cs="Times New Roman" w:hint="eastAsia"/>
          <w:sz w:val="18"/>
          <w:szCs w:val="18"/>
        </w:rPr>
        <w:t>中国抽水蓄能站点资源评价与</w:t>
      </w:r>
      <w:r>
        <w:rPr>
          <w:rFonts w:cs="Times New Roman" w:hint="eastAsia"/>
          <w:sz w:val="18"/>
          <w:szCs w:val="18"/>
        </w:rPr>
        <w:lastRenderedPageBreak/>
        <w:t>分布特点</w:t>
      </w:r>
      <w:r>
        <w:rPr>
          <w:rFonts w:cs="Times New Roman" w:hint="eastAsia"/>
          <w:sz w:val="18"/>
          <w:szCs w:val="18"/>
        </w:rPr>
        <w:t xml:space="preserve">[J]. </w:t>
      </w:r>
      <w:r>
        <w:rPr>
          <w:rFonts w:cs="Times New Roman" w:hint="eastAsia"/>
          <w:sz w:val="18"/>
          <w:szCs w:val="18"/>
        </w:rPr>
        <w:t>人民长江</w:t>
      </w:r>
      <w:r>
        <w:rPr>
          <w:rFonts w:cs="Times New Roman" w:hint="eastAsia"/>
          <w:sz w:val="18"/>
          <w:szCs w:val="18"/>
        </w:rPr>
        <w:t>, 2024: 1-12.</w:t>
      </w:r>
      <w:r>
        <w:rPr>
          <w:rFonts w:cs="Times New Roman"/>
          <w:sz w:val="18"/>
          <w:szCs w:val="18"/>
        </w:rPr>
        <w:br/>
      </w:r>
      <w:r>
        <w:rPr>
          <w:rFonts w:cs="Times New Roman" w:hint="eastAsia"/>
          <w:sz w:val="18"/>
          <w:szCs w:val="18"/>
        </w:rPr>
        <w:t xml:space="preserve">HAN D, ZHENG J, ZHOU L, et al. </w:t>
      </w:r>
      <w:r>
        <w:rPr>
          <w:rFonts w:cs="Times New Roman"/>
          <w:sz w:val="18"/>
          <w:szCs w:val="18"/>
        </w:rPr>
        <w:t>Resource evaluation and distribution characteristics of pumped storage hydropower sites in China</w:t>
      </w:r>
      <w:r>
        <w:rPr>
          <w:rFonts w:cs="Times New Roman" w:hint="eastAsia"/>
          <w:sz w:val="18"/>
          <w:szCs w:val="18"/>
        </w:rPr>
        <w:t xml:space="preserve">[J]. </w:t>
      </w:r>
      <w:r>
        <w:rPr>
          <w:rFonts w:cs="Times New Roman"/>
          <w:sz w:val="18"/>
          <w:szCs w:val="18"/>
        </w:rPr>
        <w:t>Yangtze River</w:t>
      </w:r>
      <w:r>
        <w:rPr>
          <w:rFonts w:cs="Times New Roman" w:hint="eastAsia"/>
          <w:sz w:val="18"/>
          <w:szCs w:val="18"/>
        </w:rPr>
        <w:t xml:space="preserve">, </w:t>
      </w:r>
      <w:r>
        <w:rPr>
          <w:rFonts w:cs="Times New Roman"/>
          <w:sz w:val="18"/>
          <w:szCs w:val="18"/>
        </w:rPr>
        <w:t>2024: 1-12.</w:t>
      </w:r>
      <w:r>
        <w:rPr>
          <w:rFonts w:cs="Times New Roman" w:hint="eastAsia"/>
          <w:sz w:val="18"/>
          <w:szCs w:val="18"/>
        </w:rPr>
        <w:t xml:space="preserve"> </w:t>
      </w:r>
      <w:r>
        <w:rPr>
          <w:rFonts w:cs="Times New Roman"/>
          <w:sz w:val="18"/>
          <w:szCs w:val="18"/>
        </w:rPr>
        <w:t>(in Chinese)</w:t>
      </w:r>
    </w:p>
    <w:p w14:paraId="4294DDE8"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王俊钗</w:t>
      </w:r>
      <w:r>
        <w:rPr>
          <w:rFonts w:cs="Times New Roman" w:hint="eastAsia"/>
          <w:sz w:val="18"/>
          <w:szCs w:val="18"/>
        </w:rPr>
        <w:t xml:space="preserve">, </w:t>
      </w:r>
      <w:r>
        <w:rPr>
          <w:rFonts w:cs="Times New Roman" w:hint="eastAsia"/>
          <w:sz w:val="18"/>
          <w:szCs w:val="18"/>
        </w:rPr>
        <w:t>卢有麟</w:t>
      </w:r>
      <w:r>
        <w:rPr>
          <w:rFonts w:cs="Times New Roman" w:hint="eastAsia"/>
          <w:sz w:val="18"/>
          <w:szCs w:val="18"/>
        </w:rPr>
        <w:t xml:space="preserve">, </w:t>
      </w:r>
      <w:r>
        <w:rPr>
          <w:rFonts w:cs="Times New Roman" w:hint="eastAsia"/>
          <w:sz w:val="18"/>
          <w:szCs w:val="18"/>
        </w:rPr>
        <w:t>程发顺</w:t>
      </w:r>
      <w:r>
        <w:rPr>
          <w:rFonts w:cs="Times New Roman" w:hint="eastAsia"/>
          <w:sz w:val="18"/>
          <w:szCs w:val="18"/>
        </w:rPr>
        <w:t xml:space="preserve">, </w:t>
      </w:r>
      <w:r>
        <w:rPr>
          <w:rFonts w:cs="Times New Roman" w:hint="eastAsia"/>
          <w:sz w:val="18"/>
          <w:szCs w:val="18"/>
        </w:rPr>
        <w:t>等</w:t>
      </w:r>
      <w:r>
        <w:rPr>
          <w:rFonts w:cs="Times New Roman" w:hint="eastAsia"/>
          <w:sz w:val="18"/>
          <w:szCs w:val="18"/>
        </w:rPr>
        <w:t xml:space="preserve">. </w:t>
      </w:r>
      <w:r>
        <w:rPr>
          <w:rFonts w:cs="Times New Roman" w:hint="eastAsia"/>
          <w:sz w:val="18"/>
          <w:szCs w:val="18"/>
        </w:rPr>
        <w:t>平衡源网侧利益的大型风光蓄多能互补基地容量优化配置</w:t>
      </w:r>
      <w:r>
        <w:rPr>
          <w:rFonts w:cs="Times New Roman" w:hint="eastAsia"/>
          <w:sz w:val="18"/>
          <w:szCs w:val="18"/>
        </w:rPr>
        <w:t xml:space="preserve">[J]. </w:t>
      </w:r>
      <w:r>
        <w:rPr>
          <w:rFonts w:cs="Times New Roman" w:hint="eastAsia"/>
          <w:sz w:val="18"/>
          <w:szCs w:val="18"/>
        </w:rPr>
        <w:t>电网与清洁能源</w:t>
      </w:r>
      <w:r>
        <w:rPr>
          <w:rFonts w:cs="Times New Roman" w:hint="eastAsia"/>
          <w:sz w:val="18"/>
          <w:szCs w:val="18"/>
        </w:rPr>
        <w:t>, 2023, 39(12): 61-71.</w:t>
      </w:r>
      <w:r>
        <w:rPr>
          <w:rFonts w:cs="Times New Roman"/>
          <w:sz w:val="18"/>
          <w:szCs w:val="18"/>
        </w:rPr>
        <w:br/>
      </w:r>
      <w:r>
        <w:rPr>
          <w:rFonts w:cs="Times New Roman" w:hint="eastAsia"/>
          <w:sz w:val="18"/>
          <w:szCs w:val="18"/>
        </w:rPr>
        <w:t xml:space="preserve">WANG J C, LU Y L, CHENG F S, et al. </w:t>
      </w:r>
      <w:r>
        <w:rPr>
          <w:rFonts w:cs="Times New Roman"/>
          <w:sz w:val="18"/>
          <w:szCs w:val="18"/>
        </w:rPr>
        <w:t>Optimal Capacity Allocation of the Large Wind-Solar-Pumped Storage Power Complementary</w:t>
      </w:r>
      <w:r>
        <w:rPr>
          <w:rFonts w:cs="Times New Roman" w:hint="eastAsia"/>
          <w:sz w:val="18"/>
          <w:szCs w:val="18"/>
        </w:rPr>
        <w:t xml:space="preserve"> </w:t>
      </w:r>
      <w:r>
        <w:rPr>
          <w:rFonts w:cs="Times New Roman"/>
          <w:sz w:val="18"/>
          <w:szCs w:val="18"/>
        </w:rPr>
        <w:t>Base for Balancing the Interests of Power Generation and Power Network</w:t>
      </w:r>
      <w:r>
        <w:rPr>
          <w:rFonts w:cs="Times New Roman" w:hint="eastAsia"/>
          <w:sz w:val="18"/>
          <w:szCs w:val="18"/>
        </w:rPr>
        <w:t xml:space="preserve">[J]. </w:t>
      </w:r>
      <w:r>
        <w:rPr>
          <w:rFonts w:cs="Times New Roman"/>
          <w:sz w:val="18"/>
          <w:szCs w:val="18"/>
        </w:rPr>
        <w:t>Power System and Clean Energy</w:t>
      </w:r>
      <w:r>
        <w:rPr>
          <w:rFonts w:cs="Times New Roman" w:hint="eastAsia"/>
          <w:sz w:val="18"/>
          <w:szCs w:val="18"/>
        </w:rPr>
        <w:t xml:space="preserve">, </w:t>
      </w:r>
      <w:r>
        <w:rPr>
          <w:rFonts w:cs="Times New Roman"/>
          <w:sz w:val="18"/>
          <w:szCs w:val="18"/>
        </w:rPr>
        <w:t>2023, 39(12): 61-71.</w:t>
      </w:r>
      <w:r>
        <w:rPr>
          <w:rFonts w:cs="Times New Roman" w:hint="eastAsia"/>
          <w:sz w:val="18"/>
          <w:szCs w:val="18"/>
        </w:rPr>
        <w:t xml:space="preserve"> </w:t>
      </w:r>
      <w:r>
        <w:rPr>
          <w:rFonts w:cs="Times New Roman"/>
          <w:sz w:val="18"/>
          <w:szCs w:val="18"/>
        </w:rPr>
        <w:t>(in Chinese)</w:t>
      </w:r>
    </w:p>
    <w:p w14:paraId="6411EE63"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张永先</w:t>
      </w:r>
      <w:r>
        <w:rPr>
          <w:rFonts w:cs="Times New Roman" w:hint="eastAsia"/>
          <w:sz w:val="18"/>
          <w:szCs w:val="18"/>
        </w:rPr>
        <w:t xml:space="preserve">, </w:t>
      </w:r>
      <w:r>
        <w:rPr>
          <w:rFonts w:cs="Times New Roman" w:hint="eastAsia"/>
          <w:sz w:val="18"/>
          <w:szCs w:val="18"/>
        </w:rPr>
        <w:t>赵源</w:t>
      </w:r>
      <w:r>
        <w:rPr>
          <w:rFonts w:cs="Times New Roman" w:hint="eastAsia"/>
          <w:sz w:val="18"/>
          <w:szCs w:val="18"/>
        </w:rPr>
        <w:t xml:space="preserve">, </w:t>
      </w:r>
      <w:r>
        <w:rPr>
          <w:rFonts w:cs="Times New Roman" w:hint="eastAsia"/>
          <w:sz w:val="18"/>
          <w:szCs w:val="18"/>
        </w:rPr>
        <w:t>周建平</w:t>
      </w:r>
      <w:r>
        <w:rPr>
          <w:rFonts w:cs="Times New Roman" w:hint="eastAsia"/>
          <w:sz w:val="18"/>
          <w:szCs w:val="18"/>
        </w:rPr>
        <w:t xml:space="preserve">. </w:t>
      </w:r>
      <w:r>
        <w:rPr>
          <w:rFonts w:cs="Times New Roman" w:hint="eastAsia"/>
          <w:sz w:val="18"/>
          <w:szCs w:val="18"/>
        </w:rPr>
        <w:t>当前抽水蓄能电站运营经济性分析概要</w:t>
      </w:r>
      <w:r>
        <w:rPr>
          <w:rFonts w:cs="Times New Roman" w:hint="eastAsia"/>
          <w:sz w:val="18"/>
          <w:szCs w:val="18"/>
        </w:rPr>
        <w:t xml:space="preserve">[J]. </w:t>
      </w:r>
      <w:r>
        <w:rPr>
          <w:rFonts w:cs="Times New Roman" w:hint="eastAsia"/>
          <w:sz w:val="18"/>
          <w:szCs w:val="18"/>
        </w:rPr>
        <w:t>水电与抽水蓄能</w:t>
      </w:r>
      <w:r>
        <w:rPr>
          <w:rFonts w:cs="Times New Roman" w:hint="eastAsia"/>
          <w:sz w:val="18"/>
          <w:szCs w:val="18"/>
        </w:rPr>
        <w:t>, 2024, 10(03): 6-10+15.</w:t>
      </w:r>
      <w:r>
        <w:rPr>
          <w:rFonts w:cs="Times New Roman"/>
          <w:sz w:val="18"/>
          <w:szCs w:val="18"/>
        </w:rPr>
        <w:br/>
      </w:r>
      <w:r>
        <w:rPr>
          <w:rFonts w:cs="Times New Roman" w:hint="eastAsia"/>
          <w:sz w:val="18"/>
          <w:szCs w:val="18"/>
        </w:rPr>
        <w:t xml:space="preserve">ZHANG Y X, ZHAO Y, ZHOU J P, </w:t>
      </w:r>
      <w:r>
        <w:rPr>
          <w:rFonts w:cs="Times New Roman"/>
          <w:sz w:val="18"/>
          <w:szCs w:val="18"/>
        </w:rPr>
        <w:t>Brief Operation Economy Analysis of Pumped Storage Power Stations</w:t>
      </w:r>
      <w:r>
        <w:rPr>
          <w:rFonts w:cs="Times New Roman" w:hint="eastAsia"/>
          <w:sz w:val="18"/>
          <w:szCs w:val="18"/>
        </w:rPr>
        <w:t xml:space="preserve">[J]. </w:t>
      </w:r>
      <w:r>
        <w:rPr>
          <w:rFonts w:cs="Times New Roman"/>
          <w:sz w:val="18"/>
          <w:szCs w:val="18"/>
        </w:rPr>
        <w:t>Hydropower and Pumped Storage</w:t>
      </w:r>
      <w:r>
        <w:rPr>
          <w:rFonts w:cs="Times New Roman" w:hint="eastAsia"/>
          <w:sz w:val="18"/>
          <w:szCs w:val="18"/>
        </w:rPr>
        <w:t xml:space="preserve">, </w:t>
      </w:r>
      <w:r>
        <w:rPr>
          <w:rFonts w:cs="Times New Roman"/>
          <w:sz w:val="18"/>
          <w:szCs w:val="18"/>
        </w:rPr>
        <w:t>2024, 10(03): 6-10+15.</w:t>
      </w:r>
      <w:r>
        <w:rPr>
          <w:rFonts w:cs="Times New Roman" w:hint="eastAsia"/>
          <w:sz w:val="18"/>
          <w:szCs w:val="18"/>
        </w:rPr>
        <w:t xml:space="preserve"> </w:t>
      </w:r>
      <w:r>
        <w:rPr>
          <w:rFonts w:cs="Times New Roman"/>
          <w:sz w:val="18"/>
          <w:szCs w:val="18"/>
        </w:rPr>
        <w:t>(in Chinese)</w:t>
      </w:r>
    </w:p>
    <w:p w14:paraId="1EF33564"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潘秀庭</w:t>
      </w:r>
      <w:r>
        <w:rPr>
          <w:rFonts w:cs="Times New Roman" w:hint="eastAsia"/>
          <w:sz w:val="18"/>
          <w:szCs w:val="18"/>
        </w:rPr>
        <w:t xml:space="preserve">, </w:t>
      </w:r>
      <w:r>
        <w:rPr>
          <w:rFonts w:cs="Times New Roman" w:hint="eastAsia"/>
          <w:sz w:val="18"/>
          <w:szCs w:val="18"/>
        </w:rPr>
        <w:t>郑寿春</w:t>
      </w:r>
      <w:r>
        <w:rPr>
          <w:rFonts w:cs="Times New Roman" w:hint="eastAsia"/>
          <w:sz w:val="18"/>
          <w:szCs w:val="18"/>
        </w:rPr>
        <w:t xml:space="preserve">. </w:t>
      </w:r>
      <w:r>
        <w:rPr>
          <w:rFonts w:cs="Times New Roman" w:hint="eastAsia"/>
          <w:sz w:val="18"/>
          <w:szCs w:val="18"/>
        </w:rPr>
        <w:t>抽水蓄能电站建设征地移民安置规划设计与实施管理</w:t>
      </w:r>
      <w:r>
        <w:rPr>
          <w:rFonts w:cs="Times New Roman" w:hint="eastAsia"/>
          <w:sz w:val="18"/>
          <w:szCs w:val="18"/>
        </w:rPr>
        <w:t xml:space="preserve">[J]. </w:t>
      </w:r>
      <w:r>
        <w:rPr>
          <w:rFonts w:cs="Times New Roman" w:hint="eastAsia"/>
          <w:sz w:val="18"/>
          <w:szCs w:val="18"/>
        </w:rPr>
        <w:t>红水河</w:t>
      </w:r>
      <w:r>
        <w:rPr>
          <w:rFonts w:cs="Times New Roman" w:hint="eastAsia"/>
          <w:sz w:val="18"/>
          <w:szCs w:val="18"/>
        </w:rPr>
        <w:t>, 2024, 43(05): 83-89+114.</w:t>
      </w:r>
      <w:r>
        <w:rPr>
          <w:rFonts w:cs="Times New Roman"/>
          <w:sz w:val="18"/>
          <w:szCs w:val="18"/>
        </w:rPr>
        <w:br/>
      </w:r>
      <w:r>
        <w:rPr>
          <w:rFonts w:cs="Times New Roman" w:hint="eastAsia"/>
          <w:sz w:val="18"/>
          <w:szCs w:val="18"/>
        </w:rPr>
        <w:t xml:space="preserve">PAN X T, ZHENG S C, </w:t>
      </w:r>
      <w:r>
        <w:rPr>
          <w:rFonts w:cs="Times New Roman"/>
          <w:sz w:val="18"/>
          <w:szCs w:val="18"/>
        </w:rPr>
        <w:t>Planning Design and Implementation Management of Land Acquisition and Resettlement for</w:t>
      </w:r>
      <w:r>
        <w:rPr>
          <w:rFonts w:cs="Times New Roman" w:hint="eastAsia"/>
          <w:sz w:val="18"/>
          <w:szCs w:val="18"/>
        </w:rPr>
        <w:t xml:space="preserve"> </w:t>
      </w:r>
      <w:r>
        <w:rPr>
          <w:rFonts w:cs="Times New Roman"/>
          <w:sz w:val="18"/>
          <w:szCs w:val="18"/>
        </w:rPr>
        <w:t>Pumped Storage Power Station Construction</w:t>
      </w:r>
      <w:r>
        <w:rPr>
          <w:rFonts w:cs="Times New Roman" w:hint="eastAsia"/>
          <w:sz w:val="18"/>
          <w:szCs w:val="18"/>
        </w:rPr>
        <w:t xml:space="preserve">[J]. </w:t>
      </w:r>
      <w:r>
        <w:rPr>
          <w:rFonts w:cs="Times New Roman"/>
          <w:sz w:val="18"/>
          <w:szCs w:val="18"/>
        </w:rPr>
        <w:t>Hongshui River</w:t>
      </w:r>
      <w:r>
        <w:rPr>
          <w:rFonts w:cs="Times New Roman" w:hint="eastAsia"/>
          <w:sz w:val="18"/>
          <w:szCs w:val="18"/>
        </w:rPr>
        <w:t xml:space="preserve">, </w:t>
      </w:r>
      <w:r>
        <w:rPr>
          <w:rFonts w:cs="Times New Roman"/>
          <w:sz w:val="18"/>
          <w:szCs w:val="18"/>
        </w:rPr>
        <w:t>2024, 43(05): 83-89+114.</w:t>
      </w:r>
      <w:r>
        <w:rPr>
          <w:rFonts w:cs="Times New Roman" w:hint="eastAsia"/>
          <w:sz w:val="18"/>
          <w:szCs w:val="18"/>
        </w:rPr>
        <w:t xml:space="preserve"> </w:t>
      </w:r>
      <w:r>
        <w:rPr>
          <w:rFonts w:cs="Times New Roman"/>
          <w:sz w:val="18"/>
          <w:szCs w:val="18"/>
        </w:rPr>
        <w:t>(in Chinese)</w:t>
      </w:r>
    </w:p>
    <w:p w14:paraId="7354069B"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金骆松</w:t>
      </w:r>
      <w:r>
        <w:rPr>
          <w:rFonts w:cs="Times New Roman" w:hint="eastAsia"/>
          <w:sz w:val="18"/>
          <w:szCs w:val="18"/>
        </w:rPr>
        <w:t xml:space="preserve">, </w:t>
      </w:r>
      <w:r>
        <w:rPr>
          <w:rFonts w:cs="Times New Roman" w:hint="eastAsia"/>
          <w:sz w:val="18"/>
          <w:szCs w:val="18"/>
        </w:rPr>
        <w:t>刘卫东</w:t>
      </w:r>
      <w:r>
        <w:rPr>
          <w:rFonts w:cs="Times New Roman" w:hint="eastAsia"/>
          <w:sz w:val="18"/>
          <w:szCs w:val="18"/>
        </w:rPr>
        <w:t xml:space="preserve">, </w:t>
      </w:r>
      <w:r>
        <w:rPr>
          <w:rFonts w:cs="Times New Roman" w:hint="eastAsia"/>
          <w:sz w:val="18"/>
          <w:szCs w:val="18"/>
        </w:rPr>
        <w:t>纪德良</w:t>
      </w:r>
      <w:r>
        <w:rPr>
          <w:rFonts w:cs="Times New Roman" w:hint="eastAsia"/>
          <w:sz w:val="18"/>
          <w:szCs w:val="18"/>
        </w:rPr>
        <w:t xml:space="preserve">. </w:t>
      </w:r>
      <w:r>
        <w:rPr>
          <w:rFonts w:cs="Times New Roman" w:hint="eastAsia"/>
          <w:sz w:val="18"/>
          <w:szCs w:val="18"/>
        </w:rPr>
        <w:t>电力市场背景下抽水蓄能电站交易机制设计</w:t>
      </w:r>
      <w:r>
        <w:rPr>
          <w:rFonts w:cs="Times New Roman" w:hint="eastAsia"/>
          <w:sz w:val="18"/>
          <w:szCs w:val="18"/>
        </w:rPr>
        <w:t xml:space="preserve">[J]. </w:t>
      </w:r>
      <w:r>
        <w:rPr>
          <w:rFonts w:cs="Times New Roman" w:hint="eastAsia"/>
          <w:sz w:val="18"/>
          <w:szCs w:val="18"/>
        </w:rPr>
        <w:t>科学技术与工程</w:t>
      </w:r>
      <w:r>
        <w:rPr>
          <w:rFonts w:cs="Times New Roman" w:hint="eastAsia"/>
          <w:sz w:val="18"/>
          <w:szCs w:val="18"/>
        </w:rPr>
        <w:t>, 2021, 21(27): 11632-11641.</w:t>
      </w:r>
      <w:r>
        <w:rPr>
          <w:rFonts w:cs="Times New Roman"/>
          <w:sz w:val="18"/>
          <w:szCs w:val="18"/>
        </w:rPr>
        <w:br/>
      </w:r>
      <w:r>
        <w:rPr>
          <w:rFonts w:cs="Times New Roman" w:hint="eastAsia"/>
          <w:sz w:val="18"/>
          <w:szCs w:val="18"/>
        </w:rPr>
        <w:t xml:space="preserve">JIN L S, LIU W D, JI D L, </w:t>
      </w:r>
      <w:r>
        <w:rPr>
          <w:rFonts w:cs="Times New Roman"/>
          <w:sz w:val="18"/>
          <w:szCs w:val="18"/>
        </w:rPr>
        <w:t>Design of Trading Mechanism for Pumped Storage Power Stations under the Background of Power Market</w:t>
      </w:r>
      <w:r>
        <w:rPr>
          <w:rFonts w:cs="Times New Roman" w:hint="eastAsia"/>
          <w:sz w:val="18"/>
          <w:szCs w:val="18"/>
        </w:rPr>
        <w:t xml:space="preserve">[J]. </w:t>
      </w:r>
      <w:r>
        <w:rPr>
          <w:rFonts w:cs="Times New Roman"/>
          <w:sz w:val="18"/>
          <w:szCs w:val="18"/>
        </w:rPr>
        <w:t>Science Technology and Engineering</w:t>
      </w:r>
      <w:r>
        <w:rPr>
          <w:rFonts w:cs="Times New Roman" w:hint="eastAsia"/>
          <w:sz w:val="18"/>
          <w:szCs w:val="18"/>
        </w:rPr>
        <w:t xml:space="preserve">, </w:t>
      </w:r>
      <w:r>
        <w:rPr>
          <w:rFonts w:cs="Times New Roman"/>
          <w:sz w:val="18"/>
          <w:szCs w:val="18"/>
        </w:rPr>
        <w:t>2021, 21(27): 11632-11641.</w:t>
      </w:r>
      <w:r>
        <w:rPr>
          <w:rFonts w:cs="Times New Roman" w:hint="eastAsia"/>
          <w:sz w:val="18"/>
          <w:szCs w:val="18"/>
        </w:rPr>
        <w:t xml:space="preserve"> </w:t>
      </w:r>
      <w:r>
        <w:rPr>
          <w:rFonts w:cs="Times New Roman"/>
          <w:sz w:val="18"/>
          <w:szCs w:val="18"/>
        </w:rPr>
        <w:t>(in Chinese)</w:t>
      </w:r>
    </w:p>
    <w:p w14:paraId="798E5ADF" w14:textId="6871B436"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 xml:space="preserve">Srivastava A, Huang H, Xie C, et al. Study on market mechanisms for participation of small-scale hydropower clusters in electricity energy and ancillary services[J]. E3 </w:t>
      </w:r>
      <w:r>
        <w:rPr>
          <w:rFonts w:cs="Times New Roman" w:hint="eastAsia"/>
          <w:sz w:val="18"/>
          <w:szCs w:val="18"/>
        </w:rPr>
        <w:t>S Web of Conferences, 2023, 439</w:t>
      </w:r>
      <w:r w:rsidR="00180B6F">
        <w:rPr>
          <w:rFonts w:cs="Times New Roman" w:hint="eastAsia"/>
          <w:sz w:val="18"/>
          <w:szCs w:val="18"/>
        </w:rPr>
        <w:t>: 02002</w:t>
      </w:r>
      <w:r>
        <w:rPr>
          <w:rFonts w:cs="Times New Roman" w:hint="eastAsia"/>
          <w:sz w:val="18"/>
          <w:szCs w:val="18"/>
        </w:rPr>
        <w:t>.</w:t>
      </w:r>
    </w:p>
    <w:p w14:paraId="654112DF"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沈济</w:t>
      </w:r>
      <w:r>
        <w:rPr>
          <w:rFonts w:cs="Times New Roman" w:hint="eastAsia"/>
          <w:sz w:val="18"/>
          <w:szCs w:val="18"/>
        </w:rPr>
        <w:t xml:space="preserve">. </w:t>
      </w:r>
      <w:r>
        <w:rPr>
          <w:rFonts w:cs="Times New Roman" w:hint="eastAsia"/>
          <w:sz w:val="18"/>
          <w:szCs w:val="18"/>
        </w:rPr>
        <w:t>电力市场下抽水蓄能电站交易策略研究</w:t>
      </w:r>
      <w:r>
        <w:rPr>
          <w:rFonts w:cs="Times New Roman" w:hint="eastAsia"/>
          <w:sz w:val="18"/>
          <w:szCs w:val="18"/>
        </w:rPr>
        <w:t xml:space="preserve">[D]. </w:t>
      </w:r>
      <w:r>
        <w:rPr>
          <w:rFonts w:cs="Times New Roman" w:hint="eastAsia"/>
          <w:sz w:val="18"/>
          <w:szCs w:val="18"/>
        </w:rPr>
        <w:t>华北电力大学（北京）</w:t>
      </w:r>
      <w:r>
        <w:rPr>
          <w:rFonts w:cs="Times New Roman" w:hint="eastAsia"/>
          <w:sz w:val="18"/>
          <w:szCs w:val="18"/>
        </w:rPr>
        <w:t>,2023.</w:t>
      </w:r>
      <w:r>
        <w:rPr>
          <w:rFonts w:cs="Times New Roman"/>
          <w:sz w:val="18"/>
          <w:szCs w:val="18"/>
        </w:rPr>
        <w:br/>
      </w:r>
      <w:r>
        <w:rPr>
          <w:rFonts w:cs="Times New Roman" w:hint="eastAsia"/>
          <w:sz w:val="18"/>
          <w:szCs w:val="18"/>
        </w:rPr>
        <w:t xml:space="preserve">SHEN J, </w:t>
      </w:r>
      <w:r>
        <w:rPr>
          <w:rFonts w:cs="Times New Roman"/>
          <w:sz w:val="18"/>
          <w:szCs w:val="18"/>
        </w:rPr>
        <w:t>Research on Trading Strategies for Pumped Storage Power Plants under the Electricity Market</w:t>
      </w:r>
      <w:r>
        <w:rPr>
          <w:rFonts w:cs="Times New Roman" w:hint="eastAsia"/>
          <w:sz w:val="18"/>
          <w:szCs w:val="18"/>
        </w:rPr>
        <w:t xml:space="preserve">[D]. </w:t>
      </w:r>
      <w:r>
        <w:rPr>
          <w:rFonts w:cs="Times New Roman"/>
          <w:sz w:val="18"/>
          <w:szCs w:val="18"/>
        </w:rPr>
        <w:t>North China Electric Power University</w:t>
      </w:r>
      <w:r>
        <w:rPr>
          <w:rFonts w:cs="Times New Roman" w:hint="eastAsia"/>
          <w:sz w:val="18"/>
          <w:szCs w:val="18"/>
        </w:rPr>
        <w:t xml:space="preserve"> (Beijing), 2023. </w:t>
      </w:r>
      <w:r>
        <w:rPr>
          <w:rFonts w:cs="Times New Roman"/>
          <w:sz w:val="18"/>
          <w:szCs w:val="18"/>
        </w:rPr>
        <w:t>(in Chinese)</w:t>
      </w:r>
    </w:p>
    <w:p w14:paraId="0C7DEA94"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杨宏基</w:t>
      </w:r>
      <w:r>
        <w:rPr>
          <w:rFonts w:cs="Times New Roman" w:hint="eastAsia"/>
          <w:sz w:val="18"/>
          <w:szCs w:val="18"/>
        </w:rPr>
        <w:t xml:space="preserve">, </w:t>
      </w:r>
      <w:r>
        <w:rPr>
          <w:rFonts w:cs="Times New Roman" w:hint="eastAsia"/>
          <w:sz w:val="18"/>
          <w:szCs w:val="18"/>
        </w:rPr>
        <w:t>周明</w:t>
      </w:r>
      <w:r>
        <w:rPr>
          <w:rFonts w:cs="Times New Roman" w:hint="eastAsia"/>
          <w:sz w:val="18"/>
          <w:szCs w:val="18"/>
        </w:rPr>
        <w:t xml:space="preserve">, </w:t>
      </w:r>
      <w:r>
        <w:rPr>
          <w:rFonts w:cs="Times New Roman" w:hint="eastAsia"/>
          <w:sz w:val="18"/>
          <w:szCs w:val="18"/>
        </w:rPr>
        <w:t>张茗洋</w:t>
      </w:r>
      <w:r>
        <w:rPr>
          <w:rFonts w:cs="Times New Roman" w:hint="eastAsia"/>
          <w:sz w:val="18"/>
          <w:szCs w:val="18"/>
        </w:rPr>
        <w:t xml:space="preserve">, </w:t>
      </w:r>
      <w:r>
        <w:rPr>
          <w:rFonts w:cs="Times New Roman" w:hint="eastAsia"/>
          <w:sz w:val="18"/>
          <w:szCs w:val="18"/>
        </w:rPr>
        <w:t>等</w:t>
      </w:r>
      <w:r>
        <w:rPr>
          <w:rFonts w:cs="Times New Roman" w:hint="eastAsia"/>
          <w:sz w:val="18"/>
          <w:szCs w:val="18"/>
        </w:rPr>
        <w:t xml:space="preserve">. </w:t>
      </w:r>
      <w:r>
        <w:rPr>
          <w:rFonts w:cs="Times New Roman" w:hint="eastAsia"/>
          <w:sz w:val="18"/>
          <w:szCs w:val="18"/>
        </w:rPr>
        <w:t>电力市场下抽水蓄能电站运营策略及效益分析</w:t>
      </w:r>
      <w:r>
        <w:rPr>
          <w:rFonts w:cs="Times New Roman" w:hint="eastAsia"/>
          <w:sz w:val="18"/>
          <w:szCs w:val="18"/>
        </w:rPr>
        <w:t xml:space="preserve">[J]. </w:t>
      </w:r>
      <w:r>
        <w:rPr>
          <w:rFonts w:cs="Times New Roman" w:hint="eastAsia"/>
          <w:sz w:val="18"/>
          <w:szCs w:val="18"/>
        </w:rPr>
        <w:t>华北电力大学学报</w:t>
      </w:r>
      <w:r>
        <w:rPr>
          <w:rFonts w:cs="Times New Roman" w:hint="eastAsia"/>
          <w:sz w:val="18"/>
          <w:szCs w:val="18"/>
        </w:rPr>
        <w:t>(</w:t>
      </w:r>
      <w:r>
        <w:rPr>
          <w:rFonts w:cs="Times New Roman" w:hint="eastAsia"/>
          <w:sz w:val="18"/>
          <w:szCs w:val="18"/>
        </w:rPr>
        <w:t>自然科学版</w:t>
      </w:r>
      <w:r>
        <w:rPr>
          <w:rFonts w:cs="Times New Roman" w:hint="eastAsia"/>
          <w:sz w:val="18"/>
          <w:szCs w:val="18"/>
        </w:rPr>
        <w:t>), 2021, 48(06): 71-80.</w:t>
      </w:r>
      <w:r>
        <w:rPr>
          <w:rFonts w:cs="Times New Roman"/>
          <w:sz w:val="18"/>
          <w:szCs w:val="18"/>
        </w:rPr>
        <w:br/>
      </w:r>
      <w:r>
        <w:rPr>
          <w:rFonts w:cs="Times New Roman" w:hint="eastAsia"/>
          <w:sz w:val="18"/>
          <w:szCs w:val="18"/>
        </w:rPr>
        <w:t xml:space="preserve">YANG H J, ZHOU M, ZHANG M Y, et al. </w:t>
      </w:r>
      <w:r>
        <w:rPr>
          <w:rFonts w:cs="Times New Roman"/>
          <w:sz w:val="18"/>
          <w:szCs w:val="18"/>
        </w:rPr>
        <w:t>Operational Mechanism and Cost-benefit Analysis of Pumped Storage Plant in Power Market Environment</w:t>
      </w:r>
      <w:r>
        <w:rPr>
          <w:rFonts w:cs="Times New Roman" w:hint="eastAsia"/>
          <w:sz w:val="18"/>
          <w:szCs w:val="18"/>
        </w:rPr>
        <w:t xml:space="preserve">[J]. </w:t>
      </w:r>
      <w:r>
        <w:rPr>
          <w:rFonts w:cs="Times New Roman"/>
          <w:sz w:val="18"/>
          <w:szCs w:val="18"/>
        </w:rPr>
        <w:t>Journal of North China Electric Power University(Natural Science Edition)</w:t>
      </w:r>
      <w:r>
        <w:rPr>
          <w:rFonts w:cs="Times New Roman" w:hint="eastAsia"/>
          <w:sz w:val="18"/>
          <w:szCs w:val="18"/>
        </w:rPr>
        <w:t xml:space="preserve">, </w:t>
      </w:r>
      <w:r>
        <w:rPr>
          <w:rFonts w:cs="Times New Roman"/>
          <w:sz w:val="18"/>
          <w:szCs w:val="18"/>
        </w:rPr>
        <w:t>2021, 48(06): 71-80.</w:t>
      </w:r>
      <w:r>
        <w:rPr>
          <w:rFonts w:cs="Times New Roman" w:hint="eastAsia"/>
          <w:sz w:val="18"/>
          <w:szCs w:val="18"/>
        </w:rPr>
        <w:t xml:space="preserve"> </w:t>
      </w:r>
      <w:r>
        <w:rPr>
          <w:rFonts w:cs="Times New Roman"/>
          <w:sz w:val="18"/>
          <w:szCs w:val="18"/>
        </w:rPr>
        <w:t>(in Chinese)</w:t>
      </w:r>
    </w:p>
    <w:p w14:paraId="559CE304"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罗开颜</w:t>
      </w:r>
      <w:r>
        <w:rPr>
          <w:rFonts w:cs="Times New Roman" w:hint="eastAsia"/>
          <w:sz w:val="18"/>
          <w:szCs w:val="18"/>
        </w:rPr>
        <w:t xml:space="preserve">, </w:t>
      </w:r>
      <w:r>
        <w:rPr>
          <w:rFonts w:cs="Times New Roman" w:hint="eastAsia"/>
          <w:sz w:val="18"/>
          <w:szCs w:val="18"/>
        </w:rPr>
        <w:t>王睿</w:t>
      </w:r>
      <w:r>
        <w:rPr>
          <w:rFonts w:cs="Times New Roman" w:hint="eastAsia"/>
          <w:sz w:val="18"/>
          <w:szCs w:val="18"/>
        </w:rPr>
        <w:t xml:space="preserve">, </w:t>
      </w:r>
      <w:r>
        <w:rPr>
          <w:rFonts w:cs="Times New Roman" w:hint="eastAsia"/>
          <w:sz w:val="18"/>
          <w:szCs w:val="18"/>
        </w:rPr>
        <w:t>刘庆</w:t>
      </w:r>
      <w:r>
        <w:rPr>
          <w:rFonts w:cs="Times New Roman" w:hint="eastAsia"/>
          <w:sz w:val="18"/>
          <w:szCs w:val="18"/>
        </w:rPr>
        <w:t xml:space="preserve">, </w:t>
      </w:r>
      <w:r>
        <w:rPr>
          <w:rFonts w:cs="Times New Roman" w:hint="eastAsia"/>
          <w:sz w:val="18"/>
          <w:szCs w:val="18"/>
        </w:rPr>
        <w:t>等</w:t>
      </w:r>
      <w:r>
        <w:rPr>
          <w:rFonts w:cs="Times New Roman" w:hint="eastAsia"/>
          <w:sz w:val="18"/>
          <w:szCs w:val="18"/>
        </w:rPr>
        <w:t xml:space="preserve">. </w:t>
      </w:r>
      <w:r>
        <w:rPr>
          <w:rFonts w:cs="Times New Roman" w:hint="eastAsia"/>
          <w:sz w:val="18"/>
          <w:szCs w:val="18"/>
        </w:rPr>
        <w:t>国外抽水蓄能电站盈利模式探析</w:t>
      </w:r>
      <w:r>
        <w:rPr>
          <w:rFonts w:cs="Times New Roman" w:hint="eastAsia"/>
          <w:sz w:val="18"/>
          <w:szCs w:val="18"/>
        </w:rPr>
        <w:t xml:space="preserve">[J]. </w:t>
      </w:r>
      <w:r>
        <w:rPr>
          <w:rFonts w:cs="Times New Roman" w:hint="eastAsia"/>
          <w:sz w:val="18"/>
          <w:szCs w:val="18"/>
        </w:rPr>
        <w:t>中国能源</w:t>
      </w:r>
      <w:r>
        <w:rPr>
          <w:rFonts w:cs="Times New Roman" w:hint="eastAsia"/>
          <w:sz w:val="18"/>
          <w:szCs w:val="18"/>
        </w:rPr>
        <w:t>, 2022, 44(07): 16-23.</w:t>
      </w:r>
      <w:r>
        <w:rPr>
          <w:rFonts w:cs="Times New Roman"/>
          <w:sz w:val="18"/>
          <w:szCs w:val="18"/>
        </w:rPr>
        <w:br/>
      </w:r>
      <w:r>
        <w:rPr>
          <w:rFonts w:cs="Times New Roman" w:hint="eastAsia"/>
          <w:sz w:val="18"/>
          <w:szCs w:val="18"/>
        </w:rPr>
        <w:t xml:space="preserve">LUO K Y, WANG R, LIU Q, et al. </w:t>
      </w:r>
      <w:r>
        <w:rPr>
          <w:rFonts w:cs="Times New Roman"/>
          <w:sz w:val="18"/>
          <w:szCs w:val="18"/>
        </w:rPr>
        <w:t>The Analysis of the Business Models of Foreign Pumped Storage Hydro Plants</w:t>
      </w:r>
      <w:r>
        <w:rPr>
          <w:rFonts w:cs="Times New Roman" w:hint="eastAsia"/>
          <w:sz w:val="18"/>
          <w:szCs w:val="18"/>
        </w:rPr>
        <w:t xml:space="preserve">[J]. </w:t>
      </w:r>
      <w:r>
        <w:rPr>
          <w:rFonts w:cs="Times New Roman"/>
          <w:sz w:val="18"/>
          <w:szCs w:val="18"/>
        </w:rPr>
        <w:t>Energy of China</w:t>
      </w:r>
      <w:r>
        <w:rPr>
          <w:rFonts w:cs="Times New Roman" w:hint="eastAsia"/>
          <w:sz w:val="18"/>
          <w:szCs w:val="18"/>
        </w:rPr>
        <w:t xml:space="preserve">, </w:t>
      </w:r>
      <w:r>
        <w:rPr>
          <w:rFonts w:cs="Times New Roman"/>
          <w:sz w:val="18"/>
          <w:szCs w:val="18"/>
        </w:rPr>
        <w:t>2022, 44(07): 16-23.</w:t>
      </w:r>
      <w:r>
        <w:rPr>
          <w:rFonts w:cs="Times New Roman" w:hint="eastAsia"/>
          <w:sz w:val="18"/>
          <w:szCs w:val="18"/>
        </w:rPr>
        <w:t xml:space="preserve"> </w:t>
      </w:r>
      <w:r>
        <w:rPr>
          <w:rFonts w:cs="Times New Roman"/>
          <w:sz w:val="18"/>
          <w:szCs w:val="18"/>
        </w:rPr>
        <w:t>(in Chinese)</w:t>
      </w:r>
    </w:p>
    <w:p w14:paraId="7EBDF394"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 xml:space="preserve">Huang X, Wang Q, Wu H, et al. Benefit evaluation of pumped storage power station in electricity marketization environment[J]. IOP Conference Series: Earth and Environmental Science, 2020, 558(5): 052036. </w:t>
      </w:r>
    </w:p>
    <w:p w14:paraId="583680E1" w14:textId="28614664"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Ka</w:t>
      </w:r>
      <w:r>
        <w:rPr>
          <w:rFonts w:cs="Times New Roman" w:hint="eastAsia"/>
          <w:sz w:val="18"/>
          <w:szCs w:val="18"/>
        </w:rPr>
        <w:t>ź</w:t>
      </w:r>
      <w:r>
        <w:rPr>
          <w:rFonts w:cs="Times New Roman" w:hint="eastAsia"/>
          <w:sz w:val="18"/>
          <w:szCs w:val="18"/>
        </w:rPr>
        <w:t>mierczak B, Jurasz J, Mikulik J, et al. Concept of large scale PV-WT-PSH energy sources coupled with the national power system[J]. E3S Web of Conferences, 2017, 17</w:t>
      </w:r>
      <w:r w:rsidR="00275323">
        <w:rPr>
          <w:rFonts w:cs="Times New Roman" w:hint="eastAsia"/>
          <w:sz w:val="18"/>
          <w:szCs w:val="18"/>
        </w:rPr>
        <w:t>: 00035</w:t>
      </w:r>
      <w:r>
        <w:rPr>
          <w:rFonts w:cs="Times New Roman" w:hint="eastAsia"/>
          <w:sz w:val="18"/>
          <w:szCs w:val="18"/>
        </w:rPr>
        <w:t>.</w:t>
      </w:r>
    </w:p>
    <w:p w14:paraId="3DFB2B5A"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pPr>
      <w:r>
        <w:rPr>
          <w:rFonts w:cs="Times New Roman" w:hint="eastAsia"/>
          <w:sz w:val="18"/>
          <w:szCs w:val="18"/>
        </w:rPr>
        <w:t>Jiang Z, Luo Z, Shen K. Analysis and Prediction on the Development Potential of Pumped Storage Hydroelectricity in China in Ten Years (2022 - 2032)[J]. Highlights in Science, Engineering and Technology, 2022, 26: 34-40</w:t>
      </w:r>
    </w:p>
    <w:p w14:paraId="67BAFFF3" w14:textId="77777777" w:rsidR="008D7AD9" w:rsidRDefault="00000000">
      <w:pPr>
        <w:pStyle w:val="af9"/>
        <w:numPr>
          <w:ilvl w:val="0"/>
          <w:numId w:val="1"/>
        </w:numPr>
        <w:tabs>
          <w:tab w:val="left" w:pos="0"/>
          <w:tab w:val="left" w:pos="735"/>
        </w:tabs>
        <w:spacing w:line="320" w:lineRule="exact"/>
        <w:ind w:firstLineChars="0"/>
        <w:rPr>
          <w:rFonts w:cs="Times New Roman"/>
          <w:sz w:val="18"/>
          <w:szCs w:val="18"/>
        </w:rPr>
        <w:sectPr w:rsidR="008D7AD9">
          <w:type w:val="continuous"/>
          <w:pgSz w:w="11906" w:h="16838"/>
          <w:pgMar w:top="1440" w:right="1106" w:bottom="1440" w:left="1106" w:header="851" w:footer="992" w:gutter="0"/>
          <w:cols w:num="2" w:space="425"/>
          <w:titlePg/>
          <w:docGrid w:type="linesAndChars" w:linePitch="312"/>
        </w:sectPr>
      </w:pPr>
      <w:r>
        <w:rPr>
          <w:rFonts w:cs="Times New Roman" w:hint="eastAsia"/>
          <w:sz w:val="18"/>
          <w:szCs w:val="18"/>
        </w:rPr>
        <w:t>Tang W, Duffield C F, Young D M. Partnering Mechanism in Construction: An Empirical Study on the Chinese Construction Industry[J]. Journal of Construction Engineering and Management, 2006, 132(3): 217-229.</w:t>
      </w:r>
      <w:bookmarkEnd w:id="16"/>
      <w:bookmarkEnd w:id="17"/>
    </w:p>
    <w:p w14:paraId="649A9496" w14:textId="77777777" w:rsidR="00BB3F92" w:rsidRDefault="00BB3F92">
      <w:pPr>
        <w:widowControl/>
        <w:spacing w:line="240" w:lineRule="atLeast"/>
        <w:ind w:firstLine="720"/>
        <w:jc w:val="center"/>
        <w:rPr>
          <w:rFonts w:eastAsia="黑体" w:cs="Times New Roman"/>
          <w:kern w:val="0"/>
          <w:sz w:val="36"/>
          <w:szCs w:val="36"/>
        </w:rPr>
        <w:sectPr w:rsidR="00BB3F92">
          <w:type w:val="continuous"/>
          <w:pgSz w:w="11906" w:h="16838"/>
          <w:pgMar w:top="1440" w:right="1106" w:bottom="1440" w:left="1106" w:header="851" w:footer="992" w:gutter="0"/>
          <w:cols w:space="425"/>
          <w:titlePg/>
          <w:docGrid w:type="linesAndChars" w:linePitch="312"/>
        </w:sectPr>
      </w:pPr>
    </w:p>
    <w:p w14:paraId="0D57F93F" w14:textId="77777777" w:rsidR="008D7AD9" w:rsidRDefault="00000000">
      <w:pPr>
        <w:widowControl/>
        <w:spacing w:line="240" w:lineRule="atLeast"/>
        <w:ind w:firstLine="720"/>
        <w:jc w:val="center"/>
        <w:rPr>
          <w:rFonts w:eastAsia="黑体" w:cs="Times New Roman"/>
          <w:kern w:val="0"/>
          <w:sz w:val="36"/>
          <w:szCs w:val="36"/>
        </w:rPr>
      </w:pPr>
      <w:r>
        <w:rPr>
          <w:rFonts w:eastAsia="黑体" w:cs="Times New Roman"/>
          <w:kern w:val="0"/>
          <w:sz w:val="36"/>
          <w:szCs w:val="36"/>
        </w:rPr>
        <w:lastRenderedPageBreak/>
        <w:t>Management of pumped storage hydropower from the perspective of multi-energy complementary</w:t>
      </w:r>
    </w:p>
    <w:p w14:paraId="564D89EA" w14:textId="5B881AF9" w:rsidR="008D7AD9" w:rsidRDefault="00000000">
      <w:pPr>
        <w:widowControl/>
        <w:spacing w:line="240" w:lineRule="atLeast"/>
        <w:ind w:firstLine="422"/>
        <w:rPr>
          <w:rFonts w:cs="Times New Roman"/>
          <w:color w:val="FF0000"/>
          <w:kern w:val="0"/>
          <w:szCs w:val="21"/>
        </w:rPr>
      </w:pPr>
      <w:r>
        <w:rPr>
          <w:rFonts w:cs="Times New Roman"/>
          <w:b/>
          <w:bCs/>
          <w:kern w:val="0"/>
          <w:szCs w:val="21"/>
        </w:rPr>
        <w:t>Abstract:</w:t>
      </w:r>
      <w:r>
        <w:rPr>
          <w:rFonts w:cs="Times New Roman"/>
          <w:color w:val="FF0000"/>
          <w:kern w:val="0"/>
          <w:szCs w:val="21"/>
        </w:rPr>
        <w:t xml:space="preserve"> </w:t>
      </w:r>
      <w:r>
        <w:rPr>
          <w:rFonts w:cs="Times New Roman"/>
          <w:kern w:val="0"/>
          <w:szCs w:val="21"/>
        </w:rPr>
        <w:t xml:space="preserve">Under the dual-carbon goals, </w:t>
      </w:r>
      <w:r w:rsidR="00BC4210" w:rsidRPr="00BC4210">
        <w:rPr>
          <w:rFonts w:cs="Times New Roman"/>
          <w:kern w:val="0"/>
          <w:szCs w:val="21"/>
        </w:rPr>
        <w:t>multi-energy complementarity is pivotal for the transformation of the new power system, where pumped storage power stations play a crucial regulatory role. However, existing research lacks systematic consideration of key influencing factors for pumped storage from a multi-energy complementarity perspective and insufficient empirical validation. To address this, this study constructs and validates a management model for pumped storage power stations from a multi-energy complementarity perspective, revealing key influencing factors and their interaction mechanisms in pumped storage management. Results indicate that multi-energy complementarity and overall conditions impact station operation through electricity pricing and market mechanisms as well as solution selection, thereby affecting project performance. Through surveys, the current management status and key focus areas of pumped storage power stations are clarified. Combined with case analyses, management recommendations are proposed: (1) Strengthen collaborative multi-energy complementarity planning; (2) Establish a multi-dimensional evaluation model for pumped storage stations; (3) Refine electricity pricing and market mechanisms; (4) Enhance digital-intelligent operation of stations. The findings provide theoretical and practical guidance for pumped storage power station management.</w:t>
      </w:r>
    </w:p>
    <w:p w14:paraId="77B0C4E6" w14:textId="77777777" w:rsidR="008D7AD9" w:rsidRDefault="00000000">
      <w:pPr>
        <w:widowControl/>
        <w:spacing w:line="240" w:lineRule="atLeast"/>
        <w:ind w:firstLine="422"/>
        <w:rPr>
          <w:rFonts w:cs="Times New Roman"/>
          <w:kern w:val="0"/>
          <w:szCs w:val="21"/>
        </w:rPr>
      </w:pPr>
      <w:r>
        <w:rPr>
          <w:rFonts w:cs="Times New Roman"/>
          <w:b/>
          <w:bCs/>
          <w:kern w:val="0"/>
          <w:szCs w:val="21"/>
        </w:rPr>
        <w:t>Key words:</w:t>
      </w:r>
      <w:r>
        <w:rPr>
          <w:rFonts w:cs="Times New Roman"/>
          <w:kern w:val="0"/>
          <w:szCs w:val="21"/>
        </w:rPr>
        <w:t xml:space="preserve"> multi-energy complementarity; pumped storage hydropower; electricity pricing and market mechanisms; scheme selection; operational management</w:t>
      </w:r>
    </w:p>
    <w:p w14:paraId="537EA52A" w14:textId="77777777" w:rsidR="008D7AD9" w:rsidRDefault="008D7AD9">
      <w:pPr>
        <w:widowControl/>
        <w:spacing w:line="240" w:lineRule="atLeast"/>
        <w:ind w:firstLine="420"/>
        <w:rPr>
          <w:rFonts w:cs="Times New Roman"/>
          <w:kern w:val="0"/>
          <w:szCs w:val="21"/>
        </w:rPr>
      </w:pPr>
    </w:p>
    <w:p w14:paraId="3C930E9B" w14:textId="77777777" w:rsidR="008D7AD9" w:rsidRDefault="008D7AD9">
      <w:pPr>
        <w:pStyle w:val="af9"/>
      </w:pPr>
    </w:p>
    <w:p w14:paraId="70A41BAF" w14:textId="77777777" w:rsidR="008D7AD9" w:rsidRDefault="008D7AD9">
      <w:pPr>
        <w:ind w:firstLine="420"/>
      </w:pPr>
    </w:p>
    <w:sectPr w:rsidR="008D7AD9">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E3D8A7" w14:textId="77777777" w:rsidR="00ED37B1" w:rsidRDefault="00ED37B1">
      <w:pPr>
        <w:ind w:firstLine="420"/>
      </w:pPr>
      <w:r>
        <w:separator/>
      </w:r>
    </w:p>
  </w:endnote>
  <w:endnote w:type="continuationSeparator" w:id="0">
    <w:p w14:paraId="511D06C4" w14:textId="77777777" w:rsidR="00ED37B1" w:rsidRDefault="00ED37B1">
      <w:pPr>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fixed"/>
    <w:sig w:usb0="00000001" w:usb1="080E0000" w:usb2="00000010" w:usb3="00000000" w:csb0="0004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B213E3" w14:textId="77777777" w:rsidR="008D7AD9" w:rsidRDefault="008D7AD9">
    <w:pPr>
      <w:pStyle w:val="a9"/>
      <w:ind w:firstLine="48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5262D8" w14:textId="77777777" w:rsidR="008D7AD9" w:rsidRDefault="008D7AD9">
    <w:pPr>
      <w:pStyle w:val="a9"/>
      <w:ind w:firstLine="48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3E1BA" w14:textId="77777777" w:rsidR="008D7AD9" w:rsidRDefault="008D7AD9">
    <w:pPr>
      <w:widowControl/>
      <w:ind w:firstLine="360"/>
      <w:jc w:val="left"/>
      <w:rPr>
        <w:rFonts w:ascii="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CF50FD" w14:textId="77777777" w:rsidR="00ED37B1" w:rsidRDefault="00ED37B1">
      <w:pPr>
        <w:ind w:firstLine="420"/>
      </w:pPr>
      <w:r>
        <w:separator/>
      </w:r>
    </w:p>
  </w:footnote>
  <w:footnote w:type="continuationSeparator" w:id="0">
    <w:p w14:paraId="142EAC43" w14:textId="77777777" w:rsidR="00ED37B1" w:rsidRDefault="00ED37B1">
      <w:pPr>
        <w:ind w:firstLine="42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83F059" w14:textId="77777777" w:rsidR="008D7AD9" w:rsidRDefault="008D7AD9">
    <w:pPr>
      <w:pStyle w:val="ab"/>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5C4DBE" w14:textId="77777777" w:rsidR="008D7AD9" w:rsidRDefault="008D7AD9">
    <w:pPr>
      <w:ind w:firstLine="42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5B0F58" w14:textId="77777777" w:rsidR="008D7AD9" w:rsidRDefault="008D7AD9">
    <w:pPr>
      <w:pStyle w:val="ab"/>
      <w:ind w:firstLine="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76211A" w14:textId="77777777" w:rsidR="008D7AD9" w:rsidRDefault="008D7AD9">
    <w:pPr>
      <w:ind w:firstLine="42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4188DF4"/>
    <w:multiLevelType w:val="multilevel"/>
    <w:tmpl w:val="44188DF4"/>
    <w:lvl w:ilvl="0">
      <w:start w:val="1"/>
      <w:numFmt w:val="decimal"/>
      <w:lvlText w:val="[%1]"/>
      <w:lvlJc w:val="left"/>
      <w:pPr>
        <w:tabs>
          <w:tab w:val="left" w:pos="420"/>
        </w:tabs>
        <w:ind w:left="42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num w:numId="1" w16cid:durableId="15608990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1C2A72A4"/>
    <w:rsid w:val="00022CDD"/>
    <w:rsid w:val="00031DE4"/>
    <w:rsid w:val="00052389"/>
    <w:rsid w:val="00054908"/>
    <w:rsid w:val="00070856"/>
    <w:rsid w:val="00072306"/>
    <w:rsid w:val="000755FF"/>
    <w:rsid w:val="00075E79"/>
    <w:rsid w:val="000902EC"/>
    <w:rsid w:val="000A3A33"/>
    <w:rsid w:val="000B093B"/>
    <w:rsid w:val="000B2C5F"/>
    <w:rsid w:val="00102E42"/>
    <w:rsid w:val="001151A3"/>
    <w:rsid w:val="0011605F"/>
    <w:rsid w:val="00120696"/>
    <w:rsid w:val="00124669"/>
    <w:rsid w:val="00144760"/>
    <w:rsid w:val="001710CB"/>
    <w:rsid w:val="00176126"/>
    <w:rsid w:val="00180B6F"/>
    <w:rsid w:val="001838C8"/>
    <w:rsid w:val="00191361"/>
    <w:rsid w:val="001B1D99"/>
    <w:rsid w:val="001B288C"/>
    <w:rsid w:val="001C7202"/>
    <w:rsid w:val="001D0616"/>
    <w:rsid w:val="001D20BC"/>
    <w:rsid w:val="001F6F20"/>
    <w:rsid w:val="00200595"/>
    <w:rsid w:val="00246C0C"/>
    <w:rsid w:val="0027450C"/>
    <w:rsid w:val="00275323"/>
    <w:rsid w:val="00276038"/>
    <w:rsid w:val="002850D0"/>
    <w:rsid w:val="002A6396"/>
    <w:rsid w:val="002B3C4E"/>
    <w:rsid w:val="002D63BD"/>
    <w:rsid w:val="002E4D7D"/>
    <w:rsid w:val="002F14A8"/>
    <w:rsid w:val="002F4D3D"/>
    <w:rsid w:val="00300E28"/>
    <w:rsid w:val="00312922"/>
    <w:rsid w:val="00315A14"/>
    <w:rsid w:val="00316F81"/>
    <w:rsid w:val="0031761A"/>
    <w:rsid w:val="0032511F"/>
    <w:rsid w:val="00334FD9"/>
    <w:rsid w:val="003471C0"/>
    <w:rsid w:val="003537BE"/>
    <w:rsid w:val="003677E5"/>
    <w:rsid w:val="0037261F"/>
    <w:rsid w:val="00372E64"/>
    <w:rsid w:val="003766B2"/>
    <w:rsid w:val="00392EB7"/>
    <w:rsid w:val="003B1DA5"/>
    <w:rsid w:val="003B28E6"/>
    <w:rsid w:val="003D4239"/>
    <w:rsid w:val="003D66E5"/>
    <w:rsid w:val="003D730A"/>
    <w:rsid w:val="003F112F"/>
    <w:rsid w:val="00415F92"/>
    <w:rsid w:val="0042079F"/>
    <w:rsid w:val="00443356"/>
    <w:rsid w:val="00446FC5"/>
    <w:rsid w:val="00452D3E"/>
    <w:rsid w:val="004610DA"/>
    <w:rsid w:val="0047391F"/>
    <w:rsid w:val="0047797C"/>
    <w:rsid w:val="004859DB"/>
    <w:rsid w:val="0049086D"/>
    <w:rsid w:val="004A3887"/>
    <w:rsid w:val="004A5A69"/>
    <w:rsid w:val="004B6DEF"/>
    <w:rsid w:val="004C24E4"/>
    <w:rsid w:val="004D4EBE"/>
    <w:rsid w:val="004E0CA3"/>
    <w:rsid w:val="005150DB"/>
    <w:rsid w:val="0053437D"/>
    <w:rsid w:val="00546D51"/>
    <w:rsid w:val="00561978"/>
    <w:rsid w:val="005630E3"/>
    <w:rsid w:val="00563ADA"/>
    <w:rsid w:val="00567936"/>
    <w:rsid w:val="00587AB0"/>
    <w:rsid w:val="00592D5F"/>
    <w:rsid w:val="005A353C"/>
    <w:rsid w:val="005B290D"/>
    <w:rsid w:val="005B4340"/>
    <w:rsid w:val="005B5ED1"/>
    <w:rsid w:val="005B70C8"/>
    <w:rsid w:val="005C7519"/>
    <w:rsid w:val="00607967"/>
    <w:rsid w:val="00610ECA"/>
    <w:rsid w:val="00616FEA"/>
    <w:rsid w:val="00617435"/>
    <w:rsid w:val="00633C16"/>
    <w:rsid w:val="00633E24"/>
    <w:rsid w:val="00641A17"/>
    <w:rsid w:val="00661162"/>
    <w:rsid w:val="00671AC5"/>
    <w:rsid w:val="00684E97"/>
    <w:rsid w:val="00695A60"/>
    <w:rsid w:val="00695D4D"/>
    <w:rsid w:val="006A245C"/>
    <w:rsid w:val="006A4707"/>
    <w:rsid w:val="006C280E"/>
    <w:rsid w:val="006C4EB3"/>
    <w:rsid w:val="006C7DD5"/>
    <w:rsid w:val="006D1D63"/>
    <w:rsid w:val="006D3E2F"/>
    <w:rsid w:val="006E4A82"/>
    <w:rsid w:val="006F0C38"/>
    <w:rsid w:val="006F3025"/>
    <w:rsid w:val="00711FB4"/>
    <w:rsid w:val="007132CD"/>
    <w:rsid w:val="00725C57"/>
    <w:rsid w:val="00735CB2"/>
    <w:rsid w:val="0073765E"/>
    <w:rsid w:val="00737F5E"/>
    <w:rsid w:val="007460B7"/>
    <w:rsid w:val="0074719C"/>
    <w:rsid w:val="00747B4C"/>
    <w:rsid w:val="00750C4F"/>
    <w:rsid w:val="00771E2C"/>
    <w:rsid w:val="007745D5"/>
    <w:rsid w:val="0078118E"/>
    <w:rsid w:val="0078655B"/>
    <w:rsid w:val="00787E36"/>
    <w:rsid w:val="00791FA7"/>
    <w:rsid w:val="007A446F"/>
    <w:rsid w:val="007C4E7D"/>
    <w:rsid w:val="007D1847"/>
    <w:rsid w:val="007D21D6"/>
    <w:rsid w:val="007E3E48"/>
    <w:rsid w:val="007E3F59"/>
    <w:rsid w:val="007F0C16"/>
    <w:rsid w:val="007F1C24"/>
    <w:rsid w:val="007F64BB"/>
    <w:rsid w:val="008002DC"/>
    <w:rsid w:val="00802C77"/>
    <w:rsid w:val="00805A37"/>
    <w:rsid w:val="00811562"/>
    <w:rsid w:val="008266FA"/>
    <w:rsid w:val="00835F8C"/>
    <w:rsid w:val="008513DB"/>
    <w:rsid w:val="00851A47"/>
    <w:rsid w:val="00862974"/>
    <w:rsid w:val="008726D3"/>
    <w:rsid w:val="00875AE9"/>
    <w:rsid w:val="00877C74"/>
    <w:rsid w:val="00880204"/>
    <w:rsid w:val="00891E7F"/>
    <w:rsid w:val="00897CD6"/>
    <w:rsid w:val="008A1B8E"/>
    <w:rsid w:val="008A26DC"/>
    <w:rsid w:val="008A3249"/>
    <w:rsid w:val="008D3D22"/>
    <w:rsid w:val="008D7AD9"/>
    <w:rsid w:val="008E37E5"/>
    <w:rsid w:val="008F22E8"/>
    <w:rsid w:val="008F25E9"/>
    <w:rsid w:val="008F4868"/>
    <w:rsid w:val="009036B4"/>
    <w:rsid w:val="00913B13"/>
    <w:rsid w:val="00917E1F"/>
    <w:rsid w:val="00932A58"/>
    <w:rsid w:val="009362A2"/>
    <w:rsid w:val="00945FD2"/>
    <w:rsid w:val="00957955"/>
    <w:rsid w:val="00960705"/>
    <w:rsid w:val="009616F6"/>
    <w:rsid w:val="009745C9"/>
    <w:rsid w:val="009749B4"/>
    <w:rsid w:val="00982FCF"/>
    <w:rsid w:val="00990D82"/>
    <w:rsid w:val="00991BD9"/>
    <w:rsid w:val="00994AF2"/>
    <w:rsid w:val="00995458"/>
    <w:rsid w:val="009B3145"/>
    <w:rsid w:val="009C149A"/>
    <w:rsid w:val="009C316E"/>
    <w:rsid w:val="009C69B5"/>
    <w:rsid w:val="009E046E"/>
    <w:rsid w:val="009E6300"/>
    <w:rsid w:val="009E7729"/>
    <w:rsid w:val="009F078F"/>
    <w:rsid w:val="00A0242F"/>
    <w:rsid w:val="00A03DDA"/>
    <w:rsid w:val="00A1506A"/>
    <w:rsid w:val="00A16F1F"/>
    <w:rsid w:val="00A25F1E"/>
    <w:rsid w:val="00A32C8B"/>
    <w:rsid w:val="00A41DCF"/>
    <w:rsid w:val="00A43576"/>
    <w:rsid w:val="00A50128"/>
    <w:rsid w:val="00A50DE4"/>
    <w:rsid w:val="00A637DB"/>
    <w:rsid w:val="00A63CC7"/>
    <w:rsid w:val="00A657B1"/>
    <w:rsid w:val="00A749D3"/>
    <w:rsid w:val="00A74B02"/>
    <w:rsid w:val="00A75ECB"/>
    <w:rsid w:val="00A928BF"/>
    <w:rsid w:val="00AA0438"/>
    <w:rsid w:val="00AA11A1"/>
    <w:rsid w:val="00AA5FE3"/>
    <w:rsid w:val="00AA7266"/>
    <w:rsid w:val="00AB1D06"/>
    <w:rsid w:val="00AB46D6"/>
    <w:rsid w:val="00AB531B"/>
    <w:rsid w:val="00AB7E96"/>
    <w:rsid w:val="00AC400C"/>
    <w:rsid w:val="00AD785F"/>
    <w:rsid w:val="00AE23F5"/>
    <w:rsid w:val="00AE5F55"/>
    <w:rsid w:val="00AF4A2A"/>
    <w:rsid w:val="00B144B7"/>
    <w:rsid w:val="00B1714C"/>
    <w:rsid w:val="00B2572D"/>
    <w:rsid w:val="00B37CA3"/>
    <w:rsid w:val="00B4322B"/>
    <w:rsid w:val="00B64C87"/>
    <w:rsid w:val="00B65AD5"/>
    <w:rsid w:val="00B73F7D"/>
    <w:rsid w:val="00B82C60"/>
    <w:rsid w:val="00B84050"/>
    <w:rsid w:val="00B8619A"/>
    <w:rsid w:val="00B92BCC"/>
    <w:rsid w:val="00B97F03"/>
    <w:rsid w:val="00BA0A2B"/>
    <w:rsid w:val="00BA5E22"/>
    <w:rsid w:val="00BB3F92"/>
    <w:rsid w:val="00BB614E"/>
    <w:rsid w:val="00BB6FDF"/>
    <w:rsid w:val="00BC1F45"/>
    <w:rsid w:val="00BC4210"/>
    <w:rsid w:val="00BC46CE"/>
    <w:rsid w:val="00BE6223"/>
    <w:rsid w:val="00BF1CBE"/>
    <w:rsid w:val="00BF6D4A"/>
    <w:rsid w:val="00C11120"/>
    <w:rsid w:val="00C1242E"/>
    <w:rsid w:val="00C323BC"/>
    <w:rsid w:val="00C329D0"/>
    <w:rsid w:val="00C46422"/>
    <w:rsid w:val="00C528B1"/>
    <w:rsid w:val="00C549F8"/>
    <w:rsid w:val="00C552B2"/>
    <w:rsid w:val="00C644C5"/>
    <w:rsid w:val="00C826E2"/>
    <w:rsid w:val="00C9517E"/>
    <w:rsid w:val="00CB3209"/>
    <w:rsid w:val="00CD2FCF"/>
    <w:rsid w:val="00CD422E"/>
    <w:rsid w:val="00CE6331"/>
    <w:rsid w:val="00CF334F"/>
    <w:rsid w:val="00CF42C5"/>
    <w:rsid w:val="00CF5BFB"/>
    <w:rsid w:val="00CF6195"/>
    <w:rsid w:val="00D44648"/>
    <w:rsid w:val="00D46787"/>
    <w:rsid w:val="00D60D74"/>
    <w:rsid w:val="00D664C7"/>
    <w:rsid w:val="00D82692"/>
    <w:rsid w:val="00D83ECE"/>
    <w:rsid w:val="00D956A3"/>
    <w:rsid w:val="00DB3A9C"/>
    <w:rsid w:val="00DB7896"/>
    <w:rsid w:val="00DC08C4"/>
    <w:rsid w:val="00DC114C"/>
    <w:rsid w:val="00DC3956"/>
    <w:rsid w:val="00DE05AE"/>
    <w:rsid w:val="00DE5D69"/>
    <w:rsid w:val="00E049F8"/>
    <w:rsid w:val="00E1525A"/>
    <w:rsid w:val="00E301F1"/>
    <w:rsid w:val="00E310D4"/>
    <w:rsid w:val="00E32A8B"/>
    <w:rsid w:val="00E37B8E"/>
    <w:rsid w:val="00E45A13"/>
    <w:rsid w:val="00E53664"/>
    <w:rsid w:val="00E53F2E"/>
    <w:rsid w:val="00E63B0A"/>
    <w:rsid w:val="00E654CD"/>
    <w:rsid w:val="00E74386"/>
    <w:rsid w:val="00E876D4"/>
    <w:rsid w:val="00EC2CF8"/>
    <w:rsid w:val="00ED37B1"/>
    <w:rsid w:val="00EE1A6B"/>
    <w:rsid w:val="00EE470C"/>
    <w:rsid w:val="00EF714B"/>
    <w:rsid w:val="00F05ACB"/>
    <w:rsid w:val="00F204B3"/>
    <w:rsid w:val="00F44964"/>
    <w:rsid w:val="00F53DF6"/>
    <w:rsid w:val="00F61ED8"/>
    <w:rsid w:val="00F624A3"/>
    <w:rsid w:val="00F662B3"/>
    <w:rsid w:val="00F70177"/>
    <w:rsid w:val="00F740DA"/>
    <w:rsid w:val="00F8289A"/>
    <w:rsid w:val="00F8437B"/>
    <w:rsid w:val="00F862A5"/>
    <w:rsid w:val="00F94CC2"/>
    <w:rsid w:val="00F9537F"/>
    <w:rsid w:val="00F96044"/>
    <w:rsid w:val="00FA105E"/>
    <w:rsid w:val="00FA214F"/>
    <w:rsid w:val="00FB297B"/>
    <w:rsid w:val="00FC56B4"/>
    <w:rsid w:val="00FD3DA7"/>
    <w:rsid w:val="00FF118E"/>
    <w:rsid w:val="07EA6E3F"/>
    <w:rsid w:val="0C2F588B"/>
    <w:rsid w:val="0FAE0F9D"/>
    <w:rsid w:val="14517A73"/>
    <w:rsid w:val="14F40F74"/>
    <w:rsid w:val="1C2A72A4"/>
    <w:rsid w:val="1D4A5A36"/>
    <w:rsid w:val="228E7917"/>
    <w:rsid w:val="2CC118F2"/>
    <w:rsid w:val="2D66210F"/>
    <w:rsid w:val="2F464330"/>
    <w:rsid w:val="31642CDE"/>
    <w:rsid w:val="31DF2633"/>
    <w:rsid w:val="476365C7"/>
    <w:rsid w:val="546B1562"/>
    <w:rsid w:val="554A2319"/>
    <w:rsid w:val="60C47A73"/>
    <w:rsid w:val="682F6A07"/>
    <w:rsid w:val="69594103"/>
    <w:rsid w:val="6D9D06E2"/>
    <w:rsid w:val="6F4D73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FC402C1"/>
  <w15:docId w15:val="{62C4ABE0-1C48-4257-897F-D9CC48A870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2"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qFormat="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ind w:firstLineChars="200" w:firstLine="200"/>
      <w:jc w:val="both"/>
    </w:pPr>
    <w:rPr>
      <w:rFonts w:cstheme="minorBidi"/>
      <w:kern w:val="2"/>
      <w:sz w:val="21"/>
      <w:szCs w:val="22"/>
    </w:rPr>
  </w:style>
  <w:style w:type="paragraph" w:styleId="1">
    <w:name w:val="heading 1"/>
    <w:basedOn w:val="a"/>
    <w:next w:val="a"/>
    <w:link w:val="10"/>
    <w:uiPriority w:val="9"/>
    <w:qFormat/>
    <w:pPr>
      <w:keepNext/>
      <w:keepLines/>
      <w:spacing w:beforeLines="50"/>
      <w:outlineLvl w:val="0"/>
    </w:pPr>
    <w:rPr>
      <w:b/>
      <w:bCs/>
      <w:kern w:val="44"/>
      <w:sz w:val="24"/>
      <w:szCs w:val="44"/>
    </w:rPr>
  </w:style>
  <w:style w:type="paragraph" w:styleId="2">
    <w:name w:val="heading 2"/>
    <w:basedOn w:val="1"/>
    <w:next w:val="a"/>
    <w:link w:val="20"/>
    <w:uiPriority w:val="9"/>
    <w:unhideWhenUsed/>
    <w:qFormat/>
    <w:pPr>
      <w:outlineLvl w:val="1"/>
    </w:pPr>
    <w:rPr>
      <w:rFonts w:cstheme="majorBidi"/>
      <w:sz w:val="21"/>
      <w:szCs w:val="32"/>
    </w:rPr>
  </w:style>
  <w:style w:type="paragraph" w:styleId="3">
    <w:name w:val="heading 3"/>
    <w:basedOn w:val="2"/>
    <w:next w:val="a"/>
    <w:uiPriority w:val="2"/>
    <w:qFormat/>
    <w:pPr>
      <w:spacing w:before="240"/>
      <w:outlineLvl w:val="2"/>
    </w:pPr>
    <w:rPr>
      <w:sz w:val="26"/>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rPr>
      <w:szCs w:val="20"/>
    </w:rPr>
  </w:style>
  <w:style w:type="paragraph" w:styleId="a4">
    <w:name w:val="caption"/>
    <w:basedOn w:val="a"/>
    <w:next w:val="a"/>
    <w:uiPriority w:val="35"/>
    <w:semiHidden/>
    <w:unhideWhenUsed/>
    <w:qFormat/>
    <w:rPr>
      <w:rFonts w:asciiTheme="majorHAnsi" w:eastAsia="黑体" w:hAnsiTheme="majorHAnsi" w:cstheme="majorBidi"/>
      <w:sz w:val="20"/>
      <w:szCs w:val="20"/>
    </w:rPr>
  </w:style>
  <w:style w:type="paragraph" w:styleId="a5">
    <w:name w:val="annotation text"/>
    <w:basedOn w:val="a"/>
    <w:link w:val="a6"/>
    <w:uiPriority w:val="99"/>
    <w:semiHidden/>
    <w:unhideWhenUsed/>
    <w:qFormat/>
    <w:pPr>
      <w:jc w:val="left"/>
    </w:pPr>
  </w:style>
  <w:style w:type="paragraph" w:styleId="a7">
    <w:name w:val="Balloon Text"/>
    <w:basedOn w:val="a"/>
    <w:link w:val="a8"/>
    <w:uiPriority w:val="99"/>
    <w:semiHidden/>
    <w:unhideWhenUsed/>
    <w:qFormat/>
    <w:rPr>
      <w:sz w:val="18"/>
      <w:szCs w:val="18"/>
    </w:rPr>
  </w:style>
  <w:style w:type="paragraph" w:styleId="a9">
    <w:name w:val="footer"/>
    <w:basedOn w:val="a"/>
    <w:link w:val="a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footnote text"/>
    <w:basedOn w:val="a"/>
    <w:link w:val="ae"/>
    <w:uiPriority w:val="99"/>
    <w:semiHidden/>
    <w:unhideWhenUsed/>
    <w:qFormat/>
    <w:pPr>
      <w:snapToGrid w:val="0"/>
      <w:jc w:val="left"/>
    </w:pPr>
    <w:rPr>
      <w:sz w:val="18"/>
      <w:szCs w:val="18"/>
    </w:rPr>
  </w:style>
  <w:style w:type="paragraph" w:styleId="af">
    <w:name w:val="annotation subject"/>
    <w:basedOn w:val="a5"/>
    <w:next w:val="a5"/>
    <w:link w:val="af0"/>
    <w:uiPriority w:val="99"/>
    <w:semiHidden/>
    <w:unhideWhenUsed/>
    <w:qFormat/>
    <w:rPr>
      <w:b/>
      <w:bCs/>
    </w:rPr>
  </w:style>
  <w:style w:type="table" w:styleId="af1">
    <w:name w:val="Table Grid"/>
    <w:basedOn w:val="a1"/>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uiPriority w:val="22"/>
    <w:qFormat/>
    <w:rPr>
      <w:b/>
      <w:bCs/>
    </w:rPr>
  </w:style>
  <w:style w:type="character" w:styleId="af3">
    <w:name w:val="FollowedHyperlink"/>
    <w:basedOn w:val="a0"/>
    <w:uiPriority w:val="99"/>
    <w:semiHidden/>
    <w:unhideWhenUsed/>
    <w:qFormat/>
    <w:rPr>
      <w:color w:val="7E1FAD" w:themeColor="followedHyperlink"/>
      <w:u w:val="single"/>
    </w:rPr>
  </w:style>
  <w:style w:type="character" w:styleId="af4">
    <w:name w:val="Emphasis"/>
    <w:basedOn w:val="a0"/>
    <w:uiPriority w:val="20"/>
    <w:qFormat/>
    <w:rPr>
      <w:i/>
      <w:iCs/>
    </w:rPr>
  </w:style>
  <w:style w:type="character" w:styleId="af5">
    <w:name w:val="line number"/>
    <w:basedOn w:val="a0"/>
    <w:uiPriority w:val="99"/>
    <w:semiHidden/>
    <w:unhideWhenUsed/>
    <w:qFormat/>
  </w:style>
  <w:style w:type="character" w:styleId="af6">
    <w:name w:val="Hyperlink"/>
    <w:basedOn w:val="a0"/>
    <w:uiPriority w:val="99"/>
    <w:unhideWhenUsed/>
    <w:qFormat/>
    <w:rPr>
      <w:color w:val="0000FF"/>
      <w:u w:val="single"/>
    </w:rPr>
  </w:style>
  <w:style w:type="character" w:styleId="af7">
    <w:name w:val="annotation reference"/>
    <w:basedOn w:val="a0"/>
    <w:uiPriority w:val="99"/>
    <w:semiHidden/>
    <w:unhideWhenUsed/>
    <w:qFormat/>
    <w:rPr>
      <w:sz w:val="21"/>
      <w:szCs w:val="21"/>
    </w:rPr>
  </w:style>
  <w:style w:type="character" w:styleId="af8">
    <w:name w:val="footnote reference"/>
    <w:basedOn w:val="a0"/>
    <w:uiPriority w:val="99"/>
    <w:semiHidden/>
    <w:unhideWhenUsed/>
    <w:qFormat/>
    <w:rPr>
      <w:vertAlign w:val="superscript"/>
    </w:rPr>
  </w:style>
  <w:style w:type="character" w:customStyle="1" w:styleId="style6">
    <w:name w:val="style6"/>
    <w:basedOn w:val="a0"/>
    <w:qFormat/>
  </w:style>
  <w:style w:type="character" w:customStyle="1" w:styleId="aa">
    <w:name w:val="页脚 字符"/>
    <w:basedOn w:val="a0"/>
    <w:link w:val="a9"/>
    <w:uiPriority w:val="99"/>
    <w:qFormat/>
    <w:rPr>
      <w:rFonts w:ascii="宋体" w:eastAsia="宋体" w:hAnsi="宋体" w:cs="宋体"/>
      <w:kern w:val="0"/>
      <w:sz w:val="24"/>
      <w:szCs w:val="24"/>
    </w:rPr>
  </w:style>
  <w:style w:type="character" w:customStyle="1" w:styleId="ac">
    <w:name w:val="页眉 字符"/>
    <w:basedOn w:val="a0"/>
    <w:link w:val="ab"/>
    <w:uiPriority w:val="99"/>
    <w:qFormat/>
    <w:rPr>
      <w:sz w:val="18"/>
      <w:szCs w:val="18"/>
    </w:rPr>
  </w:style>
  <w:style w:type="character" w:customStyle="1" w:styleId="ae">
    <w:name w:val="脚注文本 字符"/>
    <w:basedOn w:val="a0"/>
    <w:link w:val="ad"/>
    <w:uiPriority w:val="99"/>
    <w:semiHidden/>
    <w:qFormat/>
    <w:rPr>
      <w:sz w:val="18"/>
      <w:szCs w:val="18"/>
    </w:rPr>
  </w:style>
  <w:style w:type="character" w:customStyle="1" w:styleId="a8">
    <w:name w:val="批注框文本 字符"/>
    <w:basedOn w:val="a0"/>
    <w:link w:val="a7"/>
    <w:uiPriority w:val="99"/>
    <w:semiHidden/>
    <w:qFormat/>
    <w:rPr>
      <w:sz w:val="18"/>
      <w:szCs w:val="18"/>
    </w:rPr>
  </w:style>
  <w:style w:type="paragraph" w:styleId="af9">
    <w:name w:val="List Paragraph"/>
    <w:basedOn w:val="a"/>
    <w:uiPriority w:val="34"/>
    <w:qFormat/>
    <w:pPr>
      <w:ind w:firstLine="420"/>
    </w:pPr>
  </w:style>
  <w:style w:type="paragraph" w:styleId="afa">
    <w:name w:val="No Spacing"/>
    <w:uiPriority w:val="1"/>
    <w:qFormat/>
    <w:pPr>
      <w:widowControl w:val="0"/>
      <w:jc w:val="both"/>
    </w:pPr>
    <w:rPr>
      <w:rFonts w:asciiTheme="minorHAnsi" w:eastAsiaTheme="minorEastAsia" w:hAnsiTheme="minorHAnsi" w:cstheme="minorBidi"/>
      <w:kern w:val="2"/>
      <w:sz w:val="21"/>
      <w:szCs w:val="22"/>
    </w:rPr>
  </w:style>
  <w:style w:type="character" w:customStyle="1" w:styleId="10">
    <w:name w:val="标题 1 字符"/>
    <w:basedOn w:val="a0"/>
    <w:link w:val="1"/>
    <w:uiPriority w:val="9"/>
    <w:qFormat/>
    <w:rPr>
      <w:rFonts w:ascii="Times New Roman" w:eastAsia="宋体" w:hAnsi="Times New Roman"/>
      <w:b/>
      <w:bCs/>
      <w:kern w:val="44"/>
      <w:sz w:val="24"/>
      <w:szCs w:val="44"/>
    </w:rPr>
  </w:style>
  <w:style w:type="character" w:customStyle="1" w:styleId="20">
    <w:name w:val="标题 2 字符"/>
    <w:basedOn w:val="a0"/>
    <w:link w:val="2"/>
    <w:uiPriority w:val="9"/>
    <w:qFormat/>
    <w:rPr>
      <w:rFonts w:ascii="Times New Roman" w:eastAsia="宋体" w:hAnsi="Times New Roman" w:cstheme="majorBidi"/>
      <w:sz w:val="21"/>
      <w:szCs w:val="32"/>
    </w:rPr>
  </w:style>
  <w:style w:type="paragraph" w:customStyle="1" w:styleId="11">
    <w:name w:val="列出段落1"/>
    <w:basedOn w:val="a"/>
    <w:qFormat/>
    <w:pPr>
      <w:ind w:firstLine="420"/>
    </w:pPr>
    <w:rPr>
      <w:rFonts w:cs="Arial"/>
      <w:kern w:val="0"/>
      <w:sz w:val="24"/>
      <w:szCs w:val="24"/>
    </w:rPr>
  </w:style>
  <w:style w:type="character" w:customStyle="1" w:styleId="12">
    <w:name w:val="未处理的提及1"/>
    <w:basedOn w:val="a0"/>
    <w:uiPriority w:val="99"/>
    <w:semiHidden/>
    <w:unhideWhenUsed/>
    <w:qFormat/>
    <w:rPr>
      <w:color w:val="808080"/>
      <w:shd w:val="clear" w:color="auto" w:fill="E6E6E6"/>
    </w:rPr>
  </w:style>
  <w:style w:type="character" w:customStyle="1" w:styleId="apple-converted-space">
    <w:name w:val="apple-converted-space"/>
    <w:basedOn w:val="a0"/>
    <w:qFormat/>
  </w:style>
  <w:style w:type="character" w:styleId="afb">
    <w:name w:val="Placeholder Text"/>
    <w:basedOn w:val="a0"/>
    <w:uiPriority w:val="99"/>
    <w:semiHidden/>
    <w:qFormat/>
    <w:rPr>
      <w:color w:val="808080"/>
    </w:rPr>
  </w:style>
  <w:style w:type="character" w:customStyle="1" w:styleId="a6">
    <w:name w:val="批注文字 字符"/>
    <w:basedOn w:val="a0"/>
    <w:link w:val="a5"/>
    <w:uiPriority w:val="99"/>
    <w:semiHidden/>
    <w:qFormat/>
  </w:style>
  <w:style w:type="character" w:customStyle="1" w:styleId="af0">
    <w:name w:val="批注主题 字符"/>
    <w:basedOn w:val="a6"/>
    <w:link w:val="af"/>
    <w:uiPriority w:val="99"/>
    <w:semiHidden/>
    <w:qFormat/>
    <w:rPr>
      <w:b/>
      <w:bCs/>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qFormat/>
    <w:rPr>
      <w:color w:val="605E5C"/>
      <w:shd w:val="clear" w:color="auto" w:fill="E1DFDD"/>
    </w:rPr>
  </w:style>
  <w:style w:type="paragraph" w:customStyle="1" w:styleId="Default">
    <w:name w:val="Default"/>
    <w:qFormat/>
    <w:pPr>
      <w:widowControl w:val="0"/>
      <w:autoSpaceDE w:val="0"/>
      <w:autoSpaceDN w:val="0"/>
      <w:adjustRightInd w:val="0"/>
    </w:pPr>
    <w:rPr>
      <w:rFonts w:ascii="宋体" w:cs="宋体"/>
      <w:color w:val="000000"/>
      <w:sz w:val="24"/>
      <w:szCs w:val="24"/>
    </w:rPr>
  </w:style>
  <w:style w:type="paragraph" w:customStyle="1" w:styleId="afc">
    <w:name w:val="表"/>
    <w:basedOn w:val="a4"/>
    <w:qFormat/>
    <w:pPr>
      <w:spacing w:before="240" w:after="120"/>
      <w:jc w:val="center"/>
    </w:pPr>
    <w:rPr>
      <w:rFonts w:ascii="Times New Roman" w:eastAsia="宋体" w:hAnsi="Times New Roman" w:cs="Times New Roman"/>
      <w:sz w:val="22"/>
      <w:lang w:val="zh-CN"/>
    </w:rPr>
  </w:style>
  <w:style w:type="paragraph" w:customStyle="1" w:styleId="afd">
    <w:name w:val="表格样式"/>
    <w:qFormat/>
    <w:pPr>
      <w:jc w:val="both"/>
    </w:pPr>
    <w:rPr>
      <w:rFonts w:ascii="宋体" w:hAnsi="宋体"/>
      <w:kern w:val="2"/>
      <w:sz w:val="18"/>
      <w:szCs w:val="21"/>
    </w:rPr>
  </w:style>
  <w:style w:type="paragraph" w:customStyle="1" w:styleId="afe">
    <w:name w:val="中文表序样式"/>
    <w:basedOn w:val="a"/>
    <w:link w:val="Char"/>
    <w:qFormat/>
    <w:pPr>
      <w:widowControl/>
      <w:jc w:val="center"/>
    </w:pPr>
    <w:rPr>
      <w:rFonts w:cs="Times New Roman"/>
      <w:b/>
      <w:sz w:val="18"/>
      <w:szCs w:val="18"/>
    </w:rPr>
  </w:style>
  <w:style w:type="character" w:customStyle="1" w:styleId="Char">
    <w:name w:val="中文表序样式 Char"/>
    <w:basedOn w:val="a0"/>
    <w:link w:val="afe"/>
    <w:qFormat/>
    <w:rPr>
      <w:rFonts w:ascii="Times New Roman" w:eastAsia="宋体" w:hAnsi="Times New Roman" w:cs="Times New Roman"/>
      <w:b/>
      <w:sz w:val="18"/>
      <w:szCs w:val="18"/>
    </w:rPr>
  </w:style>
  <w:style w:type="character" w:customStyle="1" w:styleId="30">
    <w:name w:val="未处理的提及3"/>
    <w:basedOn w:val="a0"/>
    <w:uiPriority w:val="99"/>
    <w:semiHidden/>
    <w:unhideWhenUsed/>
    <w:qFormat/>
    <w:rPr>
      <w:color w:val="605E5C"/>
      <w:shd w:val="clear" w:color="auto" w:fill="E1DFDD"/>
    </w:rPr>
  </w:style>
  <w:style w:type="paragraph" w:customStyle="1" w:styleId="aff">
    <w:name w:val="图片标题"/>
    <w:basedOn w:val="a"/>
    <w:link w:val="aff0"/>
    <w:qFormat/>
    <w:pPr>
      <w:spacing w:after="120" w:line="400" w:lineRule="exact"/>
      <w:jc w:val="center"/>
    </w:pPr>
    <w:rPr>
      <w:rFonts w:cs="Times New Roman"/>
      <w:sz w:val="22"/>
    </w:rPr>
  </w:style>
  <w:style w:type="paragraph" w:customStyle="1" w:styleId="aff1">
    <w:name w:val="图片"/>
    <w:basedOn w:val="a"/>
    <w:link w:val="aff2"/>
    <w:qFormat/>
    <w:pPr>
      <w:keepNext/>
      <w:spacing w:line="360" w:lineRule="auto"/>
      <w:jc w:val="center"/>
    </w:pPr>
    <w:rPr>
      <w:rFonts w:cs="Times New Roman"/>
      <w:sz w:val="24"/>
      <w:szCs w:val="24"/>
    </w:rPr>
  </w:style>
  <w:style w:type="character" w:customStyle="1" w:styleId="aff0">
    <w:name w:val="图片标题 字符"/>
    <w:basedOn w:val="a0"/>
    <w:link w:val="aff"/>
    <w:qFormat/>
    <w:rPr>
      <w:rFonts w:ascii="Times New Roman" w:eastAsia="宋体" w:hAnsi="Times New Roman" w:cs="Times New Roman"/>
      <w:sz w:val="22"/>
    </w:rPr>
  </w:style>
  <w:style w:type="character" w:customStyle="1" w:styleId="aff2">
    <w:name w:val="图片 字符"/>
    <w:basedOn w:val="a0"/>
    <w:link w:val="aff1"/>
    <w:qFormat/>
    <w:rPr>
      <w:rFonts w:ascii="Times New Roman" w:eastAsia="宋体" w:hAnsi="Times New Roman" w:cs="Times New Roman"/>
      <w:sz w:val="24"/>
      <w:szCs w:val="24"/>
    </w:rPr>
  </w:style>
  <w:style w:type="paragraph" w:customStyle="1" w:styleId="aff3">
    <w:name w:val="表格标题"/>
    <w:basedOn w:val="a4"/>
    <w:link w:val="aff4"/>
    <w:qFormat/>
    <w:pPr>
      <w:keepNext/>
      <w:jc w:val="center"/>
    </w:pPr>
    <w:rPr>
      <w:rFonts w:ascii="宋体" w:eastAsia="宋体" w:hAnsi="宋体"/>
      <w:kern w:val="0"/>
      <w:sz w:val="21"/>
      <w:szCs w:val="22"/>
    </w:rPr>
  </w:style>
  <w:style w:type="paragraph" w:customStyle="1" w:styleId="aff5">
    <w:name w:val="表格内容"/>
    <w:basedOn w:val="a"/>
    <w:link w:val="aff6"/>
    <w:qFormat/>
    <w:pPr>
      <w:spacing w:before="60" w:after="60"/>
      <w:jc w:val="left"/>
    </w:pPr>
    <w:rPr>
      <w:rFonts w:cs="Times New Roman"/>
      <w:kern w:val="0"/>
      <w:sz w:val="22"/>
    </w:rPr>
  </w:style>
  <w:style w:type="character" w:customStyle="1" w:styleId="aff4">
    <w:name w:val="表格标题 字符"/>
    <w:basedOn w:val="a0"/>
    <w:link w:val="aff3"/>
    <w:qFormat/>
    <w:rPr>
      <w:rFonts w:ascii="宋体" w:eastAsia="宋体" w:hAnsi="宋体"/>
      <w:kern w:val="0"/>
      <w:sz w:val="21"/>
      <w:szCs w:val="22"/>
    </w:rPr>
  </w:style>
  <w:style w:type="character" w:customStyle="1" w:styleId="aff6">
    <w:name w:val="表格内容 字符"/>
    <w:basedOn w:val="a0"/>
    <w:link w:val="aff5"/>
    <w:qFormat/>
    <w:rPr>
      <w:rFonts w:ascii="Times New Roman" w:eastAsia="宋体" w:hAnsi="Times New Roman" w:cs="Times New Roman"/>
      <w:kern w:val="0"/>
      <w:sz w:val="22"/>
    </w:rPr>
  </w:style>
  <w:style w:type="table" w:customStyle="1" w:styleId="22">
    <w:name w:val="三线2"/>
    <w:basedOn w:val="a1"/>
    <w:uiPriority w:val="99"/>
    <w:qFormat/>
    <w:pPr>
      <w:spacing w:before="60" w:after="60"/>
      <w:jc w:val="center"/>
    </w:pPr>
    <w:rPr>
      <w:sz w:val="22"/>
    </w:rPr>
    <w:tblPr>
      <w:jc w:val="center"/>
      <w:tblBorders>
        <w:top w:val="single" w:sz="12" w:space="0" w:color="auto"/>
        <w:bottom w:val="single" w:sz="12" w:space="0" w:color="auto"/>
      </w:tblBorders>
    </w:tblPr>
    <w:trPr>
      <w:jc w:val="center"/>
    </w:trPr>
    <w:tcPr>
      <w:vAlign w:val="center"/>
    </w:tcPr>
    <w:tblStylePr w:type="firstRow">
      <w:tblPr/>
      <w:tcPr>
        <w:tcBorders>
          <w:bottom w:val="single" w:sz="8" w:space="0" w:color="auto"/>
        </w:tcBorders>
      </w:tcPr>
    </w:tblStylePr>
  </w:style>
  <w:style w:type="character" w:customStyle="1" w:styleId="41">
    <w:name w:val="未处理的提及4"/>
    <w:basedOn w:val="a0"/>
    <w:uiPriority w:val="99"/>
    <w:semiHidden/>
    <w:unhideWhenUsed/>
    <w:qFormat/>
    <w:rPr>
      <w:color w:val="605E5C"/>
      <w:shd w:val="clear" w:color="auto" w:fill="E1DFDD"/>
    </w:rPr>
  </w:style>
  <w:style w:type="paragraph" w:customStyle="1" w:styleId="aff7">
    <w:name w:val="论文_正文文字"/>
    <w:basedOn w:val="a"/>
    <w:autoRedefine/>
    <w:qFormat/>
    <w:pPr>
      <w:ind w:firstLine="420"/>
    </w:pPr>
    <w:rPr>
      <w:rFonts w:cs="Times New Roman"/>
      <w:snapToGrid w:val="0"/>
      <w:szCs w:val="21"/>
    </w:rPr>
  </w:style>
  <w:style w:type="paragraph" w:customStyle="1" w:styleId="aff8">
    <w:name w:val="论文_摘要内容"/>
    <w:link w:val="Char0"/>
    <w:rPr>
      <w:rFonts w:ascii="仿宋_GB2312" w:eastAsia="仿宋_GB2312"/>
      <w:sz w:val="18"/>
      <w:szCs w:val="18"/>
    </w:rPr>
  </w:style>
  <w:style w:type="character" w:customStyle="1" w:styleId="Char0">
    <w:name w:val="论文_摘要内容 Char"/>
    <w:basedOn w:val="a0"/>
    <w:link w:val="aff8"/>
    <w:qFormat/>
    <w:rPr>
      <w:rFonts w:ascii="仿宋_GB2312" w:eastAsia="仿宋_GB2312" w:hAnsi="Times New Roman" w:cs="Times New Roman"/>
      <w:sz w:val="18"/>
      <w:szCs w:val="18"/>
      <w:lang w:val="en-US" w:eastAsia="zh-CN" w:bidi="ar-SA"/>
    </w:rPr>
  </w:style>
  <w:style w:type="paragraph" w:customStyle="1" w:styleId="EndNoteBibliographyTitle">
    <w:name w:val="EndNote Bibliography Title"/>
    <w:qFormat/>
    <w:pPr>
      <w:jc w:val="center"/>
    </w:pPr>
    <w:rPr>
      <w:rFonts w:ascii="Calibri" w:eastAsiaTheme="minorEastAsia" w:hAnsi="Calibri" w:cs="Calibri"/>
      <w:kern w:val="2"/>
      <w:szCs w:val="22"/>
    </w:rPr>
  </w:style>
  <w:style w:type="paragraph" w:customStyle="1" w:styleId="EndNoteBibliography">
    <w:name w:val="EndNote Bibliography"/>
    <w:qFormat/>
    <w:pPr>
      <w:jc w:val="both"/>
    </w:pPr>
    <w:rPr>
      <w:rFonts w:ascii="Calibri" w:eastAsiaTheme="minorEastAsia" w:hAnsi="Calibri" w:cs="Calibri"/>
      <w:kern w:val="2"/>
      <w:szCs w:val="22"/>
    </w:rPr>
  </w:style>
  <w:style w:type="character" w:customStyle="1" w:styleId="5">
    <w:name w:val="未处理的提及5"/>
    <w:basedOn w:val="a0"/>
    <w:uiPriority w:val="99"/>
    <w:semiHidden/>
    <w:unhideWhenUsed/>
    <w:qFormat/>
    <w:rPr>
      <w:color w:val="605E5C"/>
      <w:shd w:val="clear" w:color="auto" w:fill="E1DFDD"/>
    </w:rPr>
  </w:style>
  <w:style w:type="paragraph" w:customStyle="1" w:styleId="aff9">
    <w:name w:val="图注"/>
    <w:basedOn w:val="a"/>
    <w:pPr>
      <w:spacing w:afterLines="50" w:after="50"/>
      <w:ind w:firstLineChars="0" w:firstLine="0"/>
      <w:jc w:val="center"/>
    </w:pPr>
    <w:rPr>
      <w:rFonts w:cstheme="majorBidi"/>
      <w:szCs w:val="20"/>
    </w:rPr>
  </w:style>
  <w:style w:type="paragraph" w:customStyle="1" w:styleId="affa">
    <w:name w:val="论文_表格内容"/>
    <w:basedOn w:val="a3"/>
    <w:qFormat/>
    <w:pPr>
      <w:ind w:firstLine="0"/>
      <w:jc w:val="center"/>
    </w:pPr>
    <w:rPr>
      <w:sz w:val="18"/>
      <w:szCs w:val="18"/>
    </w:rPr>
  </w:style>
  <w:style w:type="table" w:customStyle="1" w:styleId="110">
    <w:name w:val="表格11"/>
    <w:basedOn w:val="a1"/>
    <w:uiPriority w:val="99"/>
    <w:qFormat/>
    <w:pPr>
      <w:spacing w:before="60" w:after="60"/>
      <w:jc w:val="center"/>
    </w:pPr>
    <w:rPr>
      <w:szCs w:val="22"/>
    </w:rPr>
    <w:tblPr>
      <w:jc w:val="center"/>
      <w:tblBorders>
        <w:top w:val="single" w:sz="12" w:space="0" w:color="auto"/>
        <w:bottom w:val="single" w:sz="12" w:space="0" w:color="auto"/>
      </w:tblBorders>
    </w:tblPr>
    <w:trPr>
      <w:jc w:val="center"/>
    </w:trPr>
    <w:tblStylePr w:type="firstRow">
      <w:rPr>
        <w:b/>
      </w:rPr>
      <w:tblPr/>
      <w:tcPr>
        <w:tcBorders>
          <w:top w:val="single" w:sz="12" w:space="0" w:color="auto"/>
          <w:left w:val="nil"/>
          <w:bottom w:val="single" w:sz="8" w:space="0" w:color="auto"/>
          <w:right w:val="nil"/>
          <w:insideH w:val="nil"/>
          <w:insideV w:val="nil"/>
          <w:tl2br w:val="nil"/>
          <w:tr2bl w:val="nil"/>
        </w:tcBorders>
      </w:tcPr>
    </w:tblStylePr>
  </w:style>
  <w:style w:type="paragraph" w:customStyle="1" w:styleId="affb">
    <w:name w:val="表注"/>
    <w:basedOn w:val="a"/>
    <w:pPr>
      <w:ind w:firstLineChars="0" w:firstLine="0"/>
      <w:jc w:val="center"/>
    </w:pPr>
    <w:rPr>
      <w:rFonts w:cstheme="majorBidi"/>
      <w:szCs w:val="20"/>
    </w:rPr>
  </w:style>
  <w:style w:type="table" w:customStyle="1" w:styleId="affc">
    <w:name w:val="三线表"/>
    <w:basedOn w:val="af1"/>
    <w:uiPriority w:val="99"/>
    <w:qFormat/>
    <w:tblPr>
      <w:tblBorders>
        <w:top w:val="single" w:sz="12" w:space="0" w:color="auto"/>
        <w:left w:val="none" w:sz="0" w:space="0" w:color="auto"/>
        <w:bottom w:val="single" w:sz="12" w:space="0" w:color="auto"/>
        <w:right w:val="none" w:sz="0" w:space="0" w:color="auto"/>
        <w:insideH w:val="none" w:sz="0" w:space="0" w:color="auto"/>
        <w:insideV w:val="none" w:sz="0" w:space="0" w:color="auto"/>
      </w:tblBorders>
    </w:tblPr>
    <w:tblStylePr w:type="firstRow">
      <w:tblPr/>
      <w:tcPr>
        <w:tcBorders>
          <w:top w:val="single" w:sz="12" w:space="0" w:color="auto"/>
          <w:left w:val="nil"/>
          <w:bottom w:val="single" w:sz="8" w:space="0" w:color="auto"/>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6B773C-D318-42FB-89A5-A3E60751EC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4321</TotalTime>
  <Pages>11</Pages>
  <Words>3287</Words>
  <Characters>18740</Characters>
  <Application>Microsoft Office Word</Application>
  <DocSecurity>0</DocSecurity>
  <Lines>156</Lines>
  <Paragraphs>43</Paragraphs>
  <ScaleCrop>false</ScaleCrop>
  <Company/>
  <LinksUpToDate>false</LinksUpToDate>
  <CharactersWithSpaces>21984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邢凤岭(2023210155)</dc:creator>
  <cp:lastModifiedBy>yh X</cp:lastModifiedBy>
  <cp:revision>125</cp:revision>
  <cp:lastPrinted>2025-05-27T09:04:00Z</cp:lastPrinted>
  <dcterms:created xsi:type="dcterms:W3CDTF">2025-04-29T01:02:00Z</dcterms:created>
  <dcterms:modified xsi:type="dcterms:W3CDTF">2026-05-20T06:11:00Z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A4DAE97C268C4D0C9B9D9D8DAA6245A5_11</vt:lpwstr>
  </property>
  <property fmtid="{D5CDD505-2E9C-101B-9397-08002B2CF9AE}" pid="4" name="KSOTemplateDocerSaveRecord">
    <vt:lpwstr>eyJoZGlkIjoiMGZmYWRhZjgxMTcyNzNhYTU0MjQ2NWUzZmE0YTIzZTMiLCJ1c2VySWQiOiIxNjgzMDcwNTUzIn0=</vt:lpwstr>
  </property>
</Properties>
</file>