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77777777" w:rsidR="00F1691B" w:rsidRDefault="00000000">
      <w:pPr>
        <w:widowControl/>
        <w:spacing w:line="240" w:lineRule="atLeast"/>
        <w:jc w:val="center"/>
        <w:outlineLvl w:val="0"/>
        <w:rPr>
          <w:rFonts w:eastAsiaTheme="majorEastAsia" w:cs="Times New Roman"/>
          <w:b/>
          <w:bCs/>
          <w:kern w:val="0"/>
          <w:sz w:val="44"/>
          <w:szCs w:val="44"/>
        </w:rPr>
      </w:pPr>
      <w:r>
        <w:rPr>
          <w:rFonts w:eastAsiaTheme="majorEastAsia" w:cs="Times New Roman" w:hint="eastAsia"/>
          <w:b/>
          <w:bCs/>
          <w:kern w:val="0"/>
          <w:sz w:val="44"/>
          <w:szCs w:val="44"/>
        </w:rPr>
        <w:t>基于激光散射和消光的烟雾甲烷复合探测</w:t>
      </w:r>
    </w:p>
    <w:p w14:paraId="17BAD36F" w14:textId="776381B4" w:rsidR="00F1691B" w:rsidRDefault="00000000">
      <w:pPr>
        <w:widowControl/>
        <w:spacing w:line="240" w:lineRule="atLeast"/>
        <w:rPr>
          <w:rFonts w:cs="Times New Roman"/>
          <w:kern w:val="0"/>
          <w:szCs w:val="21"/>
        </w:rPr>
      </w:pPr>
      <w:r>
        <w:rPr>
          <w:rFonts w:eastAsia="黑体" w:cs="Times New Roman"/>
          <w:kern w:val="0"/>
          <w:szCs w:val="21"/>
        </w:rPr>
        <w:t>摘</w:t>
      </w:r>
      <w:r>
        <w:rPr>
          <w:rFonts w:eastAsia="黑体" w:cs="Times New Roman"/>
          <w:kern w:val="0"/>
          <w:szCs w:val="21"/>
        </w:rPr>
        <w:t xml:space="preserve"> </w:t>
      </w:r>
      <w:r>
        <w:rPr>
          <w:rFonts w:eastAsia="黑体" w:cs="Times New Roman"/>
          <w:kern w:val="0"/>
          <w:szCs w:val="21"/>
        </w:rPr>
        <w:t>要</w:t>
      </w:r>
      <w:r>
        <w:rPr>
          <w:rFonts w:cs="Times New Roman"/>
          <w:kern w:val="0"/>
          <w:szCs w:val="21"/>
        </w:rPr>
        <w:t>：</w:t>
      </w:r>
      <w:r>
        <w:rPr>
          <w:rFonts w:cs="Times New Roman" w:hint="eastAsia"/>
          <w:kern w:val="0"/>
          <w:szCs w:val="21"/>
        </w:rPr>
        <w:t>在居民厨房、餐饮场所及化工厂车间等复杂环境中，火灾烟雾与可燃气体泄漏风险常伴生，对监测提出了更高要求。现有探测器大多基于单一原理，仅能应对单一风险，难以满足复合场景的精准预警；多传感器组合虽可实现多目标监测，但存在成本高和集成度低等问题。为实现火灾与燃气风险的复合监测预警，本文提出一种基于</w:t>
      </w:r>
      <w:r>
        <w:rPr>
          <w:rFonts w:cs="Times New Roman" w:hint="eastAsia"/>
          <w:kern w:val="0"/>
          <w:szCs w:val="21"/>
        </w:rPr>
        <w:t>1</w:t>
      </w:r>
      <w:r w:rsidR="00381A43">
        <w:rPr>
          <w:rFonts w:cs="Times New Roman" w:hint="eastAsia"/>
          <w:kern w:val="0"/>
          <w:szCs w:val="21"/>
        </w:rPr>
        <w:t xml:space="preserve"> </w:t>
      </w:r>
      <w:r>
        <w:rPr>
          <w:rFonts w:cs="Times New Roman" w:hint="eastAsia"/>
          <w:kern w:val="0"/>
          <w:szCs w:val="21"/>
        </w:rPr>
        <w:t>653nm</w:t>
      </w:r>
      <w:r>
        <w:rPr>
          <w:rFonts w:cs="Times New Roman" w:hint="eastAsia"/>
          <w:kern w:val="0"/>
          <w:szCs w:val="21"/>
        </w:rPr>
        <w:t>散射</w:t>
      </w:r>
      <w:r>
        <w:rPr>
          <w:rFonts w:cs="Times New Roman" w:hint="eastAsia"/>
          <w:kern w:val="0"/>
          <w:szCs w:val="21"/>
        </w:rPr>
        <w:t>-</w:t>
      </w:r>
      <w:r>
        <w:rPr>
          <w:rFonts w:cs="Times New Roman" w:hint="eastAsia"/>
          <w:kern w:val="0"/>
          <w:szCs w:val="21"/>
        </w:rPr>
        <w:t>消光复合信号的复合探测方法，研制了新型单激光光源烟雾甲烷复合探测器。该探测器采用多反射镜与十字交叉光路设计，相较对射式设计实现</w:t>
      </w:r>
      <w:r>
        <w:rPr>
          <w:rFonts w:cs="Times New Roman" w:hint="eastAsia"/>
          <w:kern w:val="0"/>
          <w:szCs w:val="21"/>
        </w:rPr>
        <w:t>6</w:t>
      </w:r>
      <w:r>
        <w:rPr>
          <w:rFonts w:cs="Times New Roman" w:hint="eastAsia"/>
          <w:kern w:val="0"/>
          <w:szCs w:val="21"/>
        </w:rPr>
        <w:t>倍吸收光程与</w:t>
      </w:r>
      <w:r>
        <w:rPr>
          <w:rFonts w:cs="Times New Roman" w:hint="eastAsia"/>
          <w:kern w:val="0"/>
          <w:szCs w:val="21"/>
        </w:rPr>
        <w:t>4</w:t>
      </w:r>
      <w:r>
        <w:rPr>
          <w:rFonts w:cs="Times New Roman" w:hint="eastAsia"/>
          <w:kern w:val="0"/>
          <w:szCs w:val="21"/>
        </w:rPr>
        <w:t>倍散射信号增强；实验表明，其甲烷</w:t>
      </w:r>
      <w:r w:rsidR="00452DB9">
        <w:rPr>
          <w:rFonts w:cs="Times New Roman" w:hint="eastAsia"/>
          <w:kern w:val="0"/>
          <w:szCs w:val="21"/>
        </w:rPr>
        <w:t>体积分数</w:t>
      </w:r>
      <w:r>
        <w:rPr>
          <w:rFonts w:cs="Times New Roman" w:hint="eastAsia"/>
          <w:kern w:val="0"/>
          <w:szCs w:val="21"/>
        </w:rPr>
        <w:t>探测下限达</w:t>
      </w:r>
      <w:r w:rsidR="00452DB9">
        <w:rPr>
          <w:rFonts w:cs="Times New Roman" w:hint="eastAsia"/>
          <w:kern w:val="0"/>
          <w:szCs w:val="21"/>
        </w:rPr>
        <w:t>0.008 %</w:t>
      </w:r>
      <w:r>
        <w:rPr>
          <w:rFonts w:cs="Times New Roman" w:hint="eastAsia"/>
          <w:kern w:val="0"/>
          <w:szCs w:val="21"/>
        </w:rPr>
        <w:t>、烟雾探测下限达</w:t>
      </w:r>
      <w:r>
        <w:rPr>
          <w:rFonts w:cs="Times New Roman" w:hint="eastAsia"/>
          <w:kern w:val="0"/>
          <w:szCs w:val="21"/>
        </w:rPr>
        <w:t>0.05dB/m</w:t>
      </w:r>
      <w:r>
        <w:rPr>
          <w:rFonts w:cs="Times New Roman" w:hint="eastAsia"/>
          <w:kern w:val="0"/>
          <w:szCs w:val="21"/>
        </w:rPr>
        <w:t>，具备高精度的烟雾与甲烷复合探测能力。</w:t>
      </w:r>
    </w:p>
    <w:p w14:paraId="5B8A5061" w14:textId="77777777" w:rsidR="00F1691B" w:rsidRDefault="00000000">
      <w:pPr>
        <w:widowControl/>
        <w:spacing w:line="240" w:lineRule="atLeast"/>
        <w:rPr>
          <w:rFonts w:cs="Times New Roman"/>
          <w:kern w:val="0"/>
          <w:szCs w:val="21"/>
        </w:rPr>
      </w:pPr>
      <w:r>
        <w:rPr>
          <w:rFonts w:eastAsia="黑体" w:cs="Times New Roman"/>
          <w:kern w:val="0"/>
          <w:szCs w:val="21"/>
        </w:rPr>
        <w:t>关键词：</w:t>
      </w:r>
      <w:r>
        <w:rPr>
          <w:rFonts w:cs="Times New Roman" w:hint="eastAsia"/>
          <w:kern w:val="0"/>
          <w:szCs w:val="21"/>
        </w:rPr>
        <w:t>复合探测；火灾烟雾探测</w:t>
      </w:r>
      <w:r>
        <w:rPr>
          <w:rFonts w:cs="Times New Roman"/>
          <w:kern w:val="0"/>
          <w:szCs w:val="21"/>
        </w:rPr>
        <w:t>；</w:t>
      </w:r>
      <w:r>
        <w:rPr>
          <w:rFonts w:cs="Times New Roman" w:hint="eastAsia"/>
          <w:kern w:val="0"/>
          <w:szCs w:val="21"/>
        </w:rPr>
        <w:t>甲烷探测</w:t>
      </w:r>
      <w:r>
        <w:rPr>
          <w:rFonts w:cs="Times New Roman"/>
          <w:kern w:val="0"/>
          <w:szCs w:val="21"/>
        </w:rPr>
        <w:t>；</w:t>
      </w:r>
      <w:r>
        <w:rPr>
          <w:rFonts w:cs="Times New Roman" w:hint="eastAsia"/>
          <w:kern w:val="0"/>
          <w:szCs w:val="21"/>
        </w:rPr>
        <w:t>激光探测</w:t>
      </w:r>
    </w:p>
    <w:p w14:paraId="3E292701" w14:textId="77777777" w:rsidR="00F1691B" w:rsidRDefault="00000000">
      <w:pPr>
        <w:widowControl/>
        <w:spacing w:line="240" w:lineRule="atLeast"/>
        <w:rPr>
          <w:rFonts w:cs="Times New Roman"/>
          <w:bCs/>
          <w:color w:val="FF0000"/>
          <w:kern w:val="0"/>
          <w:szCs w:val="21"/>
        </w:rPr>
      </w:pPr>
      <w:r>
        <w:rPr>
          <w:rFonts w:eastAsia="黑体" w:cs="Times New Roman"/>
          <w:kern w:val="0"/>
          <w:szCs w:val="21"/>
        </w:rPr>
        <w:t>中图分类号：</w:t>
      </w:r>
      <w:r>
        <w:rPr>
          <w:rFonts w:cs="Times New Roman"/>
          <w:kern w:val="0"/>
          <w:szCs w:val="21"/>
        </w:rPr>
        <w:t xml:space="preserve">TN215    </w:t>
      </w:r>
      <w:r>
        <w:rPr>
          <w:rFonts w:eastAsia="黑体" w:cs="Times New Roman"/>
          <w:kern w:val="0"/>
          <w:szCs w:val="21"/>
        </w:rPr>
        <w:t>文献标志码：</w:t>
      </w:r>
      <w:r>
        <w:rPr>
          <w:rFonts w:eastAsia="黑体" w:cs="Times New Roman" w:hint="eastAsia"/>
          <w:kern w:val="0"/>
          <w:szCs w:val="21"/>
        </w:rPr>
        <w:t>A</w:t>
      </w:r>
    </w:p>
    <w:p w14:paraId="1E30E2C5" w14:textId="77777777" w:rsidR="00F1691B" w:rsidRDefault="00F1691B">
      <w:pPr>
        <w:widowControl/>
        <w:spacing w:line="240" w:lineRule="atLeast"/>
        <w:rPr>
          <w:rFonts w:cs="Times New Roman"/>
          <w:color w:val="FF0000"/>
          <w:kern w:val="0"/>
          <w:szCs w:val="21"/>
        </w:rPr>
      </w:pPr>
    </w:p>
    <w:p w14:paraId="3280F036" w14:textId="77777777" w:rsidR="00F1691B" w:rsidRDefault="00F1691B">
      <w:pPr>
        <w:widowControl/>
        <w:spacing w:line="240" w:lineRule="atLeast"/>
        <w:rPr>
          <w:rFonts w:eastAsiaTheme="majorEastAsia" w:cs="Times New Roman"/>
          <w:color w:val="FF0000"/>
          <w:kern w:val="0"/>
          <w:szCs w:val="21"/>
        </w:rPr>
        <w:sectPr w:rsidR="00F1691B">
          <w:footerReference w:type="first" r:id="rId16"/>
          <w:type w:val="continuous"/>
          <w:pgSz w:w="11906" w:h="16838"/>
          <w:pgMar w:top="1440" w:right="1106" w:bottom="1440" w:left="1106" w:header="851" w:footer="1474" w:gutter="0"/>
          <w:cols w:space="0"/>
          <w:titlePg/>
          <w:docGrid w:type="linesAndChars" w:linePitch="312"/>
        </w:sectPr>
      </w:pPr>
    </w:p>
    <w:p w14:paraId="503B990E" w14:textId="5CA5493F" w:rsidR="00F1691B" w:rsidRDefault="00000000">
      <w:pPr>
        <w:widowControl/>
        <w:spacing w:line="240" w:lineRule="atLeast"/>
        <w:ind w:firstLineChars="200" w:firstLine="420"/>
        <w:rPr>
          <w:rFonts w:cs="Times New Roman"/>
          <w:kern w:val="0"/>
          <w:szCs w:val="21"/>
        </w:rPr>
      </w:pPr>
      <w:r>
        <w:rPr>
          <w:rFonts w:hint="eastAsia"/>
        </w:rPr>
        <w:t>近年来，</w:t>
      </w:r>
      <w:r>
        <w:rPr>
          <w:rFonts w:cs="Times New Roman" w:hint="eastAsia"/>
          <w:kern w:val="0"/>
          <w:szCs w:val="21"/>
        </w:rPr>
        <w:t>火灾与燃气泄漏风险在生产和生活场景中愈发突出。</w:t>
      </w:r>
      <w:r>
        <w:rPr>
          <w:rFonts w:hint="eastAsia"/>
        </w:rPr>
        <w:t>2024</w:t>
      </w:r>
      <w:r>
        <w:rPr>
          <w:rFonts w:hint="eastAsia"/>
        </w:rPr>
        <w:t>年，全国消防救援队伍接报建构筑物火灾</w:t>
      </w:r>
      <w:r>
        <w:rPr>
          <w:rFonts w:hint="eastAsia"/>
        </w:rPr>
        <w:t>39.1</w:t>
      </w:r>
      <w:r>
        <w:rPr>
          <w:rFonts w:hint="eastAsia"/>
        </w:rPr>
        <w:t>万起，其中居住场所火灾占比</w:t>
      </w:r>
      <w:r>
        <w:rPr>
          <w:rFonts w:hint="eastAsia"/>
        </w:rPr>
        <w:t>79%</w:t>
      </w:r>
      <w:r>
        <w:rPr>
          <w:rFonts w:cs="Times New Roman"/>
          <w:kern w:val="0"/>
          <w:vertAlign w:val="superscript"/>
        </w:rPr>
        <w:t>[1]</w:t>
      </w:r>
      <w:r>
        <w:rPr>
          <w:rFonts w:hint="eastAsia"/>
        </w:rPr>
        <w:t>；</w:t>
      </w:r>
      <w:r>
        <w:rPr>
          <w:rFonts w:hint="eastAsia"/>
        </w:rPr>
        <w:t>2024</w:t>
      </w:r>
      <w:r>
        <w:rPr>
          <w:rFonts w:hint="eastAsia"/>
        </w:rPr>
        <w:t>年上半年，中国城市燃气协会统计燃气事故</w:t>
      </w:r>
      <w:r>
        <w:rPr>
          <w:rFonts w:hint="eastAsia"/>
        </w:rPr>
        <w:t>181</w:t>
      </w:r>
      <w:r>
        <w:rPr>
          <w:rFonts w:hint="eastAsia"/>
        </w:rPr>
        <w:t>起</w:t>
      </w:r>
      <w:r>
        <w:rPr>
          <w:rFonts w:cs="Times New Roman"/>
          <w:kern w:val="0"/>
          <w:vertAlign w:val="superscript"/>
        </w:rPr>
        <w:t>[2]</w:t>
      </w:r>
      <w:r>
        <w:rPr>
          <w:rFonts w:hint="eastAsia"/>
        </w:rPr>
        <w:t>，其中</w:t>
      </w:r>
      <w:r>
        <w:rPr>
          <w:rFonts w:hint="eastAsia"/>
        </w:rPr>
        <w:t>2024</w:t>
      </w:r>
      <w:r>
        <w:rPr>
          <w:rFonts w:hint="eastAsia"/>
        </w:rPr>
        <w:t>年廊坊市“</w:t>
      </w:r>
      <w:r>
        <w:rPr>
          <w:rFonts w:hint="eastAsia"/>
        </w:rPr>
        <w:t>3</w:t>
      </w:r>
      <w:r>
        <w:rPr>
          <w:rFonts w:hint="eastAsia"/>
        </w:rPr>
        <w:t>·</w:t>
      </w:r>
      <w:r>
        <w:rPr>
          <w:rFonts w:hint="eastAsia"/>
        </w:rPr>
        <w:t>13</w:t>
      </w:r>
      <w:r>
        <w:rPr>
          <w:rFonts w:hint="eastAsia"/>
        </w:rPr>
        <w:t>”燃气爆炸事故造成</w:t>
      </w:r>
      <w:r>
        <w:rPr>
          <w:rFonts w:hint="eastAsia"/>
        </w:rPr>
        <w:t>34</w:t>
      </w:r>
      <w:r>
        <w:rPr>
          <w:rFonts w:hint="eastAsia"/>
        </w:rPr>
        <w:t>人伤亡。这些事件表明，居民厨房、餐饮场所等典型环境中火灾与燃气风险常伴生并存。现有探测器多针对单一物质（如感烟探测器或甲烷探测器），难以实现对多种风险的同步预警；而依赖多个探测器协同又面临体积大、成本高和集成度低等问题。因此，亟需开发新型复合探测器，以提升复杂场景下的监测与预警能力。</w:t>
      </w:r>
    </w:p>
    <w:p w14:paraId="6AB73E11" w14:textId="5CA2E035" w:rsidR="00F1691B" w:rsidRDefault="00000000">
      <w:pPr>
        <w:widowControl/>
        <w:spacing w:line="240" w:lineRule="atLeast"/>
        <w:ind w:firstLineChars="200" w:firstLine="420"/>
        <w:rPr>
          <w:rFonts w:cs="Times New Roman"/>
          <w:szCs w:val="21"/>
        </w:rPr>
      </w:pPr>
      <w:r>
        <w:rPr>
          <w:rFonts w:cs="Times New Roman" w:hint="eastAsia"/>
          <w:szCs w:val="21"/>
        </w:rPr>
        <w:t>在甲烷探测方面，激光气体</w:t>
      </w:r>
      <w:proofErr w:type="gramStart"/>
      <w:r>
        <w:rPr>
          <w:rFonts w:cs="Times New Roman" w:hint="eastAsia"/>
          <w:szCs w:val="21"/>
        </w:rPr>
        <w:t>探测因</w:t>
      </w:r>
      <w:proofErr w:type="gramEnd"/>
      <w:r>
        <w:rPr>
          <w:rFonts w:cs="Times New Roman" w:hint="eastAsia"/>
          <w:szCs w:val="21"/>
        </w:rPr>
        <w:t>其精度高、选择性强的优势得到广泛关注。刘云龙等</w:t>
      </w:r>
      <w:r w:rsidR="00C457FA" w:rsidRPr="00C457FA">
        <w:rPr>
          <w:rFonts w:cs="Times New Roman"/>
          <w:kern w:val="0"/>
          <w:vertAlign w:val="superscript"/>
        </w:rPr>
        <w:t>[3]</w:t>
      </w:r>
      <w:r w:rsidR="00C457FA">
        <w:rPr>
          <w:rFonts w:cs="Times New Roman" w:hint="eastAsia"/>
          <w:szCs w:val="21"/>
        </w:rPr>
        <w:t>采用可调谐二极管激光吸收光谱技术（</w:t>
      </w:r>
      <w:r w:rsidR="00C457FA">
        <w:rPr>
          <w:rFonts w:cs="Times New Roman" w:hint="eastAsia"/>
          <w:szCs w:val="21"/>
        </w:rPr>
        <w:t>Tunable Diode Laser Absorption Spectroscopy, TDLAS</w:t>
      </w:r>
      <w:r w:rsidR="00C457FA">
        <w:rPr>
          <w:rFonts w:cs="Times New Roman" w:hint="eastAsia"/>
          <w:szCs w:val="21"/>
        </w:rPr>
        <w:t>），结合直接吸收光谱技术（</w:t>
      </w:r>
      <w:r w:rsidR="00C457FA">
        <w:rPr>
          <w:rFonts w:cs="Times New Roman"/>
          <w:szCs w:val="21"/>
        </w:rPr>
        <w:t>Direct Absorption Spectroscopy</w:t>
      </w:r>
      <w:r w:rsidR="00C457FA">
        <w:rPr>
          <w:rFonts w:cs="Times New Roman" w:hint="eastAsia"/>
          <w:szCs w:val="21"/>
        </w:rPr>
        <w:t>, DAS</w:t>
      </w:r>
      <w:r w:rsidR="00C457FA">
        <w:rPr>
          <w:rFonts w:cs="Times New Roman" w:hint="eastAsia"/>
          <w:szCs w:val="21"/>
        </w:rPr>
        <w:t>）和波长调制光谱技术（</w:t>
      </w:r>
      <w:r w:rsidR="00C457FA">
        <w:rPr>
          <w:rFonts w:cs="Times New Roman" w:hint="eastAsia"/>
          <w:szCs w:val="21"/>
        </w:rPr>
        <w:t>Wavelength-Modulation Spectroscopy, WMS</w:t>
      </w:r>
      <w:r w:rsidR="00C457FA">
        <w:rPr>
          <w:rFonts w:cs="Times New Roman" w:hint="eastAsia"/>
          <w:szCs w:val="21"/>
        </w:rPr>
        <w:t>）</w:t>
      </w:r>
      <w:r>
        <w:rPr>
          <w:rFonts w:cs="Times New Roman" w:hint="eastAsia"/>
          <w:szCs w:val="21"/>
        </w:rPr>
        <w:t>的基础上加入数据融合算法，有效降低了系统的均方根误差；</w:t>
      </w:r>
      <w:r w:rsidR="00C457FA">
        <w:rPr>
          <w:rFonts w:cs="Times New Roman" w:hint="eastAsia"/>
          <w:szCs w:val="21"/>
        </w:rPr>
        <w:t>赵晓虎等</w:t>
      </w:r>
      <w:r w:rsidR="00C457FA" w:rsidRPr="00C457FA">
        <w:rPr>
          <w:rFonts w:cs="Times New Roman"/>
          <w:kern w:val="0"/>
          <w:vertAlign w:val="superscript"/>
        </w:rPr>
        <w:t>[4]</w:t>
      </w:r>
      <w:r w:rsidR="00C457FA">
        <w:rPr>
          <w:rFonts w:cs="Times New Roman" w:hint="eastAsia"/>
          <w:szCs w:val="21"/>
        </w:rPr>
        <w:t>基于时分复用方法，优化吸光度拐点，结合</w:t>
      </w:r>
      <w:r w:rsidR="00C457FA">
        <w:rPr>
          <w:rFonts w:cs="Times New Roman" w:hint="eastAsia"/>
          <w:szCs w:val="21"/>
        </w:rPr>
        <w:t>DAS/WMS</w:t>
      </w:r>
      <w:r w:rsidR="00C457FA">
        <w:rPr>
          <w:rFonts w:cs="Times New Roman" w:hint="eastAsia"/>
          <w:szCs w:val="21"/>
        </w:rPr>
        <w:t>实现高精度、宽量程免标定设计。结合</w:t>
      </w:r>
      <w:r w:rsidR="00C457FA">
        <w:rPr>
          <w:rFonts w:cs="Times New Roman" w:hint="eastAsia"/>
          <w:szCs w:val="21"/>
        </w:rPr>
        <w:t>WMS</w:t>
      </w:r>
      <w:r w:rsidR="00C457FA">
        <w:rPr>
          <w:rFonts w:cs="Times New Roman" w:hint="eastAsia"/>
          <w:szCs w:val="21"/>
        </w:rPr>
        <w:t>和</w:t>
      </w:r>
      <w:r w:rsidR="00C457FA">
        <w:rPr>
          <w:rFonts w:cs="Times New Roman" w:hint="eastAsia"/>
          <w:szCs w:val="21"/>
        </w:rPr>
        <w:t>DAS</w:t>
      </w:r>
      <w:r w:rsidR="00C457FA">
        <w:rPr>
          <w:rFonts w:cs="Times New Roman" w:hint="eastAsia"/>
          <w:szCs w:val="21"/>
        </w:rPr>
        <w:t>方法的</w:t>
      </w:r>
      <w:r>
        <w:rPr>
          <w:rFonts w:cs="Times New Roman" w:hint="eastAsia"/>
          <w:szCs w:val="21"/>
        </w:rPr>
        <w:t>激光燃气探测</w:t>
      </w:r>
      <w:r w:rsidR="00D41A70">
        <w:rPr>
          <w:rFonts w:cs="Times New Roman" w:hint="eastAsia"/>
          <w:szCs w:val="21"/>
        </w:rPr>
        <w:t>为高精度甲烷探测提供了有效技术手段。</w:t>
      </w:r>
    </w:p>
    <w:p w14:paraId="39781DC1" w14:textId="1372B46C" w:rsidR="00F1691B" w:rsidRDefault="00000000">
      <w:pPr>
        <w:widowControl/>
        <w:spacing w:line="240" w:lineRule="atLeast"/>
        <w:ind w:firstLineChars="200" w:firstLine="420"/>
        <w:rPr>
          <w:rFonts w:cs="Times New Roman"/>
          <w:szCs w:val="21"/>
        </w:rPr>
      </w:pPr>
      <w:r>
        <w:rPr>
          <w:rFonts w:cs="Times New Roman" w:hint="eastAsia"/>
          <w:szCs w:val="21"/>
        </w:rPr>
        <w:t>在火灾早期探测方面，基于烟雾散射的光学测量方法是主要技术路线。</w:t>
      </w:r>
      <w:r>
        <w:rPr>
          <w:rFonts w:cs="Times New Roman" w:hint="eastAsia"/>
          <w:szCs w:val="21"/>
        </w:rPr>
        <w:t>Chaudhry</w:t>
      </w:r>
      <w:r>
        <w:rPr>
          <w:rFonts w:cs="Times New Roman" w:hint="eastAsia"/>
          <w:szCs w:val="21"/>
        </w:rPr>
        <w:t>等</w:t>
      </w:r>
      <w:r w:rsidR="00C457FA" w:rsidRPr="00C457FA">
        <w:rPr>
          <w:rFonts w:cs="Times New Roman"/>
          <w:kern w:val="0"/>
          <w:vertAlign w:val="superscript"/>
        </w:rPr>
        <w:t>[5]</w:t>
      </w:r>
      <w:r>
        <w:rPr>
          <w:rFonts w:cs="Times New Roman" w:hint="eastAsia"/>
          <w:szCs w:val="21"/>
        </w:rPr>
        <w:t>测量了不同波长气溶胶颗粒的消光和散射信号，采用机器学习算法对火灾和非火灾烟雾颗粒进行识别；</w:t>
      </w:r>
      <w:r>
        <w:rPr>
          <w:rFonts w:cs="Times New Roman" w:hint="eastAsia"/>
          <w:szCs w:val="21"/>
        </w:rPr>
        <w:t>Li</w:t>
      </w:r>
      <w:r>
        <w:rPr>
          <w:rFonts w:cs="Times New Roman" w:hint="eastAsia"/>
          <w:szCs w:val="21"/>
        </w:rPr>
        <w:t>等</w:t>
      </w:r>
      <w:r w:rsidR="00C457FA" w:rsidRPr="00C457FA">
        <w:rPr>
          <w:rFonts w:cs="Times New Roman"/>
          <w:kern w:val="0"/>
          <w:vertAlign w:val="superscript"/>
        </w:rPr>
        <w:t>[6]</w:t>
      </w:r>
      <w:r>
        <w:rPr>
          <w:rFonts w:cs="Times New Roman" w:hint="eastAsia"/>
          <w:szCs w:val="21"/>
        </w:rPr>
        <w:t>在双波长的基础上，同时利用散射和消光信号对烟雾</w:t>
      </w:r>
      <w:r>
        <w:rPr>
          <w:rFonts w:cs="Times New Roman" w:hint="eastAsia"/>
          <w:szCs w:val="21"/>
        </w:rPr>
        <w:t>种类进行辨识；</w:t>
      </w:r>
      <w:r>
        <w:rPr>
          <w:rFonts w:cs="Times New Roman" w:hint="eastAsia"/>
          <w:szCs w:val="21"/>
        </w:rPr>
        <w:t>Xiao</w:t>
      </w:r>
      <w:r>
        <w:rPr>
          <w:rFonts w:cs="Times New Roman" w:hint="eastAsia"/>
          <w:szCs w:val="21"/>
        </w:rPr>
        <w:t>等</w:t>
      </w:r>
      <w:r w:rsidR="00C457FA" w:rsidRPr="00C457FA">
        <w:rPr>
          <w:rFonts w:cs="Times New Roman"/>
          <w:kern w:val="0"/>
          <w:vertAlign w:val="superscript"/>
        </w:rPr>
        <w:t>[7,8]</w:t>
      </w:r>
      <w:r>
        <w:rPr>
          <w:rFonts w:cs="Times New Roman" w:hint="eastAsia"/>
          <w:szCs w:val="21"/>
        </w:rPr>
        <w:t>采用三个不同波长的散射信号反演气溶胶粒径分布，降低误报率</w:t>
      </w:r>
      <w:r w:rsidR="00D41A70">
        <w:rPr>
          <w:rFonts w:cs="Times New Roman" w:hint="eastAsia"/>
          <w:szCs w:val="21"/>
        </w:rPr>
        <w:t>。</w:t>
      </w:r>
    </w:p>
    <w:p w14:paraId="48211E8C" w14:textId="19269127" w:rsidR="00F1691B" w:rsidRDefault="00000000">
      <w:pPr>
        <w:widowControl/>
        <w:spacing w:line="240" w:lineRule="atLeast"/>
        <w:ind w:firstLineChars="200" w:firstLine="420"/>
        <w:rPr>
          <w:rFonts w:cs="Times New Roman"/>
          <w:szCs w:val="21"/>
        </w:rPr>
      </w:pPr>
      <w:r>
        <w:rPr>
          <w:rFonts w:cs="Times New Roman" w:hint="eastAsia"/>
          <w:szCs w:val="21"/>
        </w:rPr>
        <w:t>总体来看，现有研究在甲烷和烟雾探测方面均已有成熟技术手段，但大多针对单一物质开展，对</w:t>
      </w:r>
      <w:proofErr w:type="gramStart"/>
      <w:r>
        <w:rPr>
          <w:rFonts w:cs="Times New Roman" w:hint="eastAsia"/>
          <w:szCs w:val="21"/>
        </w:rPr>
        <w:t>多物质</w:t>
      </w:r>
      <w:proofErr w:type="gramEnd"/>
      <w:r>
        <w:rPr>
          <w:rFonts w:cs="Times New Roman" w:hint="eastAsia"/>
          <w:szCs w:val="21"/>
        </w:rPr>
        <w:t>复合探测的研究目前主要是多气体组分探测，研究者利用特定波段覆盖多种气体的吸收峰，再结合其他处理手段实现多组分探测</w:t>
      </w:r>
      <w:r w:rsidR="00C457FA">
        <w:rPr>
          <w:rFonts w:cs="Times New Roman" w:hint="eastAsia"/>
          <w:szCs w:val="21"/>
        </w:rPr>
        <w:t>，如</w:t>
      </w:r>
      <w:r>
        <w:rPr>
          <w:rFonts w:cs="Times New Roman" w:hint="eastAsia"/>
          <w:szCs w:val="21"/>
        </w:rPr>
        <w:t>Yu</w:t>
      </w:r>
      <w:r>
        <w:rPr>
          <w:rFonts w:cs="Times New Roman" w:hint="eastAsia"/>
          <w:szCs w:val="21"/>
        </w:rPr>
        <w:t>等</w:t>
      </w:r>
      <w:r w:rsidR="00C457FA" w:rsidRPr="00C457FA">
        <w:rPr>
          <w:rFonts w:cs="Times New Roman"/>
          <w:kern w:val="0"/>
          <w:vertAlign w:val="superscript"/>
        </w:rPr>
        <w:t>[9]</w:t>
      </w:r>
      <w:r>
        <w:rPr>
          <w:rFonts w:cs="Times New Roman" w:hint="eastAsia"/>
          <w:szCs w:val="21"/>
        </w:rPr>
        <w:t>利用</w:t>
      </w:r>
      <w:r>
        <w:rPr>
          <w:rFonts w:cs="Times New Roman" w:hint="eastAsia"/>
          <w:szCs w:val="21"/>
        </w:rPr>
        <w:t>2.3 µm</w:t>
      </w:r>
      <w:r>
        <w:rPr>
          <w:rFonts w:cs="Times New Roman" w:hint="eastAsia"/>
          <w:szCs w:val="21"/>
        </w:rPr>
        <w:t>激光器和</w:t>
      </w:r>
      <w:r>
        <w:rPr>
          <w:rFonts w:cs="Times New Roman" w:hint="eastAsia"/>
          <w:szCs w:val="21"/>
        </w:rPr>
        <w:t>25</w:t>
      </w:r>
      <w:r>
        <w:rPr>
          <w:rFonts w:cs="Times New Roman" w:hint="eastAsia"/>
          <w:szCs w:val="21"/>
        </w:rPr>
        <w:t>米光程的</w:t>
      </w:r>
      <w:r>
        <w:rPr>
          <w:rFonts w:cs="Times New Roman" w:hint="eastAsia"/>
          <w:szCs w:val="21"/>
        </w:rPr>
        <w:t>Herriott</w:t>
      </w:r>
      <w:proofErr w:type="gramStart"/>
      <w:r>
        <w:rPr>
          <w:rFonts w:cs="Times New Roman" w:hint="eastAsia"/>
          <w:szCs w:val="21"/>
        </w:rPr>
        <w:t>池实现</w:t>
      </w:r>
      <w:proofErr w:type="gramEnd"/>
      <w:r>
        <w:rPr>
          <w:rFonts w:cs="Times New Roman" w:hint="eastAsia"/>
          <w:szCs w:val="21"/>
        </w:rPr>
        <w:t>对</w:t>
      </w:r>
      <w:r>
        <w:rPr>
          <w:rFonts w:cs="Times New Roman" w:hint="eastAsia"/>
          <w:szCs w:val="21"/>
        </w:rPr>
        <w:t>CO</w:t>
      </w:r>
      <w:r>
        <w:rPr>
          <w:rFonts w:cs="Times New Roman" w:hint="eastAsia"/>
          <w:szCs w:val="21"/>
        </w:rPr>
        <w:t>和</w:t>
      </w:r>
      <w:r>
        <w:rPr>
          <w:rFonts w:cs="Times New Roman" w:hint="eastAsia"/>
          <w:szCs w:val="21"/>
        </w:rPr>
        <w:t>CH</w:t>
      </w:r>
      <w:r w:rsidRPr="006C305A">
        <w:rPr>
          <w:rFonts w:cs="Times New Roman"/>
          <w:szCs w:val="21"/>
          <w:vertAlign w:val="subscript"/>
        </w:rPr>
        <w:t>4</w:t>
      </w:r>
      <w:r>
        <w:rPr>
          <w:rFonts w:cs="Times New Roman" w:hint="eastAsia"/>
          <w:szCs w:val="21"/>
        </w:rPr>
        <w:t>气体的测量。对于烟雾与气体复合探测，</w:t>
      </w:r>
      <w:proofErr w:type="gramStart"/>
      <w:r w:rsidR="00D41A70" w:rsidRPr="00D41A70">
        <w:rPr>
          <w:rFonts w:cs="Times New Roman" w:hint="eastAsia"/>
          <w:szCs w:val="21"/>
        </w:rPr>
        <w:t>王殊等</w:t>
      </w:r>
      <w:proofErr w:type="gramEnd"/>
      <w:r w:rsidR="00C457FA" w:rsidRPr="00C457FA">
        <w:rPr>
          <w:rFonts w:cs="Times New Roman"/>
          <w:kern w:val="0"/>
          <w:vertAlign w:val="superscript"/>
        </w:rPr>
        <w:t>[10]</w:t>
      </w:r>
      <w:r w:rsidR="00B1776A">
        <w:rPr>
          <w:rFonts w:cs="Times New Roman" w:hint="eastAsia"/>
          <w:szCs w:val="21"/>
        </w:rPr>
        <w:t>结合</w:t>
      </w:r>
      <w:r w:rsidR="00B1776A" w:rsidRPr="00B1776A">
        <w:rPr>
          <w:rFonts w:cs="Times New Roman"/>
          <w:szCs w:val="21"/>
        </w:rPr>
        <w:t>CO</w:t>
      </w:r>
      <w:r w:rsidR="00B1776A" w:rsidRPr="00B1776A">
        <w:rPr>
          <w:rFonts w:cs="Times New Roman" w:hint="eastAsia"/>
          <w:szCs w:val="21"/>
        </w:rPr>
        <w:t>传感器、散射光烟雾探测和半导体温度传感器</w:t>
      </w:r>
      <w:r w:rsidR="00B1776A">
        <w:rPr>
          <w:rFonts w:cs="Times New Roman" w:hint="eastAsia"/>
          <w:szCs w:val="21"/>
        </w:rPr>
        <w:t>形成三</w:t>
      </w:r>
      <w:r w:rsidR="00B1776A" w:rsidRPr="00B1776A">
        <w:rPr>
          <w:rFonts w:cs="Times New Roman" w:hint="eastAsia"/>
          <w:szCs w:val="21"/>
        </w:rPr>
        <w:t>复合火灾探测器</w:t>
      </w:r>
      <w:r w:rsidR="00B1776A">
        <w:rPr>
          <w:rFonts w:cs="Times New Roman" w:hint="eastAsia"/>
          <w:szCs w:val="21"/>
        </w:rPr>
        <w:t>。</w:t>
      </w:r>
      <w:r>
        <w:rPr>
          <w:rFonts w:cs="Times New Roman" w:hint="eastAsia"/>
          <w:szCs w:val="21"/>
        </w:rPr>
        <w:t>现有的复合探测</w:t>
      </w:r>
      <w:r w:rsidR="00D41A70">
        <w:rPr>
          <w:rFonts w:cs="Times New Roman" w:hint="eastAsia"/>
          <w:szCs w:val="21"/>
        </w:rPr>
        <w:t>多为</w:t>
      </w:r>
      <w:r>
        <w:rPr>
          <w:rFonts w:cs="Times New Roman" w:hint="eastAsia"/>
          <w:szCs w:val="21"/>
        </w:rPr>
        <w:t>通过组合不同探测原理的探测器实现多目标探测，或是采用多个独立传感器组成探测系统实现对</w:t>
      </w:r>
      <w:proofErr w:type="gramStart"/>
      <w:r>
        <w:rPr>
          <w:rFonts w:cs="Times New Roman" w:hint="eastAsia"/>
          <w:szCs w:val="21"/>
        </w:rPr>
        <w:t>多物质</w:t>
      </w:r>
      <w:proofErr w:type="gramEnd"/>
      <w:r>
        <w:rPr>
          <w:rFonts w:cs="Times New Roman" w:hint="eastAsia"/>
          <w:szCs w:val="21"/>
        </w:rPr>
        <w:t>的探测，存在集成度低、成本高等问题。</w:t>
      </w:r>
    </w:p>
    <w:p w14:paraId="46D1EB6B" w14:textId="163CF376" w:rsidR="00C457FA" w:rsidRDefault="00000000" w:rsidP="006C305A">
      <w:pPr>
        <w:widowControl/>
        <w:spacing w:line="240" w:lineRule="atLeast"/>
        <w:rPr>
          <w:rFonts w:cs="Times New Roman"/>
          <w:szCs w:val="21"/>
        </w:rPr>
      </w:pPr>
      <w:r>
        <w:rPr>
          <w:rFonts w:cs="Times New Roman" w:hint="eastAsia"/>
          <w:szCs w:val="21"/>
        </w:rPr>
        <w:t>针对上述不足，本文提出一种基于</w:t>
      </w:r>
      <w:r>
        <w:rPr>
          <w:rFonts w:cs="Times New Roman" w:hint="eastAsia"/>
          <w:szCs w:val="21"/>
        </w:rPr>
        <w:t>1</w:t>
      </w:r>
      <w:r w:rsidR="00381A43">
        <w:rPr>
          <w:rFonts w:cs="Times New Roman" w:hint="eastAsia"/>
          <w:szCs w:val="21"/>
        </w:rPr>
        <w:t xml:space="preserve"> </w:t>
      </w:r>
      <w:r>
        <w:rPr>
          <w:rFonts w:cs="Times New Roman" w:hint="eastAsia"/>
          <w:szCs w:val="21"/>
        </w:rPr>
        <w:t>653nm</w:t>
      </w:r>
      <w:r>
        <w:rPr>
          <w:rFonts w:cs="Times New Roman" w:hint="eastAsia"/>
          <w:szCs w:val="21"/>
        </w:rPr>
        <w:t>散射消光复合信号的烟雾甲烷复合探测方法，能够在单一光源下同时解算烟雾与甲烷</w:t>
      </w:r>
      <w:r w:rsidR="00381A43" w:rsidRPr="00381A43">
        <w:rPr>
          <w:rFonts w:cs="Times New Roman" w:hint="eastAsia"/>
          <w:szCs w:val="21"/>
        </w:rPr>
        <w:t>体积分数</w:t>
      </w:r>
      <w:r>
        <w:rPr>
          <w:rFonts w:cs="Times New Roman" w:hint="eastAsia"/>
          <w:szCs w:val="21"/>
        </w:rPr>
        <w:t>，避免了多传感器技术路径的低集成度、高成本问题。在此基础上，设计了多反射镜与十字交叉光路结构，实现吸收光程</w:t>
      </w:r>
      <w:r>
        <w:rPr>
          <w:rFonts w:cs="Times New Roman" w:hint="eastAsia"/>
          <w:szCs w:val="21"/>
        </w:rPr>
        <w:t>6</w:t>
      </w:r>
      <w:r>
        <w:rPr>
          <w:rFonts w:cs="Times New Roman" w:hint="eastAsia"/>
          <w:szCs w:val="21"/>
        </w:rPr>
        <w:t>倍延长和散射信号</w:t>
      </w:r>
      <w:r>
        <w:rPr>
          <w:rFonts w:cs="Times New Roman" w:hint="eastAsia"/>
          <w:szCs w:val="21"/>
        </w:rPr>
        <w:t>4</w:t>
      </w:r>
      <w:r>
        <w:rPr>
          <w:rFonts w:cs="Times New Roman" w:hint="eastAsia"/>
          <w:szCs w:val="21"/>
        </w:rPr>
        <w:t>倍增强，从而显著提升信号质量。本文研制的新型烟雾甲烷复合探测器突破了传统</w:t>
      </w:r>
      <w:proofErr w:type="gramStart"/>
      <w:r>
        <w:rPr>
          <w:rFonts w:cs="Times New Roman" w:hint="eastAsia"/>
          <w:szCs w:val="21"/>
        </w:rPr>
        <w:t>单物质</w:t>
      </w:r>
      <w:proofErr w:type="gramEnd"/>
      <w:r>
        <w:rPr>
          <w:rFonts w:cs="Times New Roman" w:hint="eastAsia"/>
          <w:szCs w:val="21"/>
        </w:rPr>
        <w:t>探测的局限，为火灾燃气多风险复合场景下的精准预警提供了新的技术路径。</w:t>
      </w:r>
    </w:p>
    <w:p w14:paraId="6AE3DE66" w14:textId="3393C3F9" w:rsidR="00F1691B" w:rsidRDefault="00000000">
      <w:pPr>
        <w:widowControl/>
        <w:spacing w:line="240" w:lineRule="atLeast"/>
        <w:outlineLvl w:val="0"/>
        <w:rPr>
          <w:rFonts w:cs="Times New Roman"/>
          <w:b/>
          <w:bCs/>
          <w:kern w:val="0"/>
          <w:sz w:val="24"/>
          <w:szCs w:val="24"/>
        </w:rPr>
      </w:pPr>
      <w:r>
        <w:rPr>
          <w:rFonts w:cs="Times New Roman"/>
          <w:b/>
          <w:bCs/>
          <w:kern w:val="0"/>
          <w:sz w:val="24"/>
          <w:szCs w:val="24"/>
        </w:rPr>
        <w:t xml:space="preserve">1 </w:t>
      </w:r>
      <w:r>
        <w:rPr>
          <w:rFonts w:cs="Times New Roman" w:hint="eastAsia"/>
          <w:b/>
          <w:bCs/>
          <w:kern w:val="0"/>
          <w:sz w:val="24"/>
          <w:szCs w:val="24"/>
        </w:rPr>
        <w:t>复合探测理论</w:t>
      </w:r>
    </w:p>
    <w:p w14:paraId="42D7D961" w14:textId="77777777" w:rsidR="00F1691B" w:rsidRDefault="00000000">
      <w:pPr>
        <w:widowControl/>
        <w:spacing w:line="240" w:lineRule="atLeast"/>
        <w:outlineLvl w:val="1"/>
        <w:rPr>
          <w:rFonts w:cs="Times New Roman"/>
          <w:kern w:val="0"/>
          <w:szCs w:val="21"/>
        </w:rPr>
      </w:pPr>
      <w:r>
        <w:rPr>
          <w:rFonts w:cs="Times New Roman"/>
          <w:b/>
          <w:kern w:val="0"/>
          <w:szCs w:val="21"/>
        </w:rPr>
        <w:t xml:space="preserve">1.1 </w:t>
      </w:r>
      <w:r>
        <w:rPr>
          <w:rFonts w:cs="Times New Roman" w:hint="eastAsia"/>
          <w:b/>
          <w:kern w:val="0"/>
          <w:szCs w:val="21"/>
        </w:rPr>
        <w:t xml:space="preserve"> </w:t>
      </w:r>
      <w:r>
        <w:rPr>
          <w:rFonts w:cs="Times New Roman" w:hint="eastAsia"/>
          <w:b/>
          <w:kern w:val="0"/>
          <w:szCs w:val="21"/>
        </w:rPr>
        <w:t>探测理论基础</w:t>
      </w:r>
    </w:p>
    <w:p w14:paraId="12D9824A" w14:textId="0996A6FB" w:rsidR="00F1691B" w:rsidRDefault="00000000">
      <w:pPr>
        <w:widowControl/>
        <w:spacing w:line="240" w:lineRule="atLeast"/>
        <w:ind w:firstLineChars="200" w:firstLine="420"/>
        <w:rPr>
          <w:rFonts w:cs="Times New Roman"/>
          <w:szCs w:val="21"/>
        </w:rPr>
      </w:pPr>
      <w:r>
        <w:rPr>
          <w:rFonts w:cs="Times New Roman" w:hint="eastAsia"/>
          <w:szCs w:val="21"/>
        </w:rPr>
        <w:t>激光气体探测基于</w:t>
      </w:r>
      <w:r>
        <w:rPr>
          <w:rFonts w:cs="Times New Roman" w:hint="eastAsia"/>
          <w:szCs w:val="21"/>
        </w:rPr>
        <w:t>Lambert-Beer</w:t>
      </w:r>
      <w:r>
        <w:rPr>
          <w:rFonts w:cs="Times New Roman" w:hint="eastAsia"/>
          <w:szCs w:val="21"/>
        </w:rPr>
        <w:t>定律</w:t>
      </w:r>
      <w:r w:rsidR="00C457FA" w:rsidRPr="00C457FA">
        <w:rPr>
          <w:rFonts w:cs="Times New Roman"/>
          <w:kern w:val="0"/>
          <w:vertAlign w:val="superscript"/>
        </w:rPr>
        <w:t>[11]</w:t>
      </w:r>
      <w:r>
        <w:rPr>
          <w:rFonts w:cs="Times New Roman" w:hint="eastAsia"/>
          <w:szCs w:val="21"/>
        </w:rPr>
        <w:t>：</w:t>
      </w:r>
    </w:p>
    <w:p w14:paraId="3D681B96" w14:textId="77777777" w:rsidR="00F1691B" w:rsidRDefault="00000000">
      <w:pPr>
        <w:widowControl/>
        <w:spacing w:line="240" w:lineRule="atLeast"/>
        <w:ind w:firstLineChars="200" w:firstLine="420"/>
        <w:rPr>
          <w:rFonts w:cs="Times New Roman"/>
          <w:szCs w:val="21"/>
        </w:rPr>
      </w:pPr>
      <m:oMathPara>
        <m:oMath>
          <m:sSub>
            <m:sSubPr>
              <m:ctrlPr>
                <w:rPr>
                  <w:rFonts w:ascii="Cambria Math" w:eastAsia="仿宋" w:hAnsi="Cambria Math" w:cs="Times New Roman"/>
                  <w:i/>
                  <w:szCs w:val="21"/>
                </w:rPr>
              </m:ctrlPr>
            </m:sSubPr>
            <m:e>
              <m:r>
                <w:rPr>
                  <w:rFonts w:ascii="Cambria Math" w:eastAsia="仿宋" w:hAnsi="Cambria Math" w:cs="Times New Roman"/>
                  <w:szCs w:val="21"/>
                </w:rPr>
                <m:t>I</m:t>
              </m:r>
            </m:e>
            <m:sub>
              <m:r>
                <w:rPr>
                  <w:rFonts w:ascii="Cambria Math" w:eastAsia="仿宋" w:hAnsi="Cambria Math" w:cs="Times New Roman" w:hint="eastAsia"/>
                  <w:szCs w:val="21"/>
                </w:rPr>
                <m:t>abs</m:t>
              </m:r>
            </m:sub>
          </m:sSub>
          <m:r>
            <w:rPr>
              <w:rFonts w:ascii="Cambria Math" w:eastAsia="仿宋" w:hAnsi="Cambria Math" w:cs="Times New Roman"/>
              <w:szCs w:val="21"/>
            </w:rPr>
            <m:t>=</m:t>
          </m:r>
          <m:sSub>
            <m:sSubPr>
              <m:ctrlPr>
                <w:rPr>
                  <w:rFonts w:ascii="Cambria Math" w:eastAsia="仿宋" w:hAnsi="Cambria Math" w:cs="Times New Roman"/>
                  <w:i/>
                  <w:szCs w:val="21"/>
                </w:rPr>
              </m:ctrlPr>
            </m:sSubPr>
            <m:e>
              <m:r>
                <w:rPr>
                  <w:rFonts w:ascii="Cambria Math" w:eastAsia="仿宋" w:hAnsi="Cambria Math" w:cs="Times New Roman"/>
                  <w:szCs w:val="21"/>
                </w:rPr>
                <m:t>I</m:t>
              </m:r>
            </m:e>
            <m:sub>
              <m:r>
                <w:rPr>
                  <w:rFonts w:ascii="Cambria Math" w:eastAsia="仿宋" w:hAnsi="Cambria Math" w:cs="Times New Roman"/>
                  <w:szCs w:val="21"/>
                </w:rPr>
                <m:t>0</m:t>
              </m:r>
            </m:sub>
          </m:sSub>
          <m:r>
            <w:rPr>
              <w:rFonts w:ascii="Cambria Math" w:eastAsia="仿宋" w:hAnsi="Cambria Math" w:cs="Times New Roman" w:hint="eastAsia"/>
              <w:szCs w:val="21"/>
            </w:rPr>
            <m:t>·</m:t>
          </m:r>
          <m:r>
            <m:rPr>
              <m:sty m:val="p"/>
            </m:rPr>
            <w:rPr>
              <w:rFonts w:ascii="Cambria Math" w:eastAsia="仿宋" w:hAnsi="Cambria Math" w:cs="Times New Roman" w:hint="eastAsia"/>
              <w:szCs w:val="21"/>
            </w:rPr>
            <m:t>ex</m:t>
          </m:r>
          <m:r>
            <m:rPr>
              <m:sty m:val="p"/>
            </m:rPr>
            <w:rPr>
              <w:rFonts w:ascii="Cambria Math" w:eastAsia="仿宋" w:hAnsi="Cambria Math" w:cs="Times New Roman"/>
              <w:szCs w:val="21"/>
            </w:rPr>
            <m:t>p</m:t>
          </m:r>
          <m:d>
            <m:dPr>
              <m:ctrlPr>
                <w:rPr>
                  <w:rFonts w:ascii="Cambria Math" w:eastAsia="仿宋" w:hAnsi="Cambria Math" w:cs="Times New Roman"/>
                  <w:i/>
                  <w:szCs w:val="21"/>
                </w:rPr>
              </m:ctrlPr>
            </m:dPr>
            <m:e>
              <m:r>
                <w:rPr>
                  <w:rFonts w:ascii="Cambria Math" w:eastAsia="仿宋" w:hAnsi="Cambria Math" w:cs="Times New Roman"/>
                  <w:szCs w:val="21"/>
                </w:rPr>
                <m:t>-ε</m:t>
              </m:r>
              <m:d>
                <m:dPr>
                  <m:ctrlPr>
                    <w:rPr>
                      <w:rFonts w:ascii="Cambria Math" w:eastAsia="仿宋" w:hAnsi="Cambria Math" w:cs="Times New Roman"/>
                      <w:i/>
                      <w:szCs w:val="21"/>
                    </w:rPr>
                  </m:ctrlPr>
                </m:dPr>
                <m:e>
                  <m:r>
                    <w:rPr>
                      <w:rFonts w:ascii="Cambria Math" w:eastAsia="仿宋" w:hAnsi="Cambria Math" w:cs="Times New Roman"/>
                      <w:szCs w:val="21"/>
                    </w:rPr>
                    <m:t>λ</m:t>
                  </m:r>
                </m:e>
              </m:d>
              <m:r>
                <w:rPr>
                  <w:rFonts w:ascii="Cambria Math" w:eastAsia="仿宋" w:hAnsi="Cambria Math" w:cs="Times New Roman"/>
                  <w:szCs w:val="21"/>
                </w:rPr>
                <m:t>lC</m:t>
              </m:r>
            </m:e>
          </m:d>
        </m:oMath>
      </m:oMathPara>
    </w:p>
    <w:p w14:paraId="5DF72700" w14:textId="0AE748F4" w:rsidR="00F1691B" w:rsidRDefault="00000000" w:rsidP="00074339">
      <w:pPr>
        <w:widowControl/>
        <w:spacing w:line="240" w:lineRule="atLeast"/>
        <w:rPr>
          <w:rFonts w:cs="Times New Roman"/>
          <w:szCs w:val="21"/>
        </w:rPr>
      </w:pPr>
      <w:r>
        <w:rPr>
          <w:rFonts w:cs="Times New Roman" w:hint="eastAsia"/>
          <w:szCs w:val="21"/>
        </w:rPr>
        <w:t>其中</w:t>
      </w:r>
      <m:oMath>
        <m:sSub>
          <m:sSubPr>
            <m:ctrlPr>
              <w:rPr>
                <w:rFonts w:ascii="Cambria Math" w:eastAsia="仿宋" w:hAnsi="Cambria Math" w:cs="Times New Roman"/>
                <w:i/>
                <w:szCs w:val="21"/>
              </w:rPr>
            </m:ctrlPr>
          </m:sSubPr>
          <m:e>
            <m:r>
              <w:rPr>
                <w:rFonts w:ascii="Cambria Math" w:eastAsia="仿宋" w:hAnsi="Cambria Math" w:cs="Times New Roman"/>
                <w:szCs w:val="21"/>
              </w:rPr>
              <m:t>I</m:t>
            </m:r>
          </m:e>
          <m:sub>
            <m:r>
              <m:rPr>
                <m:sty m:val="p"/>
              </m:rPr>
              <w:rPr>
                <w:rFonts w:ascii="Cambria Math" w:eastAsia="仿宋" w:hAnsi="Cambria Math" w:cs="Times New Roman" w:hint="eastAsia"/>
                <w:szCs w:val="21"/>
              </w:rPr>
              <m:t>abs</m:t>
            </m:r>
          </m:sub>
        </m:sSub>
      </m:oMath>
      <w:r>
        <w:rPr>
          <w:rFonts w:cs="Times New Roman" w:hint="eastAsia"/>
          <w:szCs w:val="21"/>
        </w:rPr>
        <w:t>为经过吸收介质后的光强，</w:t>
      </w:r>
      <m:oMath>
        <m:sSub>
          <m:sSubPr>
            <m:ctrlPr>
              <w:rPr>
                <w:rFonts w:ascii="Cambria Math" w:eastAsia="仿宋" w:hAnsi="Cambria Math" w:cs="Times New Roman"/>
                <w:i/>
                <w:szCs w:val="21"/>
              </w:rPr>
            </m:ctrlPr>
          </m:sSubPr>
          <m:e>
            <m:r>
              <w:rPr>
                <w:rFonts w:ascii="Cambria Math" w:eastAsia="仿宋" w:hAnsi="Cambria Math" w:cs="Times New Roman"/>
                <w:szCs w:val="21"/>
              </w:rPr>
              <m:t>I</m:t>
            </m:r>
          </m:e>
          <m:sub>
            <m:r>
              <w:rPr>
                <w:rFonts w:ascii="Cambria Math" w:eastAsia="仿宋" w:hAnsi="Cambria Math" w:cs="Times New Roman"/>
                <w:szCs w:val="21"/>
              </w:rPr>
              <m:t>0</m:t>
            </m:r>
          </m:sub>
        </m:sSub>
      </m:oMath>
      <w:r>
        <w:rPr>
          <w:rFonts w:cs="Times New Roman" w:hint="eastAsia"/>
          <w:szCs w:val="21"/>
        </w:rPr>
        <w:t>为入射光强，</w:t>
      </w:r>
      <m:oMath>
        <m:r>
          <w:rPr>
            <w:rFonts w:ascii="Cambria Math" w:eastAsia="仿宋" w:hAnsi="Cambria Math" w:cs="Times New Roman"/>
            <w:szCs w:val="21"/>
          </w:rPr>
          <m:t>λ</m:t>
        </m:r>
      </m:oMath>
      <w:r>
        <w:rPr>
          <w:rFonts w:cs="Times New Roman" w:hint="eastAsia"/>
          <w:szCs w:val="21"/>
        </w:rPr>
        <w:t>为入射光波长，</w:t>
      </w:r>
      <m:oMath>
        <m:r>
          <w:rPr>
            <w:rFonts w:ascii="Cambria Math" w:eastAsia="仿宋" w:hAnsi="Cambria Math" w:cs="Times New Roman"/>
            <w:szCs w:val="21"/>
          </w:rPr>
          <m:t>l</m:t>
        </m:r>
      </m:oMath>
      <w:r>
        <w:rPr>
          <w:rFonts w:cs="Times New Roman" w:hint="eastAsia"/>
          <w:szCs w:val="21"/>
        </w:rPr>
        <w:t>为吸收光程，</w:t>
      </w:r>
      <m:oMath>
        <m:r>
          <w:rPr>
            <w:rFonts w:ascii="Cambria Math" w:eastAsia="仿宋" w:hAnsi="Cambria Math" w:cs="Times New Roman"/>
            <w:szCs w:val="21"/>
          </w:rPr>
          <m:t>C</m:t>
        </m:r>
      </m:oMath>
      <w:r>
        <w:rPr>
          <w:rFonts w:cs="Times New Roman" w:hint="eastAsia"/>
          <w:szCs w:val="21"/>
        </w:rPr>
        <w:t>为吸收介质的摩尔</w:t>
      </w:r>
      <w:r w:rsidR="00381A43" w:rsidRPr="00381A43">
        <w:rPr>
          <w:rFonts w:cs="Times New Roman" w:hint="eastAsia"/>
          <w:szCs w:val="21"/>
        </w:rPr>
        <w:t>体积分数</w:t>
      </w:r>
      <w:r>
        <w:rPr>
          <w:rFonts w:cs="Times New Roman" w:hint="eastAsia"/>
          <w:szCs w:val="21"/>
        </w:rPr>
        <w:t>（本文中吸收气体特指甲烷，对应</w:t>
      </w:r>
      <w:r w:rsidR="00381A43" w:rsidRPr="00381A43">
        <w:rPr>
          <w:rFonts w:cs="Times New Roman" w:hint="eastAsia"/>
          <w:szCs w:val="21"/>
        </w:rPr>
        <w:t>体积</w:t>
      </w:r>
      <w:r w:rsidR="00381A43" w:rsidRPr="00381A43">
        <w:rPr>
          <w:rFonts w:cs="Times New Roman" w:hint="eastAsia"/>
          <w:szCs w:val="21"/>
        </w:rPr>
        <w:lastRenderedPageBreak/>
        <w:t>分数</w:t>
      </w:r>
      <w:r>
        <w:rPr>
          <w:rFonts w:cs="Times New Roman" w:hint="eastAsia"/>
          <w:szCs w:val="21"/>
        </w:rPr>
        <w:t>表示为</w:t>
      </w:r>
      <m:oMath>
        <m:sSub>
          <m:sSubPr>
            <m:ctrlPr>
              <w:rPr>
                <w:rFonts w:ascii="Cambria Math" w:eastAsia="仿宋" w:hAnsi="Cambria Math" w:cs="Times New Roman"/>
                <w:i/>
                <w:szCs w:val="21"/>
              </w:rPr>
            </m:ctrlPr>
          </m:sSubPr>
          <m:e>
            <m:r>
              <w:rPr>
                <w:rFonts w:ascii="Cambria Math" w:eastAsia="仿宋" w:hAnsi="Cambria Math" w:cs="Times New Roman"/>
                <w:szCs w:val="21"/>
              </w:rPr>
              <m:t>C</m:t>
            </m:r>
          </m:e>
          <m:sub>
            <m:r>
              <m:rPr>
                <m:sty m:val="p"/>
              </m:rPr>
              <w:rPr>
                <w:rFonts w:ascii="Cambria Math" w:eastAsia="仿宋" w:hAnsi="Cambria Math" w:cs="Times New Roman"/>
                <w:szCs w:val="21"/>
              </w:rPr>
              <m:t>m</m:t>
            </m:r>
          </m:sub>
        </m:sSub>
      </m:oMath>
      <w:r>
        <w:rPr>
          <w:rFonts w:cs="Times New Roman" w:hint="eastAsia"/>
          <w:szCs w:val="21"/>
        </w:rPr>
        <w:t>），</w:t>
      </w:r>
      <m:oMath>
        <m:r>
          <w:rPr>
            <w:rFonts w:ascii="Cambria Math" w:eastAsia="仿宋" w:hAnsi="Cambria Math" w:cs="Times New Roman"/>
            <w:szCs w:val="21"/>
          </w:rPr>
          <m:t>ε</m:t>
        </m:r>
        <m:d>
          <m:dPr>
            <m:ctrlPr>
              <w:rPr>
                <w:rFonts w:ascii="Cambria Math" w:eastAsia="仿宋" w:hAnsi="Cambria Math" w:cs="Times New Roman"/>
                <w:i/>
                <w:szCs w:val="21"/>
              </w:rPr>
            </m:ctrlPr>
          </m:dPr>
          <m:e>
            <m:r>
              <w:rPr>
                <w:rFonts w:ascii="Cambria Math" w:eastAsia="仿宋" w:hAnsi="Cambria Math" w:cs="Times New Roman"/>
                <w:szCs w:val="21"/>
              </w:rPr>
              <m:t>λ</m:t>
            </m:r>
          </m:e>
        </m:d>
      </m:oMath>
      <w:r>
        <w:rPr>
          <w:rFonts w:cs="Times New Roman" w:hint="eastAsia"/>
          <w:szCs w:val="21"/>
        </w:rPr>
        <w:t>为介质的摩尔吸光系数。在满足单一波长入射光、吸收介质均匀分布等假设且吸收光程</w:t>
      </w:r>
      <m:oMath>
        <m:r>
          <w:rPr>
            <w:rFonts w:ascii="Cambria Math" w:eastAsia="仿宋" w:hAnsi="Cambria Math" w:cs="Times New Roman"/>
            <w:szCs w:val="21"/>
          </w:rPr>
          <m:t>l</m:t>
        </m:r>
      </m:oMath>
      <w:r>
        <w:rPr>
          <w:rFonts w:cs="Times New Roman" w:hint="eastAsia"/>
          <w:szCs w:val="21"/>
        </w:rPr>
        <w:t>一定的情况下，吸收介质的摩尔</w:t>
      </w:r>
      <w:r w:rsidR="00381A43" w:rsidRPr="00381A43">
        <w:rPr>
          <w:rFonts w:cs="Times New Roman" w:hint="eastAsia"/>
          <w:szCs w:val="21"/>
        </w:rPr>
        <w:t>体积分数</w:t>
      </w:r>
      <m:oMath>
        <m:r>
          <w:rPr>
            <w:rFonts w:ascii="Cambria Math" w:eastAsia="仿宋" w:hAnsi="Cambria Math" w:cs="Times New Roman"/>
            <w:szCs w:val="21"/>
          </w:rPr>
          <m:t>C</m:t>
        </m:r>
      </m:oMath>
      <w:r>
        <w:rPr>
          <w:rFonts w:cs="Times New Roman" w:hint="eastAsia"/>
          <w:szCs w:val="21"/>
        </w:rPr>
        <w:t>与入射光对透射光强比值的对数</w:t>
      </w:r>
      <m:oMath>
        <m:r>
          <m:rPr>
            <m:sty m:val="p"/>
          </m:rPr>
          <w:rPr>
            <w:rFonts w:ascii="Cambria Math" w:hAnsi="Cambria Math" w:cs="Times New Roman" w:hint="eastAsia"/>
            <w:szCs w:val="21"/>
          </w:rPr>
          <m:t>ln</m:t>
        </m:r>
        <m:d>
          <m:dPr>
            <m:ctrlPr>
              <w:rPr>
                <w:rFonts w:ascii="Cambria Math" w:hAnsi="Cambria Math" w:cs="Times New Roman"/>
                <w:i/>
                <w:szCs w:val="21"/>
              </w:rPr>
            </m:ctrlPr>
          </m:dPr>
          <m:e>
            <m:sSub>
              <m:sSubPr>
                <m:ctrlPr>
                  <w:rPr>
                    <w:rFonts w:ascii="Cambria Math" w:eastAsia="仿宋" w:hAnsi="Cambria Math" w:cs="Times New Roman"/>
                    <w:i/>
                    <w:szCs w:val="21"/>
                  </w:rPr>
                </m:ctrlPr>
              </m:sSubPr>
              <m:e>
                <m:r>
                  <w:rPr>
                    <w:rFonts w:ascii="Cambria Math" w:eastAsia="仿宋" w:hAnsi="Cambria Math" w:cs="Times New Roman"/>
                    <w:szCs w:val="21"/>
                  </w:rPr>
                  <m:t>I</m:t>
                </m:r>
              </m:e>
              <m:sub>
                <m:r>
                  <w:rPr>
                    <w:rFonts w:ascii="Cambria Math" w:eastAsia="仿宋" w:hAnsi="Cambria Math" w:cs="Times New Roman"/>
                    <w:szCs w:val="21"/>
                  </w:rPr>
                  <m:t>0</m:t>
                </m:r>
              </m:sub>
            </m:sSub>
            <m:r>
              <w:rPr>
                <w:rFonts w:ascii="Cambria Math" w:eastAsia="仿宋" w:hAnsi="Cambria Math" w:cs="Times New Roman"/>
                <w:szCs w:val="21"/>
              </w:rPr>
              <m:t>/</m:t>
            </m:r>
            <m:sSub>
              <m:sSubPr>
                <m:ctrlPr>
                  <w:rPr>
                    <w:rFonts w:ascii="Cambria Math" w:eastAsia="仿宋" w:hAnsi="Cambria Math" w:cs="Times New Roman"/>
                    <w:i/>
                    <w:szCs w:val="21"/>
                  </w:rPr>
                </m:ctrlPr>
              </m:sSubPr>
              <m:e>
                <m:r>
                  <w:rPr>
                    <w:rFonts w:ascii="Cambria Math" w:eastAsia="仿宋" w:hAnsi="Cambria Math" w:cs="Times New Roman"/>
                    <w:szCs w:val="21"/>
                  </w:rPr>
                  <m:t>I</m:t>
                </m:r>
              </m:e>
              <m:sub>
                <m:r>
                  <m:rPr>
                    <m:sty m:val="p"/>
                  </m:rPr>
                  <w:rPr>
                    <w:rFonts w:ascii="Cambria Math" w:eastAsia="仿宋" w:hAnsi="Cambria Math" w:cs="Times New Roman" w:hint="eastAsia"/>
                    <w:szCs w:val="21"/>
                  </w:rPr>
                  <m:t>abs</m:t>
                </m:r>
              </m:sub>
            </m:sSub>
          </m:e>
        </m:d>
      </m:oMath>
      <w:r>
        <w:rPr>
          <w:rFonts w:cs="Times New Roman" w:hint="eastAsia"/>
          <w:szCs w:val="21"/>
        </w:rPr>
        <w:t>成正比；当其他条件不变时，气体探测精度与吸收光程有关。</w:t>
      </w:r>
    </w:p>
    <w:p w14:paraId="67F506C9" w14:textId="64388E3A" w:rsidR="00F1691B" w:rsidRDefault="00000000">
      <w:pPr>
        <w:widowControl/>
        <w:spacing w:line="240" w:lineRule="atLeast"/>
        <w:ind w:firstLineChars="200" w:firstLine="420"/>
        <w:rPr>
          <w:rFonts w:cs="Times New Roman"/>
          <w:szCs w:val="21"/>
        </w:rPr>
      </w:pPr>
      <w:r>
        <w:rPr>
          <w:rFonts w:cs="Times New Roman" w:hint="eastAsia"/>
          <w:szCs w:val="21"/>
        </w:rPr>
        <w:t>烟雾对光的散射通常满足</w:t>
      </w:r>
      <w:r>
        <w:rPr>
          <w:rFonts w:cs="Times New Roman" w:hint="eastAsia"/>
          <w:szCs w:val="21"/>
        </w:rPr>
        <w:t>Mie</w:t>
      </w:r>
      <w:r>
        <w:rPr>
          <w:rFonts w:cs="Times New Roman" w:hint="eastAsia"/>
          <w:szCs w:val="21"/>
        </w:rPr>
        <w:t>散射理论</w:t>
      </w:r>
      <w:r w:rsidR="00C457FA" w:rsidRPr="00C457FA">
        <w:rPr>
          <w:rFonts w:cs="Times New Roman"/>
          <w:kern w:val="0"/>
          <w:vertAlign w:val="superscript"/>
        </w:rPr>
        <w:t>[12]</w:t>
      </w:r>
      <w:r>
        <w:rPr>
          <w:rFonts w:cs="Times New Roman" w:hint="eastAsia"/>
          <w:szCs w:val="21"/>
        </w:rPr>
        <w:t>，单粒子的散射光强可表示为：</w:t>
      </w:r>
    </w:p>
    <w:p w14:paraId="23EB9FE9" w14:textId="77777777" w:rsidR="00F1691B" w:rsidRDefault="00000000">
      <w:pPr>
        <w:widowControl/>
        <w:spacing w:line="240" w:lineRule="atLeast"/>
        <w:ind w:firstLineChars="200" w:firstLine="420"/>
        <w:rPr>
          <w:rFonts w:cs="Times New Roman"/>
          <w:szCs w:val="21"/>
        </w:rPr>
      </w:pPr>
      <m:oMathPara>
        <m:oMath>
          <m:sSub>
            <m:sSubPr>
              <m:ctrlPr>
                <w:rPr>
                  <w:rFonts w:ascii="Cambria Math" w:hAnsi="Cambria Math"/>
                  <w:i/>
                </w:rPr>
              </m:ctrlPr>
            </m:sSubPr>
            <m:e>
              <m:r>
                <w:rPr>
                  <w:rFonts w:ascii="Cambria Math" w:hAnsi="Cambria Math"/>
                </w:rPr>
                <m:t>I</m:t>
              </m:r>
            </m:e>
            <m:sub>
              <m:r>
                <w:rPr>
                  <w:rFonts w:ascii="Cambria Math" w:hAnsi="Cambria Math"/>
                </w:rPr>
                <m:t>sca</m:t>
              </m:r>
            </m:sub>
          </m:sSub>
          <m:r>
            <w:rPr>
              <w:rFonts w:ascii="Cambria Math" w:hAnsi="Cambria Math"/>
            </w:rPr>
            <m:t>=</m:t>
          </m:r>
          <m:f>
            <m:fPr>
              <m:ctrlPr>
                <w:rPr>
                  <w:rFonts w:ascii="Cambria Math" w:hAnsi="Cambria Math" w:cs="Cambria Math"/>
                  <w:i/>
                </w:rPr>
              </m:ctrlPr>
            </m:fPr>
            <m:num>
              <m:sSup>
                <m:sSupPr>
                  <m:ctrlPr>
                    <w:rPr>
                      <w:rFonts w:ascii="Cambria Math" w:hAnsi="Cambria Math" w:cs="Cambria Math"/>
                      <w:i/>
                    </w:rPr>
                  </m:ctrlPr>
                </m:sSupPr>
                <m:e>
                  <m:r>
                    <w:rPr>
                      <w:rFonts w:ascii="Cambria Math" w:hAnsi="Cambria Math" w:cs="Cambria Math"/>
                    </w:rPr>
                    <m:t>λ</m:t>
                  </m:r>
                </m:e>
                <m:sup>
                  <m:r>
                    <w:rPr>
                      <w:rFonts w:ascii="Cambria Math" w:hAnsi="Cambria Math" w:cs="Cambria Math"/>
                    </w:rPr>
                    <m:t>2</m:t>
                  </m:r>
                </m:sup>
              </m:sSup>
              <m:sSub>
                <m:sSubPr>
                  <m:ctrlPr>
                    <w:rPr>
                      <w:rFonts w:ascii="Cambria Math" w:hAnsi="Cambria Math"/>
                      <w:i/>
                    </w:rPr>
                  </m:ctrlPr>
                </m:sSubPr>
                <m:e>
                  <m:r>
                    <w:rPr>
                      <w:rFonts w:ascii="Cambria Math" w:hAnsi="Cambria Math"/>
                    </w:rPr>
                    <m:t>I</m:t>
                  </m:r>
                </m:e>
                <m:sub>
                  <m:r>
                    <w:rPr>
                      <w:rFonts w:ascii="Cambria Math" w:hAnsi="Cambria Math"/>
                    </w:rPr>
                    <m:t>0</m:t>
                  </m:r>
                </m:sub>
              </m:sSub>
            </m:num>
            <m:den>
              <m:r>
                <w:rPr>
                  <w:rFonts w:ascii="Cambria Math" w:hAnsi="Cambria Math" w:cs="Cambria Math"/>
                </w:rPr>
                <m:t>8</m:t>
              </m:r>
              <m:sSup>
                <m:sSupPr>
                  <m:ctrlPr>
                    <w:rPr>
                      <w:rFonts w:ascii="Cambria Math" w:hAnsi="Cambria Math" w:cs="Cambria Math"/>
                      <w:i/>
                    </w:rPr>
                  </m:ctrlPr>
                </m:sSupPr>
                <m:e>
                  <m:r>
                    <m:rPr>
                      <m:sty m:val="p"/>
                    </m:rPr>
                    <w:rPr>
                      <w:rFonts w:ascii="Cambria Math" w:hAnsi="Cambria Math" w:cs="Cambria Math"/>
                    </w:rPr>
                    <m:t>π</m:t>
                  </m:r>
                </m:e>
                <m:sup>
                  <m:r>
                    <w:rPr>
                      <w:rFonts w:ascii="Cambria Math" w:hAnsi="Cambria Math" w:cs="Cambria Math"/>
                    </w:rPr>
                    <m:t>2</m:t>
                  </m:r>
                </m:sup>
              </m:sSup>
              <m:sSup>
                <m:sSupPr>
                  <m:ctrlPr>
                    <w:rPr>
                      <w:rFonts w:ascii="Cambria Math" w:hAnsi="Cambria Math" w:cs="Cambria Math"/>
                      <w:i/>
                    </w:rPr>
                  </m:ctrlPr>
                </m:sSupPr>
                <m:e>
                  <m:r>
                    <w:rPr>
                      <w:rFonts w:ascii="Cambria Math" w:hAnsi="Cambria Math" w:cs="Cambria Math"/>
                    </w:rPr>
                    <m:t>r</m:t>
                  </m:r>
                </m:e>
                <m:sup>
                  <m:r>
                    <w:rPr>
                      <w:rFonts w:ascii="Cambria Math" w:hAnsi="Cambria Math" w:cs="Cambria Math"/>
                    </w:rPr>
                    <m:t>2</m:t>
                  </m:r>
                </m:sup>
              </m:sSup>
            </m:den>
          </m:f>
          <m:d>
            <m:dPr>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1</m:t>
                  </m:r>
                </m:sub>
              </m:sSub>
              <m:d>
                <m:dPr>
                  <m:ctrlPr>
                    <w:rPr>
                      <w:rFonts w:ascii="Cambria Math" w:hAnsi="Cambria Math"/>
                      <w:i/>
                    </w:rPr>
                  </m:ctrlPr>
                </m:dPr>
                <m:e>
                  <m:r>
                    <w:rPr>
                      <w:rFonts w:ascii="Cambria Math" w:hAnsi="Cambria Math"/>
                    </w:rPr>
                    <m:t>θ</m:t>
                  </m:r>
                </m:e>
              </m:d>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2</m:t>
                  </m:r>
                </m:sub>
              </m:sSub>
              <m:d>
                <m:dPr>
                  <m:ctrlPr>
                    <w:rPr>
                      <w:rFonts w:ascii="Cambria Math" w:hAnsi="Cambria Math"/>
                      <w:i/>
                    </w:rPr>
                  </m:ctrlPr>
                </m:dPr>
                <m:e>
                  <m:r>
                    <w:rPr>
                      <w:rFonts w:ascii="Cambria Math" w:hAnsi="Cambria Math"/>
                    </w:rPr>
                    <m:t>θ</m:t>
                  </m:r>
                </m:e>
              </m:d>
            </m:e>
          </m:d>
        </m:oMath>
      </m:oMathPara>
    </w:p>
    <w:p w14:paraId="72E9CC80" w14:textId="77777777" w:rsidR="00F1691B" w:rsidRDefault="00000000" w:rsidP="0005131B">
      <w:pPr>
        <w:widowControl/>
        <w:spacing w:line="240" w:lineRule="atLeast"/>
        <w:rPr>
          <w:rFonts w:cs="Times New Roman"/>
          <w:szCs w:val="21"/>
        </w:rPr>
      </w:pPr>
      <w:r>
        <w:rPr>
          <w:rFonts w:cs="Times New Roman" w:hint="eastAsia"/>
          <w:szCs w:val="21"/>
        </w:rPr>
        <w:t>其中</w:t>
      </w:r>
      <m:oMath>
        <m:sSub>
          <m:sSubPr>
            <m:ctrlPr>
              <w:rPr>
                <w:rFonts w:ascii="Cambria Math" w:hAnsi="Cambria Math"/>
                <w:i/>
              </w:rPr>
            </m:ctrlPr>
          </m:sSubPr>
          <m:e>
            <m:r>
              <w:rPr>
                <w:rFonts w:ascii="Cambria Math" w:hAnsi="Cambria Math"/>
              </w:rPr>
              <m:t>I</m:t>
            </m:r>
          </m:e>
          <m:sub>
            <m:r>
              <w:rPr>
                <w:rFonts w:ascii="Cambria Math" w:hAnsi="Cambria Math"/>
              </w:rPr>
              <m:t>sca</m:t>
            </m:r>
          </m:sub>
        </m:sSub>
      </m:oMath>
      <w:r>
        <w:rPr>
          <w:rFonts w:cs="Times New Roman" w:hint="eastAsia"/>
          <w:szCs w:val="21"/>
        </w:rPr>
        <w:t>为烟雾颗粒在单位立体角内的散射光强，</w:t>
      </w:r>
      <m:oMath>
        <m:sSub>
          <m:sSubPr>
            <m:ctrlPr>
              <w:rPr>
                <w:rFonts w:ascii="Cambria Math" w:eastAsia="仿宋" w:hAnsi="Cambria Math" w:cs="Times New Roman"/>
                <w:i/>
                <w:szCs w:val="21"/>
              </w:rPr>
            </m:ctrlPr>
          </m:sSubPr>
          <m:e>
            <m:r>
              <w:rPr>
                <w:rFonts w:ascii="Cambria Math" w:eastAsia="仿宋" w:hAnsi="Cambria Math" w:cs="Times New Roman"/>
                <w:szCs w:val="21"/>
              </w:rPr>
              <m:t>I</m:t>
            </m:r>
          </m:e>
          <m:sub>
            <m:r>
              <w:rPr>
                <w:rFonts w:ascii="Cambria Math" w:eastAsia="仿宋" w:hAnsi="Cambria Math" w:cs="Times New Roman"/>
                <w:szCs w:val="21"/>
              </w:rPr>
              <m:t>0</m:t>
            </m:r>
          </m:sub>
        </m:sSub>
      </m:oMath>
      <w:r>
        <w:rPr>
          <w:rFonts w:cs="Times New Roman" w:hint="eastAsia"/>
          <w:szCs w:val="21"/>
        </w:rPr>
        <w:t>为入射光强，</w:t>
      </w:r>
      <m:oMath>
        <m:r>
          <w:rPr>
            <w:rFonts w:ascii="Cambria Math" w:eastAsia="仿宋" w:hAnsi="Cambria Math" w:cs="Times New Roman"/>
            <w:szCs w:val="21"/>
          </w:rPr>
          <m:t>λ</m:t>
        </m:r>
      </m:oMath>
      <w:r>
        <w:rPr>
          <w:rFonts w:cs="Times New Roman" w:hint="eastAsia"/>
          <w:szCs w:val="21"/>
        </w:rPr>
        <w:t>为入射光波长，</w:t>
      </w:r>
      <m:oMath>
        <m:r>
          <w:rPr>
            <w:rFonts w:ascii="Cambria Math" w:hAnsi="Cambria Math" w:cs="Cambria Math"/>
          </w:rPr>
          <m:t>r</m:t>
        </m:r>
      </m:oMath>
      <w:r>
        <w:rPr>
          <w:rFonts w:cs="Times New Roman" w:hint="eastAsia"/>
          <w:szCs w:val="21"/>
        </w:rPr>
        <w:t>为发生散射的颗粒到观察点的距离，</w:t>
      </w:r>
      <m:oMath>
        <m:sSub>
          <m:sSubPr>
            <m:ctrlPr>
              <w:rPr>
                <w:rFonts w:ascii="Cambria Math" w:hAnsi="Cambria Math"/>
                <w:i/>
              </w:rPr>
            </m:ctrlPr>
          </m:sSubPr>
          <m:e>
            <m:r>
              <w:rPr>
                <w:rFonts w:ascii="Cambria Math" w:hAnsi="Cambria Math"/>
              </w:rPr>
              <m:t>i</m:t>
            </m:r>
          </m:e>
          <m:sub>
            <m:r>
              <w:rPr>
                <w:rFonts w:ascii="Cambria Math" w:hAnsi="Cambria Math"/>
              </w:rPr>
              <m:t>1</m:t>
            </m:r>
          </m:sub>
        </m:sSub>
        <m:d>
          <m:dPr>
            <m:ctrlPr>
              <w:rPr>
                <w:rFonts w:ascii="Cambria Math" w:hAnsi="Cambria Math"/>
                <w:i/>
              </w:rPr>
            </m:ctrlPr>
          </m:dPr>
          <m:e>
            <m:r>
              <w:rPr>
                <w:rFonts w:ascii="Cambria Math" w:hAnsi="Cambria Math"/>
              </w:rPr>
              <m:t>θ</m:t>
            </m:r>
          </m:e>
        </m:d>
      </m:oMath>
      <w:r>
        <w:rPr>
          <w:rFonts w:cs="Times New Roman" w:hint="eastAsia"/>
        </w:rPr>
        <w:t>、</w:t>
      </w:r>
      <m:oMath>
        <m:sSub>
          <m:sSubPr>
            <m:ctrlPr>
              <w:rPr>
                <w:rFonts w:ascii="Cambria Math" w:hAnsi="Cambria Math"/>
                <w:i/>
              </w:rPr>
            </m:ctrlPr>
          </m:sSubPr>
          <m:e>
            <m:r>
              <w:rPr>
                <w:rFonts w:ascii="Cambria Math" w:hAnsi="Cambria Math"/>
              </w:rPr>
              <m:t>i</m:t>
            </m:r>
          </m:e>
          <m:sub>
            <m:r>
              <w:rPr>
                <w:rFonts w:ascii="Cambria Math" w:hAnsi="Cambria Math"/>
              </w:rPr>
              <m:t>2</m:t>
            </m:r>
          </m:sub>
        </m:sSub>
        <m:d>
          <m:dPr>
            <m:ctrlPr>
              <w:rPr>
                <w:rFonts w:ascii="Cambria Math" w:hAnsi="Cambria Math"/>
                <w:i/>
              </w:rPr>
            </m:ctrlPr>
          </m:dPr>
          <m:e>
            <m:r>
              <w:rPr>
                <w:rFonts w:ascii="Cambria Math" w:hAnsi="Cambria Math"/>
              </w:rPr>
              <m:t>θ</m:t>
            </m:r>
          </m:e>
        </m:d>
      </m:oMath>
      <w:r>
        <w:rPr>
          <w:rFonts w:cs="Times New Roman" w:hint="eastAsia"/>
          <w:szCs w:val="21"/>
        </w:rPr>
        <w:t>为散射光在垂直和水平方向上的强度函数，强度函数受颗粒复折射率、颗粒粒径、入射波长等因素影响，</w:t>
      </w:r>
      <w:r>
        <w:rPr>
          <w:rFonts w:hint="eastAsia"/>
        </w:rPr>
        <w:t>单粒子的散射贡献可以表达为下式：</w:t>
      </w:r>
    </w:p>
    <w:p w14:paraId="0E573C8B" w14:textId="77777777" w:rsidR="00F1691B" w:rsidRDefault="00000000">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I</m:t>
                  </m:r>
                </m:e>
                <m:sub>
                  <m:r>
                    <w:rPr>
                      <w:rFonts w:ascii="Cambria Math" w:hAnsi="Cambria Math"/>
                    </w:rPr>
                    <m:t>sca</m:t>
                  </m:r>
                </m:sub>
              </m:sSub>
              <m:d>
                <m:dPr>
                  <m:ctrlPr>
                    <w:rPr>
                      <w:rFonts w:ascii="Cambria Math" w:hAnsi="Cambria Math"/>
                      <w:i/>
                    </w:rPr>
                  </m:ctrlPr>
                </m:dPr>
                <m:e>
                  <m:r>
                    <w:rPr>
                      <w:rFonts w:ascii="Cambria Math" w:hAnsi="Cambria Math"/>
                    </w:rPr>
                    <m:t>d,m,θ,λ</m:t>
                  </m:r>
                </m:e>
              </m:d>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0</m:t>
                  </m:r>
                </m:sub>
              </m:sSub>
              <m:sSub>
                <m:sSubPr>
                  <m:ctrlPr>
                    <w:rPr>
                      <w:rFonts w:ascii="Cambria Math" w:hAnsi="Cambria Math" w:cs="Cambria Math"/>
                      <w:i/>
                    </w:rPr>
                  </m:ctrlPr>
                </m:sSubPr>
                <m:e>
                  <m:r>
                    <w:rPr>
                      <w:rFonts w:ascii="Cambria Math" w:hAnsi="Cambria Math" w:cs="Cambria Math" w:hint="eastAsia"/>
                    </w:rPr>
                    <m:t>Q</m:t>
                  </m:r>
                </m:e>
                <m:sub>
                  <m:r>
                    <w:rPr>
                      <w:rFonts w:ascii="Cambria Math" w:hAnsi="Cambria Math" w:cs="Cambria Math"/>
                    </w:rPr>
                    <m:t>sca</m:t>
                  </m:r>
                </m:sub>
              </m:sSub>
              <m:d>
                <m:dPr>
                  <m:ctrlPr>
                    <w:rPr>
                      <w:rFonts w:ascii="Cambria Math" w:hAnsi="Cambria Math"/>
                      <w:i/>
                    </w:rPr>
                  </m:ctrlPr>
                </m:dPr>
                <m:e>
                  <m:r>
                    <w:rPr>
                      <w:rFonts w:ascii="Cambria Math" w:hAnsi="Cambria Math"/>
                    </w:rPr>
                    <m:t>d,λ</m:t>
                  </m:r>
                </m:e>
              </m:d>
              <m:r>
                <w:rPr>
                  <w:rFonts w:ascii="Cambria Math" w:hAnsi="Cambria Math"/>
                </w:rPr>
                <m:t>P</m:t>
              </m:r>
              <m:d>
                <m:dPr>
                  <m:ctrlPr>
                    <w:rPr>
                      <w:rFonts w:ascii="Cambria Math" w:hAnsi="Cambria Math"/>
                      <w:i/>
                    </w:rPr>
                  </m:ctrlPr>
                </m:dPr>
                <m:e>
                  <m:r>
                    <w:rPr>
                      <w:rFonts w:ascii="Cambria Math" w:hAnsi="Cambria Math"/>
                    </w:rPr>
                    <m:t>θ,d,λ</m:t>
                  </m:r>
                </m:e>
              </m:d>
              <m:r>
                <w:rPr>
                  <w:rFonts w:ascii="Cambria Math" w:hAnsi="Cambria Math"/>
                </w:rPr>
                <m:t>#</m:t>
              </m:r>
            </m:e>
          </m:eqArr>
        </m:oMath>
      </m:oMathPara>
    </w:p>
    <w:p w14:paraId="43BA65A8" w14:textId="77777777" w:rsidR="00F1691B" w:rsidRDefault="00000000">
      <w:r>
        <w:rPr>
          <w:rFonts w:hint="eastAsia"/>
        </w:rPr>
        <w:t>其中，</w:t>
      </w:r>
      <m:oMath>
        <m:sSub>
          <m:sSubPr>
            <m:ctrlPr>
              <w:rPr>
                <w:rFonts w:ascii="Cambria Math" w:hAnsi="Cambria Math" w:cs="Cambria Math"/>
                <w:i/>
              </w:rPr>
            </m:ctrlPr>
          </m:sSubPr>
          <m:e>
            <m:r>
              <w:rPr>
                <w:rFonts w:ascii="Cambria Math" w:hAnsi="Cambria Math" w:cs="Cambria Math" w:hint="eastAsia"/>
              </w:rPr>
              <m:t>Q</m:t>
            </m:r>
          </m:e>
          <m:sub>
            <m:r>
              <w:rPr>
                <w:rFonts w:ascii="Cambria Math" w:hAnsi="Cambria Math" w:cs="Cambria Math"/>
              </w:rPr>
              <m:t>sca</m:t>
            </m:r>
          </m:sub>
        </m:sSub>
        <m:d>
          <m:dPr>
            <m:ctrlPr>
              <w:rPr>
                <w:rFonts w:ascii="Cambria Math" w:hAnsi="Cambria Math"/>
                <w:i/>
              </w:rPr>
            </m:ctrlPr>
          </m:dPr>
          <m:e>
            <m:r>
              <w:rPr>
                <w:rFonts w:ascii="Cambria Math" w:hAnsi="Cambria Math"/>
              </w:rPr>
              <m:t>d,λ</m:t>
            </m:r>
          </m:e>
        </m:d>
      </m:oMath>
      <w:r>
        <w:rPr>
          <w:rFonts w:hint="eastAsia"/>
        </w:rPr>
        <w:t>为</w:t>
      </w:r>
      <w:r>
        <w:t>散射效率因子</w:t>
      </w:r>
      <w:r>
        <w:rPr>
          <w:rFonts w:hint="eastAsia"/>
        </w:rPr>
        <w:t>，由米散射理论计算或近似得到；</w:t>
      </w:r>
      <m:oMath>
        <m:r>
          <w:rPr>
            <w:rFonts w:ascii="Cambria Math" w:hAnsi="Cambria Math"/>
          </w:rPr>
          <m:t>P</m:t>
        </m:r>
        <m:d>
          <m:dPr>
            <m:ctrlPr>
              <w:rPr>
                <w:rFonts w:ascii="Cambria Math" w:hAnsi="Cambria Math"/>
                <w:i/>
              </w:rPr>
            </m:ctrlPr>
          </m:dPr>
          <m:e>
            <m:r>
              <w:rPr>
                <w:rFonts w:ascii="Cambria Math" w:hAnsi="Cambria Math"/>
              </w:rPr>
              <m:t>θ,d,λ</m:t>
            </m:r>
          </m:e>
        </m:d>
      </m:oMath>
      <w:r>
        <w:rPr>
          <w:rFonts w:hint="eastAsia"/>
        </w:rPr>
        <w:t>为</w:t>
      </w:r>
      <w:r>
        <w:t>散射相函数，描述光向各方向散射的角度分布</w:t>
      </w:r>
      <w:r>
        <w:rPr>
          <w:rFonts w:hint="eastAsia"/>
        </w:rPr>
        <w:t>。考虑距离衰减后为：</w:t>
      </w:r>
    </w:p>
    <w:p w14:paraId="60DAAA9B" w14:textId="77777777" w:rsidR="00F1691B" w:rsidRDefault="00000000">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I</m:t>
                  </m:r>
                </m:e>
                <m:sub>
                  <m:r>
                    <w:rPr>
                      <w:rFonts w:ascii="Cambria Math" w:hAnsi="Cambria Math"/>
                    </w:rPr>
                    <m:t>sca</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0</m:t>
                      </m:r>
                    </m:sub>
                  </m:sSub>
                </m:num>
                <m:den>
                  <m:sSup>
                    <m:sSupPr>
                      <m:ctrlPr>
                        <w:rPr>
                          <w:rFonts w:ascii="Cambria Math" w:hAnsi="Cambria Math"/>
                          <w:i/>
                        </w:rPr>
                      </m:ctrlPr>
                    </m:sSupPr>
                    <m:e>
                      <m:r>
                        <w:rPr>
                          <w:rFonts w:ascii="Cambria Math" w:hAnsi="Cambria Math"/>
                        </w:rPr>
                        <m:t>r</m:t>
                      </m:r>
                    </m:e>
                    <m:sup>
                      <m:r>
                        <w:rPr>
                          <w:rFonts w:ascii="Cambria Math" w:hAnsi="Cambria Math"/>
                        </w:rPr>
                        <m:t>2</m:t>
                      </m:r>
                    </m:sup>
                  </m:sSup>
                </m:den>
              </m:f>
              <m:sSub>
                <m:sSubPr>
                  <m:ctrlPr>
                    <w:rPr>
                      <w:rFonts w:ascii="Cambria Math" w:hAnsi="Cambria Math" w:cs="Cambria Math"/>
                      <w:i/>
                    </w:rPr>
                  </m:ctrlPr>
                </m:sSubPr>
                <m:e>
                  <m:r>
                    <w:rPr>
                      <w:rFonts w:ascii="Cambria Math" w:hAnsi="Cambria Math" w:cs="Cambria Math" w:hint="eastAsia"/>
                    </w:rPr>
                    <m:t>Q</m:t>
                  </m:r>
                </m:e>
                <m:sub>
                  <m:r>
                    <w:rPr>
                      <w:rFonts w:ascii="Cambria Math" w:hAnsi="Cambria Math" w:cs="Cambria Math"/>
                    </w:rPr>
                    <m:t>sca</m:t>
                  </m:r>
                </m:sub>
              </m:sSub>
              <m:d>
                <m:dPr>
                  <m:ctrlPr>
                    <w:rPr>
                      <w:rFonts w:ascii="Cambria Math" w:hAnsi="Cambria Math"/>
                      <w:i/>
                    </w:rPr>
                  </m:ctrlPr>
                </m:dPr>
                <m:e>
                  <m:r>
                    <w:rPr>
                      <w:rFonts w:ascii="Cambria Math" w:hAnsi="Cambria Math"/>
                    </w:rPr>
                    <m:t>d,λ</m:t>
                  </m:r>
                </m:e>
              </m:d>
              <m:r>
                <w:rPr>
                  <w:rFonts w:ascii="Cambria Math" w:hAnsi="Cambria Math"/>
                </w:rPr>
                <m:t>P</m:t>
              </m:r>
              <m:d>
                <m:dPr>
                  <m:ctrlPr>
                    <w:rPr>
                      <w:rFonts w:ascii="Cambria Math" w:hAnsi="Cambria Math"/>
                      <w:i/>
                    </w:rPr>
                  </m:ctrlPr>
                </m:dPr>
                <m:e>
                  <m:r>
                    <w:rPr>
                      <w:rFonts w:ascii="Cambria Math" w:hAnsi="Cambria Math"/>
                    </w:rPr>
                    <m:t>θ,d,λ</m:t>
                  </m:r>
                </m:e>
              </m:d>
              <m:r>
                <w:rPr>
                  <w:rFonts w:ascii="Cambria Math" w:hAnsi="Cambria Math"/>
                </w:rPr>
                <m:t>#</m:t>
              </m:r>
            </m:e>
          </m:eqArr>
        </m:oMath>
      </m:oMathPara>
    </w:p>
    <w:p w14:paraId="3FCFEE93" w14:textId="77777777" w:rsidR="00F1691B" w:rsidRDefault="00000000">
      <w:r>
        <w:rPr>
          <w:rFonts w:hint="eastAsia"/>
        </w:rPr>
        <w:t>考虑单次散射与不相干散射假设，</w:t>
      </w:r>
      <m:oMath>
        <m:r>
          <w:rPr>
            <w:rFonts w:ascii="Cambria Math" w:hAnsi="Cambria Math" w:hint="eastAsia"/>
          </w:rPr>
          <m:t>N</m:t>
        </m:r>
      </m:oMath>
      <w:proofErr w:type="gramStart"/>
      <w:r>
        <w:rPr>
          <w:rFonts w:hint="eastAsia"/>
        </w:rPr>
        <w:t>个</w:t>
      </w:r>
      <w:proofErr w:type="gramEnd"/>
      <w:r>
        <w:rPr>
          <w:rFonts w:hint="eastAsia"/>
        </w:rPr>
        <w:t>粒径分布为</w:t>
      </w:r>
      <m:oMath>
        <m:r>
          <w:rPr>
            <w:rFonts w:ascii="Cambria Math" w:hAnsi="Cambria Math" w:hint="eastAsia"/>
          </w:rPr>
          <m:t>f</m:t>
        </m:r>
        <m:d>
          <m:dPr>
            <m:ctrlPr>
              <w:rPr>
                <w:rFonts w:ascii="Cambria Math" w:hAnsi="Cambria Math"/>
                <w:i/>
              </w:rPr>
            </m:ctrlPr>
          </m:dPr>
          <m:e>
            <m:r>
              <w:rPr>
                <w:rFonts w:ascii="Cambria Math" w:hAnsi="Cambria Math" w:hint="eastAsia"/>
              </w:rPr>
              <m:t>d</m:t>
            </m:r>
          </m:e>
        </m:d>
      </m:oMath>
      <w:r>
        <w:rPr>
          <w:rFonts w:hint="eastAsia"/>
        </w:rPr>
        <w:t>的颗粒的散射光强可表示为：</w:t>
      </w:r>
    </w:p>
    <w:p w14:paraId="4E720E91" w14:textId="77777777" w:rsidR="00F1691B" w:rsidRDefault="00000000">
      <m:oMathPara>
        <m:oMath>
          <m:eqArr>
            <m:eqArrPr>
              <m:maxDist m:val="1"/>
              <m:ctrlPr>
                <w:rPr>
                  <w:rFonts w:ascii="Cambria Math" w:hAnsi="Cambria Math"/>
                  <w:i/>
                </w:rPr>
              </m:ctrlPr>
            </m:eqArrPr>
            <m:e>
              <m:sSub>
                <m:sSubPr>
                  <m:ctrlPr>
                    <w:rPr>
                      <w:rFonts w:ascii="Cambria Math" w:hAnsi="Cambria Math"/>
                      <w:i/>
                    </w:rPr>
                  </m:ctrlPr>
                </m:sSubPr>
                <m:e>
                  <m:r>
                    <w:rPr>
                      <w:rFonts w:ascii="Cambria Math" w:hAnsi="Cambria Math"/>
                    </w:rPr>
                    <m:t>I</m:t>
                  </m:r>
                </m:e>
                <m:sub>
                  <m:r>
                    <w:rPr>
                      <w:rFonts w:ascii="Cambria Math" w:hAnsi="Cambria Math"/>
                    </w:rPr>
                    <m:t>sca</m:t>
                  </m:r>
                </m:sub>
              </m:sSub>
              <m:r>
                <w:rPr>
                  <w:rFonts w:ascii="Cambria Math" w:hAnsi="Cambria Math"/>
                </w:rPr>
                <m:t>=</m:t>
              </m:r>
              <m:f>
                <m:fPr>
                  <m:ctrlPr>
                    <w:rPr>
                      <w:rFonts w:ascii="Cambria Math" w:hAnsi="Cambria Math"/>
                      <w:i/>
                    </w:rPr>
                  </m:ctrlPr>
                </m:fPr>
                <m:num>
                  <m:r>
                    <w:rPr>
                      <w:rFonts w:ascii="Cambria Math" w:hAnsi="Cambria Math" w:hint="eastAsia"/>
                    </w:rPr>
                    <m:t>N</m:t>
                  </m:r>
                  <m:sSub>
                    <m:sSubPr>
                      <m:ctrlPr>
                        <w:rPr>
                          <w:rFonts w:ascii="Cambria Math" w:hAnsi="Cambria Math"/>
                          <w:i/>
                        </w:rPr>
                      </m:ctrlPr>
                    </m:sSubPr>
                    <m:e>
                      <m:r>
                        <w:rPr>
                          <w:rFonts w:ascii="Cambria Math" w:hAnsi="Cambria Math"/>
                        </w:rPr>
                        <m:t>I</m:t>
                      </m:r>
                    </m:e>
                    <m:sub>
                      <m:r>
                        <w:rPr>
                          <w:rFonts w:ascii="Cambria Math" w:hAnsi="Cambria Math"/>
                        </w:rPr>
                        <m:t>0</m:t>
                      </m:r>
                    </m:sub>
                  </m:sSub>
                </m:num>
                <m:den>
                  <m:sSup>
                    <m:sSupPr>
                      <m:ctrlPr>
                        <w:rPr>
                          <w:rFonts w:ascii="Cambria Math" w:hAnsi="Cambria Math"/>
                          <w:i/>
                        </w:rPr>
                      </m:ctrlPr>
                    </m:sSupPr>
                    <m:e>
                      <m:r>
                        <w:rPr>
                          <w:rFonts w:ascii="Cambria Math" w:hAnsi="Cambria Math"/>
                        </w:rPr>
                        <m:t>r</m:t>
                      </m:r>
                    </m:e>
                    <m:sup>
                      <m:r>
                        <w:rPr>
                          <w:rFonts w:ascii="Cambria Math" w:hAnsi="Cambria Math"/>
                        </w:rPr>
                        <m:t>2</m:t>
                      </m:r>
                    </m:sup>
                  </m:sSup>
                </m:den>
              </m:f>
              <m:nary>
                <m:naryPr>
                  <m:limLoc m:val="undOvr"/>
                  <m:subHide m:val="1"/>
                  <m:supHide m:val="1"/>
                  <m:ctrlPr>
                    <w:rPr>
                      <w:rFonts w:ascii="Cambria Math" w:hAnsi="Cambria Math"/>
                      <w:i/>
                    </w:rPr>
                  </m:ctrlPr>
                </m:naryPr>
                <m:sub/>
                <m:sup/>
                <m:e>
                  <m:r>
                    <w:rPr>
                      <w:rFonts w:ascii="Cambria Math" w:hAnsi="Cambria Math" w:hint="eastAsia"/>
                    </w:rPr>
                    <m:t>f</m:t>
                  </m:r>
                  <m:d>
                    <m:dPr>
                      <m:ctrlPr>
                        <w:rPr>
                          <w:rFonts w:ascii="Cambria Math" w:hAnsi="Cambria Math"/>
                          <w:i/>
                        </w:rPr>
                      </m:ctrlPr>
                    </m:dPr>
                    <m:e>
                      <m:r>
                        <w:rPr>
                          <w:rFonts w:ascii="Cambria Math" w:hAnsi="Cambria Math"/>
                        </w:rPr>
                        <m:t>d</m:t>
                      </m:r>
                    </m:e>
                  </m:d>
                  <m:sSub>
                    <m:sSubPr>
                      <m:ctrlPr>
                        <w:rPr>
                          <w:rFonts w:ascii="Cambria Math" w:hAnsi="Cambria Math" w:cs="Cambria Math"/>
                          <w:i/>
                        </w:rPr>
                      </m:ctrlPr>
                    </m:sSubPr>
                    <m:e>
                      <m:r>
                        <w:rPr>
                          <w:rFonts w:ascii="Cambria Math" w:hAnsi="Cambria Math" w:cs="Cambria Math" w:hint="eastAsia"/>
                        </w:rPr>
                        <m:t>Q</m:t>
                      </m:r>
                    </m:e>
                    <m:sub>
                      <m:r>
                        <w:rPr>
                          <w:rFonts w:ascii="Cambria Math" w:hAnsi="Cambria Math" w:cs="Cambria Math"/>
                        </w:rPr>
                        <m:t>sca</m:t>
                      </m:r>
                    </m:sub>
                  </m:sSub>
                  <m:d>
                    <m:dPr>
                      <m:ctrlPr>
                        <w:rPr>
                          <w:rFonts w:ascii="Cambria Math" w:hAnsi="Cambria Math"/>
                          <w:i/>
                        </w:rPr>
                      </m:ctrlPr>
                    </m:dPr>
                    <m:e>
                      <m:r>
                        <w:rPr>
                          <w:rFonts w:ascii="Cambria Math" w:hAnsi="Cambria Math"/>
                        </w:rPr>
                        <m:t>d,λ</m:t>
                      </m:r>
                    </m:e>
                  </m:d>
                  <m:r>
                    <w:rPr>
                      <w:rFonts w:ascii="Cambria Math" w:hAnsi="Cambria Math"/>
                    </w:rPr>
                    <m:t>P</m:t>
                  </m:r>
                  <m:d>
                    <m:dPr>
                      <m:ctrlPr>
                        <w:rPr>
                          <w:rFonts w:ascii="Cambria Math" w:hAnsi="Cambria Math"/>
                          <w:i/>
                        </w:rPr>
                      </m:ctrlPr>
                    </m:dPr>
                    <m:e>
                      <m:r>
                        <w:rPr>
                          <w:rFonts w:ascii="Cambria Math" w:hAnsi="Cambria Math"/>
                        </w:rPr>
                        <m:t>θ,d,λ</m:t>
                      </m:r>
                    </m:e>
                  </m:d>
                  <m:r>
                    <m:rPr>
                      <m:sty m:val="p"/>
                    </m:rPr>
                    <w:rPr>
                      <w:rFonts w:ascii="Cambria Math" w:hAnsi="Cambria Math"/>
                    </w:rPr>
                    <m:t>d</m:t>
                  </m:r>
                  <m:r>
                    <w:rPr>
                      <w:rFonts w:ascii="Cambria Math" w:hAnsi="Cambria Math"/>
                    </w:rPr>
                    <m:t>d</m:t>
                  </m:r>
                </m:e>
              </m:nary>
              <m:r>
                <w:rPr>
                  <w:rFonts w:ascii="Cambria Math" w:hAnsi="Cambria Math"/>
                </w:rPr>
                <m:t>#</m:t>
              </m:r>
            </m:e>
          </m:eqArr>
        </m:oMath>
      </m:oMathPara>
    </w:p>
    <w:p w14:paraId="40B13AF4" w14:textId="77777777" w:rsidR="00F1691B" w:rsidRDefault="00000000">
      <w:pPr>
        <w:widowControl/>
        <w:spacing w:line="240" w:lineRule="atLeast"/>
        <w:outlineLvl w:val="1"/>
        <w:rPr>
          <w:rFonts w:cs="Times New Roman"/>
          <w:b/>
          <w:kern w:val="0"/>
          <w:szCs w:val="21"/>
        </w:rPr>
      </w:pPr>
      <w:r>
        <w:rPr>
          <w:rFonts w:cs="Times New Roman"/>
          <w:b/>
          <w:kern w:val="0"/>
          <w:szCs w:val="21"/>
        </w:rPr>
        <w:t xml:space="preserve">1.2  </w:t>
      </w:r>
      <w:r>
        <w:rPr>
          <w:rFonts w:cs="Times New Roman" w:hint="eastAsia"/>
          <w:b/>
          <w:kern w:val="0"/>
          <w:szCs w:val="21"/>
        </w:rPr>
        <w:t>复合探测信号</w:t>
      </w:r>
    </w:p>
    <w:p w14:paraId="589DBF30" w14:textId="5EBB8E08" w:rsidR="00F1691B" w:rsidRDefault="00000000">
      <w:pPr>
        <w:spacing w:line="240" w:lineRule="atLeast"/>
        <w:ind w:firstLine="420"/>
        <w:rPr>
          <w:rFonts w:cs="Times New Roman"/>
          <w:szCs w:val="21"/>
        </w:rPr>
      </w:pPr>
      <w:r>
        <w:rPr>
          <w:rFonts w:cs="Times New Roman" w:hint="eastAsia"/>
          <w:szCs w:val="21"/>
        </w:rPr>
        <w:t>在火灾燃气多风险复合场景下，入射光同时穿过甲烷气体与烟雾颗粒。透射光强受到甲烷吸收与烟雾消光的共同作用。此时，透射光强的表达式应为：</w:t>
      </w:r>
    </w:p>
    <w:p w14:paraId="6F1DDA8D" w14:textId="77777777" w:rsidR="00F1691B" w:rsidRDefault="00000000">
      <w:pPr>
        <w:spacing w:line="240" w:lineRule="atLeast"/>
        <w:ind w:firstLine="420"/>
        <w:rPr>
          <w:rFonts w:cs="Times New Roman"/>
        </w:rPr>
      </w:pPr>
      <m:oMathPara>
        <m:oMath>
          <m:sSub>
            <m:sSubPr>
              <m:ctrlPr>
                <w:rPr>
                  <w:rFonts w:ascii="Cambria Math" w:hAnsi="Cambria Math"/>
                  <w:i/>
                </w:rPr>
              </m:ctrlPr>
            </m:sSubPr>
            <m:e>
              <m:r>
                <w:rPr>
                  <w:rFonts w:ascii="Cambria Math" w:hAnsi="Cambria Math"/>
                </w:rPr>
                <m:t>I</m:t>
              </m:r>
            </m:e>
            <m:sub>
              <m:r>
                <w:rPr>
                  <w:rFonts w:ascii="Cambria Math" w:hAnsi="Cambria Math"/>
                </w:rPr>
                <m:t>ext</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0</m:t>
              </m:r>
            </m:sub>
          </m:sSub>
          <m:r>
            <m:rPr>
              <m:sty m:val="p"/>
            </m:rPr>
            <w:rPr>
              <w:rFonts w:ascii="Cambria Math" w:hAnsi="Cambria Math" w:hint="eastAsia"/>
            </w:rPr>
            <m:t>·</m:t>
          </m:r>
          <m:r>
            <m:rPr>
              <m:sty m:val="p"/>
            </m:rPr>
            <w:rPr>
              <w:rFonts w:ascii="Cambria Math" w:hAnsi="Cambria Math"/>
            </w:rPr>
            <m:t>exp</m:t>
          </m:r>
          <m:d>
            <m:dPr>
              <m:ctrlPr>
                <w:rPr>
                  <w:rFonts w:ascii="Cambria Math" w:hAnsi="Cambria Math"/>
                  <w:i/>
                </w:rPr>
              </m:ctrlPr>
            </m:dPr>
            <m:e>
              <m:r>
                <w:rPr>
                  <w:rFonts w:ascii="Cambria Math" w:eastAsia="仿宋" w:hAnsi="Cambria Math" w:cs="Times New Roman"/>
                  <w:szCs w:val="21"/>
                </w:rPr>
                <m:t>-</m:t>
              </m:r>
              <m:d>
                <m:dPr>
                  <m:ctrlPr>
                    <w:rPr>
                      <w:rFonts w:ascii="Cambria Math" w:eastAsia="仿宋" w:hAnsi="Cambria Math" w:cs="Times New Roman"/>
                      <w:i/>
                      <w:szCs w:val="21"/>
                    </w:rPr>
                  </m:ctrlPr>
                </m:dPr>
                <m:e>
                  <m:sSub>
                    <m:sSubPr>
                      <m:ctrlPr>
                        <w:rPr>
                          <w:rFonts w:ascii="Cambria Math" w:hAnsi="Cambria Math"/>
                          <w:i/>
                        </w:rPr>
                      </m:ctrlPr>
                    </m:sSubPr>
                    <m:e>
                      <m:r>
                        <w:rPr>
                          <w:rFonts w:ascii="Cambria Math" w:hAnsi="Cambria Math"/>
                        </w:rPr>
                        <m:t>β</m:t>
                      </m:r>
                    </m:e>
                    <m:sub>
                      <m:r>
                        <w:rPr>
                          <w:rFonts w:ascii="Cambria Math" w:hAnsi="Cambria Math" w:hint="eastAsia"/>
                        </w:rPr>
                        <m:t>ext</m:t>
                      </m:r>
                    </m:sub>
                  </m:sSub>
                  <m:d>
                    <m:dPr>
                      <m:ctrlPr>
                        <w:rPr>
                          <w:rFonts w:ascii="Cambria Math" w:hAnsi="Cambria Math"/>
                          <w:i/>
                        </w:rPr>
                      </m:ctrlPr>
                    </m:dPr>
                    <m:e>
                      <m:r>
                        <w:rPr>
                          <w:rFonts w:ascii="Cambria Math" w:hAnsi="Cambria Math"/>
                        </w:rPr>
                        <m:t>λ</m:t>
                      </m:r>
                    </m:e>
                  </m:d>
                  <m:r>
                    <w:rPr>
                      <w:rFonts w:ascii="Cambria Math" w:eastAsia="仿宋" w:hAnsi="Cambria Math" w:cs="Times New Roman"/>
                      <w:szCs w:val="21"/>
                    </w:rPr>
                    <m:t>+ε</m:t>
                  </m:r>
                  <m:d>
                    <m:dPr>
                      <m:ctrlPr>
                        <w:rPr>
                          <w:rFonts w:ascii="Cambria Math" w:eastAsia="仿宋" w:hAnsi="Cambria Math" w:cs="Times New Roman"/>
                          <w:i/>
                          <w:szCs w:val="21"/>
                        </w:rPr>
                      </m:ctrlPr>
                    </m:dPr>
                    <m:e>
                      <m:r>
                        <w:rPr>
                          <w:rFonts w:ascii="Cambria Math" w:eastAsia="仿宋" w:hAnsi="Cambria Math" w:cs="Times New Roman"/>
                          <w:szCs w:val="21"/>
                        </w:rPr>
                        <m:t>λ</m:t>
                      </m:r>
                    </m:e>
                  </m:d>
                  <m:r>
                    <w:rPr>
                      <w:rFonts w:ascii="Cambria Math" w:eastAsia="仿宋" w:hAnsi="Cambria Math" w:cs="Times New Roman"/>
                      <w:szCs w:val="21"/>
                    </w:rPr>
                    <m:t>C</m:t>
                  </m:r>
                </m:e>
              </m:d>
              <m:r>
                <w:rPr>
                  <w:rFonts w:ascii="Cambria Math" w:eastAsia="仿宋" w:hAnsi="Cambria Math" w:cs="Times New Roman"/>
                  <w:szCs w:val="21"/>
                </w:rPr>
                <m:t>l</m:t>
              </m:r>
            </m:e>
          </m:d>
        </m:oMath>
      </m:oMathPara>
    </w:p>
    <w:p w14:paraId="60E02502" w14:textId="77777777" w:rsidR="00F1691B" w:rsidRDefault="00000000" w:rsidP="0005131B">
      <w:pPr>
        <w:spacing w:line="240" w:lineRule="atLeast"/>
        <w:rPr>
          <w:rFonts w:cs="Times New Roman"/>
        </w:rPr>
      </w:pPr>
      <w:r>
        <w:rPr>
          <w:rFonts w:cs="Times New Roman" w:hint="eastAsia"/>
          <w:szCs w:val="21"/>
        </w:rPr>
        <w:t>其中为</w:t>
      </w:r>
      <m:oMath>
        <m:sSub>
          <m:sSubPr>
            <m:ctrlPr>
              <w:rPr>
                <w:rFonts w:ascii="Cambria Math" w:hAnsi="Cambria Math"/>
                <w:i/>
              </w:rPr>
            </m:ctrlPr>
          </m:sSubPr>
          <m:e>
            <m:r>
              <w:rPr>
                <w:rFonts w:ascii="Cambria Math" w:hAnsi="Cambria Math"/>
              </w:rPr>
              <m:t>I</m:t>
            </m:r>
          </m:e>
          <m:sub>
            <m:r>
              <w:rPr>
                <w:rFonts w:ascii="Cambria Math" w:hAnsi="Cambria Math"/>
              </w:rPr>
              <m:t>ext</m:t>
            </m:r>
          </m:sub>
        </m:sSub>
      </m:oMath>
      <w:r>
        <w:rPr>
          <w:rFonts w:cs="Times New Roman" w:hint="eastAsia"/>
        </w:rPr>
        <w:t>是</w:t>
      </w:r>
      <w:r>
        <w:rPr>
          <w:rFonts w:cs="Times New Roman" w:hint="eastAsia"/>
          <w:szCs w:val="21"/>
        </w:rPr>
        <w:t>透射光强，</w:t>
      </w:r>
      <m:oMath>
        <m:sSub>
          <m:sSubPr>
            <m:ctrlPr>
              <w:rPr>
                <w:rFonts w:ascii="Cambria Math" w:hAnsi="Cambria Math"/>
                <w:i/>
              </w:rPr>
            </m:ctrlPr>
          </m:sSubPr>
          <m:e>
            <m:r>
              <w:rPr>
                <w:rFonts w:ascii="Cambria Math" w:hAnsi="Cambria Math"/>
              </w:rPr>
              <m:t>β</m:t>
            </m:r>
          </m:e>
          <m:sub>
            <m:r>
              <w:rPr>
                <w:rFonts w:ascii="Cambria Math" w:hAnsi="Cambria Math" w:hint="eastAsia"/>
              </w:rPr>
              <m:t>ext</m:t>
            </m:r>
          </m:sub>
        </m:sSub>
        <m:d>
          <m:dPr>
            <m:ctrlPr>
              <w:rPr>
                <w:rFonts w:ascii="Cambria Math" w:hAnsi="Cambria Math"/>
                <w:i/>
              </w:rPr>
            </m:ctrlPr>
          </m:dPr>
          <m:e>
            <m:r>
              <w:rPr>
                <w:rFonts w:ascii="Cambria Math" w:hAnsi="Cambria Math"/>
              </w:rPr>
              <m:t>λ</m:t>
            </m:r>
          </m:e>
        </m:d>
      </m:oMath>
      <w:r>
        <w:rPr>
          <w:rFonts w:cs="Times New Roman" w:hint="eastAsia"/>
        </w:rPr>
        <w:t>是烟雾消光系数。同理，散射光强会受到气体吸收和烟雾散射的作用，假设散射均发生在吸收光路的中点处，散射光强的形式改写为：</w:t>
      </w:r>
    </w:p>
    <w:p w14:paraId="6FED7A48" w14:textId="77777777" w:rsidR="00F1691B" w:rsidRDefault="00000000">
      <w:pPr>
        <w:rPr>
          <w:rFonts w:cs="宋体"/>
        </w:rPr>
      </w:pPr>
      <m:oMathPara>
        <m:oMath>
          <m:eqArr>
            <m:eqArrPr>
              <m:maxDist m:val="1"/>
              <m:ctrlPr>
                <w:rPr>
                  <w:rFonts w:ascii="Cambria Math" w:hAnsi="Cambria Math" w:cs="宋体"/>
                  <w:i/>
                </w:rPr>
              </m:ctrlPr>
            </m:eqArrPr>
            <m:e>
              <m:sSub>
                <m:sSubPr>
                  <m:ctrlPr>
                    <w:rPr>
                      <w:rFonts w:ascii="Cambria Math" w:hAnsi="Cambria Math"/>
                      <w:i/>
                    </w:rPr>
                  </m:ctrlPr>
                </m:sSubPr>
                <m:e>
                  <m:r>
                    <w:rPr>
                      <w:rFonts w:ascii="Cambria Math" w:hAnsi="Cambria Math"/>
                    </w:rPr>
                    <m:t>I</m:t>
                  </m:r>
                </m:e>
                <m:sub>
                  <m:r>
                    <w:rPr>
                      <w:rFonts w:ascii="Cambria Math" w:hAnsi="Cambria Math"/>
                    </w:rPr>
                    <m:t>sca</m:t>
                  </m:r>
                </m:sub>
              </m:sSub>
              <m:r>
                <w:rPr>
                  <w:rFonts w:ascii="Cambria Math" w:hAnsi="Cambria Math"/>
                </w:rPr>
                <m:t>=</m:t>
              </m:r>
              <m:ctrlPr>
                <w:rPr>
                  <w:rFonts w:ascii="Cambria Math" w:eastAsia="Cambria Math" w:hAnsi="Cambria Math" w:cs="Cambria Math"/>
                  <w:i/>
                </w:rPr>
              </m:ctrlPr>
            </m:e>
            <m:e>
              <m:f>
                <m:fPr>
                  <m:ctrlPr>
                    <w:rPr>
                      <w:rFonts w:ascii="Cambria Math" w:hAnsi="Cambria Math"/>
                      <w:i/>
                    </w:rPr>
                  </m:ctrlPr>
                </m:fPr>
                <m:num>
                  <m:r>
                    <w:rPr>
                      <w:rFonts w:ascii="Cambria Math" w:hAnsi="Cambria Math" w:hint="eastAsia"/>
                    </w:rPr>
                    <m:t>N</m:t>
                  </m:r>
                  <m:sSub>
                    <m:sSubPr>
                      <m:ctrlPr>
                        <w:rPr>
                          <w:rFonts w:ascii="Cambria Math" w:hAnsi="Cambria Math"/>
                          <w:i/>
                        </w:rPr>
                      </m:ctrlPr>
                    </m:sSubPr>
                    <m:e>
                      <m:r>
                        <w:rPr>
                          <w:rFonts w:ascii="Cambria Math" w:hAnsi="Cambria Math"/>
                        </w:rPr>
                        <m:t>I</m:t>
                      </m:r>
                    </m:e>
                    <m:sub>
                      <m:r>
                        <w:rPr>
                          <w:rFonts w:ascii="Cambria Math" w:hAnsi="Cambria Math"/>
                        </w:rPr>
                        <m:t>0</m:t>
                      </m:r>
                    </m:sub>
                  </m:sSub>
                </m:num>
                <m:den>
                  <m:sSup>
                    <m:sSupPr>
                      <m:ctrlPr>
                        <w:rPr>
                          <w:rFonts w:ascii="Cambria Math" w:hAnsi="Cambria Math"/>
                          <w:i/>
                        </w:rPr>
                      </m:ctrlPr>
                    </m:sSupPr>
                    <m:e>
                      <m:r>
                        <w:rPr>
                          <w:rFonts w:ascii="Cambria Math" w:hAnsi="Cambria Math"/>
                        </w:rPr>
                        <m:t>r</m:t>
                      </m:r>
                    </m:e>
                    <m:sup>
                      <m:r>
                        <w:rPr>
                          <w:rFonts w:ascii="Cambria Math" w:hAnsi="Cambria Math"/>
                        </w:rPr>
                        <m:t>2</m:t>
                      </m:r>
                    </m:sup>
                  </m:sSup>
                </m:den>
              </m:f>
              <m:nary>
                <m:naryPr>
                  <m:limLoc m:val="undOvr"/>
                  <m:subHide m:val="1"/>
                  <m:supHide m:val="1"/>
                  <m:ctrlPr>
                    <w:rPr>
                      <w:rFonts w:ascii="Cambria Math" w:hAnsi="Cambria Math"/>
                      <w:i/>
                    </w:rPr>
                  </m:ctrlPr>
                </m:naryPr>
                <m:sub/>
                <m:sup/>
                <m:e>
                  <m:r>
                    <w:rPr>
                      <w:rFonts w:ascii="Cambria Math" w:hAnsi="Cambria Math" w:hint="eastAsia"/>
                    </w:rPr>
                    <m:t>f</m:t>
                  </m:r>
                  <m:d>
                    <m:dPr>
                      <m:ctrlPr>
                        <w:rPr>
                          <w:rFonts w:ascii="Cambria Math" w:hAnsi="Cambria Math"/>
                          <w:i/>
                        </w:rPr>
                      </m:ctrlPr>
                    </m:dPr>
                    <m:e>
                      <m:r>
                        <w:rPr>
                          <w:rFonts w:ascii="Cambria Math" w:hAnsi="Cambria Math"/>
                        </w:rPr>
                        <m:t>d</m:t>
                      </m:r>
                    </m:e>
                  </m:d>
                  <m:sSub>
                    <m:sSubPr>
                      <m:ctrlPr>
                        <w:rPr>
                          <w:rFonts w:ascii="Cambria Math" w:hAnsi="Cambria Math" w:cs="Cambria Math"/>
                          <w:i/>
                        </w:rPr>
                      </m:ctrlPr>
                    </m:sSubPr>
                    <m:e>
                      <m:r>
                        <w:rPr>
                          <w:rFonts w:ascii="Cambria Math" w:hAnsi="Cambria Math" w:cs="Cambria Math" w:hint="eastAsia"/>
                        </w:rPr>
                        <m:t>Q</m:t>
                      </m:r>
                    </m:e>
                    <m:sub>
                      <m:r>
                        <w:rPr>
                          <w:rFonts w:ascii="Cambria Math" w:hAnsi="Cambria Math" w:cs="Cambria Math"/>
                        </w:rPr>
                        <m:t>sca</m:t>
                      </m:r>
                    </m:sub>
                  </m:sSub>
                  <m:d>
                    <m:dPr>
                      <m:ctrlPr>
                        <w:rPr>
                          <w:rFonts w:ascii="Cambria Math" w:hAnsi="Cambria Math"/>
                          <w:i/>
                        </w:rPr>
                      </m:ctrlPr>
                    </m:dPr>
                    <m:e>
                      <m:r>
                        <w:rPr>
                          <w:rFonts w:ascii="Cambria Math" w:hAnsi="Cambria Math"/>
                        </w:rPr>
                        <m:t>d,λ</m:t>
                      </m:r>
                    </m:e>
                  </m:d>
                  <m:r>
                    <w:rPr>
                      <w:rFonts w:ascii="Cambria Math" w:hAnsi="Cambria Math"/>
                    </w:rPr>
                    <m:t>P</m:t>
                  </m:r>
                  <m:d>
                    <m:dPr>
                      <m:ctrlPr>
                        <w:rPr>
                          <w:rFonts w:ascii="Cambria Math" w:hAnsi="Cambria Math"/>
                          <w:i/>
                        </w:rPr>
                      </m:ctrlPr>
                    </m:dPr>
                    <m:e>
                      <m:r>
                        <w:rPr>
                          <w:rFonts w:ascii="Cambria Math" w:hAnsi="Cambria Math"/>
                        </w:rPr>
                        <m:t>θ,d,λ</m:t>
                      </m:r>
                    </m:e>
                  </m:d>
                  <m:r>
                    <m:rPr>
                      <m:sty m:val="p"/>
                    </m:rPr>
                    <w:rPr>
                      <w:rFonts w:ascii="Cambria Math" w:hAnsi="Cambria Math"/>
                    </w:rPr>
                    <m:t>d</m:t>
                  </m:r>
                  <m:r>
                    <w:rPr>
                      <w:rFonts w:ascii="Cambria Math" w:hAnsi="Cambria Math"/>
                    </w:rPr>
                    <m:t>d</m:t>
                  </m:r>
                </m:e>
              </m:nary>
              <m:r>
                <w:rPr>
                  <w:rFonts w:ascii="Cambria Math" w:hAnsi="Cambria Math" w:hint="eastAsia"/>
                </w:rPr>
                <m:t>·</m:t>
              </m:r>
              <m:ctrlPr>
                <w:rPr>
                  <w:rFonts w:ascii="Cambria Math" w:eastAsia="Cambria Math" w:hAnsi="Cambria Math" w:cs="Cambria Math"/>
                  <w:i/>
                </w:rPr>
              </m:ctrlPr>
            </m:e>
            <m:e>
              <m:r>
                <m:rPr>
                  <m:sty m:val="p"/>
                </m:rPr>
                <w:rPr>
                  <w:rFonts w:ascii="Cambria Math" w:hAnsi="Cambria Math"/>
                </w:rPr>
                <m:t>exp</m:t>
              </m:r>
              <m:d>
                <m:dPr>
                  <m:ctrlPr>
                    <w:rPr>
                      <w:rFonts w:ascii="Cambria Math" w:hAnsi="Cambria Math"/>
                      <w:i/>
                    </w:rPr>
                  </m:ctrlPr>
                </m:dPr>
                <m:e>
                  <m:r>
                    <w:rPr>
                      <w:rFonts w:ascii="Cambria Math" w:hAnsi="Cambria Math"/>
                    </w:rPr>
                    <m:t>-</m:t>
                  </m:r>
                  <m:nary>
                    <m:naryPr>
                      <m:limLoc m:val="subSup"/>
                      <m:ctrlPr>
                        <w:rPr>
                          <w:rFonts w:ascii="Cambria Math" w:hAnsi="Cambria Math"/>
                          <w:i/>
                        </w:rPr>
                      </m:ctrlPr>
                    </m:naryPr>
                    <m:sub>
                      <m:r>
                        <w:rPr>
                          <w:rFonts w:ascii="Cambria Math" w:hAnsi="Cambria Math"/>
                        </w:rPr>
                        <m:t>0</m:t>
                      </m:r>
                    </m:sub>
                    <m:sup>
                      <m:f>
                        <m:fPr>
                          <m:ctrlPr>
                            <w:rPr>
                              <w:rFonts w:ascii="Cambria Math" w:hAnsi="Cambria Math"/>
                              <w:i/>
                            </w:rPr>
                          </m:ctrlPr>
                        </m:fPr>
                        <m:num>
                          <m:r>
                            <w:rPr>
                              <w:rFonts w:ascii="Cambria Math" w:hAnsi="Cambria Math" w:hint="eastAsia"/>
                            </w:rPr>
                            <m:t>L</m:t>
                          </m:r>
                        </m:num>
                        <m:den>
                          <m:r>
                            <w:rPr>
                              <w:rFonts w:ascii="Cambria Math" w:hAnsi="Cambria Math"/>
                            </w:rPr>
                            <m:t>2</m:t>
                          </m:r>
                        </m:den>
                      </m:f>
                      <m:r>
                        <w:rPr>
                          <w:rFonts w:ascii="Cambria Math" w:hAnsi="Cambria Math"/>
                        </w:rPr>
                        <m:t>+</m:t>
                      </m:r>
                      <m:r>
                        <w:rPr>
                          <w:rFonts w:ascii="Cambria Math" w:hAnsi="Cambria Math" w:hint="eastAsia"/>
                        </w:rPr>
                        <m:t>r</m:t>
                      </m:r>
                    </m:sup>
                    <m:e>
                      <m:nary>
                        <m:naryPr>
                          <m:chr m:val="∑"/>
                          <m:limLoc m:val="undOvr"/>
                          <m:ctrlPr>
                            <w:rPr>
                              <w:rFonts w:ascii="Cambria Math" w:hAnsi="Cambria Math"/>
                              <w:i/>
                            </w:rPr>
                          </m:ctrlPr>
                        </m:naryPr>
                        <m:sub>
                          <m:r>
                            <w:rPr>
                              <w:rFonts w:ascii="Cambria Math" w:hAnsi="Cambria Math"/>
                            </w:rPr>
                            <m:t>i=1</m:t>
                          </m:r>
                        </m:sub>
                        <m:sup>
                          <m:r>
                            <w:rPr>
                              <w:rFonts w:ascii="Cambria Math" w:hAnsi="Cambria Math" w:hint="eastAsia"/>
                            </w:rPr>
                            <m:t>n</m:t>
                          </m:r>
                        </m:sup>
                        <m:e>
                          <m:r>
                            <w:rPr>
                              <w:rFonts w:ascii="Cambria Math" w:eastAsia="仿宋" w:hAnsi="Cambria Math" w:cs="Times New Roman"/>
                              <w:szCs w:val="21"/>
                            </w:rPr>
                            <m:t>ε</m:t>
                          </m:r>
                          <m:d>
                            <m:dPr>
                              <m:ctrlPr>
                                <w:rPr>
                                  <w:rFonts w:ascii="Cambria Math" w:eastAsia="仿宋" w:hAnsi="Cambria Math" w:cs="Times New Roman"/>
                                  <w:i/>
                                  <w:szCs w:val="21"/>
                                </w:rPr>
                              </m:ctrlPr>
                            </m:dPr>
                            <m:e>
                              <m:r>
                                <w:rPr>
                                  <w:rFonts w:ascii="Cambria Math" w:eastAsia="仿宋" w:hAnsi="Cambria Math" w:cs="Times New Roman"/>
                                  <w:szCs w:val="21"/>
                                </w:rPr>
                                <m:t>λ</m:t>
                              </m:r>
                            </m:e>
                          </m:d>
                          <m:r>
                            <w:rPr>
                              <w:rFonts w:ascii="Cambria Math" w:eastAsia="仿宋" w:hAnsi="Cambria Math" w:cs="Times New Roman"/>
                              <w:szCs w:val="21"/>
                            </w:rPr>
                            <m:t>C</m:t>
                          </m:r>
                        </m:e>
                      </m:nary>
                      <m:r>
                        <w:rPr>
                          <w:rFonts w:ascii="Cambria Math" w:hAnsi="Cambria Math"/>
                        </w:rPr>
                        <m:t>dl</m:t>
                      </m:r>
                    </m:e>
                  </m:nary>
                </m:e>
              </m:d>
              <m:ctrlPr>
                <w:rPr>
                  <w:rFonts w:ascii="Cambria Math" w:hAnsi="Cambria Math"/>
                  <w:i/>
                </w:rPr>
              </m:ctrlPr>
            </m:e>
          </m:eqArr>
        </m:oMath>
      </m:oMathPara>
    </w:p>
    <w:p w14:paraId="6E44FE25" w14:textId="77777777" w:rsidR="00F1691B" w:rsidRDefault="00000000">
      <w:pPr>
        <w:ind w:firstLine="420"/>
        <w:rPr>
          <w:rFonts w:cs="宋体"/>
        </w:rPr>
      </w:pPr>
      <w:r>
        <w:rPr>
          <w:rFonts w:cs="宋体" w:hint="eastAsia"/>
        </w:rPr>
        <w:t>即散射光强度会受到光路上气体吸收的影响，其中</w:t>
      </w:r>
      <m:oMath>
        <m:r>
          <w:rPr>
            <w:rFonts w:ascii="Cambria Math" w:hAnsi="Cambria Math" w:cs="宋体" w:hint="eastAsia"/>
          </w:rPr>
          <m:t>L</m:t>
        </m:r>
      </m:oMath>
      <w:r>
        <w:rPr>
          <w:rFonts w:cs="宋体" w:hint="eastAsia"/>
        </w:rPr>
        <w:t>代表完整的气体吸收光程，</w:t>
      </w:r>
      <m:oMath>
        <m:r>
          <w:rPr>
            <w:rFonts w:ascii="Cambria Math" w:hAnsi="Cambria Math" w:cs="宋体" w:hint="eastAsia"/>
          </w:rPr>
          <m:t>r</m:t>
        </m:r>
      </m:oMath>
      <w:r>
        <w:rPr>
          <w:rFonts w:cs="宋体" w:hint="eastAsia"/>
        </w:rPr>
        <w:t>为与光作用的颗粒到观测点的距离。</w:t>
      </w:r>
    </w:p>
    <w:p w14:paraId="221CCDC3" w14:textId="53B78D9B" w:rsidR="00F1691B" w:rsidRDefault="00000000">
      <w:pPr>
        <w:ind w:firstLine="420"/>
        <w:rPr>
          <w:rFonts w:cs="宋体"/>
        </w:rPr>
      </w:pPr>
      <w:r>
        <w:rPr>
          <w:rFonts w:cs="宋体" w:hint="eastAsia"/>
        </w:rPr>
        <w:t>在烟雾甲烷同时存在的复合探测场景中，穿过介质的透射</w:t>
      </w:r>
      <w:proofErr w:type="gramStart"/>
      <w:r>
        <w:rPr>
          <w:rFonts w:cs="宋体" w:hint="eastAsia"/>
        </w:rPr>
        <w:t>光受到</w:t>
      </w:r>
      <w:proofErr w:type="gramEnd"/>
      <w:r>
        <w:rPr>
          <w:rFonts w:cs="宋体" w:hint="eastAsia"/>
        </w:rPr>
        <w:t>烟雾消光和甲烷吸收的影响，散射光同样受到甲烷吸收和烟雾散射的影响，想要从这一散射消光复合信号中解得烟雾和甲烷</w:t>
      </w:r>
      <w:r w:rsidR="00381A43" w:rsidRPr="00381A43">
        <w:rPr>
          <w:rFonts w:cs="宋体" w:hint="eastAsia"/>
        </w:rPr>
        <w:t>体积分数</w:t>
      </w:r>
      <w:r>
        <w:rPr>
          <w:rFonts w:cs="宋体" w:hint="eastAsia"/>
        </w:rPr>
        <w:t>需要对其进行简化处理。</w:t>
      </w:r>
    </w:p>
    <w:p w14:paraId="4A108D95" w14:textId="77777777" w:rsidR="00F1691B" w:rsidRDefault="00000000">
      <w:pPr>
        <w:widowControl/>
        <w:spacing w:line="240" w:lineRule="atLeast"/>
        <w:outlineLvl w:val="0"/>
        <w:rPr>
          <w:rFonts w:cs="Times New Roman"/>
          <w:b/>
          <w:bCs/>
          <w:kern w:val="0"/>
          <w:sz w:val="24"/>
          <w:szCs w:val="24"/>
        </w:rPr>
      </w:pPr>
      <w:r>
        <w:rPr>
          <w:rFonts w:cs="Times New Roman" w:hint="eastAsia"/>
          <w:b/>
          <w:bCs/>
          <w:kern w:val="0"/>
          <w:sz w:val="24"/>
          <w:szCs w:val="24"/>
        </w:rPr>
        <w:t>2</w:t>
      </w:r>
      <w:r>
        <w:rPr>
          <w:rFonts w:cs="Times New Roman"/>
          <w:b/>
          <w:bCs/>
          <w:kern w:val="0"/>
          <w:sz w:val="24"/>
          <w:szCs w:val="24"/>
        </w:rPr>
        <w:t xml:space="preserve"> </w:t>
      </w:r>
      <w:r>
        <w:rPr>
          <w:rFonts w:cs="Times New Roman" w:hint="eastAsia"/>
          <w:b/>
          <w:bCs/>
          <w:kern w:val="0"/>
          <w:sz w:val="24"/>
          <w:szCs w:val="24"/>
        </w:rPr>
        <w:t>探测器件研制</w:t>
      </w:r>
    </w:p>
    <w:p w14:paraId="0875C598" w14:textId="77777777" w:rsidR="00F1691B" w:rsidRDefault="00000000">
      <w:pPr>
        <w:widowControl/>
        <w:spacing w:line="240" w:lineRule="atLeast"/>
        <w:outlineLvl w:val="1"/>
        <w:rPr>
          <w:rFonts w:cs="Times New Roman"/>
          <w:b/>
          <w:kern w:val="0"/>
          <w:szCs w:val="21"/>
        </w:rPr>
      </w:pPr>
      <w:r>
        <w:rPr>
          <w:rFonts w:cs="Times New Roman" w:hint="eastAsia"/>
          <w:b/>
          <w:kern w:val="0"/>
          <w:szCs w:val="21"/>
        </w:rPr>
        <w:t xml:space="preserve">2.1  </w:t>
      </w:r>
      <w:r>
        <w:rPr>
          <w:rFonts w:cs="Times New Roman" w:hint="eastAsia"/>
          <w:b/>
          <w:kern w:val="0"/>
          <w:szCs w:val="21"/>
        </w:rPr>
        <w:t>复合探测信号处理方法</w:t>
      </w:r>
    </w:p>
    <w:p w14:paraId="129176C2" w14:textId="34ABEA3D" w:rsidR="00F1691B" w:rsidRDefault="00000000">
      <w:pPr>
        <w:spacing w:line="240" w:lineRule="atLeast"/>
        <w:ind w:firstLine="420"/>
        <w:rPr>
          <w:rFonts w:cs="Times New Roman"/>
          <w:szCs w:val="21"/>
        </w:rPr>
      </w:pPr>
      <w:r>
        <w:rPr>
          <w:rFonts w:cs="Times New Roman" w:hint="eastAsia"/>
          <w:szCs w:val="21"/>
        </w:rPr>
        <w:t>甲烷特征吸收</w:t>
      </w:r>
      <w:proofErr w:type="gramStart"/>
      <w:r>
        <w:rPr>
          <w:rFonts w:cs="Times New Roman" w:hint="eastAsia"/>
          <w:szCs w:val="21"/>
        </w:rPr>
        <w:t>峰主要</w:t>
      </w:r>
      <w:proofErr w:type="gramEnd"/>
      <w:r>
        <w:rPr>
          <w:rFonts w:cs="Times New Roman" w:hint="eastAsia"/>
          <w:szCs w:val="21"/>
        </w:rPr>
        <w:t>有近红外</w:t>
      </w:r>
      <w:r>
        <w:rPr>
          <w:rFonts w:cs="Times New Roman" w:hint="eastAsia"/>
          <w:szCs w:val="21"/>
        </w:rPr>
        <w:t>1</w:t>
      </w:r>
      <w:r w:rsidR="00381A43">
        <w:rPr>
          <w:rFonts w:cs="Times New Roman" w:hint="eastAsia"/>
          <w:szCs w:val="21"/>
        </w:rPr>
        <w:t xml:space="preserve"> </w:t>
      </w:r>
      <w:r>
        <w:rPr>
          <w:rFonts w:cs="Times New Roman" w:hint="eastAsia"/>
          <w:szCs w:val="21"/>
        </w:rPr>
        <w:t>650 nm</w:t>
      </w:r>
      <w:r>
        <w:rPr>
          <w:rFonts w:cs="Times New Roman" w:hint="eastAsia"/>
          <w:szCs w:val="21"/>
        </w:rPr>
        <w:t>和中红外</w:t>
      </w:r>
      <w:r>
        <w:rPr>
          <w:rFonts w:cs="Times New Roman" w:hint="eastAsia"/>
          <w:szCs w:val="21"/>
        </w:rPr>
        <w:t>3</w:t>
      </w:r>
      <w:r w:rsidR="00381A43">
        <w:rPr>
          <w:rFonts w:cs="Times New Roman" w:hint="eastAsia"/>
          <w:szCs w:val="21"/>
        </w:rPr>
        <w:t xml:space="preserve"> </w:t>
      </w:r>
      <w:r>
        <w:rPr>
          <w:rFonts w:cs="Times New Roman" w:hint="eastAsia"/>
          <w:szCs w:val="21"/>
        </w:rPr>
        <w:t>310 nm</w:t>
      </w:r>
      <w:r>
        <w:rPr>
          <w:rFonts w:cs="Times New Roman" w:hint="eastAsia"/>
          <w:szCs w:val="21"/>
        </w:rPr>
        <w:t>，中红外波段下火灾烟雾（粒径一般小于</w:t>
      </w:r>
      <w:r>
        <w:rPr>
          <w:rFonts w:cs="Times New Roman" w:hint="eastAsia"/>
          <w:szCs w:val="21"/>
        </w:rPr>
        <w:t>400 nm</w:t>
      </w:r>
      <w:r>
        <w:rPr>
          <w:rFonts w:cs="Times New Roman" w:hint="eastAsia"/>
          <w:szCs w:val="21"/>
        </w:rPr>
        <w:t>）散射光强过弱，不适合用于探测火灾烟雾，选择散射光强度相对更强的</w:t>
      </w:r>
      <w:r>
        <w:rPr>
          <w:rFonts w:cs="Times New Roman" w:hint="eastAsia"/>
          <w:szCs w:val="21"/>
        </w:rPr>
        <w:t>1</w:t>
      </w:r>
      <w:r w:rsidR="00381A43">
        <w:rPr>
          <w:rFonts w:cs="Times New Roman" w:hint="eastAsia"/>
          <w:szCs w:val="21"/>
        </w:rPr>
        <w:t xml:space="preserve"> </w:t>
      </w:r>
      <w:r>
        <w:rPr>
          <w:rFonts w:cs="Times New Roman" w:hint="eastAsia"/>
          <w:szCs w:val="21"/>
        </w:rPr>
        <w:t xml:space="preserve">653.7 </w:t>
      </w:r>
      <w:r>
        <w:rPr>
          <w:rFonts w:cs="Times New Roman"/>
          <w:szCs w:val="21"/>
        </w:rPr>
        <w:t>nm</w:t>
      </w:r>
      <w:r>
        <w:rPr>
          <w:rFonts w:cs="Times New Roman"/>
          <w:szCs w:val="21"/>
        </w:rPr>
        <w:t>作为入射波长。</w:t>
      </w:r>
      <w:r>
        <w:rPr>
          <w:rFonts w:cs="Times New Roman" w:hint="eastAsia"/>
          <w:szCs w:val="21"/>
        </w:rPr>
        <w:t>TDLAS</w:t>
      </w:r>
      <w:r>
        <w:rPr>
          <w:rFonts w:cs="Times New Roman" w:hint="eastAsia"/>
          <w:szCs w:val="21"/>
        </w:rPr>
        <w:t>技术通过改变半导体激光器的驱动电流实现对输出光波长的扫描调制</w:t>
      </w:r>
      <w:r w:rsidR="00074339">
        <w:rPr>
          <w:rFonts w:cs="Times New Roman" w:hint="eastAsia"/>
          <w:szCs w:val="21"/>
        </w:rPr>
        <w:t>，主要分</w:t>
      </w:r>
      <w:r w:rsidR="0005131B">
        <w:rPr>
          <w:rFonts w:cs="Times New Roman" w:hint="eastAsia"/>
          <w:szCs w:val="21"/>
        </w:rPr>
        <w:t>直接吸收（</w:t>
      </w:r>
      <w:r w:rsidR="0005131B">
        <w:rPr>
          <w:rFonts w:cs="Times New Roman" w:hint="eastAsia"/>
          <w:szCs w:val="21"/>
        </w:rPr>
        <w:t>DAS</w:t>
      </w:r>
      <w:r w:rsidR="0005131B">
        <w:rPr>
          <w:rFonts w:cs="Times New Roman" w:hint="eastAsia"/>
          <w:szCs w:val="21"/>
        </w:rPr>
        <w:t>）</w:t>
      </w:r>
      <w:r w:rsidR="00074339">
        <w:rPr>
          <w:rFonts w:cs="Times New Roman" w:hint="eastAsia"/>
          <w:szCs w:val="21"/>
        </w:rPr>
        <w:t>和</w:t>
      </w:r>
      <w:r w:rsidR="0005131B">
        <w:rPr>
          <w:rFonts w:cs="Times New Roman" w:hint="eastAsia"/>
          <w:szCs w:val="21"/>
        </w:rPr>
        <w:t>波长调制（</w:t>
      </w:r>
      <w:r w:rsidR="0005131B">
        <w:rPr>
          <w:rFonts w:cs="Times New Roman" w:hint="eastAsia"/>
          <w:szCs w:val="21"/>
        </w:rPr>
        <w:t>WMS</w:t>
      </w:r>
      <w:r w:rsidR="0005131B">
        <w:rPr>
          <w:rFonts w:cs="Times New Roman" w:hint="eastAsia"/>
          <w:szCs w:val="21"/>
        </w:rPr>
        <w:t>）</w:t>
      </w:r>
      <w:r w:rsidR="00074339">
        <w:rPr>
          <w:rFonts w:cs="Times New Roman" w:hint="eastAsia"/>
          <w:szCs w:val="21"/>
        </w:rPr>
        <w:t>两种方法：</w:t>
      </w:r>
      <w:r w:rsidR="0005131B">
        <w:rPr>
          <w:rFonts w:cs="Times New Roman" w:hint="eastAsia"/>
          <w:szCs w:val="21"/>
        </w:rPr>
        <w:t>直接吸收</w:t>
      </w:r>
      <w:r w:rsidR="00074339">
        <w:rPr>
          <w:rFonts w:cs="Times New Roman" w:hint="eastAsia"/>
          <w:szCs w:val="21"/>
        </w:rPr>
        <w:t>法</w:t>
      </w:r>
      <w:r w:rsidR="0005131B">
        <w:rPr>
          <w:rFonts w:cs="Times New Roman" w:hint="eastAsia"/>
          <w:szCs w:val="21"/>
        </w:rPr>
        <w:t>简单</w:t>
      </w:r>
      <w:r w:rsidR="00074339">
        <w:rPr>
          <w:rFonts w:cs="Times New Roman" w:hint="eastAsia"/>
          <w:szCs w:val="21"/>
        </w:rPr>
        <w:t>高效，但对低浓度信号效果较差</w:t>
      </w:r>
      <w:r w:rsidR="0005131B">
        <w:rPr>
          <w:rFonts w:cs="Times New Roman" w:hint="eastAsia"/>
          <w:szCs w:val="21"/>
        </w:rPr>
        <w:t>；波长调制</w:t>
      </w:r>
      <w:r w:rsidR="00074339">
        <w:rPr>
          <w:rFonts w:cs="Times New Roman" w:hint="eastAsia"/>
          <w:szCs w:val="21"/>
        </w:rPr>
        <w:t>法将</w:t>
      </w:r>
      <w:r w:rsidR="0005131B">
        <w:rPr>
          <w:rFonts w:cs="Times New Roman" w:hint="eastAsia"/>
          <w:szCs w:val="21"/>
        </w:rPr>
        <w:t>一定频率调制信号加载到扫描信号上，使得目标</w:t>
      </w:r>
      <w:r w:rsidR="00074339">
        <w:rPr>
          <w:rFonts w:cs="Times New Roman" w:hint="eastAsia"/>
          <w:szCs w:val="21"/>
        </w:rPr>
        <w:t>信号</w:t>
      </w:r>
      <w:r w:rsidR="0005131B">
        <w:rPr>
          <w:rFonts w:cs="Times New Roman" w:hint="eastAsia"/>
          <w:szCs w:val="21"/>
        </w:rPr>
        <w:t>加载</w:t>
      </w:r>
      <w:r w:rsidR="00074339">
        <w:rPr>
          <w:rFonts w:cs="Times New Roman" w:hint="eastAsia"/>
          <w:szCs w:val="21"/>
        </w:rPr>
        <w:t>到</w:t>
      </w:r>
      <w:r w:rsidR="0005131B">
        <w:rPr>
          <w:rFonts w:cs="Times New Roman" w:hint="eastAsia"/>
          <w:szCs w:val="21"/>
        </w:rPr>
        <w:t>抗干扰能力更强的</w:t>
      </w:r>
      <w:r w:rsidR="00074339">
        <w:rPr>
          <w:rFonts w:cs="Times New Roman" w:hint="eastAsia"/>
          <w:szCs w:val="21"/>
        </w:rPr>
        <w:t>频</w:t>
      </w:r>
      <w:r w:rsidR="0005131B">
        <w:rPr>
          <w:rFonts w:cs="Times New Roman" w:hint="eastAsia"/>
          <w:szCs w:val="21"/>
        </w:rPr>
        <w:t>率上</w:t>
      </w:r>
      <w:r w:rsidR="00074339">
        <w:rPr>
          <w:rFonts w:cs="Times New Roman" w:hint="eastAsia"/>
          <w:szCs w:val="21"/>
        </w:rPr>
        <w:t>，对低浓度</w:t>
      </w:r>
      <w:r w:rsidR="0005131B">
        <w:rPr>
          <w:rFonts w:cs="Times New Roman" w:hint="eastAsia"/>
          <w:szCs w:val="21"/>
        </w:rPr>
        <w:t>探测</w:t>
      </w:r>
      <w:r w:rsidR="00074339">
        <w:rPr>
          <w:rFonts w:cs="Times New Roman" w:hint="eastAsia"/>
          <w:szCs w:val="21"/>
        </w:rPr>
        <w:t>效果好，但在高浓度时存在非线性问题</w:t>
      </w:r>
      <w:r w:rsidR="00A67076" w:rsidRPr="00A67076">
        <w:rPr>
          <w:rFonts w:cs="Times New Roman"/>
          <w:kern w:val="0"/>
          <w:vertAlign w:val="superscript"/>
        </w:rPr>
        <w:t>[13]</w:t>
      </w:r>
      <w:r>
        <w:rPr>
          <w:rFonts w:cs="Times New Roman" w:hint="eastAsia"/>
          <w:szCs w:val="21"/>
        </w:rPr>
        <w:t>。</w:t>
      </w:r>
      <w:r w:rsidR="00074339">
        <w:rPr>
          <w:rFonts w:cs="Times New Roman" w:hint="eastAsia"/>
          <w:szCs w:val="21"/>
        </w:rPr>
        <w:t>本文对单个扫描信号</w:t>
      </w:r>
      <w:r>
        <w:rPr>
          <w:rFonts w:cs="Times New Roman" w:hint="eastAsia"/>
          <w:szCs w:val="21"/>
        </w:rPr>
        <w:t>同时应用</w:t>
      </w:r>
      <w:r>
        <w:rPr>
          <w:rFonts w:cs="Times New Roman" w:hint="eastAsia"/>
          <w:szCs w:val="21"/>
        </w:rPr>
        <w:t>WMS/DAS</w:t>
      </w:r>
      <w:r>
        <w:rPr>
          <w:rFonts w:cs="Times New Roman" w:hint="eastAsia"/>
          <w:szCs w:val="21"/>
        </w:rPr>
        <w:t>方法，接收到的消光信号如</w:t>
      </w:r>
      <w:r>
        <w:rPr>
          <w:rFonts w:cs="Times New Roman"/>
          <w:szCs w:val="21"/>
        </w:rPr>
        <w:fldChar w:fldCharType="begin"/>
      </w:r>
      <w:r>
        <w:rPr>
          <w:rFonts w:cs="Times New Roman"/>
          <w:szCs w:val="21"/>
        </w:rPr>
        <w:instrText xml:space="preserve"> </w:instrText>
      </w:r>
      <w:r>
        <w:rPr>
          <w:rFonts w:cs="Times New Roman" w:hint="eastAsia"/>
          <w:szCs w:val="21"/>
        </w:rPr>
        <w:instrText>REF _Ref207981889 \h</w:instrText>
      </w:r>
      <w:r>
        <w:rPr>
          <w:rFonts w:cs="Times New Roman"/>
          <w:szCs w:val="21"/>
        </w:rPr>
        <w:instrText xml:space="preserve">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rPr>
          <w:noProof/>
        </w:rPr>
        <w:t>1</w:t>
      </w:r>
      <w:r>
        <w:rPr>
          <w:rFonts w:cs="Times New Roman"/>
          <w:szCs w:val="21"/>
        </w:rPr>
        <w:fldChar w:fldCharType="end"/>
      </w:r>
      <w:r>
        <w:rPr>
          <w:rFonts w:cs="Times New Roman" w:hint="eastAsia"/>
          <w:szCs w:val="21"/>
        </w:rPr>
        <w:t>所示</w:t>
      </w:r>
      <w:r w:rsidR="0005131B">
        <w:rPr>
          <w:rFonts w:cs="Times New Roman" w:hint="eastAsia"/>
          <w:szCs w:val="21"/>
        </w:rPr>
        <w:t>，</w:t>
      </w:r>
      <w:proofErr w:type="gramStart"/>
      <w:r w:rsidR="0005131B">
        <w:rPr>
          <w:rFonts w:cs="Times New Roman" w:hint="eastAsia"/>
          <w:szCs w:val="21"/>
        </w:rPr>
        <w:t>下降沿未叠加</w:t>
      </w:r>
      <w:proofErr w:type="gramEnd"/>
      <w:r w:rsidR="0005131B">
        <w:rPr>
          <w:rFonts w:cs="Times New Roman" w:hint="eastAsia"/>
          <w:szCs w:val="21"/>
        </w:rPr>
        <w:t>谐波调制，如图</w:t>
      </w:r>
      <w:r w:rsidR="0005131B">
        <w:rPr>
          <w:rFonts w:cs="Times New Roman" w:hint="eastAsia"/>
          <w:szCs w:val="21"/>
        </w:rPr>
        <w:t>1(c)</w:t>
      </w:r>
      <w:r w:rsidR="0005131B">
        <w:rPr>
          <w:rFonts w:cs="Times New Roman" w:hint="eastAsia"/>
          <w:szCs w:val="21"/>
        </w:rPr>
        <w:t>，应用</w:t>
      </w:r>
      <w:r w:rsidR="0005131B">
        <w:rPr>
          <w:rFonts w:cs="Times New Roman" w:hint="eastAsia"/>
          <w:szCs w:val="21"/>
        </w:rPr>
        <w:t>DAS</w:t>
      </w:r>
      <w:r w:rsidR="0005131B">
        <w:rPr>
          <w:rFonts w:cs="Times New Roman" w:hint="eastAsia"/>
          <w:szCs w:val="21"/>
        </w:rPr>
        <w:t>法可由</w:t>
      </w:r>
      <w:r w:rsidR="0005131B">
        <w:rPr>
          <w:rFonts w:cs="Times New Roman" w:hint="eastAsia"/>
          <w:szCs w:val="21"/>
        </w:rPr>
        <w:t>Lambert</w:t>
      </w:r>
      <w:r w:rsidR="0005131B">
        <w:rPr>
          <w:rFonts w:cs="Times New Roman" w:hint="eastAsia"/>
          <w:szCs w:val="21"/>
        </w:rPr>
        <w:t>–</w:t>
      </w:r>
      <w:r w:rsidR="0005131B">
        <w:rPr>
          <w:rFonts w:cs="Times New Roman" w:hint="eastAsia"/>
          <w:szCs w:val="21"/>
        </w:rPr>
        <w:t>Beer</w:t>
      </w:r>
      <w:r w:rsidR="0005131B">
        <w:rPr>
          <w:rFonts w:cs="Times New Roman" w:hint="eastAsia"/>
          <w:szCs w:val="21"/>
        </w:rPr>
        <w:t>定律直接计算气体</w:t>
      </w:r>
      <w:r w:rsidR="00381A43" w:rsidRPr="00381A43">
        <w:rPr>
          <w:rFonts w:cs="Times New Roman" w:hint="eastAsia"/>
          <w:szCs w:val="21"/>
        </w:rPr>
        <w:t>体积分数</w:t>
      </w:r>
      <w:r w:rsidR="0005131B">
        <w:rPr>
          <w:rFonts w:cs="Times New Roman" w:hint="eastAsia"/>
          <w:szCs w:val="21"/>
        </w:rPr>
        <w:t>；</w:t>
      </w:r>
      <w:proofErr w:type="gramStart"/>
      <w:r>
        <w:rPr>
          <w:rFonts w:cs="Times New Roman" w:hint="eastAsia"/>
          <w:szCs w:val="21"/>
        </w:rPr>
        <w:t>扫上升沿</w:t>
      </w:r>
      <w:proofErr w:type="gramEnd"/>
      <w:r>
        <w:rPr>
          <w:rFonts w:cs="Times New Roman" w:hint="eastAsia"/>
          <w:szCs w:val="21"/>
        </w:rPr>
        <w:t>叠加谐波调制，如图</w:t>
      </w:r>
      <w:r>
        <w:rPr>
          <w:rFonts w:cs="Times New Roman" w:hint="eastAsia"/>
          <w:szCs w:val="21"/>
        </w:rPr>
        <w:t>1(b)</w:t>
      </w:r>
      <w:r w:rsidR="0005131B">
        <w:rPr>
          <w:rFonts w:cs="Times New Roman" w:hint="eastAsia"/>
          <w:szCs w:val="21"/>
        </w:rPr>
        <w:t>，应用</w:t>
      </w:r>
      <w:r w:rsidR="0005131B">
        <w:rPr>
          <w:rFonts w:cs="Times New Roman" w:hint="eastAsia"/>
          <w:szCs w:val="21"/>
        </w:rPr>
        <w:t>WMS</w:t>
      </w:r>
      <w:r w:rsidR="0005131B">
        <w:rPr>
          <w:rFonts w:cs="Times New Roman" w:hint="eastAsia"/>
          <w:szCs w:val="21"/>
        </w:rPr>
        <w:t>方法</w:t>
      </w:r>
      <w:r>
        <w:rPr>
          <w:rFonts w:cs="Times New Roman" w:hint="eastAsia"/>
          <w:szCs w:val="21"/>
        </w:rPr>
        <w:t>经锁相放大提取二次谐波分量得到与气体</w:t>
      </w:r>
      <w:r w:rsidR="00381A43" w:rsidRPr="00381A43">
        <w:rPr>
          <w:rFonts w:cs="Times New Roman" w:hint="eastAsia"/>
          <w:szCs w:val="21"/>
        </w:rPr>
        <w:t>体积分数</w:t>
      </w:r>
      <w:r>
        <w:rPr>
          <w:rFonts w:cs="Times New Roman" w:hint="eastAsia"/>
          <w:szCs w:val="21"/>
        </w:rPr>
        <w:t>成正比的信号；。通过在同一扫描</w:t>
      </w:r>
      <w:r w:rsidR="0005131B">
        <w:rPr>
          <w:rFonts w:cs="Times New Roman" w:hint="eastAsia"/>
          <w:szCs w:val="21"/>
        </w:rPr>
        <w:t>信号</w:t>
      </w:r>
      <w:r>
        <w:rPr>
          <w:rFonts w:cs="Times New Roman" w:hint="eastAsia"/>
          <w:szCs w:val="21"/>
        </w:rPr>
        <w:t>内同时获得</w:t>
      </w:r>
      <w:r>
        <w:rPr>
          <w:rFonts w:cs="Times New Roman" w:hint="eastAsia"/>
          <w:szCs w:val="21"/>
        </w:rPr>
        <w:t>WMS</w:t>
      </w:r>
      <w:r>
        <w:rPr>
          <w:rFonts w:cs="Times New Roman" w:hint="eastAsia"/>
          <w:szCs w:val="21"/>
        </w:rPr>
        <w:t>与</w:t>
      </w:r>
      <w:r>
        <w:rPr>
          <w:rFonts w:cs="Times New Roman" w:hint="eastAsia"/>
          <w:szCs w:val="21"/>
        </w:rPr>
        <w:t>DAS</w:t>
      </w:r>
      <w:r w:rsidR="0005131B">
        <w:rPr>
          <w:rFonts w:cs="Times New Roman" w:hint="eastAsia"/>
          <w:szCs w:val="21"/>
        </w:rPr>
        <w:t>结果</w:t>
      </w:r>
      <w:r>
        <w:rPr>
          <w:rFonts w:cs="Times New Roman" w:hint="eastAsia"/>
          <w:szCs w:val="21"/>
        </w:rPr>
        <w:t>，兼顾低浓度与高浓度条件下的检测精度，并</w:t>
      </w:r>
      <w:r w:rsidR="00E776F4">
        <w:rPr>
          <w:rFonts w:cs="Times New Roman" w:hint="eastAsia"/>
          <w:szCs w:val="21"/>
        </w:rPr>
        <w:t>在处理过程中通过</w:t>
      </w:r>
      <w:r>
        <w:rPr>
          <w:rFonts w:cs="Times New Roman" w:hint="eastAsia"/>
          <w:szCs w:val="21"/>
        </w:rPr>
        <w:t>归一化消除烟雾消光对信号</w:t>
      </w:r>
      <w:r w:rsidR="00E776F4">
        <w:rPr>
          <w:rFonts w:cs="Times New Roman" w:hint="eastAsia"/>
          <w:szCs w:val="21"/>
        </w:rPr>
        <w:t>强度</w:t>
      </w:r>
      <w:r>
        <w:rPr>
          <w:rFonts w:cs="Times New Roman" w:hint="eastAsia"/>
          <w:szCs w:val="21"/>
        </w:rPr>
        <w:t>的</w:t>
      </w:r>
      <w:r w:rsidR="00E776F4">
        <w:rPr>
          <w:rFonts w:cs="Times New Roman" w:hint="eastAsia"/>
          <w:szCs w:val="21"/>
        </w:rPr>
        <w:t>整体影响</w:t>
      </w:r>
      <w:r>
        <w:rPr>
          <w:rFonts w:cs="Times New Roman" w:hint="eastAsia"/>
          <w:szCs w:val="21"/>
        </w:rPr>
        <w:t>。</w:t>
      </w:r>
    </w:p>
    <w:p w14:paraId="0828E9FD" w14:textId="77777777" w:rsidR="00F1691B" w:rsidRDefault="00000000">
      <w:pPr>
        <w:keepNext/>
        <w:spacing w:line="240" w:lineRule="atLeast"/>
      </w:pPr>
      <w:r>
        <w:rPr>
          <w:noProof/>
        </w:rPr>
        <w:drawing>
          <wp:inline distT="0" distB="0" distL="114300" distR="114300" wp14:anchorId="3F4B7E74" wp14:editId="4E3F0161">
            <wp:extent cx="2941955" cy="1980565"/>
            <wp:effectExtent l="0" t="0" r="4445" b="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7"/>
                    <a:stretch>
                      <a:fillRect/>
                    </a:stretch>
                  </pic:blipFill>
                  <pic:spPr>
                    <a:xfrm>
                      <a:off x="0" y="0"/>
                      <a:ext cx="2941955" cy="1980565"/>
                    </a:xfrm>
                    <a:prstGeom prst="rect">
                      <a:avLst/>
                    </a:prstGeom>
                    <a:noFill/>
                    <a:ln>
                      <a:noFill/>
                    </a:ln>
                  </pic:spPr>
                </pic:pic>
              </a:graphicData>
            </a:graphic>
          </wp:inline>
        </w:drawing>
      </w:r>
    </w:p>
    <w:p w14:paraId="11722DCB" w14:textId="58972B9D" w:rsidR="00F1691B" w:rsidRDefault="00000000">
      <w:pPr>
        <w:pStyle w:val="a3"/>
        <w:jc w:val="center"/>
        <w:rPr>
          <w:rFonts w:cs="Times New Roman"/>
          <w:color w:val="C00000"/>
          <w:szCs w:val="21"/>
        </w:rPr>
      </w:pPr>
      <w:bookmarkStart w:id="0" w:name="_Ref207981889"/>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1</w:t>
      </w:r>
      <w:r>
        <w:fldChar w:fldCharType="end"/>
      </w:r>
      <w:bookmarkEnd w:id="0"/>
      <w:r>
        <w:rPr>
          <w:rFonts w:hint="eastAsia"/>
        </w:rPr>
        <w:t xml:space="preserve"> </w:t>
      </w:r>
      <w:r>
        <w:rPr>
          <w:rFonts w:hint="eastAsia"/>
        </w:rPr>
        <w:t>消光信号波形图</w:t>
      </w:r>
    </w:p>
    <w:p w14:paraId="14B6A201" w14:textId="121BF5F1" w:rsidR="00F1691B" w:rsidRDefault="00000000">
      <w:pPr>
        <w:widowControl/>
        <w:spacing w:line="240" w:lineRule="atLeast"/>
        <w:ind w:firstLineChars="200" w:firstLine="420"/>
        <w:rPr>
          <w:rFonts w:cs="Times New Roman"/>
          <w:szCs w:val="21"/>
        </w:rPr>
      </w:pPr>
      <w:r>
        <w:rPr>
          <w:rFonts w:cs="Times New Roman" w:hint="eastAsia"/>
          <w:szCs w:val="21"/>
        </w:rPr>
        <w:t>散射信号波形如</w:t>
      </w:r>
      <w:r>
        <w:rPr>
          <w:rFonts w:cs="Times New Roman"/>
          <w:szCs w:val="21"/>
        </w:rPr>
        <w:fldChar w:fldCharType="begin"/>
      </w:r>
      <w:r>
        <w:rPr>
          <w:rFonts w:cs="Times New Roman"/>
          <w:szCs w:val="21"/>
        </w:rPr>
        <w:instrText xml:space="preserve"> REF _Ref207913578 \h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rPr>
          <w:noProof/>
        </w:rPr>
        <w:t>2</w:t>
      </w:r>
      <w:r>
        <w:rPr>
          <w:rFonts w:cs="Times New Roman"/>
          <w:szCs w:val="21"/>
        </w:rPr>
        <w:fldChar w:fldCharType="end"/>
      </w:r>
      <w:r>
        <w:rPr>
          <w:rFonts w:cs="Times New Roman" w:hint="eastAsia"/>
          <w:szCs w:val="21"/>
        </w:rPr>
        <w:t>所示，其中三角</w:t>
      </w:r>
      <w:proofErr w:type="gramStart"/>
      <w:r>
        <w:rPr>
          <w:rFonts w:cs="Times New Roman" w:hint="eastAsia"/>
          <w:szCs w:val="21"/>
        </w:rPr>
        <w:t>波部分</w:t>
      </w:r>
      <w:proofErr w:type="gramEnd"/>
      <w:r>
        <w:rPr>
          <w:rFonts w:cs="Times New Roman" w:hint="eastAsia"/>
          <w:szCs w:val="21"/>
        </w:rPr>
        <w:t>对应甲烷吸收波长，由于甲烷吸收作用，散射光穿过甲烷时会出现衰减；基线部分对应非甲烷吸收波段，仅会受到烟雾散射影响，其强度与烟雾</w:t>
      </w:r>
      <w:r w:rsidR="00381A43" w:rsidRPr="00381A43">
        <w:rPr>
          <w:rFonts w:cs="Times New Roman" w:hint="eastAsia"/>
          <w:szCs w:val="21"/>
        </w:rPr>
        <w:t>体积分数</w:t>
      </w:r>
      <w:r>
        <w:rPr>
          <w:rFonts w:cs="Times New Roman" w:hint="eastAsia"/>
          <w:szCs w:val="21"/>
        </w:rPr>
        <w:t>呈正相关，可用于计算烟雾</w:t>
      </w:r>
      <w:r w:rsidR="00381A43" w:rsidRPr="00381A43">
        <w:rPr>
          <w:rFonts w:cs="Times New Roman" w:hint="eastAsia"/>
          <w:szCs w:val="21"/>
        </w:rPr>
        <w:t>体积分数</w:t>
      </w:r>
      <w:r>
        <w:rPr>
          <w:rFonts w:cs="Times New Roman" w:hint="eastAsia"/>
          <w:szCs w:val="21"/>
        </w:rPr>
        <w:t>。</w:t>
      </w:r>
    </w:p>
    <w:p w14:paraId="71AAEF34" w14:textId="77777777" w:rsidR="00F1691B" w:rsidRDefault="00000000">
      <w:pPr>
        <w:keepNext/>
        <w:spacing w:line="240" w:lineRule="atLeast"/>
        <w:jc w:val="center"/>
        <w:rPr>
          <w:rFonts w:cs="Times New Roman"/>
          <w:szCs w:val="21"/>
        </w:rPr>
      </w:pPr>
      <w:r>
        <w:rPr>
          <w:rFonts w:cs="Times New Roman"/>
          <w:noProof/>
          <w:szCs w:val="21"/>
        </w:rPr>
        <w:lastRenderedPageBreak/>
        <w:drawing>
          <wp:inline distT="0" distB="0" distL="0" distR="0" wp14:anchorId="6224CCE3" wp14:editId="38D51AD3">
            <wp:extent cx="3020060" cy="141732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3033943" cy="1423892"/>
                    </a:xfrm>
                    <a:prstGeom prst="rect">
                      <a:avLst/>
                    </a:prstGeom>
                    <a:noFill/>
                  </pic:spPr>
                </pic:pic>
              </a:graphicData>
            </a:graphic>
          </wp:inline>
        </w:drawing>
      </w:r>
    </w:p>
    <w:p w14:paraId="1F6C5C74" w14:textId="5ACECD96" w:rsidR="00F1691B" w:rsidRDefault="00000000">
      <w:pPr>
        <w:pStyle w:val="a3"/>
        <w:jc w:val="center"/>
      </w:pPr>
      <w:bookmarkStart w:id="1" w:name="_Ref207913578"/>
      <w:bookmarkStart w:id="2" w:name="_Ref207913575"/>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2</w:t>
      </w:r>
      <w:r>
        <w:fldChar w:fldCharType="end"/>
      </w:r>
      <w:bookmarkEnd w:id="1"/>
      <w:r>
        <w:rPr>
          <w:rFonts w:hint="eastAsia"/>
        </w:rPr>
        <w:t xml:space="preserve"> </w:t>
      </w:r>
      <w:r>
        <w:rPr>
          <w:rFonts w:hint="eastAsia"/>
        </w:rPr>
        <w:t>散射信号波形图</w:t>
      </w:r>
      <w:bookmarkEnd w:id="2"/>
    </w:p>
    <w:p w14:paraId="0C3E3475" w14:textId="64B4E4E8" w:rsidR="00F1691B" w:rsidRDefault="00000000">
      <w:pPr>
        <w:spacing w:line="240" w:lineRule="atLeast"/>
        <w:ind w:firstLine="420"/>
        <w:rPr>
          <w:rFonts w:cs="Times New Roman"/>
          <w:szCs w:val="21"/>
        </w:rPr>
      </w:pPr>
      <w:r>
        <w:rPr>
          <w:rFonts w:cs="Times New Roman" w:hint="eastAsia"/>
          <w:szCs w:val="21"/>
        </w:rPr>
        <w:t>由上述复合信号波形特征，可根据是否为甲烷特征吸收波段，从复合信号中分别提取出表征甲烷吸收和烟雾散射的信号，计算烟雾</w:t>
      </w:r>
      <w:r w:rsidR="00381A43" w:rsidRPr="00381A43">
        <w:rPr>
          <w:rFonts w:cs="Times New Roman" w:hint="eastAsia"/>
          <w:szCs w:val="21"/>
        </w:rPr>
        <w:t>体积分数</w:t>
      </w:r>
      <w:r>
        <w:rPr>
          <w:rFonts w:cs="Times New Roman" w:hint="eastAsia"/>
          <w:szCs w:val="21"/>
        </w:rPr>
        <w:t>和甲烷</w:t>
      </w:r>
      <w:r w:rsidR="00381A43" w:rsidRPr="00381A43">
        <w:rPr>
          <w:rFonts w:cs="Times New Roman" w:hint="eastAsia"/>
          <w:szCs w:val="21"/>
        </w:rPr>
        <w:t>体积分数</w:t>
      </w:r>
      <w:r>
        <w:rPr>
          <w:rFonts w:cs="Times New Roman" w:hint="eastAsia"/>
          <w:szCs w:val="21"/>
        </w:rPr>
        <w:t>。</w:t>
      </w:r>
    </w:p>
    <w:p w14:paraId="55767D86" w14:textId="64885D86" w:rsidR="00F1691B" w:rsidRDefault="00000000">
      <w:pPr>
        <w:spacing w:line="240" w:lineRule="atLeast"/>
        <w:ind w:firstLine="420"/>
        <w:rPr>
          <w:rFonts w:cs="Times New Roman"/>
          <w:szCs w:val="21"/>
        </w:rPr>
      </w:pPr>
      <w:r>
        <w:rPr>
          <w:rFonts w:cs="Times New Roman" w:hint="eastAsia"/>
          <w:szCs w:val="21"/>
        </w:rPr>
        <w:t>然而，由于</w:t>
      </w:r>
      <w:r>
        <w:rPr>
          <w:rFonts w:cs="Times New Roman" w:hint="eastAsia"/>
          <w:szCs w:val="21"/>
        </w:rPr>
        <w:t>1</w:t>
      </w:r>
      <w:r w:rsidR="00381A43">
        <w:rPr>
          <w:rFonts w:cs="Times New Roman" w:hint="eastAsia"/>
          <w:szCs w:val="21"/>
        </w:rPr>
        <w:t xml:space="preserve"> </w:t>
      </w:r>
      <w:r>
        <w:rPr>
          <w:rFonts w:cs="Times New Roman" w:hint="eastAsia"/>
          <w:szCs w:val="21"/>
        </w:rPr>
        <w:t>653 nm</w:t>
      </w:r>
      <w:r>
        <w:rPr>
          <w:rFonts w:cs="Times New Roman" w:hint="eastAsia"/>
          <w:szCs w:val="21"/>
        </w:rPr>
        <w:t>波长相较常见感烟探测器波段更长，火灾烟雾散射信号较弱，同时甲烷吸收光程有限，导致该方法的探测下限和精度受到一定限制。为改善信号质量并突破探测下限，本文对探测器结构与光路进行了优化设计。</w:t>
      </w:r>
    </w:p>
    <w:p w14:paraId="51554945" w14:textId="77777777" w:rsidR="00F1691B" w:rsidRDefault="00000000">
      <w:pPr>
        <w:widowControl/>
        <w:spacing w:line="240" w:lineRule="atLeast"/>
        <w:outlineLvl w:val="1"/>
        <w:rPr>
          <w:rFonts w:cs="Times New Roman"/>
          <w:b/>
          <w:kern w:val="0"/>
          <w:szCs w:val="21"/>
        </w:rPr>
      </w:pPr>
      <w:r>
        <w:rPr>
          <w:rFonts w:cs="Times New Roman" w:hint="eastAsia"/>
          <w:b/>
          <w:kern w:val="0"/>
          <w:szCs w:val="21"/>
        </w:rPr>
        <w:t>2.2</w:t>
      </w:r>
      <w:r>
        <w:rPr>
          <w:rFonts w:cs="Times New Roman"/>
          <w:b/>
          <w:kern w:val="0"/>
          <w:szCs w:val="21"/>
        </w:rPr>
        <w:t xml:space="preserve"> </w:t>
      </w:r>
      <w:r>
        <w:rPr>
          <w:rFonts w:cs="Times New Roman" w:hint="eastAsia"/>
          <w:b/>
          <w:kern w:val="0"/>
          <w:szCs w:val="21"/>
        </w:rPr>
        <w:t xml:space="preserve"> </w:t>
      </w:r>
      <w:r>
        <w:rPr>
          <w:rFonts w:cs="Times New Roman" w:hint="eastAsia"/>
          <w:b/>
          <w:kern w:val="0"/>
          <w:szCs w:val="21"/>
        </w:rPr>
        <w:t>复合探测器设计</w:t>
      </w:r>
    </w:p>
    <w:p w14:paraId="4FE8D021" w14:textId="6E320052" w:rsidR="00F1691B" w:rsidRDefault="00000000">
      <w:pPr>
        <w:spacing w:line="240" w:lineRule="atLeast"/>
        <w:ind w:firstLine="420"/>
        <w:rPr>
          <w:rFonts w:cs="Times New Roman"/>
          <w:szCs w:val="21"/>
        </w:rPr>
      </w:pPr>
      <w:r>
        <w:rPr>
          <w:rFonts w:cs="Times New Roman" w:hint="eastAsia"/>
          <w:szCs w:val="21"/>
        </w:rPr>
        <w:t>1</w:t>
      </w:r>
      <w:r w:rsidR="00381A43">
        <w:rPr>
          <w:rFonts w:cs="Times New Roman" w:hint="eastAsia"/>
          <w:szCs w:val="21"/>
        </w:rPr>
        <w:t xml:space="preserve"> </w:t>
      </w:r>
      <w:r>
        <w:rPr>
          <w:rFonts w:cs="Times New Roman" w:hint="eastAsia"/>
          <w:szCs w:val="21"/>
        </w:rPr>
        <w:t>653 nm</w:t>
      </w:r>
      <w:r>
        <w:rPr>
          <w:rFonts w:cs="Times New Roman" w:hint="eastAsia"/>
          <w:szCs w:val="21"/>
        </w:rPr>
        <w:t>波长下，常见火灾烟雾颗粒散射光强相比传统探测器采用的可见光</w:t>
      </w:r>
      <w:r>
        <w:rPr>
          <w:rFonts w:cs="Times New Roman" w:hint="eastAsia"/>
          <w:szCs w:val="21"/>
        </w:rPr>
        <w:t>-</w:t>
      </w:r>
      <w:r>
        <w:rPr>
          <w:rFonts w:cs="Times New Roman" w:hint="eastAsia"/>
          <w:szCs w:val="21"/>
        </w:rPr>
        <w:t>近红外波段弱；同时甲烷吸收光程难以满足低浓度高精度甲烷探测需要。为解决这些问题，本文在探测器结构中引入多块反射镜，使光束在探测器内“折叠”形成十字交叉光路，显著延长吸收光程（见</w:t>
      </w:r>
      <w:r>
        <w:rPr>
          <w:rFonts w:cs="Times New Roman"/>
          <w:szCs w:val="21"/>
        </w:rPr>
        <w:fldChar w:fldCharType="begin"/>
      </w:r>
      <w:r>
        <w:rPr>
          <w:rFonts w:cs="Times New Roman"/>
          <w:szCs w:val="21"/>
        </w:rPr>
        <w:instrText xml:space="preserve"> </w:instrText>
      </w:r>
      <w:r>
        <w:rPr>
          <w:rFonts w:cs="Times New Roman" w:hint="eastAsia"/>
          <w:szCs w:val="21"/>
        </w:rPr>
        <w:instrText>REF _Ref207577828 \h</w:instrText>
      </w:r>
      <w:r>
        <w:rPr>
          <w:rFonts w:cs="Times New Roman"/>
          <w:szCs w:val="21"/>
        </w:rPr>
        <w:instrText xml:space="preserve">  \* MERGEFORMAT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t>3</w:t>
      </w:r>
      <w:r>
        <w:rPr>
          <w:rFonts w:cs="Times New Roman"/>
          <w:szCs w:val="21"/>
        </w:rPr>
        <w:fldChar w:fldCharType="end"/>
      </w:r>
      <w:r>
        <w:rPr>
          <w:rFonts w:cs="Times New Roman" w:hint="eastAsia"/>
          <w:szCs w:val="21"/>
        </w:rPr>
        <w:t>）。经过</w:t>
      </w:r>
      <w:r>
        <w:rPr>
          <w:rFonts w:cs="Times New Roman" w:hint="eastAsia"/>
          <w:szCs w:val="21"/>
        </w:rPr>
        <w:t>6</w:t>
      </w:r>
      <w:r>
        <w:rPr>
          <w:rFonts w:cs="Times New Roman" w:hint="eastAsia"/>
          <w:szCs w:val="21"/>
        </w:rPr>
        <w:t>次反射后，甲烷吸收光程从原来的</w:t>
      </w:r>
      <w:r>
        <w:rPr>
          <w:rFonts w:cs="Times New Roman" w:hint="eastAsia"/>
          <w:szCs w:val="21"/>
        </w:rPr>
        <w:t>10 cm</w:t>
      </w:r>
      <w:r>
        <w:rPr>
          <w:rFonts w:cs="Times New Roman" w:hint="eastAsia"/>
          <w:szCs w:val="21"/>
        </w:rPr>
        <w:t>提升至</w:t>
      </w:r>
      <w:r>
        <w:rPr>
          <w:rFonts w:cs="Times New Roman" w:hint="eastAsia"/>
          <w:szCs w:val="21"/>
        </w:rPr>
        <w:t>60 cm</w:t>
      </w:r>
      <w:r>
        <w:rPr>
          <w:rFonts w:cs="Times New Roman" w:hint="eastAsia"/>
          <w:szCs w:val="21"/>
        </w:rPr>
        <w:t>；同时通过优化反射镜位置与空间角度，使接收端所采集的散射光来自光路交叉区域，散射角度稳定在</w:t>
      </w:r>
      <w:r>
        <w:rPr>
          <w:rFonts w:cs="Times New Roman"/>
          <w:szCs w:val="21"/>
        </w:rPr>
        <w:t>43.5</w:t>
      </w:r>
      <m:oMath>
        <m:r>
          <w:rPr>
            <w:rFonts w:ascii="Cambria Math" w:hAnsi="Cambria Math" w:cs="Times New Roman"/>
            <w:szCs w:val="21"/>
          </w:rPr>
          <m:t>°</m:t>
        </m:r>
      </m:oMath>
      <w:r>
        <w:rPr>
          <w:rFonts w:cs="Times New Roman" w:hint="eastAsia"/>
          <w:szCs w:val="21"/>
        </w:rPr>
        <w:t>~</w:t>
      </w:r>
      <w:r>
        <w:rPr>
          <w:rFonts w:cs="Times New Roman"/>
          <w:szCs w:val="21"/>
        </w:rPr>
        <w:t>46.5</w:t>
      </w:r>
      <m:oMath>
        <m:r>
          <w:rPr>
            <w:rFonts w:ascii="Cambria Math" w:hAnsi="Cambria Math" w:cs="Times New Roman"/>
            <w:szCs w:val="21"/>
          </w:rPr>
          <m:t>°</m:t>
        </m:r>
      </m:oMath>
      <w:r>
        <w:rPr>
          <w:rFonts w:cs="Times New Roman" w:hint="eastAsia"/>
          <w:szCs w:val="21"/>
        </w:rPr>
        <w:t>。该十字交叉光路的烟雾散射</w:t>
      </w:r>
      <w:r w:rsidR="00E776F4">
        <w:rPr>
          <w:rFonts w:cs="Times New Roman" w:hint="eastAsia"/>
          <w:szCs w:val="21"/>
        </w:rPr>
        <w:t>光强约为</w:t>
      </w:r>
      <w:r>
        <w:rPr>
          <w:rFonts w:cs="Times New Roman" w:hint="eastAsia"/>
          <w:szCs w:val="21"/>
        </w:rPr>
        <w:t>单光束散射</w:t>
      </w:r>
      <w:r w:rsidR="00E776F4">
        <w:rPr>
          <w:rFonts w:cs="Times New Roman" w:hint="eastAsia"/>
          <w:szCs w:val="21"/>
        </w:rPr>
        <w:t>的</w:t>
      </w:r>
      <w:r>
        <w:rPr>
          <w:rFonts w:cs="Times New Roman" w:hint="eastAsia"/>
          <w:szCs w:val="21"/>
        </w:rPr>
        <w:t>4</w:t>
      </w:r>
      <w:r>
        <w:rPr>
          <w:rFonts w:cs="Times New Roman" w:hint="eastAsia"/>
          <w:szCs w:val="21"/>
        </w:rPr>
        <w:t>倍、甲烷吸收光程约为传统对射式光路</w:t>
      </w:r>
      <w:r w:rsidR="00E776F4">
        <w:rPr>
          <w:rFonts w:cs="Times New Roman" w:hint="eastAsia"/>
          <w:szCs w:val="21"/>
        </w:rPr>
        <w:t>的</w:t>
      </w:r>
      <w:r>
        <w:rPr>
          <w:rFonts w:cs="Times New Roman" w:hint="eastAsia"/>
          <w:szCs w:val="21"/>
        </w:rPr>
        <w:t>6</w:t>
      </w:r>
      <w:r>
        <w:rPr>
          <w:rFonts w:cs="Times New Roman" w:hint="eastAsia"/>
          <w:szCs w:val="21"/>
        </w:rPr>
        <w:t>倍，对烟雾和甲烷的探测能力大幅提高。</w:t>
      </w:r>
    </w:p>
    <w:p w14:paraId="318569B1" w14:textId="0817251A" w:rsidR="00F1691B" w:rsidRDefault="00381A43" w:rsidP="006C305A">
      <w:pPr>
        <w:keepNext/>
        <w:spacing w:line="240" w:lineRule="atLeast"/>
        <w:jc w:val="center"/>
        <w:rPr>
          <w:rFonts w:cs="Times New Roman"/>
          <w:color w:val="FF0000"/>
          <w:szCs w:val="21"/>
        </w:rPr>
      </w:pPr>
      <w:r>
        <w:rPr>
          <w:rFonts w:cs="Times New Roman"/>
          <w:noProof/>
          <w:color w:val="FF0000"/>
          <w:szCs w:val="21"/>
        </w:rPr>
        <w:drawing>
          <wp:inline distT="0" distB="0" distL="0" distR="0" wp14:anchorId="7581AD64" wp14:editId="2766949F">
            <wp:extent cx="2735483" cy="1414642"/>
            <wp:effectExtent l="0" t="0" r="825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66474" cy="1430669"/>
                    </a:xfrm>
                    <a:prstGeom prst="rect">
                      <a:avLst/>
                    </a:prstGeom>
                    <a:noFill/>
                  </pic:spPr>
                </pic:pic>
              </a:graphicData>
            </a:graphic>
          </wp:inline>
        </w:drawing>
      </w:r>
    </w:p>
    <w:p w14:paraId="66346DC3" w14:textId="0758095D" w:rsidR="00F1691B" w:rsidRDefault="00000000">
      <w:pPr>
        <w:pStyle w:val="a3"/>
        <w:jc w:val="center"/>
      </w:pPr>
      <w:bookmarkStart w:id="3" w:name="_Ref207577828"/>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3</w:t>
      </w:r>
      <w:r>
        <w:fldChar w:fldCharType="end"/>
      </w:r>
      <w:bookmarkEnd w:id="3"/>
      <w:r>
        <w:rPr>
          <w:rFonts w:hint="eastAsia"/>
        </w:rPr>
        <w:t xml:space="preserve"> </w:t>
      </w:r>
      <w:r>
        <w:rPr>
          <w:rFonts w:hint="eastAsia"/>
        </w:rPr>
        <w:t>烟雾甲烷复合探测器光路示意图</w:t>
      </w:r>
    </w:p>
    <w:p w14:paraId="0463B01B" w14:textId="50987E04" w:rsidR="00F1691B" w:rsidRDefault="00000000">
      <w:pPr>
        <w:spacing w:line="240" w:lineRule="atLeast"/>
        <w:ind w:firstLine="420"/>
        <w:rPr>
          <w:highlight w:val="yellow"/>
        </w:rPr>
      </w:pPr>
      <w:r>
        <w:rPr>
          <w:rFonts w:cs="Times New Roman" w:hint="eastAsia"/>
          <w:szCs w:val="21"/>
        </w:rPr>
        <w:t>在理论散射信号强度计算的基础上，探测器选用高倍率放大器（</w:t>
      </w:r>
      <w:r>
        <w:rPr>
          <w:rFonts w:cs="Times New Roman" w:hint="eastAsia"/>
          <w:szCs w:val="21"/>
        </w:rPr>
        <w:t>10E8</w:t>
      </w:r>
      <w:r>
        <w:rPr>
          <w:rFonts w:cs="Times New Roman" w:hint="eastAsia"/>
          <w:szCs w:val="21"/>
        </w:rPr>
        <w:t>）对散射信号进行放大，并通过设计光学迷宫及表面消光处理有效屏蔽外界</w:t>
      </w:r>
      <w:r>
        <w:rPr>
          <w:rFonts w:cs="Times New Roman" w:hint="eastAsia"/>
          <w:szCs w:val="21"/>
        </w:rPr>
        <w:t>环境光干扰，最终形成烟雾甲烷复合探测器（如</w:t>
      </w:r>
      <w:r>
        <w:rPr>
          <w:rFonts w:cs="Times New Roman"/>
          <w:szCs w:val="21"/>
        </w:rPr>
        <w:fldChar w:fldCharType="begin"/>
      </w:r>
      <w:r>
        <w:rPr>
          <w:rFonts w:cs="Times New Roman"/>
          <w:szCs w:val="21"/>
        </w:rPr>
        <w:instrText xml:space="preserve"> </w:instrText>
      </w:r>
      <w:r>
        <w:rPr>
          <w:rFonts w:cs="Times New Roman" w:hint="eastAsia"/>
          <w:szCs w:val="21"/>
        </w:rPr>
        <w:instrText>REF _Ref207988748 \h</w:instrText>
      </w:r>
      <w:r>
        <w:rPr>
          <w:rFonts w:cs="Times New Roman"/>
          <w:szCs w:val="21"/>
        </w:rPr>
        <w:instrText xml:space="preserve">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rPr>
          <w:noProof/>
        </w:rPr>
        <w:t>4</w:t>
      </w:r>
      <w:r>
        <w:rPr>
          <w:rFonts w:cs="Times New Roman"/>
          <w:szCs w:val="21"/>
        </w:rPr>
        <w:fldChar w:fldCharType="end"/>
      </w:r>
      <w:r>
        <w:rPr>
          <w:rFonts w:cs="Times New Roman" w:hint="eastAsia"/>
          <w:szCs w:val="21"/>
        </w:rPr>
        <w:t>，以下简称“复合探测器”）。</w:t>
      </w:r>
    </w:p>
    <w:p w14:paraId="7F679C40" w14:textId="77777777" w:rsidR="00F1691B" w:rsidRDefault="00000000">
      <w:pPr>
        <w:keepNext/>
        <w:spacing w:line="240" w:lineRule="atLeast"/>
        <w:jc w:val="center"/>
        <w:rPr>
          <w:highlight w:val="yellow"/>
        </w:rPr>
      </w:pPr>
      <w:r>
        <w:rPr>
          <w:noProof/>
        </w:rPr>
        <w:drawing>
          <wp:inline distT="0" distB="0" distL="0" distR="0" wp14:anchorId="638D071F" wp14:editId="345728AC">
            <wp:extent cx="2942590" cy="1183640"/>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20"/>
                    <a:stretch>
                      <a:fillRect/>
                    </a:stretch>
                  </pic:blipFill>
                  <pic:spPr>
                    <a:xfrm>
                      <a:off x="0" y="0"/>
                      <a:ext cx="2942590" cy="1183640"/>
                    </a:xfrm>
                    <a:prstGeom prst="rect">
                      <a:avLst/>
                    </a:prstGeom>
                  </pic:spPr>
                </pic:pic>
              </a:graphicData>
            </a:graphic>
          </wp:inline>
        </w:drawing>
      </w:r>
    </w:p>
    <w:p w14:paraId="44E2360A" w14:textId="25561521" w:rsidR="00F1691B" w:rsidRDefault="00000000">
      <w:pPr>
        <w:pStyle w:val="a3"/>
        <w:jc w:val="center"/>
      </w:pPr>
      <w:bookmarkStart w:id="4" w:name="_Ref207988748"/>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4</w:t>
      </w:r>
      <w:r>
        <w:fldChar w:fldCharType="end"/>
      </w:r>
      <w:bookmarkEnd w:id="4"/>
      <w:r>
        <w:rPr>
          <w:rFonts w:hint="eastAsia"/>
        </w:rPr>
        <w:t xml:space="preserve"> </w:t>
      </w:r>
      <w:r>
        <w:rPr>
          <w:rFonts w:hint="eastAsia"/>
        </w:rPr>
        <w:t>烟雾甲烷复合探测器模型与实物图</w:t>
      </w:r>
    </w:p>
    <w:p w14:paraId="0E697419" w14:textId="77777777" w:rsidR="00F1691B" w:rsidRDefault="00000000">
      <w:pPr>
        <w:widowControl/>
        <w:spacing w:line="240" w:lineRule="atLeast"/>
        <w:outlineLvl w:val="1"/>
        <w:rPr>
          <w:rFonts w:cs="Times New Roman"/>
          <w:kern w:val="0"/>
          <w:szCs w:val="21"/>
        </w:rPr>
      </w:pPr>
      <w:r>
        <w:rPr>
          <w:rFonts w:cs="Times New Roman" w:hint="eastAsia"/>
          <w:b/>
          <w:kern w:val="0"/>
          <w:szCs w:val="21"/>
        </w:rPr>
        <w:t>2</w:t>
      </w:r>
      <w:r>
        <w:rPr>
          <w:rFonts w:cs="Times New Roman"/>
          <w:b/>
          <w:kern w:val="0"/>
          <w:szCs w:val="21"/>
        </w:rPr>
        <w:t>.</w:t>
      </w:r>
      <w:r>
        <w:rPr>
          <w:rFonts w:cs="Times New Roman" w:hint="eastAsia"/>
          <w:b/>
          <w:kern w:val="0"/>
          <w:szCs w:val="21"/>
        </w:rPr>
        <w:t>3</w:t>
      </w:r>
      <w:r>
        <w:rPr>
          <w:rFonts w:cs="Times New Roman"/>
          <w:b/>
          <w:kern w:val="0"/>
          <w:szCs w:val="21"/>
        </w:rPr>
        <w:t xml:space="preserve">  </w:t>
      </w:r>
      <w:r>
        <w:rPr>
          <w:rFonts w:cs="Times New Roman" w:hint="eastAsia"/>
          <w:b/>
          <w:kern w:val="0"/>
          <w:szCs w:val="21"/>
        </w:rPr>
        <w:t>单一物质探测结果与分析</w:t>
      </w:r>
    </w:p>
    <w:p w14:paraId="2AD3228F" w14:textId="7F546F6E" w:rsidR="00F1691B" w:rsidRDefault="00000000">
      <w:pPr>
        <w:spacing w:line="240" w:lineRule="atLeast"/>
        <w:ind w:firstLine="420"/>
        <w:rPr>
          <w:rFonts w:cs="Times New Roman"/>
          <w:szCs w:val="21"/>
        </w:rPr>
      </w:pPr>
      <w:r>
        <w:rPr>
          <w:rFonts w:cs="Times New Roman" w:hint="eastAsia"/>
          <w:szCs w:val="21"/>
        </w:rPr>
        <w:t>为验证复合探测器的甲烷与烟雾探测性能，首先对甲烷</w:t>
      </w:r>
      <w:r w:rsidR="00381A43" w:rsidRPr="00381A43">
        <w:rPr>
          <w:rFonts w:cs="Times New Roman" w:hint="eastAsia"/>
          <w:szCs w:val="21"/>
        </w:rPr>
        <w:t>体积分数</w:t>
      </w:r>
      <w:r>
        <w:rPr>
          <w:rFonts w:cs="Times New Roman" w:hint="eastAsia"/>
          <w:szCs w:val="21"/>
        </w:rPr>
        <w:t>响应进行测试。使用</w:t>
      </w:r>
      <w:r>
        <w:rPr>
          <w:rFonts w:cs="Times New Roman" w:hint="eastAsia"/>
          <w:szCs w:val="21"/>
        </w:rPr>
        <w:t>1.25 %</w:t>
      </w:r>
      <w:r>
        <w:rPr>
          <w:rFonts w:cs="Times New Roman" w:hint="eastAsia"/>
          <w:szCs w:val="21"/>
        </w:rPr>
        <w:t>和</w:t>
      </w:r>
      <w:r>
        <w:rPr>
          <w:rFonts w:cs="Times New Roman" w:hint="eastAsia"/>
          <w:szCs w:val="21"/>
        </w:rPr>
        <w:t>0.125 %</w:t>
      </w:r>
      <w:r w:rsidR="00381A43" w:rsidRPr="00381A43">
        <w:rPr>
          <w:rFonts w:cs="Times New Roman" w:hint="eastAsia"/>
          <w:szCs w:val="21"/>
        </w:rPr>
        <w:t>体积分数</w:t>
      </w:r>
      <w:r>
        <w:rPr>
          <w:rFonts w:cs="Times New Roman" w:hint="eastAsia"/>
          <w:szCs w:val="21"/>
        </w:rPr>
        <w:t>的标准甲烷气瓶和混配气装置（</w:t>
      </w:r>
      <w:proofErr w:type="gramStart"/>
      <w:r>
        <w:rPr>
          <w:rFonts w:cs="Times New Roman" w:hint="eastAsia"/>
          <w:szCs w:val="21"/>
        </w:rPr>
        <w:t>安徽科贯电子</w:t>
      </w:r>
      <w:proofErr w:type="gramEnd"/>
      <w:r>
        <w:rPr>
          <w:rFonts w:cs="Times New Roman" w:hint="eastAsia"/>
          <w:szCs w:val="21"/>
        </w:rPr>
        <w:t>，</w:t>
      </w:r>
      <w:r>
        <w:rPr>
          <w:rFonts w:cs="Times New Roman" w:hint="eastAsia"/>
          <w:szCs w:val="21"/>
        </w:rPr>
        <w:t xml:space="preserve"> HC-HQ-01</w:t>
      </w:r>
      <w:r>
        <w:rPr>
          <w:rFonts w:cs="Times New Roman" w:hint="eastAsia"/>
          <w:szCs w:val="21"/>
        </w:rPr>
        <w:t>）得到所需</w:t>
      </w:r>
      <w:r w:rsidR="00381A43" w:rsidRPr="00381A43">
        <w:rPr>
          <w:rFonts w:cs="Times New Roman" w:hint="eastAsia"/>
          <w:szCs w:val="21"/>
        </w:rPr>
        <w:t>体积分数</w:t>
      </w:r>
      <w:r>
        <w:rPr>
          <w:rFonts w:cs="Times New Roman" w:hint="eastAsia"/>
          <w:szCs w:val="21"/>
        </w:rPr>
        <w:t>甲烷，在</w:t>
      </w:r>
      <w:r>
        <w:rPr>
          <w:rFonts w:cs="Times New Roman" w:hint="eastAsia"/>
          <w:szCs w:val="21"/>
        </w:rPr>
        <w:t>0~</w:t>
      </w:r>
      <w:r w:rsidR="00452DB9">
        <w:rPr>
          <w:rFonts w:cs="Times New Roman" w:hint="eastAsia"/>
          <w:szCs w:val="21"/>
        </w:rPr>
        <w:t>1.25 %</w:t>
      </w:r>
      <w:r w:rsidR="00452DB9">
        <w:rPr>
          <w:rFonts w:cs="Times New Roman" w:hint="eastAsia"/>
          <w:szCs w:val="21"/>
        </w:rPr>
        <w:t>体积分数</w:t>
      </w:r>
      <w:r>
        <w:rPr>
          <w:rFonts w:cs="Times New Roman" w:hint="eastAsia"/>
          <w:szCs w:val="21"/>
        </w:rPr>
        <w:t>范围内设置</w:t>
      </w:r>
      <w:r>
        <w:rPr>
          <w:rFonts w:cs="Times New Roman" w:hint="eastAsia"/>
          <w:szCs w:val="21"/>
        </w:rPr>
        <w:t>11</w:t>
      </w:r>
      <w:r>
        <w:rPr>
          <w:rFonts w:cs="Times New Roman" w:hint="eastAsia"/>
          <w:szCs w:val="21"/>
        </w:rPr>
        <w:t>个浓度点进行实验。探测器</w:t>
      </w:r>
      <w:r>
        <w:rPr>
          <w:rFonts w:cs="Times New Roman" w:hint="eastAsia"/>
          <w:szCs w:val="21"/>
        </w:rPr>
        <w:t>WMS/DAS</w:t>
      </w:r>
      <w:r>
        <w:rPr>
          <w:rFonts w:cs="Times New Roman" w:hint="eastAsia"/>
          <w:szCs w:val="21"/>
        </w:rPr>
        <w:t>方法得到的</w:t>
      </w:r>
      <w:r w:rsidR="00381A43" w:rsidRPr="00381A43">
        <w:rPr>
          <w:rFonts w:cs="Times New Roman" w:hint="eastAsia"/>
          <w:szCs w:val="21"/>
        </w:rPr>
        <w:t>体积分数</w:t>
      </w:r>
      <w:r>
        <w:rPr>
          <w:rFonts w:cs="Times New Roman" w:hint="eastAsia"/>
          <w:szCs w:val="21"/>
        </w:rPr>
        <w:t>结果与分布如</w:t>
      </w:r>
      <w:r>
        <w:rPr>
          <w:rFonts w:cs="Times New Roman"/>
          <w:szCs w:val="21"/>
        </w:rPr>
        <w:fldChar w:fldCharType="begin"/>
      </w:r>
      <w:r>
        <w:rPr>
          <w:rFonts w:cs="Times New Roman"/>
          <w:szCs w:val="21"/>
        </w:rPr>
        <w:instrText xml:space="preserve"> </w:instrText>
      </w:r>
      <w:r>
        <w:rPr>
          <w:rFonts w:cs="Times New Roman" w:hint="eastAsia"/>
          <w:szCs w:val="21"/>
        </w:rPr>
        <w:instrText>REF _Ref207988905 \h</w:instrText>
      </w:r>
      <w:r>
        <w:rPr>
          <w:rFonts w:cs="Times New Roman"/>
          <w:szCs w:val="21"/>
        </w:rPr>
        <w:instrText xml:space="preserve">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rPr>
          <w:noProof/>
        </w:rPr>
        <w:t>5</w:t>
      </w:r>
      <w:r>
        <w:rPr>
          <w:rFonts w:cs="Times New Roman"/>
          <w:szCs w:val="21"/>
        </w:rPr>
        <w:fldChar w:fldCharType="end"/>
      </w:r>
      <w:r>
        <w:rPr>
          <w:rFonts w:cs="Times New Roman" w:hint="eastAsia"/>
          <w:szCs w:val="21"/>
        </w:rPr>
        <w:t>所示。结果表明，在甲烷</w:t>
      </w:r>
      <w:r w:rsidR="00381A43" w:rsidRPr="00381A43">
        <w:rPr>
          <w:rFonts w:cs="Times New Roman" w:hint="eastAsia"/>
          <w:szCs w:val="21"/>
        </w:rPr>
        <w:t>体积分数</w:t>
      </w:r>
      <w:r>
        <w:rPr>
          <w:rFonts w:cs="Times New Roman" w:hint="eastAsia"/>
          <w:szCs w:val="21"/>
        </w:rPr>
        <w:t>低于</w:t>
      </w:r>
      <w:r w:rsidR="00452DB9">
        <w:rPr>
          <w:rFonts w:cs="Times New Roman" w:hint="eastAsia"/>
          <w:szCs w:val="21"/>
        </w:rPr>
        <w:t>0.25 %</w:t>
      </w:r>
      <w:r>
        <w:rPr>
          <w:rFonts w:cs="Times New Roman" w:hint="eastAsia"/>
          <w:szCs w:val="21"/>
        </w:rPr>
        <w:t>时，</w:t>
      </w:r>
      <w:r>
        <w:rPr>
          <w:rFonts w:cs="Times New Roman" w:hint="eastAsia"/>
          <w:szCs w:val="21"/>
        </w:rPr>
        <w:t>WMS</w:t>
      </w:r>
      <w:r>
        <w:rPr>
          <w:rFonts w:cs="Times New Roman" w:hint="eastAsia"/>
          <w:szCs w:val="21"/>
        </w:rPr>
        <w:t>结果相比</w:t>
      </w:r>
      <w:r>
        <w:rPr>
          <w:rFonts w:cs="Times New Roman" w:hint="eastAsia"/>
          <w:szCs w:val="21"/>
        </w:rPr>
        <w:t>DAS</w:t>
      </w:r>
      <w:r>
        <w:rPr>
          <w:rFonts w:cs="Times New Roman" w:hint="eastAsia"/>
          <w:szCs w:val="21"/>
        </w:rPr>
        <w:t>更准确。</w:t>
      </w:r>
      <w:r w:rsidR="00E776F4">
        <w:rPr>
          <w:rFonts w:cs="Times New Roman" w:hint="eastAsia"/>
          <w:szCs w:val="21"/>
        </w:rPr>
        <w:t>实验结果中</w:t>
      </w:r>
      <w:r w:rsidR="00452DB9">
        <w:rPr>
          <w:rFonts w:cs="Times New Roman" w:hint="eastAsia"/>
          <w:szCs w:val="21"/>
        </w:rPr>
        <w:t>对</w:t>
      </w:r>
      <w:r w:rsidR="00452DB9">
        <w:rPr>
          <w:rFonts w:cs="Times New Roman" w:hint="eastAsia"/>
          <w:szCs w:val="21"/>
        </w:rPr>
        <w:t>0%</w:t>
      </w:r>
      <w:r w:rsidR="00452DB9">
        <w:rPr>
          <w:rFonts w:cs="Times New Roman" w:hint="eastAsia"/>
          <w:szCs w:val="21"/>
        </w:rPr>
        <w:t>体积分数的</w:t>
      </w:r>
      <w:r>
        <w:rPr>
          <w:rFonts w:cs="Times New Roman" w:hint="eastAsia"/>
          <w:szCs w:val="21"/>
        </w:rPr>
        <w:t>测量值均高于</w:t>
      </w:r>
      <w:r w:rsidR="00452DB9">
        <w:rPr>
          <w:rFonts w:cs="Times New Roman" w:hint="eastAsia"/>
          <w:szCs w:val="21"/>
        </w:rPr>
        <w:t>0.008 %</w:t>
      </w:r>
      <w:r>
        <w:rPr>
          <w:rFonts w:cs="Times New Roman" w:hint="eastAsia"/>
          <w:szCs w:val="21"/>
        </w:rPr>
        <w:t>，可能是实验过程中未完全排净甲烷气体。</w:t>
      </w:r>
    </w:p>
    <w:p w14:paraId="44CE230D" w14:textId="77777777" w:rsidR="00F1691B" w:rsidRDefault="00000000">
      <w:pPr>
        <w:keepNext/>
        <w:spacing w:line="240" w:lineRule="atLeast"/>
        <w:jc w:val="center"/>
      </w:pPr>
      <w:r>
        <w:rPr>
          <w:noProof/>
        </w:rPr>
        <w:drawing>
          <wp:inline distT="0" distB="0" distL="0" distR="0" wp14:anchorId="0EC0245B" wp14:editId="49CFB8BA">
            <wp:extent cx="2942590" cy="2207260"/>
            <wp:effectExtent l="0" t="0" r="0" b="3175"/>
            <wp:docPr id="2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9"/>
                    <pic:cNvPicPr>
                      <a:picLocks noChangeAspect="1"/>
                    </pic:cNvPicPr>
                  </pic:nvPicPr>
                  <pic:blipFill>
                    <a:blip r:embed="rId21"/>
                    <a:stretch>
                      <a:fillRect/>
                    </a:stretch>
                  </pic:blipFill>
                  <pic:spPr>
                    <a:xfrm>
                      <a:off x="0" y="0"/>
                      <a:ext cx="2942590" cy="2207260"/>
                    </a:xfrm>
                    <a:prstGeom prst="rect">
                      <a:avLst/>
                    </a:prstGeom>
                  </pic:spPr>
                </pic:pic>
              </a:graphicData>
            </a:graphic>
          </wp:inline>
        </w:drawing>
      </w:r>
    </w:p>
    <w:p w14:paraId="40443074" w14:textId="6543C51F" w:rsidR="00F1691B" w:rsidRDefault="00000000">
      <w:pPr>
        <w:pStyle w:val="a3"/>
        <w:jc w:val="center"/>
      </w:pPr>
      <w:bookmarkStart w:id="5" w:name="_Ref207988905"/>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5</w:t>
      </w:r>
      <w:r>
        <w:fldChar w:fldCharType="end"/>
      </w:r>
      <w:bookmarkEnd w:id="5"/>
      <w:r>
        <w:rPr>
          <w:rFonts w:hint="eastAsia"/>
        </w:rPr>
        <w:t xml:space="preserve"> </w:t>
      </w:r>
      <w:r>
        <w:rPr>
          <w:rFonts w:hint="eastAsia"/>
        </w:rPr>
        <w:t>不同</w:t>
      </w:r>
      <w:r w:rsidR="00381A43" w:rsidRPr="00381A43">
        <w:rPr>
          <w:rFonts w:hint="eastAsia"/>
        </w:rPr>
        <w:t>体积分数</w:t>
      </w:r>
      <w:r>
        <w:rPr>
          <w:rFonts w:hint="eastAsia"/>
        </w:rPr>
        <w:t>甲烷测量结果与分布图</w:t>
      </w:r>
    </w:p>
    <w:p w14:paraId="4520BC7B" w14:textId="364B8624" w:rsidR="00F1691B" w:rsidRDefault="00000000">
      <w:pPr>
        <w:spacing w:line="240" w:lineRule="atLeast"/>
        <w:ind w:firstLine="420"/>
        <w:rPr>
          <w:rFonts w:cs="Times New Roman"/>
          <w:szCs w:val="21"/>
        </w:rPr>
      </w:pPr>
      <w:r>
        <w:rPr>
          <w:rFonts w:cs="Times New Roman" w:hint="eastAsia"/>
          <w:szCs w:val="21"/>
        </w:rPr>
        <w:t>进一步在复合探测试验箱中持续通入高浓度甲烷，得到稳定上升的甲烷浓度环境，对探测器甲烷响应情况进行测试，结果如</w:t>
      </w:r>
      <w:r>
        <w:rPr>
          <w:rFonts w:cs="Times New Roman"/>
          <w:szCs w:val="21"/>
        </w:rPr>
        <w:fldChar w:fldCharType="begin"/>
      </w:r>
      <w:r>
        <w:rPr>
          <w:rFonts w:cs="Times New Roman"/>
          <w:szCs w:val="21"/>
        </w:rPr>
        <w:instrText xml:space="preserve"> </w:instrText>
      </w:r>
      <w:r>
        <w:rPr>
          <w:rFonts w:cs="Times New Roman" w:hint="eastAsia"/>
          <w:szCs w:val="21"/>
        </w:rPr>
        <w:instrText>REF _Ref208006148 \h</w:instrText>
      </w:r>
      <w:r>
        <w:rPr>
          <w:rFonts w:cs="Times New Roman"/>
          <w:szCs w:val="21"/>
        </w:rPr>
        <w:instrText xml:space="preserve">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rPr>
          <w:noProof/>
        </w:rPr>
        <w:t>6</w:t>
      </w:r>
      <w:r>
        <w:rPr>
          <w:rFonts w:cs="Times New Roman"/>
          <w:szCs w:val="21"/>
        </w:rPr>
        <w:fldChar w:fldCharType="end"/>
      </w:r>
      <w:r>
        <w:rPr>
          <w:rFonts w:cs="Times New Roman" w:hint="eastAsia"/>
          <w:szCs w:val="21"/>
        </w:rPr>
        <w:t>所示。可以看出，复合探测器测得的</w:t>
      </w:r>
      <w:r w:rsidR="00381A43" w:rsidRPr="00381A43">
        <w:rPr>
          <w:rFonts w:cs="Times New Roman" w:hint="eastAsia"/>
          <w:szCs w:val="21"/>
        </w:rPr>
        <w:t>体积分数</w:t>
      </w:r>
      <w:r>
        <w:rPr>
          <w:rFonts w:cs="Times New Roman" w:hint="eastAsia"/>
          <w:szCs w:val="21"/>
        </w:rPr>
        <w:t>上升速率与气体分析仪测得的</w:t>
      </w:r>
      <w:r w:rsidR="00381A43" w:rsidRPr="00381A43">
        <w:rPr>
          <w:rFonts w:cs="Times New Roman" w:hint="eastAsia"/>
          <w:szCs w:val="21"/>
        </w:rPr>
        <w:t>体积分数</w:t>
      </w:r>
      <w:r>
        <w:rPr>
          <w:rFonts w:cs="Times New Roman" w:hint="eastAsia"/>
          <w:szCs w:val="21"/>
        </w:rPr>
        <w:t>上升速率一致，但由于气体分析仪通过气管主动抽气，其甲烷</w:t>
      </w:r>
      <w:r w:rsidR="00381A43" w:rsidRPr="00381A43">
        <w:rPr>
          <w:rFonts w:cs="Times New Roman" w:hint="eastAsia"/>
          <w:szCs w:val="21"/>
        </w:rPr>
        <w:t>体积分数</w:t>
      </w:r>
      <w:r>
        <w:rPr>
          <w:rFonts w:cs="Times New Roman" w:hint="eastAsia"/>
          <w:szCs w:val="21"/>
        </w:rPr>
        <w:t>结果相比探测器样机存在约</w:t>
      </w:r>
      <w:r>
        <w:rPr>
          <w:rFonts w:cs="Times New Roman" w:hint="eastAsia"/>
          <w:szCs w:val="21"/>
        </w:rPr>
        <w:t>20</w:t>
      </w:r>
      <w:r>
        <w:rPr>
          <w:rFonts w:cs="Times New Roman" w:hint="eastAsia"/>
          <w:szCs w:val="21"/>
        </w:rPr>
        <w:t>秒延迟。</w:t>
      </w:r>
    </w:p>
    <w:p w14:paraId="4EF6A61B" w14:textId="77777777" w:rsidR="00F1691B" w:rsidRDefault="00000000">
      <w:pPr>
        <w:keepNext/>
        <w:spacing w:line="240" w:lineRule="atLeast"/>
      </w:pPr>
      <w:r>
        <w:rPr>
          <w:noProof/>
        </w:rPr>
        <w:lastRenderedPageBreak/>
        <w:drawing>
          <wp:inline distT="0" distB="0" distL="0" distR="0" wp14:anchorId="28D290D7" wp14:editId="310B427A">
            <wp:extent cx="2942590" cy="1681480"/>
            <wp:effectExtent l="0" t="0" r="0" b="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22"/>
                    <a:stretch>
                      <a:fillRect/>
                    </a:stretch>
                  </pic:blipFill>
                  <pic:spPr>
                    <a:xfrm>
                      <a:off x="0" y="0"/>
                      <a:ext cx="2942590" cy="1681480"/>
                    </a:xfrm>
                    <a:prstGeom prst="rect">
                      <a:avLst/>
                    </a:prstGeom>
                  </pic:spPr>
                </pic:pic>
              </a:graphicData>
            </a:graphic>
          </wp:inline>
        </w:drawing>
      </w:r>
    </w:p>
    <w:p w14:paraId="674F41F5" w14:textId="0A65EABF" w:rsidR="00F1691B" w:rsidRDefault="00000000">
      <w:pPr>
        <w:pStyle w:val="a3"/>
        <w:jc w:val="center"/>
        <w:rPr>
          <w:rFonts w:cs="Times New Roman"/>
          <w:szCs w:val="21"/>
        </w:rPr>
      </w:pPr>
      <w:bookmarkStart w:id="6" w:name="_Ref208006148"/>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6</w:t>
      </w:r>
      <w:r>
        <w:fldChar w:fldCharType="end"/>
      </w:r>
      <w:bookmarkEnd w:id="6"/>
      <w:r>
        <w:rPr>
          <w:rFonts w:hint="eastAsia"/>
        </w:rPr>
        <w:t xml:space="preserve"> </w:t>
      </w:r>
      <w:r>
        <w:rPr>
          <w:rFonts w:cs="Times New Roman" w:hint="eastAsia"/>
          <w:szCs w:val="21"/>
        </w:rPr>
        <w:t>复合探测器对甲烷</w:t>
      </w:r>
      <w:r w:rsidR="00381A43" w:rsidRPr="00381A43">
        <w:rPr>
          <w:rFonts w:cs="Times New Roman" w:hint="eastAsia"/>
          <w:szCs w:val="21"/>
        </w:rPr>
        <w:t>体积分数</w:t>
      </w:r>
      <w:r>
        <w:rPr>
          <w:rFonts w:cs="Times New Roman" w:hint="eastAsia"/>
          <w:szCs w:val="21"/>
        </w:rPr>
        <w:t>响应曲线图</w:t>
      </w:r>
    </w:p>
    <w:p w14:paraId="762B22E3" w14:textId="7D12391C" w:rsidR="00F1691B" w:rsidRDefault="00000000">
      <w:pPr>
        <w:spacing w:line="240" w:lineRule="atLeast"/>
        <w:ind w:firstLine="420"/>
        <w:rPr>
          <w:rFonts w:cs="Times New Roman"/>
          <w:szCs w:val="21"/>
        </w:rPr>
      </w:pPr>
      <w:r>
        <w:rPr>
          <w:rFonts w:cs="Times New Roman" w:hint="eastAsia"/>
          <w:szCs w:val="21"/>
        </w:rPr>
        <w:t>在烟雾检测方面，采用以</w:t>
      </w:r>
      <w:proofErr w:type="gramStart"/>
      <w:r>
        <w:rPr>
          <w:rFonts w:cs="Times New Roman" w:hint="eastAsia"/>
          <w:szCs w:val="21"/>
        </w:rPr>
        <w:t>轻质石</w:t>
      </w:r>
      <w:proofErr w:type="gramEnd"/>
      <w:r>
        <w:rPr>
          <w:rFonts w:cs="Times New Roman" w:hint="eastAsia"/>
          <w:szCs w:val="21"/>
        </w:rPr>
        <w:t>蜡油为发烟剂的闭环联动型石蜡油烟雾发生器产生石蜡油烟雾，对</w:t>
      </w:r>
      <w:r>
        <w:rPr>
          <w:rFonts w:cs="Times New Roman" w:hint="eastAsia"/>
          <w:szCs w:val="21"/>
        </w:rPr>
        <w:t>0~0.6dB/m</w:t>
      </w:r>
      <w:r>
        <w:rPr>
          <w:rFonts w:cs="Times New Roman" w:hint="eastAsia"/>
          <w:szCs w:val="21"/>
        </w:rPr>
        <w:t>范围内的</w:t>
      </w:r>
      <w:r>
        <w:rPr>
          <w:rFonts w:cs="Times New Roman" w:hint="eastAsia"/>
          <w:szCs w:val="21"/>
        </w:rPr>
        <w:t>9</w:t>
      </w:r>
      <w:r>
        <w:rPr>
          <w:rFonts w:cs="Times New Roman" w:hint="eastAsia"/>
          <w:szCs w:val="21"/>
        </w:rPr>
        <w:t>个烟雾浓度点进行实验测量，结果如</w:t>
      </w:r>
      <w:r>
        <w:rPr>
          <w:rFonts w:cs="Times New Roman"/>
          <w:szCs w:val="21"/>
        </w:rPr>
        <w:fldChar w:fldCharType="begin"/>
      </w:r>
      <w:r>
        <w:rPr>
          <w:rFonts w:cs="Times New Roman"/>
          <w:szCs w:val="21"/>
        </w:rPr>
        <w:instrText xml:space="preserve"> </w:instrText>
      </w:r>
      <w:r>
        <w:rPr>
          <w:rFonts w:cs="Times New Roman" w:hint="eastAsia"/>
          <w:szCs w:val="21"/>
        </w:rPr>
        <w:instrText>REF _Ref207990388 \h</w:instrText>
      </w:r>
      <w:r>
        <w:rPr>
          <w:rFonts w:cs="Times New Roman"/>
          <w:szCs w:val="21"/>
        </w:rPr>
        <w:instrText xml:space="preserve">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rPr>
          <w:noProof/>
        </w:rPr>
        <w:t>7</w:t>
      </w:r>
      <w:r>
        <w:rPr>
          <w:rFonts w:cs="Times New Roman"/>
          <w:szCs w:val="21"/>
        </w:rPr>
        <w:fldChar w:fldCharType="end"/>
      </w:r>
      <w:r>
        <w:rPr>
          <w:rFonts w:cs="Times New Roman" w:hint="eastAsia"/>
          <w:szCs w:val="21"/>
        </w:rPr>
        <w:t>所示。实验结果表明，复合探测器在低浓度段（＜</w:t>
      </w:r>
      <w:r>
        <w:rPr>
          <w:rFonts w:cs="Times New Roman" w:hint="eastAsia"/>
          <w:szCs w:val="21"/>
        </w:rPr>
        <w:t>0.15dB/m</w:t>
      </w:r>
      <w:r>
        <w:rPr>
          <w:rFonts w:cs="Times New Roman" w:hint="eastAsia"/>
          <w:szCs w:val="21"/>
        </w:rPr>
        <w:t>）具有良好响应，而在高浓度下测得结果略低于参考值。</w:t>
      </w:r>
    </w:p>
    <w:p w14:paraId="4C305DB5" w14:textId="77777777" w:rsidR="00F1691B" w:rsidRDefault="00000000">
      <w:pPr>
        <w:keepNext/>
        <w:spacing w:line="240" w:lineRule="atLeast"/>
        <w:jc w:val="center"/>
      </w:pPr>
      <w:r>
        <w:rPr>
          <w:noProof/>
        </w:rPr>
        <w:drawing>
          <wp:inline distT="0" distB="0" distL="0" distR="0" wp14:anchorId="180208E8" wp14:editId="211C63CE">
            <wp:extent cx="2942590" cy="1226185"/>
            <wp:effectExtent l="0" t="0" r="0" b="0"/>
            <wp:docPr id="1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8"/>
                    <pic:cNvPicPr>
                      <a:picLocks noChangeAspect="1"/>
                    </pic:cNvPicPr>
                  </pic:nvPicPr>
                  <pic:blipFill>
                    <a:blip r:embed="rId23"/>
                    <a:stretch>
                      <a:fillRect/>
                    </a:stretch>
                  </pic:blipFill>
                  <pic:spPr>
                    <a:xfrm>
                      <a:off x="0" y="0"/>
                      <a:ext cx="2942590" cy="1226185"/>
                    </a:xfrm>
                    <a:prstGeom prst="rect">
                      <a:avLst/>
                    </a:prstGeom>
                  </pic:spPr>
                </pic:pic>
              </a:graphicData>
            </a:graphic>
          </wp:inline>
        </w:drawing>
      </w:r>
    </w:p>
    <w:p w14:paraId="7687D4A6" w14:textId="02EB68CC" w:rsidR="00F1691B" w:rsidRDefault="00000000">
      <w:pPr>
        <w:pStyle w:val="a3"/>
        <w:jc w:val="center"/>
        <w:rPr>
          <w:rFonts w:cs="Times New Roman"/>
          <w:szCs w:val="21"/>
        </w:rPr>
      </w:pPr>
      <w:bookmarkStart w:id="7" w:name="_Ref207990388"/>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7</w:t>
      </w:r>
      <w:r>
        <w:fldChar w:fldCharType="end"/>
      </w:r>
      <w:bookmarkEnd w:id="7"/>
      <w:r>
        <w:rPr>
          <w:rFonts w:hint="eastAsia"/>
        </w:rPr>
        <w:t xml:space="preserve"> </w:t>
      </w:r>
      <w:r>
        <w:rPr>
          <w:rFonts w:hint="eastAsia"/>
        </w:rPr>
        <w:t>不同</w:t>
      </w:r>
      <w:r w:rsidR="00381A43" w:rsidRPr="00381A43">
        <w:rPr>
          <w:rFonts w:hint="eastAsia"/>
        </w:rPr>
        <w:t>体积分数</w:t>
      </w:r>
      <w:r>
        <w:rPr>
          <w:rFonts w:hint="eastAsia"/>
        </w:rPr>
        <w:t>烟雾测量结果与分布图</w:t>
      </w:r>
    </w:p>
    <w:p w14:paraId="5F1F2CE1" w14:textId="1C20118F" w:rsidR="00F1691B" w:rsidRDefault="00000000" w:rsidP="0005131B">
      <w:pPr>
        <w:ind w:firstLine="420"/>
        <w:rPr>
          <w:rFonts w:cs="Times New Roman"/>
          <w:szCs w:val="21"/>
        </w:rPr>
      </w:pPr>
      <w:r>
        <w:rPr>
          <w:rFonts w:cs="Times New Roman" w:hint="eastAsia"/>
          <w:szCs w:val="21"/>
        </w:rPr>
        <w:t>进一步测试复合探测器对烟雾的动态响应，结果如</w:t>
      </w:r>
      <w:r>
        <w:fldChar w:fldCharType="begin"/>
      </w:r>
      <w:r>
        <w:rPr>
          <w:rFonts w:cs="Times New Roman"/>
          <w:szCs w:val="21"/>
        </w:rPr>
        <w:instrText xml:space="preserve"> </w:instrText>
      </w:r>
      <w:r>
        <w:rPr>
          <w:rFonts w:cs="Times New Roman" w:hint="eastAsia"/>
          <w:szCs w:val="21"/>
        </w:rPr>
        <w:instrText>REF _Ref207619244 \h</w:instrText>
      </w:r>
      <w:r>
        <w:rPr>
          <w:rFonts w:cs="Times New Roman"/>
          <w:szCs w:val="21"/>
        </w:rPr>
        <w:instrText xml:space="preserve"> </w:instrText>
      </w:r>
      <w:r>
        <w:fldChar w:fldCharType="separate"/>
      </w:r>
      <w:r w:rsidR="00B1776A">
        <w:rPr>
          <w:rFonts w:hint="eastAsia"/>
        </w:rPr>
        <w:t>图</w:t>
      </w:r>
      <w:r w:rsidR="00B1776A">
        <w:rPr>
          <w:rFonts w:hint="eastAsia"/>
        </w:rPr>
        <w:t xml:space="preserve"> </w:t>
      </w:r>
      <w:r w:rsidR="00B1776A">
        <w:rPr>
          <w:noProof/>
        </w:rPr>
        <w:t>8</w:t>
      </w:r>
      <w:r>
        <w:fldChar w:fldCharType="end"/>
      </w:r>
      <w:r>
        <w:rPr>
          <w:rFonts w:hint="eastAsia"/>
        </w:rPr>
        <w:t>所示</w:t>
      </w:r>
      <w:r>
        <w:rPr>
          <w:rFonts w:cs="Times New Roman" w:hint="eastAsia"/>
          <w:szCs w:val="21"/>
        </w:rPr>
        <w:t>。结果显示探测器与参考光学烟密度计曲线变化趋势一致，但存在约</w:t>
      </w:r>
      <w:r>
        <w:rPr>
          <w:rFonts w:cs="Times New Roman" w:hint="eastAsia"/>
          <w:szCs w:val="21"/>
        </w:rPr>
        <w:t xml:space="preserve"> 10 s</w:t>
      </w:r>
      <w:r>
        <w:rPr>
          <w:rFonts w:cs="Times New Roman" w:hint="eastAsia"/>
          <w:szCs w:val="21"/>
        </w:rPr>
        <w:t>延迟。这主要是</w:t>
      </w:r>
      <w:r>
        <w:rPr>
          <w:rFonts w:hint="eastAsia"/>
        </w:rPr>
        <w:t>由于探测区域与提供烟雾参考</w:t>
      </w:r>
      <w:r w:rsidR="00381A43" w:rsidRPr="00381A43">
        <w:rPr>
          <w:rFonts w:hint="eastAsia"/>
        </w:rPr>
        <w:t>体积分数</w:t>
      </w:r>
      <w:r>
        <w:rPr>
          <w:rFonts w:hint="eastAsia"/>
        </w:rPr>
        <w:t>的光学烟密度计空间位置上的差异（距离约</w:t>
      </w:r>
      <w:r>
        <w:rPr>
          <w:rFonts w:hint="eastAsia"/>
        </w:rPr>
        <w:t>0.6 m</w:t>
      </w:r>
      <w:r>
        <w:rPr>
          <w:rFonts w:hint="eastAsia"/>
        </w:rPr>
        <w:t>，风速</w:t>
      </w:r>
      <w:r>
        <w:rPr>
          <w:rFonts w:hint="eastAsia"/>
        </w:rPr>
        <w:t>0.2 m/s</w:t>
      </w:r>
      <w:r>
        <w:rPr>
          <w:rFonts w:hint="eastAsia"/>
        </w:rPr>
        <w:t>），以及</w:t>
      </w:r>
      <w:r w:rsidR="00BC7254">
        <w:rPr>
          <w:rFonts w:hint="eastAsia"/>
        </w:rPr>
        <w:t>烟雾</w:t>
      </w:r>
      <w:r>
        <w:rPr>
          <w:rFonts w:hint="eastAsia"/>
        </w:rPr>
        <w:t>经过光学迷宫扩散进入到探测器内部的耗时导致。</w:t>
      </w:r>
    </w:p>
    <w:p w14:paraId="4A09A3FB" w14:textId="77777777" w:rsidR="00F1691B" w:rsidRDefault="00000000">
      <w:pPr>
        <w:keepNext/>
        <w:spacing w:line="240" w:lineRule="atLeast"/>
        <w:jc w:val="center"/>
        <w:rPr>
          <w:color w:val="C00000"/>
        </w:rPr>
      </w:pPr>
      <w:r>
        <w:rPr>
          <w:noProof/>
          <w:color w:val="C00000"/>
        </w:rPr>
        <w:drawing>
          <wp:inline distT="0" distB="0" distL="0" distR="0" wp14:anchorId="592DA02A" wp14:editId="46664C4A">
            <wp:extent cx="2942590" cy="1681480"/>
            <wp:effectExtent l="0" t="0" r="0" b="0"/>
            <wp:docPr id="2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
                    <pic:cNvPicPr>
                      <a:picLocks noChangeAspect="1"/>
                    </pic:cNvPicPr>
                  </pic:nvPicPr>
                  <pic:blipFill>
                    <a:blip r:embed="rId24"/>
                    <a:stretch>
                      <a:fillRect/>
                    </a:stretch>
                  </pic:blipFill>
                  <pic:spPr>
                    <a:xfrm>
                      <a:off x="0" y="0"/>
                      <a:ext cx="2942590" cy="1681480"/>
                    </a:xfrm>
                    <a:prstGeom prst="rect">
                      <a:avLst/>
                    </a:prstGeom>
                  </pic:spPr>
                </pic:pic>
              </a:graphicData>
            </a:graphic>
          </wp:inline>
        </w:drawing>
      </w:r>
    </w:p>
    <w:p w14:paraId="5684A762" w14:textId="7A84F8DA" w:rsidR="00F1691B" w:rsidRDefault="00000000">
      <w:pPr>
        <w:pStyle w:val="a3"/>
        <w:jc w:val="center"/>
      </w:pPr>
      <w:bookmarkStart w:id="8" w:name="_Ref207619244"/>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8</w:t>
      </w:r>
      <w:r>
        <w:fldChar w:fldCharType="end"/>
      </w:r>
      <w:bookmarkEnd w:id="8"/>
      <w:r>
        <w:rPr>
          <w:rFonts w:hint="eastAsia"/>
        </w:rPr>
        <w:t xml:space="preserve"> </w:t>
      </w:r>
      <w:r>
        <w:rPr>
          <w:rFonts w:cs="Times New Roman" w:hint="eastAsia"/>
          <w:szCs w:val="21"/>
        </w:rPr>
        <w:t>复合探测器对</w:t>
      </w:r>
      <w:r w:rsidR="00381A43">
        <w:rPr>
          <w:rFonts w:cs="Times New Roman" w:hint="eastAsia"/>
          <w:szCs w:val="21"/>
        </w:rPr>
        <w:t>烟雾</w:t>
      </w:r>
      <w:r w:rsidR="00381A43" w:rsidRPr="00381A43">
        <w:rPr>
          <w:rFonts w:cs="Times New Roman" w:hint="eastAsia"/>
          <w:szCs w:val="21"/>
        </w:rPr>
        <w:t>体积分数</w:t>
      </w:r>
      <w:r>
        <w:rPr>
          <w:rFonts w:cs="Times New Roman" w:hint="eastAsia"/>
          <w:szCs w:val="21"/>
        </w:rPr>
        <w:t>响应曲线图</w:t>
      </w:r>
    </w:p>
    <w:p w14:paraId="774C158E" w14:textId="27745327" w:rsidR="00F1691B" w:rsidRPr="0005131B" w:rsidRDefault="00000000">
      <w:pPr>
        <w:spacing w:line="240" w:lineRule="atLeast"/>
        <w:ind w:firstLine="420"/>
        <w:rPr>
          <w:rFonts w:cs="Times New Roman"/>
          <w:strike/>
          <w:szCs w:val="21"/>
        </w:rPr>
      </w:pPr>
      <w:r>
        <w:rPr>
          <w:rFonts w:hint="eastAsia"/>
        </w:rPr>
        <w:t>综上所述，</w:t>
      </w:r>
      <w:r>
        <w:rPr>
          <w:rFonts w:cs="Times New Roman" w:hint="eastAsia"/>
          <w:szCs w:val="21"/>
        </w:rPr>
        <w:t>复合探测器对甲烷的最低探测下限约为</w:t>
      </w:r>
      <w:r w:rsidR="00452DB9">
        <w:rPr>
          <w:rFonts w:cs="Times New Roman" w:hint="eastAsia"/>
          <w:szCs w:val="21"/>
        </w:rPr>
        <w:t>0.008 %</w:t>
      </w:r>
      <w:r>
        <w:rPr>
          <w:rFonts w:cs="Times New Roman" w:hint="eastAsia"/>
          <w:szCs w:val="21"/>
        </w:rPr>
        <w:t>，对烟雾的最低探测下限约为</w:t>
      </w:r>
      <w:r>
        <w:rPr>
          <w:rFonts w:cs="Times New Roman" w:hint="eastAsia"/>
          <w:szCs w:val="21"/>
        </w:rPr>
        <w:t>0.05 dB/m</w:t>
      </w:r>
      <w:r>
        <w:rPr>
          <w:rFonts w:cs="Times New Roman" w:hint="eastAsia"/>
          <w:szCs w:val="21"/>
        </w:rPr>
        <w:t>，能够满足</w:t>
      </w:r>
      <w:r w:rsidR="00BC7254">
        <w:rPr>
          <w:rFonts w:cs="Times New Roman" w:hint="eastAsia"/>
          <w:szCs w:val="21"/>
        </w:rPr>
        <w:t>烟雾和甲烷的</w:t>
      </w:r>
      <w:r>
        <w:rPr>
          <w:rFonts w:cs="Times New Roman" w:hint="eastAsia"/>
          <w:szCs w:val="21"/>
        </w:rPr>
        <w:t>低浓度探测需求。</w:t>
      </w:r>
    </w:p>
    <w:p w14:paraId="34E4DF7A" w14:textId="77777777" w:rsidR="00F1691B" w:rsidRDefault="00000000">
      <w:pPr>
        <w:widowControl/>
        <w:spacing w:line="240" w:lineRule="atLeast"/>
        <w:outlineLvl w:val="0"/>
        <w:rPr>
          <w:rFonts w:cs="Times New Roman"/>
          <w:b/>
          <w:bCs/>
          <w:kern w:val="0"/>
          <w:sz w:val="24"/>
          <w:szCs w:val="24"/>
        </w:rPr>
      </w:pPr>
      <w:r>
        <w:rPr>
          <w:rFonts w:cs="Times New Roman" w:hint="eastAsia"/>
          <w:b/>
          <w:bCs/>
          <w:kern w:val="0"/>
          <w:sz w:val="24"/>
          <w:szCs w:val="24"/>
        </w:rPr>
        <w:t>3</w:t>
      </w:r>
      <w:r>
        <w:rPr>
          <w:rFonts w:cs="Times New Roman"/>
          <w:b/>
          <w:bCs/>
          <w:kern w:val="0"/>
          <w:sz w:val="24"/>
          <w:szCs w:val="24"/>
        </w:rPr>
        <w:t xml:space="preserve"> </w:t>
      </w:r>
      <w:r>
        <w:rPr>
          <w:rFonts w:cs="Times New Roman" w:hint="eastAsia"/>
          <w:b/>
          <w:bCs/>
          <w:kern w:val="0"/>
          <w:sz w:val="24"/>
          <w:szCs w:val="24"/>
        </w:rPr>
        <w:t>烟雾甲烷复合探测</w:t>
      </w:r>
    </w:p>
    <w:p w14:paraId="4844E7AF" w14:textId="77777777" w:rsidR="00F1691B" w:rsidRDefault="00000000">
      <w:pPr>
        <w:widowControl/>
        <w:spacing w:line="240" w:lineRule="atLeast"/>
        <w:outlineLvl w:val="1"/>
        <w:rPr>
          <w:rFonts w:cs="Times New Roman"/>
          <w:b/>
          <w:kern w:val="0"/>
          <w:szCs w:val="21"/>
        </w:rPr>
      </w:pPr>
      <w:r>
        <w:rPr>
          <w:rFonts w:cs="Times New Roman" w:hint="eastAsia"/>
          <w:b/>
          <w:kern w:val="0"/>
          <w:szCs w:val="21"/>
        </w:rPr>
        <w:t>3</w:t>
      </w:r>
      <w:r>
        <w:rPr>
          <w:rFonts w:cs="Times New Roman"/>
          <w:b/>
          <w:kern w:val="0"/>
          <w:szCs w:val="21"/>
        </w:rPr>
        <w:t>.</w:t>
      </w:r>
      <w:r>
        <w:rPr>
          <w:rFonts w:cs="Times New Roman" w:hint="eastAsia"/>
          <w:b/>
          <w:kern w:val="0"/>
          <w:szCs w:val="21"/>
        </w:rPr>
        <w:t>1</w:t>
      </w:r>
      <w:r>
        <w:rPr>
          <w:rFonts w:cs="Times New Roman"/>
          <w:b/>
          <w:kern w:val="0"/>
          <w:szCs w:val="21"/>
        </w:rPr>
        <w:t xml:space="preserve">  </w:t>
      </w:r>
      <w:r>
        <w:rPr>
          <w:rFonts w:cs="Times New Roman" w:hint="eastAsia"/>
          <w:b/>
          <w:kern w:val="0"/>
          <w:szCs w:val="21"/>
        </w:rPr>
        <w:t>测试设备与环境</w:t>
      </w:r>
    </w:p>
    <w:p w14:paraId="4BBD6DA9" w14:textId="7B1A4A5C" w:rsidR="00F1691B" w:rsidRDefault="00000000">
      <w:pPr>
        <w:spacing w:line="240" w:lineRule="atLeast"/>
        <w:ind w:firstLine="420"/>
        <w:rPr>
          <w:rFonts w:cs="Times New Roman"/>
          <w:szCs w:val="21"/>
        </w:rPr>
      </w:pPr>
      <w:r>
        <w:rPr>
          <w:rFonts w:cs="Times New Roman" w:hint="eastAsia"/>
          <w:szCs w:val="21"/>
        </w:rPr>
        <w:t>在烟雾甲烷复合探测试验箱（深圳泰科安邦，</w:t>
      </w:r>
      <w:r>
        <w:rPr>
          <w:rFonts w:cs="Times New Roman" w:hint="eastAsia"/>
          <w:szCs w:val="21"/>
        </w:rPr>
        <w:t>TK3002-2</w:t>
      </w:r>
      <w:r>
        <w:rPr>
          <w:rFonts w:cs="Times New Roman" w:hint="eastAsia"/>
          <w:szCs w:val="21"/>
        </w:rPr>
        <w:t>，下称复合探测试验箱）中开展烟雾甲烷复合探测实验，测试烟雾甲烷复合探测器在烟雾甲烷同时存在的复合探测环境下的探测能力。复合探测试验箱支持通入烟雾与甲烷，循环得到稳定的复合探测环境；采用试验箱内置的光学烟密度计（深圳泰科安邦）提供参考烟雾</w:t>
      </w:r>
      <w:r w:rsidR="00381A43" w:rsidRPr="00381A43">
        <w:rPr>
          <w:rFonts w:cs="Times New Roman" w:hint="eastAsia"/>
          <w:szCs w:val="21"/>
        </w:rPr>
        <w:t>体积分数</w:t>
      </w:r>
      <w:r>
        <w:rPr>
          <w:rFonts w:cs="Times New Roman" w:hint="eastAsia"/>
          <w:szCs w:val="21"/>
        </w:rPr>
        <w:t>，量程</w:t>
      </w:r>
      <w:r>
        <w:rPr>
          <w:rFonts w:cs="Times New Roman" w:hint="eastAsia"/>
          <w:szCs w:val="21"/>
        </w:rPr>
        <w:t>0~1 dB/m</w:t>
      </w:r>
      <w:r>
        <w:rPr>
          <w:rFonts w:cs="Times New Roman" w:hint="eastAsia"/>
          <w:szCs w:val="21"/>
        </w:rPr>
        <w:t>，精度</w:t>
      </w:r>
      <w:r>
        <w:rPr>
          <w:rFonts w:cs="Times New Roman" w:hint="eastAsia"/>
          <w:szCs w:val="21"/>
        </w:rPr>
        <w:t>0.001 dB/m</w:t>
      </w:r>
      <w:r>
        <w:rPr>
          <w:rFonts w:cs="Times New Roman" w:hint="eastAsia"/>
          <w:szCs w:val="21"/>
        </w:rPr>
        <w:t>；采用外接气体分析仪（深圳泽保科技）提供甲烷参考</w:t>
      </w:r>
      <w:r w:rsidR="00381A43" w:rsidRPr="00381A43">
        <w:rPr>
          <w:rFonts w:cs="Times New Roman" w:hint="eastAsia"/>
          <w:szCs w:val="21"/>
        </w:rPr>
        <w:t>体积分数</w:t>
      </w:r>
      <w:r>
        <w:rPr>
          <w:rFonts w:cs="Times New Roman" w:hint="eastAsia"/>
          <w:szCs w:val="21"/>
        </w:rPr>
        <w:t>，量程</w:t>
      </w:r>
      <w:r>
        <w:rPr>
          <w:rFonts w:cs="Times New Roman" w:hint="eastAsia"/>
          <w:szCs w:val="21"/>
        </w:rPr>
        <w:t>0~5 %</w:t>
      </w:r>
      <w:r>
        <w:rPr>
          <w:rFonts w:cs="Times New Roman" w:hint="eastAsia"/>
          <w:szCs w:val="21"/>
        </w:rPr>
        <w:t>，精度</w:t>
      </w:r>
      <w:r>
        <w:rPr>
          <w:rFonts w:cs="Times New Roman" w:hint="eastAsia"/>
          <w:szCs w:val="21"/>
        </w:rPr>
        <w:t>0.01 %</w:t>
      </w:r>
      <w:r>
        <w:rPr>
          <w:rFonts w:cs="Times New Roman" w:hint="eastAsia"/>
          <w:szCs w:val="21"/>
        </w:rPr>
        <w:t>。</w:t>
      </w:r>
    </w:p>
    <w:p w14:paraId="5DB80EA2" w14:textId="77777777" w:rsidR="00F1691B" w:rsidRDefault="00000000">
      <w:pPr>
        <w:keepNext/>
        <w:spacing w:line="240" w:lineRule="atLeast"/>
        <w:jc w:val="center"/>
      </w:pPr>
      <w:r>
        <w:rPr>
          <w:noProof/>
        </w:rPr>
        <w:drawing>
          <wp:inline distT="0" distB="0" distL="0" distR="0" wp14:anchorId="5D899556" wp14:editId="0232F803">
            <wp:extent cx="2887980" cy="1719580"/>
            <wp:effectExtent l="0" t="0" r="762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926633" cy="1742445"/>
                    </a:xfrm>
                    <a:prstGeom prst="rect">
                      <a:avLst/>
                    </a:prstGeom>
                    <a:noFill/>
                  </pic:spPr>
                </pic:pic>
              </a:graphicData>
            </a:graphic>
          </wp:inline>
        </w:drawing>
      </w:r>
    </w:p>
    <w:p w14:paraId="79164DEA" w14:textId="5A89181D" w:rsidR="00F1691B" w:rsidRDefault="00000000">
      <w:pPr>
        <w:pStyle w:val="a3"/>
        <w:jc w:val="center"/>
      </w:pPr>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9</w:t>
      </w:r>
      <w:r>
        <w:fldChar w:fldCharType="end"/>
      </w:r>
      <w:r>
        <w:rPr>
          <w:rFonts w:hint="eastAsia"/>
        </w:rPr>
        <w:t xml:space="preserve"> </w:t>
      </w:r>
      <w:r>
        <w:rPr>
          <w:rFonts w:hint="eastAsia"/>
        </w:rPr>
        <w:t>复合探测器</w:t>
      </w:r>
      <w:r>
        <w:rPr>
          <w:rFonts w:cs="Times New Roman" w:hint="eastAsia"/>
          <w:szCs w:val="21"/>
        </w:rPr>
        <w:t>实验环境</w:t>
      </w:r>
    </w:p>
    <w:p w14:paraId="6F83EE7C" w14:textId="3F8B154C" w:rsidR="00F1691B" w:rsidRDefault="00000000">
      <w:pPr>
        <w:widowControl/>
        <w:spacing w:line="240" w:lineRule="atLeast"/>
        <w:outlineLvl w:val="1"/>
        <w:rPr>
          <w:rFonts w:cs="Times New Roman"/>
          <w:kern w:val="0"/>
          <w:szCs w:val="21"/>
        </w:rPr>
      </w:pPr>
      <w:r>
        <w:rPr>
          <w:rFonts w:cs="Times New Roman" w:hint="eastAsia"/>
          <w:b/>
          <w:kern w:val="0"/>
          <w:szCs w:val="21"/>
        </w:rPr>
        <w:t>3</w:t>
      </w:r>
      <w:r>
        <w:rPr>
          <w:rFonts w:cs="Times New Roman"/>
          <w:b/>
          <w:kern w:val="0"/>
          <w:szCs w:val="21"/>
        </w:rPr>
        <w:t>.</w:t>
      </w:r>
      <w:r>
        <w:rPr>
          <w:rFonts w:cs="Times New Roman" w:hint="eastAsia"/>
          <w:b/>
          <w:kern w:val="0"/>
          <w:szCs w:val="21"/>
        </w:rPr>
        <w:t>2</w:t>
      </w:r>
      <w:r>
        <w:rPr>
          <w:rFonts w:cs="Times New Roman"/>
          <w:b/>
          <w:kern w:val="0"/>
          <w:szCs w:val="21"/>
        </w:rPr>
        <w:t xml:space="preserve">  </w:t>
      </w:r>
      <w:r>
        <w:rPr>
          <w:rFonts w:cs="Times New Roman" w:hint="eastAsia"/>
          <w:b/>
          <w:kern w:val="0"/>
          <w:szCs w:val="21"/>
        </w:rPr>
        <w:t>复合探测结果与分析</w:t>
      </w:r>
    </w:p>
    <w:p w14:paraId="775D8FC1" w14:textId="72C7409E" w:rsidR="00F1691B" w:rsidRDefault="00000000">
      <w:pPr>
        <w:spacing w:line="240" w:lineRule="atLeast"/>
        <w:ind w:firstLine="420"/>
        <w:rPr>
          <w:rFonts w:cs="Times New Roman"/>
          <w:szCs w:val="21"/>
        </w:rPr>
      </w:pPr>
      <w:r>
        <w:rPr>
          <w:rFonts w:cs="Times New Roman" w:hint="eastAsia"/>
          <w:szCs w:val="21"/>
        </w:rPr>
        <w:t>由前文分析可得，甲烷对基于非甲烷吸收波段下的散射信号没有影响，</w:t>
      </w:r>
      <w:r w:rsidR="00BC7254">
        <w:rPr>
          <w:rFonts w:cs="Times New Roman" w:hint="eastAsia"/>
          <w:szCs w:val="21"/>
        </w:rPr>
        <w:t>下文就</w:t>
      </w:r>
      <w:r>
        <w:rPr>
          <w:rFonts w:cs="Times New Roman" w:hint="eastAsia"/>
          <w:szCs w:val="21"/>
        </w:rPr>
        <w:t>烟雾</w:t>
      </w:r>
      <w:r w:rsidR="00381A43" w:rsidRPr="00381A43">
        <w:rPr>
          <w:rFonts w:cs="Times New Roman" w:hint="eastAsia"/>
          <w:szCs w:val="21"/>
        </w:rPr>
        <w:t>体积分数</w:t>
      </w:r>
      <w:r>
        <w:rPr>
          <w:rFonts w:cs="Times New Roman" w:hint="eastAsia"/>
          <w:szCs w:val="21"/>
        </w:rPr>
        <w:t>对甲烷探测的影响进行研究。使用复合探测试验箱的浓度保持功能将烟雾</w:t>
      </w:r>
      <w:r w:rsidR="00381A43" w:rsidRPr="00381A43">
        <w:rPr>
          <w:rFonts w:cs="Times New Roman" w:hint="eastAsia"/>
          <w:szCs w:val="21"/>
        </w:rPr>
        <w:t>体积分数</w:t>
      </w:r>
      <w:r>
        <w:rPr>
          <w:rFonts w:cs="Times New Roman" w:hint="eastAsia"/>
          <w:szCs w:val="21"/>
        </w:rPr>
        <w:t>维持在</w:t>
      </w:r>
      <w:r>
        <w:rPr>
          <w:rFonts w:cs="Times New Roman" w:hint="eastAsia"/>
          <w:szCs w:val="21"/>
        </w:rPr>
        <w:t>0dB/m</w:t>
      </w:r>
      <w:r>
        <w:rPr>
          <w:rFonts w:cs="Times New Roman" w:hint="eastAsia"/>
          <w:szCs w:val="21"/>
        </w:rPr>
        <w:t>、</w:t>
      </w:r>
      <w:r>
        <w:rPr>
          <w:rFonts w:cs="Times New Roman" w:hint="eastAsia"/>
          <w:szCs w:val="21"/>
        </w:rPr>
        <w:t>0.1dB/m</w:t>
      </w:r>
      <w:r>
        <w:rPr>
          <w:rFonts w:cs="Times New Roman" w:hint="eastAsia"/>
          <w:szCs w:val="21"/>
        </w:rPr>
        <w:t>、</w:t>
      </w:r>
      <w:r>
        <w:rPr>
          <w:rFonts w:cs="Times New Roman" w:hint="eastAsia"/>
          <w:szCs w:val="21"/>
        </w:rPr>
        <w:t>0.5dB/m</w:t>
      </w:r>
      <w:r>
        <w:rPr>
          <w:rFonts w:cs="Times New Roman" w:hint="eastAsia"/>
          <w:szCs w:val="21"/>
        </w:rPr>
        <w:t>、</w:t>
      </w:r>
      <w:r>
        <w:rPr>
          <w:rFonts w:cs="Times New Roman" w:hint="eastAsia"/>
          <w:szCs w:val="21"/>
        </w:rPr>
        <w:t>1.0dB/m</w:t>
      </w:r>
      <w:r>
        <w:rPr>
          <w:rFonts w:cs="Times New Roman" w:hint="eastAsia"/>
          <w:szCs w:val="21"/>
        </w:rPr>
        <w:t>，</w:t>
      </w:r>
      <w:r w:rsidR="00BC7254">
        <w:rPr>
          <w:rFonts w:cs="Times New Roman" w:hint="eastAsia"/>
          <w:szCs w:val="21"/>
        </w:rPr>
        <w:t>持续</w:t>
      </w:r>
      <w:r>
        <w:rPr>
          <w:rFonts w:cs="Times New Roman" w:hint="eastAsia"/>
          <w:szCs w:val="21"/>
        </w:rPr>
        <w:t>通入高浓度的甲烷气体</w:t>
      </w:r>
      <w:r w:rsidR="00BC7254">
        <w:rPr>
          <w:rFonts w:cs="Times New Roman" w:hint="eastAsia"/>
          <w:szCs w:val="21"/>
        </w:rPr>
        <w:t>并循环</w:t>
      </w:r>
      <w:r>
        <w:rPr>
          <w:rFonts w:cs="Times New Roman" w:hint="eastAsia"/>
          <w:szCs w:val="21"/>
        </w:rPr>
        <w:t>，同时记录参考</w:t>
      </w:r>
      <w:r w:rsidR="00381A43" w:rsidRPr="00381A43">
        <w:rPr>
          <w:rFonts w:cs="Times New Roman" w:hint="eastAsia"/>
          <w:szCs w:val="21"/>
        </w:rPr>
        <w:t>体积分数</w:t>
      </w:r>
      <w:r>
        <w:rPr>
          <w:rFonts w:cs="Times New Roman" w:hint="eastAsia"/>
          <w:szCs w:val="21"/>
        </w:rPr>
        <w:t>和探测器</w:t>
      </w:r>
      <w:r w:rsidR="00381A43" w:rsidRPr="00381A43">
        <w:rPr>
          <w:rFonts w:cs="Times New Roman" w:hint="eastAsia"/>
          <w:szCs w:val="21"/>
        </w:rPr>
        <w:t>体积分数</w:t>
      </w:r>
      <w:r>
        <w:rPr>
          <w:rFonts w:cs="Times New Roman" w:hint="eastAsia"/>
          <w:szCs w:val="21"/>
        </w:rPr>
        <w:t>曲线，如</w:t>
      </w:r>
      <w:r>
        <w:rPr>
          <w:rFonts w:cs="Times New Roman"/>
          <w:szCs w:val="21"/>
        </w:rPr>
        <w:fldChar w:fldCharType="begin"/>
      </w:r>
      <w:r>
        <w:rPr>
          <w:rFonts w:cs="Times New Roman"/>
          <w:szCs w:val="21"/>
        </w:rPr>
        <w:instrText xml:space="preserve"> </w:instrText>
      </w:r>
      <w:r>
        <w:rPr>
          <w:rFonts w:cs="Times New Roman" w:hint="eastAsia"/>
          <w:szCs w:val="21"/>
        </w:rPr>
        <w:instrText>REF _Ref207993121 \h</w:instrText>
      </w:r>
      <w:r>
        <w:rPr>
          <w:rFonts w:cs="Times New Roman"/>
          <w:szCs w:val="21"/>
        </w:rPr>
        <w:instrText xml:space="preserve">  \* MERGEFORMAT </w:instrText>
      </w:r>
      <w:r>
        <w:rPr>
          <w:rFonts w:cs="Times New Roman"/>
          <w:szCs w:val="21"/>
        </w:rPr>
      </w:r>
      <w:r>
        <w:rPr>
          <w:rFonts w:cs="Times New Roman"/>
          <w:szCs w:val="21"/>
        </w:rPr>
        <w:fldChar w:fldCharType="separate"/>
      </w:r>
      <w:r w:rsidR="00B1776A">
        <w:rPr>
          <w:rFonts w:hint="eastAsia"/>
        </w:rPr>
        <w:t>图</w:t>
      </w:r>
      <w:r w:rsidR="00B1776A">
        <w:rPr>
          <w:rFonts w:hint="eastAsia"/>
        </w:rPr>
        <w:t xml:space="preserve"> </w:t>
      </w:r>
      <w:r w:rsidR="00B1776A">
        <w:t>10</w:t>
      </w:r>
      <w:r>
        <w:rPr>
          <w:rFonts w:cs="Times New Roman"/>
          <w:szCs w:val="21"/>
        </w:rPr>
        <w:fldChar w:fldCharType="end"/>
      </w:r>
      <w:r>
        <w:rPr>
          <w:rFonts w:cs="Times New Roman" w:hint="eastAsia"/>
          <w:szCs w:val="21"/>
        </w:rPr>
        <w:t>。</w:t>
      </w:r>
    </w:p>
    <w:p w14:paraId="5DEDC360" w14:textId="77777777" w:rsidR="00F1691B" w:rsidRDefault="00000000">
      <w:pPr>
        <w:keepNext/>
        <w:spacing w:line="240" w:lineRule="atLeast"/>
        <w:jc w:val="center"/>
      </w:pPr>
      <w:r>
        <w:rPr>
          <w:noProof/>
        </w:rPr>
        <w:drawing>
          <wp:inline distT="0" distB="0" distL="0" distR="0" wp14:anchorId="7861308D" wp14:editId="43908A89">
            <wp:extent cx="2942590" cy="1961515"/>
            <wp:effectExtent l="0" t="0" r="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6"/>
                    <a:stretch>
                      <a:fillRect/>
                    </a:stretch>
                  </pic:blipFill>
                  <pic:spPr>
                    <a:xfrm>
                      <a:off x="0" y="0"/>
                      <a:ext cx="2942590" cy="1961515"/>
                    </a:xfrm>
                    <a:prstGeom prst="rect">
                      <a:avLst/>
                    </a:prstGeom>
                  </pic:spPr>
                </pic:pic>
              </a:graphicData>
            </a:graphic>
          </wp:inline>
        </w:drawing>
      </w:r>
    </w:p>
    <w:p w14:paraId="3A114D25" w14:textId="6106D7CB" w:rsidR="00F1691B" w:rsidRDefault="00000000">
      <w:pPr>
        <w:pStyle w:val="a3"/>
        <w:jc w:val="center"/>
      </w:pPr>
      <w:bookmarkStart w:id="9" w:name="_Ref207993121"/>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B1776A">
        <w:rPr>
          <w:noProof/>
        </w:rPr>
        <w:t>10</w:t>
      </w:r>
      <w:r>
        <w:fldChar w:fldCharType="end"/>
      </w:r>
      <w:bookmarkEnd w:id="9"/>
      <w:r>
        <w:rPr>
          <w:rFonts w:hint="eastAsia"/>
        </w:rPr>
        <w:t xml:space="preserve"> </w:t>
      </w:r>
      <w:r>
        <w:rPr>
          <w:rFonts w:hint="eastAsia"/>
        </w:rPr>
        <w:t>不同烟雾</w:t>
      </w:r>
      <w:r w:rsidR="00381A43" w:rsidRPr="00381A43">
        <w:rPr>
          <w:rFonts w:hint="eastAsia"/>
        </w:rPr>
        <w:t>体积分数</w:t>
      </w:r>
      <w:r>
        <w:rPr>
          <w:rFonts w:hint="eastAsia"/>
        </w:rPr>
        <w:t>下甲烷响应曲线图</w:t>
      </w:r>
    </w:p>
    <w:p w14:paraId="714B4958" w14:textId="731F049A" w:rsidR="00D41A70" w:rsidRDefault="00E776F4">
      <w:pPr>
        <w:ind w:firstLine="420"/>
        <w:rPr>
          <w:rFonts w:cs="Times New Roman"/>
          <w:szCs w:val="21"/>
        </w:rPr>
      </w:pPr>
      <w:r>
        <w:rPr>
          <w:rFonts w:cs="Times New Roman" w:hint="eastAsia"/>
          <w:szCs w:val="21"/>
        </w:rPr>
        <w:t>在设置的不同烟雾</w:t>
      </w:r>
      <w:r w:rsidR="00381A43" w:rsidRPr="00381A43">
        <w:rPr>
          <w:rFonts w:cs="Times New Roman" w:hint="eastAsia"/>
          <w:szCs w:val="21"/>
        </w:rPr>
        <w:t>体积分数</w:t>
      </w:r>
      <w:r>
        <w:rPr>
          <w:rFonts w:cs="Times New Roman" w:hint="eastAsia"/>
          <w:szCs w:val="21"/>
        </w:rPr>
        <w:t>工况下，用于参考的气体分析仪</w:t>
      </w:r>
      <w:r w:rsidR="003C60B3">
        <w:rPr>
          <w:rFonts w:cs="Times New Roman" w:hint="eastAsia"/>
          <w:szCs w:val="21"/>
        </w:rPr>
        <w:t>相比复合探测器结果有约</w:t>
      </w:r>
      <w:r w:rsidR="003C60B3">
        <w:rPr>
          <w:rFonts w:cs="Times New Roman" w:hint="eastAsia"/>
          <w:szCs w:val="21"/>
        </w:rPr>
        <w:t>20</w:t>
      </w:r>
      <w:r w:rsidR="003C60B3">
        <w:rPr>
          <w:rFonts w:cs="Times New Roman" w:hint="eastAsia"/>
          <w:szCs w:val="21"/>
        </w:rPr>
        <w:t>秒延迟，与甲烷</w:t>
      </w:r>
      <w:r w:rsidR="00BC7254">
        <w:rPr>
          <w:rFonts w:cs="Times New Roman" w:hint="eastAsia"/>
          <w:szCs w:val="21"/>
        </w:rPr>
        <w:t>响应</w:t>
      </w:r>
      <w:r w:rsidR="003C60B3">
        <w:rPr>
          <w:rFonts w:cs="Times New Roman" w:hint="eastAsia"/>
          <w:szCs w:val="21"/>
        </w:rPr>
        <w:t>结果一致；</w:t>
      </w:r>
      <w:r>
        <w:rPr>
          <w:rFonts w:cs="Times New Roman" w:hint="eastAsia"/>
          <w:szCs w:val="21"/>
        </w:rPr>
        <w:t>烟雾</w:t>
      </w:r>
      <w:r w:rsidR="00381A43" w:rsidRPr="00381A43">
        <w:rPr>
          <w:rFonts w:cs="Times New Roman" w:hint="eastAsia"/>
          <w:szCs w:val="21"/>
        </w:rPr>
        <w:t>体积分数</w:t>
      </w:r>
      <w:r>
        <w:rPr>
          <w:rFonts w:cs="Times New Roman" w:hint="eastAsia"/>
          <w:szCs w:val="21"/>
        </w:rPr>
        <w:t>对甲烷探测结</w:t>
      </w:r>
      <w:r>
        <w:rPr>
          <w:rFonts w:cs="Times New Roman" w:hint="eastAsia"/>
          <w:szCs w:val="21"/>
        </w:rPr>
        <w:lastRenderedPageBreak/>
        <w:t>果没有明显影响，</w:t>
      </w:r>
      <w:r w:rsidR="00BC7254">
        <w:rPr>
          <w:rFonts w:cs="Times New Roman" w:hint="eastAsia"/>
          <w:szCs w:val="21"/>
        </w:rPr>
        <w:t>因为在甲烷信号处理过程中有归一化的步骤（</w:t>
      </w:r>
      <m:oMath>
        <m:sSub>
          <m:sSubPr>
            <m:ctrlPr>
              <w:rPr>
                <w:rFonts w:ascii="Cambria Math" w:eastAsia="仿宋" w:hAnsi="Cambria Math" w:cs="Times New Roman"/>
                <w:i/>
                <w:szCs w:val="21"/>
              </w:rPr>
            </m:ctrlPr>
          </m:sSubPr>
          <m:e>
            <m:r>
              <w:rPr>
                <w:rFonts w:ascii="Cambria Math" w:eastAsia="仿宋" w:hAnsi="Cambria Math" w:cs="Times New Roman"/>
                <w:szCs w:val="21"/>
              </w:rPr>
              <m:t>I</m:t>
            </m:r>
          </m:e>
          <m:sub>
            <m:r>
              <w:rPr>
                <w:rFonts w:ascii="Cambria Math" w:eastAsia="仿宋" w:hAnsi="Cambria Math" w:cs="Times New Roman"/>
                <w:szCs w:val="21"/>
              </w:rPr>
              <m:t>0</m:t>
            </m:r>
          </m:sub>
        </m:sSub>
        <m:r>
          <w:rPr>
            <w:rFonts w:ascii="Cambria Math" w:eastAsia="仿宋" w:hAnsi="Cambria Math" w:cs="Times New Roman"/>
            <w:szCs w:val="21"/>
          </w:rPr>
          <m:t>/</m:t>
        </m:r>
        <m:sSub>
          <m:sSubPr>
            <m:ctrlPr>
              <w:rPr>
                <w:rFonts w:ascii="Cambria Math" w:eastAsia="仿宋" w:hAnsi="Cambria Math" w:cs="Times New Roman"/>
                <w:i/>
                <w:szCs w:val="21"/>
              </w:rPr>
            </m:ctrlPr>
          </m:sSubPr>
          <m:e>
            <m:r>
              <w:rPr>
                <w:rFonts w:ascii="Cambria Math" w:eastAsia="仿宋" w:hAnsi="Cambria Math" w:cs="Times New Roman"/>
                <w:szCs w:val="21"/>
              </w:rPr>
              <m:t>I</m:t>
            </m:r>
          </m:e>
          <m:sub>
            <m:r>
              <w:rPr>
                <w:rFonts w:ascii="Cambria Math" w:eastAsia="仿宋" w:hAnsi="Cambria Math" w:cs="Times New Roman" w:hint="eastAsia"/>
                <w:szCs w:val="21"/>
              </w:rPr>
              <m:t>abs</m:t>
            </m:r>
          </m:sub>
        </m:sSub>
      </m:oMath>
      <w:r w:rsidR="00BC7254">
        <w:rPr>
          <w:rFonts w:cs="Times New Roman" w:hint="eastAsia"/>
          <w:szCs w:val="21"/>
        </w:rPr>
        <w:t>），烟雾消光作用对信号整体强度的衰减不会在归一化后的结果中体现，对甲烷</w:t>
      </w:r>
      <w:r w:rsidR="00381A43" w:rsidRPr="00381A43">
        <w:rPr>
          <w:rFonts w:cs="Times New Roman" w:hint="eastAsia"/>
          <w:szCs w:val="21"/>
        </w:rPr>
        <w:t>体积分数</w:t>
      </w:r>
      <w:r w:rsidR="00BC7254">
        <w:rPr>
          <w:rFonts w:cs="Times New Roman" w:hint="eastAsia"/>
          <w:szCs w:val="21"/>
        </w:rPr>
        <w:t>结果的影响不明显。</w:t>
      </w:r>
    </w:p>
    <w:p w14:paraId="772FFF54" w14:textId="66B8CBF7" w:rsidR="00F1691B" w:rsidRDefault="00BC7254">
      <w:pPr>
        <w:ind w:firstLine="420"/>
      </w:pPr>
      <w:r>
        <w:rPr>
          <w:rFonts w:cs="Times New Roman" w:hint="eastAsia"/>
          <w:szCs w:val="21"/>
        </w:rPr>
        <w:t>在烟雾</w:t>
      </w:r>
      <w:r w:rsidR="00381A43" w:rsidRPr="00381A43">
        <w:rPr>
          <w:rFonts w:cs="Times New Roman" w:hint="eastAsia"/>
          <w:szCs w:val="21"/>
        </w:rPr>
        <w:t>体积分数</w:t>
      </w:r>
      <w:r>
        <w:rPr>
          <w:rFonts w:cs="Times New Roman" w:hint="eastAsia"/>
          <w:szCs w:val="21"/>
        </w:rPr>
        <w:t>为</w:t>
      </w:r>
      <w:r>
        <w:rPr>
          <w:rFonts w:cs="Times New Roman" w:hint="eastAsia"/>
          <w:szCs w:val="21"/>
        </w:rPr>
        <w:t>0.5dB/m</w:t>
      </w:r>
      <w:r>
        <w:rPr>
          <w:rFonts w:cs="Times New Roman" w:hint="eastAsia"/>
          <w:szCs w:val="21"/>
        </w:rPr>
        <w:t>和</w:t>
      </w:r>
      <w:r>
        <w:rPr>
          <w:rFonts w:cs="Times New Roman" w:hint="eastAsia"/>
          <w:szCs w:val="21"/>
        </w:rPr>
        <w:t>1dB/m</w:t>
      </w:r>
      <w:r>
        <w:rPr>
          <w:rFonts w:cs="Times New Roman" w:hint="eastAsia"/>
          <w:szCs w:val="21"/>
        </w:rPr>
        <w:t>时，</w:t>
      </w:r>
      <w:r>
        <w:rPr>
          <w:rFonts w:cs="Times New Roman" w:hint="eastAsia"/>
          <w:szCs w:val="21"/>
        </w:rPr>
        <w:t>WMS</w:t>
      </w:r>
      <w:r>
        <w:rPr>
          <w:rFonts w:cs="Times New Roman" w:hint="eastAsia"/>
          <w:szCs w:val="21"/>
        </w:rPr>
        <w:t>结果波动变大，</w:t>
      </w:r>
      <w:r>
        <w:rPr>
          <w:rFonts w:cs="Times New Roman" w:hint="eastAsia"/>
          <w:szCs w:val="21"/>
        </w:rPr>
        <w:t>DAS</w:t>
      </w:r>
      <w:r>
        <w:rPr>
          <w:rFonts w:cs="Times New Roman" w:hint="eastAsia"/>
          <w:szCs w:val="21"/>
        </w:rPr>
        <w:t>结果与参考的气体分析</w:t>
      </w:r>
      <w:proofErr w:type="gramStart"/>
      <w:r>
        <w:rPr>
          <w:rFonts w:cs="Times New Roman" w:hint="eastAsia"/>
          <w:szCs w:val="21"/>
        </w:rPr>
        <w:t>仪结果</w:t>
      </w:r>
      <w:proofErr w:type="gramEnd"/>
      <w:r>
        <w:rPr>
          <w:rFonts w:cs="Times New Roman" w:hint="eastAsia"/>
          <w:szCs w:val="21"/>
        </w:rPr>
        <w:t>没有明显变化。</w:t>
      </w:r>
      <w:r w:rsidR="003B15D3">
        <w:rPr>
          <w:rFonts w:cs="Times New Roman" w:hint="eastAsia"/>
          <w:szCs w:val="21"/>
        </w:rPr>
        <w:t>但</w:t>
      </w:r>
      <w:r w:rsidR="00E776F4">
        <w:rPr>
          <w:rFonts w:cs="Times New Roman" w:hint="eastAsia"/>
          <w:szCs w:val="21"/>
        </w:rPr>
        <w:t>单个消光波形强度</w:t>
      </w:r>
      <w:r w:rsidR="003B15D3">
        <w:rPr>
          <w:rFonts w:cs="Times New Roman" w:hint="eastAsia"/>
          <w:szCs w:val="21"/>
        </w:rPr>
        <w:t>受到烟雾消光影响会出现</w:t>
      </w:r>
      <w:r w:rsidR="00E776F4">
        <w:rPr>
          <w:rFonts w:cs="Times New Roman" w:hint="eastAsia"/>
          <w:szCs w:val="21"/>
        </w:rPr>
        <w:t>明显降低</w:t>
      </w:r>
      <w:r>
        <w:rPr>
          <w:rFonts w:cs="Times New Roman" w:hint="eastAsia"/>
          <w:szCs w:val="21"/>
        </w:rPr>
        <w:t>，若烟雾</w:t>
      </w:r>
      <w:r w:rsidR="00381A43" w:rsidRPr="00381A43">
        <w:rPr>
          <w:rFonts w:cs="Times New Roman" w:hint="eastAsia"/>
          <w:szCs w:val="21"/>
        </w:rPr>
        <w:t>体积分数</w:t>
      </w:r>
      <w:r>
        <w:rPr>
          <w:rFonts w:cs="Times New Roman" w:hint="eastAsia"/>
          <w:szCs w:val="21"/>
        </w:rPr>
        <w:t>进一步升高，会对用于计算甲烷</w:t>
      </w:r>
      <w:r w:rsidR="00381A43" w:rsidRPr="00381A43">
        <w:rPr>
          <w:rFonts w:cs="Times New Roman" w:hint="eastAsia"/>
          <w:szCs w:val="21"/>
        </w:rPr>
        <w:t>体积分数</w:t>
      </w:r>
      <w:r>
        <w:rPr>
          <w:rFonts w:cs="Times New Roman" w:hint="eastAsia"/>
          <w:szCs w:val="21"/>
        </w:rPr>
        <w:t>的消光信号的信噪比产生影响。</w:t>
      </w:r>
      <w:r w:rsidDel="00BC7254">
        <w:rPr>
          <w:rFonts w:cs="Times New Roman" w:hint="eastAsia"/>
          <w:szCs w:val="21"/>
        </w:rPr>
        <w:t xml:space="preserve"> </w:t>
      </w:r>
    </w:p>
    <w:p w14:paraId="78F785E5" w14:textId="4D4FB684" w:rsidR="00F1691B" w:rsidRDefault="00000000">
      <w:pPr>
        <w:widowControl/>
        <w:tabs>
          <w:tab w:val="left" w:pos="420"/>
        </w:tabs>
        <w:spacing w:line="240" w:lineRule="atLeast"/>
        <w:ind w:left="482" w:hangingChars="200" w:hanging="482"/>
        <w:outlineLvl w:val="0"/>
        <w:rPr>
          <w:rFonts w:cs="Times New Roman"/>
          <w:b/>
          <w:bCs/>
          <w:kern w:val="0"/>
          <w:sz w:val="24"/>
          <w:szCs w:val="24"/>
        </w:rPr>
      </w:pPr>
      <w:r>
        <w:rPr>
          <w:rFonts w:cs="Times New Roman" w:hint="eastAsia"/>
          <w:b/>
          <w:bCs/>
          <w:kern w:val="0"/>
          <w:sz w:val="24"/>
          <w:szCs w:val="24"/>
        </w:rPr>
        <w:t>4</w:t>
      </w:r>
      <w:r>
        <w:rPr>
          <w:rFonts w:cs="Times New Roman"/>
          <w:b/>
          <w:bCs/>
          <w:kern w:val="0"/>
          <w:sz w:val="24"/>
          <w:szCs w:val="24"/>
        </w:rPr>
        <w:t xml:space="preserve"> </w:t>
      </w:r>
      <w:r>
        <w:rPr>
          <w:rFonts w:cs="Times New Roman"/>
          <w:b/>
          <w:bCs/>
          <w:kern w:val="0"/>
          <w:sz w:val="24"/>
          <w:szCs w:val="24"/>
        </w:rPr>
        <w:t>结论</w:t>
      </w:r>
    </w:p>
    <w:p w14:paraId="00E88B02" w14:textId="2FF26E11" w:rsidR="00F1691B" w:rsidRDefault="00000000">
      <w:pPr>
        <w:spacing w:line="240" w:lineRule="atLeast"/>
        <w:ind w:firstLineChars="200" w:firstLine="420"/>
        <w:rPr>
          <w:rFonts w:cs="Times New Roman"/>
          <w:szCs w:val="21"/>
        </w:rPr>
      </w:pPr>
      <w:r>
        <w:rPr>
          <w:rFonts w:cs="Times New Roman" w:hint="eastAsia"/>
          <w:szCs w:val="21"/>
        </w:rPr>
        <w:t>本文针对居民厨房、餐饮场所及化工厂车间等典型复杂场景中火灾烟雾与可燃气体泄漏并存、现有探测器难以兼顾的问题，提出了一种基于</w:t>
      </w:r>
      <w:r>
        <w:rPr>
          <w:rFonts w:cs="Times New Roman" w:hint="eastAsia"/>
          <w:szCs w:val="21"/>
        </w:rPr>
        <w:t>1</w:t>
      </w:r>
      <w:r w:rsidR="00381A43">
        <w:rPr>
          <w:rFonts w:cs="Times New Roman" w:hint="eastAsia"/>
          <w:szCs w:val="21"/>
        </w:rPr>
        <w:t xml:space="preserve"> </w:t>
      </w:r>
      <w:r>
        <w:rPr>
          <w:rFonts w:cs="Times New Roman" w:hint="eastAsia"/>
          <w:szCs w:val="21"/>
        </w:rPr>
        <w:t>653 nm</w:t>
      </w:r>
      <w:r>
        <w:rPr>
          <w:rFonts w:cs="Times New Roman" w:hint="eastAsia"/>
          <w:szCs w:val="21"/>
        </w:rPr>
        <w:t>散射消光复合信号的同步探测方法，并研制了单光源烟雾甲烷复合探测器。研究建立了气体吸收与烟雾散射的复合探测模型，通过对散射与消光信号</w:t>
      </w:r>
      <w:r w:rsidR="003C60B3">
        <w:rPr>
          <w:rFonts w:cs="Times New Roman" w:hint="eastAsia"/>
          <w:szCs w:val="21"/>
        </w:rPr>
        <w:t>中烟雾与</w:t>
      </w:r>
      <w:r w:rsidR="003C60B3">
        <w:rPr>
          <w:rFonts w:cs="Times New Roman" w:hint="eastAsia"/>
          <w:szCs w:val="21"/>
        </w:rPr>
        <w:t xml:space="preserve"> </w:t>
      </w:r>
      <w:r w:rsidR="003C60B3">
        <w:rPr>
          <w:rFonts w:cs="Times New Roman" w:hint="eastAsia"/>
          <w:szCs w:val="21"/>
        </w:rPr>
        <w:t>甲烷特征</w:t>
      </w:r>
      <w:r>
        <w:rPr>
          <w:rFonts w:cs="Times New Roman" w:hint="eastAsia"/>
          <w:szCs w:val="21"/>
        </w:rPr>
        <w:t>的</w:t>
      </w:r>
      <w:r w:rsidR="003C60B3">
        <w:rPr>
          <w:rFonts w:cs="Times New Roman" w:hint="eastAsia"/>
          <w:szCs w:val="21"/>
        </w:rPr>
        <w:t>提取</w:t>
      </w:r>
      <w:r>
        <w:rPr>
          <w:rFonts w:cs="Times New Roman" w:hint="eastAsia"/>
          <w:szCs w:val="21"/>
        </w:rPr>
        <w:t>与解算，实现了烟雾和甲烷</w:t>
      </w:r>
      <w:r w:rsidR="00381A43" w:rsidRPr="00381A43">
        <w:rPr>
          <w:rFonts w:cs="Times New Roman" w:hint="eastAsia"/>
          <w:szCs w:val="21"/>
        </w:rPr>
        <w:t>体积分数</w:t>
      </w:r>
      <w:r>
        <w:rPr>
          <w:rFonts w:cs="Times New Roman" w:hint="eastAsia"/>
          <w:szCs w:val="21"/>
        </w:rPr>
        <w:t>的同步反演；在器件设计方面，引入多反射镜并构建十字交叉光路，使甲烷吸收光程延长</w:t>
      </w:r>
      <w:r w:rsidR="003C60B3">
        <w:rPr>
          <w:rFonts w:cs="Times New Roman" w:hint="eastAsia"/>
          <w:szCs w:val="21"/>
        </w:rPr>
        <w:t>至原设计</w:t>
      </w:r>
      <w:r>
        <w:rPr>
          <w:rFonts w:cs="Times New Roman" w:hint="eastAsia"/>
          <w:szCs w:val="21"/>
        </w:rPr>
        <w:t>6</w:t>
      </w:r>
      <w:r>
        <w:rPr>
          <w:rFonts w:cs="Times New Roman" w:hint="eastAsia"/>
          <w:szCs w:val="21"/>
        </w:rPr>
        <w:t>倍、烟雾散射信号增强</w:t>
      </w:r>
      <w:r w:rsidR="003C60B3">
        <w:rPr>
          <w:rFonts w:cs="Times New Roman" w:hint="eastAsia"/>
          <w:szCs w:val="21"/>
        </w:rPr>
        <w:t>至原来的</w:t>
      </w:r>
      <w:r>
        <w:rPr>
          <w:rFonts w:cs="Times New Roman" w:hint="eastAsia"/>
          <w:szCs w:val="21"/>
        </w:rPr>
        <w:t>4</w:t>
      </w:r>
      <w:r>
        <w:rPr>
          <w:rFonts w:cs="Times New Roman" w:hint="eastAsia"/>
          <w:szCs w:val="21"/>
        </w:rPr>
        <w:t>倍，显著提升了信号质量；同时通过光学迷宫与消光处理有效降低了外界</w:t>
      </w:r>
      <w:r w:rsidR="003C60B3">
        <w:rPr>
          <w:rFonts w:cs="Times New Roman" w:hint="eastAsia"/>
          <w:szCs w:val="21"/>
        </w:rPr>
        <w:t>环境光</w:t>
      </w:r>
      <w:r>
        <w:rPr>
          <w:rFonts w:cs="Times New Roman" w:hint="eastAsia"/>
          <w:szCs w:val="21"/>
        </w:rPr>
        <w:t>干扰。实验结果表明，复合探测器在单一物质工况下的甲烷</w:t>
      </w:r>
      <w:r w:rsidR="00452DB9">
        <w:rPr>
          <w:rFonts w:cs="Times New Roman" w:hint="eastAsia"/>
          <w:szCs w:val="21"/>
        </w:rPr>
        <w:t>体积分数</w:t>
      </w:r>
      <w:r>
        <w:rPr>
          <w:rFonts w:cs="Times New Roman" w:hint="eastAsia"/>
          <w:szCs w:val="21"/>
        </w:rPr>
        <w:t>探测下限</w:t>
      </w:r>
      <w:r w:rsidR="00452DB9">
        <w:rPr>
          <w:rFonts w:cs="Times New Roman" w:hint="eastAsia"/>
          <w:szCs w:val="21"/>
        </w:rPr>
        <w:t>0.008 %</w:t>
      </w:r>
      <w:r>
        <w:rPr>
          <w:rFonts w:cs="Times New Roman" w:hint="eastAsia"/>
          <w:szCs w:val="21"/>
        </w:rPr>
        <w:t>，烟雾探测下限为</w:t>
      </w:r>
      <w:r>
        <w:rPr>
          <w:rFonts w:cs="Times New Roman" w:hint="eastAsia"/>
          <w:szCs w:val="21"/>
        </w:rPr>
        <w:t>0.05 dB/m</w:t>
      </w:r>
      <w:r>
        <w:rPr>
          <w:rFonts w:cs="Times New Roman" w:hint="eastAsia"/>
          <w:szCs w:val="21"/>
        </w:rPr>
        <w:t>，在复合工况下的探测结果与参考仪器保持良好一致，验证了该方法的可行性与探测器的有效性。</w:t>
      </w:r>
    </w:p>
    <w:p w14:paraId="6D483C04" w14:textId="1ADB406A" w:rsidR="00F1691B" w:rsidRDefault="00000000">
      <w:pPr>
        <w:spacing w:line="240" w:lineRule="atLeast"/>
        <w:ind w:firstLineChars="200" w:firstLine="420"/>
        <w:rPr>
          <w:rFonts w:cs="Times New Roman"/>
          <w:szCs w:val="21"/>
        </w:rPr>
      </w:pPr>
      <w:r>
        <w:rPr>
          <w:rFonts w:cs="Times New Roman" w:hint="eastAsia"/>
          <w:szCs w:val="21"/>
        </w:rPr>
        <w:t>总体来看，本研究提出的单光源复合探测方法突破了传统单一风险预警或多传感器拼接的局限，实现了在复杂场景下对火灾烟雾与甲烷的同步高精度探测，具备成本低</w:t>
      </w:r>
      <w:r w:rsidR="003C60B3">
        <w:rPr>
          <w:rFonts w:cs="Times New Roman" w:hint="eastAsia"/>
          <w:szCs w:val="21"/>
        </w:rPr>
        <w:t>、</w:t>
      </w:r>
      <w:r>
        <w:rPr>
          <w:rFonts w:cs="Times New Roman" w:hint="eastAsia"/>
          <w:szCs w:val="21"/>
        </w:rPr>
        <w:t>集成度高的优势，为多风险复合环境的监测与预警提供了新的技术路径。</w:t>
      </w:r>
    </w:p>
    <w:p w14:paraId="5C90FDAA" w14:textId="02755BCB" w:rsidR="00F1691B" w:rsidRDefault="00000000">
      <w:pPr>
        <w:spacing w:line="240" w:lineRule="atLeast"/>
        <w:ind w:firstLineChars="200" w:firstLine="420"/>
        <w:rPr>
          <w:rFonts w:cs="Times New Roman"/>
          <w:szCs w:val="21"/>
        </w:rPr>
      </w:pPr>
      <w:r>
        <w:rPr>
          <w:rFonts w:cs="Times New Roman" w:hint="eastAsia"/>
          <w:szCs w:val="21"/>
        </w:rPr>
        <w:t>尽管本文提出的单光源散射消光复合探测方法和研制的复合探测器在实验中表现出较高精度与良好一致性，但仍存在一些不足需要进一步研究。首先，</w:t>
      </w:r>
      <w:r>
        <w:rPr>
          <w:rFonts w:cs="Times New Roman" w:hint="eastAsia"/>
          <w:szCs w:val="21"/>
        </w:rPr>
        <w:t>1</w:t>
      </w:r>
      <w:r w:rsidR="00381A43">
        <w:rPr>
          <w:rFonts w:cs="Times New Roman" w:hint="eastAsia"/>
          <w:szCs w:val="21"/>
        </w:rPr>
        <w:t xml:space="preserve"> </w:t>
      </w:r>
      <w:r>
        <w:rPr>
          <w:rFonts w:cs="Times New Roman" w:hint="eastAsia"/>
          <w:szCs w:val="21"/>
        </w:rPr>
        <w:t>653 nm</w:t>
      </w:r>
      <w:r>
        <w:rPr>
          <w:rFonts w:cs="Times New Roman" w:hint="eastAsia"/>
          <w:szCs w:val="21"/>
        </w:rPr>
        <w:t>波长下火灾烟雾的散射信号较弱，对信号处理算法提出了更高要求，目前在</w:t>
      </w:r>
      <w:r w:rsidR="003C60B3">
        <w:rPr>
          <w:rFonts w:cs="Times New Roman" w:hint="eastAsia"/>
          <w:szCs w:val="21"/>
        </w:rPr>
        <w:t>极</w:t>
      </w:r>
      <w:r>
        <w:rPr>
          <w:rFonts w:cs="Times New Roman" w:hint="eastAsia"/>
          <w:szCs w:val="21"/>
        </w:rPr>
        <w:t>低</w:t>
      </w:r>
      <w:r w:rsidR="00381A43" w:rsidRPr="00381A43">
        <w:rPr>
          <w:rFonts w:cs="Times New Roman" w:hint="eastAsia"/>
          <w:szCs w:val="21"/>
        </w:rPr>
        <w:t>体积分数</w:t>
      </w:r>
      <w:r>
        <w:rPr>
          <w:rFonts w:cs="Times New Roman" w:hint="eastAsia"/>
          <w:szCs w:val="21"/>
        </w:rPr>
        <w:t>条件下的解算稳定性仍有提升空间</w:t>
      </w:r>
      <w:r w:rsidR="003C60B3">
        <w:rPr>
          <w:rFonts w:cs="Times New Roman" w:hint="eastAsia"/>
          <w:szCs w:val="21"/>
        </w:rPr>
        <w:t>；</w:t>
      </w:r>
      <w:r>
        <w:rPr>
          <w:rFonts w:cs="Times New Roman" w:hint="eastAsia"/>
          <w:szCs w:val="21"/>
        </w:rPr>
        <w:t>其次，环境温度和压力变化对光学参数和系统稳定性可能产生影响，目前尚未深入研究，需要在后续工作中进行系统量化评估</w:t>
      </w:r>
      <w:r w:rsidR="003C60B3">
        <w:rPr>
          <w:rFonts w:cs="Times New Roman" w:hint="eastAsia"/>
          <w:szCs w:val="21"/>
        </w:rPr>
        <w:t>；</w:t>
      </w:r>
      <w:r>
        <w:rPr>
          <w:rFonts w:cs="Times New Roman" w:hint="eastAsia"/>
          <w:szCs w:val="21"/>
        </w:rPr>
        <w:t>此外，实验所采用的烟雾类型相对单一，未覆盖厨房油烟、餐饮场所烟雾及实际火灾烟雾等更复杂场景，仍需在更广泛的条件下</w:t>
      </w:r>
      <w:r w:rsidR="000620EC">
        <w:rPr>
          <w:rFonts w:cs="Times New Roman" w:hint="eastAsia"/>
          <w:szCs w:val="21"/>
        </w:rPr>
        <w:t>对本探测方法</w:t>
      </w:r>
      <w:r>
        <w:rPr>
          <w:rFonts w:cs="Times New Roman" w:hint="eastAsia"/>
          <w:szCs w:val="21"/>
        </w:rPr>
        <w:t>验证。未来研究还可结合多</w:t>
      </w:r>
      <w:proofErr w:type="gramStart"/>
      <w:r>
        <w:rPr>
          <w:rFonts w:cs="Times New Roman" w:hint="eastAsia"/>
          <w:szCs w:val="21"/>
        </w:rPr>
        <w:t>源复杂</w:t>
      </w:r>
      <w:proofErr w:type="gramEnd"/>
      <w:r>
        <w:rPr>
          <w:rFonts w:cs="Times New Roman" w:hint="eastAsia"/>
          <w:szCs w:val="21"/>
        </w:rPr>
        <w:t>环境下的</w:t>
      </w:r>
      <w:r>
        <w:rPr>
          <w:rFonts w:cs="Times New Roman" w:hint="eastAsia"/>
          <w:szCs w:val="21"/>
        </w:rPr>
        <w:t>长期稳定性测试，并探索与智能算法融合，以进一步提高信号解算的</w:t>
      </w:r>
      <w:r w:rsidR="000620EC">
        <w:rPr>
          <w:rFonts w:cs="Times New Roman" w:hint="eastAsia"/>
          <w:szCs w:val="21"/>
        </w:rPr>
        <w:t>强健</w:t>
      </w:r>
      <w:r>
        <w:rPr>
          <w:rFonts w:cs="Times New Roman" w:hint="eastAsia"/>
          <w:szCs w:val="21"/>
        </w:rPr>
        <w:t>性与适应性。</w:t>
      </w:r>
    </w:p>
    <w:p w14:paraId="4C91F40A" w14:textId="77777777" w:rsidR="00F1691B" w:rsidRDefault="00000000">
      <w:pPr>
        <w:widowControl/>
        <w:tabs>
          <w:tab w:val="left" w:pos="420"/>
        </w:tabs>
        <w:spacing w:line="240" w:lineRule="atLeast"/>
        <w:ind w:left="422" w:hangingChars="200" w:hanging="422"/>
        <w:outlineLvl w:val="0"/>
        <w:rPr>
          <w:rFonts w:cs="Times New Roman"/>
          <w:b/>
          <w:bCs/>
          <w:kern w:val="0"/>
          <w:szCs w:val="21"/>
        </w:rPr>
      </w:pPr>
      <w:r>
        <w:rPr>
          <w:rFonts w:cs="Times New Roman"/>
          <w:b/>
          <w:bCs/>
          <w:kern w:val="0"/>
          <w:szCs w:val="21"/>
        </w:rPr>
        <w:t>参考文献（</w:t>
      </w:r>
      <w:r>
        <w:rPr>
          <w:rFonts w:cs="Times New Roman"/>
          <w:b/>
          <w:bCs/>
          <w:kern w:val="0"/>
          <w:szCs w:val="21"/>
        </w:rPr>
        <w:t>References</w:t>
      </w:r>
      <w:r>
        <w:rPr>
          <w:rFonts w:cs="Times New Roman"/>
          <w:b/>
          <w:bCs/>
          <w:kern w:val="0"/>
          <w:szCs w:val="21"/>
        </w:rPr>
        <w:t>）</w:t>
      </w:r>
    </w:p>
    <w:p w14:paraId="12F9C43A" w14:textId="126D9E1F" w:rsidR="00AD4607" w:rsidRPr="006C305A" w:rsidRDefault="003B15D3" w:rsidP="006C305A">
      <w:pPr>
        <w:pStyle w:val="aff1"/>
        <w:rPr>
          <w:sz w:val="18"/>
        </w:rPr>
      </w:pPr>
      <w:r w:rsidRPr="003B15D3">
        <w:rPr>
          <w:sz w:val="18"/>
        </w:rPr>
        <w:t>[1]</w:t>
      </w:r>
      <w:r w:rsidRPr="003B15D3">
        <w:rPr>
          <w:sz w:val="18"/>
        </w:rPr>
        <w:tab/>
      </w:r>
      <w:r w:rsidRPr="003B15D3">
        <w:rPr>
          <w:sz w:val="18"/>
        </w:rPr>
        <w:t>国家消防</w:t>
      </w:r>
      <w:proofErr w:type="gramStart"/>
      <w:r w:rsidRPr="003B15D3">
        <w:rPr>
          <w:sz w:val="18"/>
        </w:rPr>
        <w:t>救援局</w:t>
      </w:r>
      <w:proofErr w:type="gramEnd"/>
      <w:r w:rsidRPr="003B15D3">
        <w:rPr>
          <w:sz w:val="18"/>
        </w:rPr>
        <w:t xml:space="preserve">. </w:t>
      </w:r>
      <w:r w:rsidRPr="003B15D3">
        <w:rPr>
          <w:sz w:val="18"/>
        </w:rPr>
        <w:t>【央视新闻】全年接报</w:t>
      </w:r>
      <w:r w:rsidRPr="003B15D3">
        <w:rPr>
          <w:sz w:val="18"/>
        </w:rPr>
        <w:t>90.8</w:t>
      </w:r>
      <w:r w:rsidRPr="003B15D3">
        <w:rPr>
          <w:sz w:val="18"/>
        </w:rPr>
        <w:t>万起</w:t>
      </w:r>
      <w:r w:rsidRPr="003B15D3">
        <w:rPr>
          <w:sz w:val="18"/>
        </w:rPr>
        <w:t xml:space="preserve"> </w:t>
      </w:r>
      <w:r w:rsidRPr="003B15D3">
        <w:rPr>
          <w:sz w:val="18"/>
        </w:rPr>
        <w:t>消防部门盘点</w:t>
      </w:r>
      <w:r w:rsidRPr="003B15D3">
        <w:rPr>
          <w:sz w:val="18"/>
        </w:rPr>
        <w:t>2024</w:t>
      </w:r>
      <w:r w:rsidRPr="003B15D3">
        <w:rPr>
          <w:sz w:val="18"/>
        </w:rPr>
        <w:t>全国火灾五个特点</w:t>
      </w:r>
      <w:r w:rsidRPr="003B15D3">
        <w:rPr>
          <w:sz w:val="18"/>
        </w:rPr>
        <w:t>[EB/OL]. (2025-01-24)[2025-09-02]. https://www.119.gov.cn/qmxfxw/mtbd/wzbd/2025/48022.shtml.</w:t>
      </w:r>
      <w:r w:rsidR="00AD4607">
        <w:rPr>
          <w:sz w:val="18"/>
        </w:rPr>
        <w:br/>
      </w:r>
      <w:r w:rsidR="00AD4607" w:rsidRPr="006C305A">
        <w:rPr>
          <w:sz w:val="18"/>
        </w:rPr>
        <w:t>National Fire and Rescue Administration. CCTV News. “908,000 Fire Incidents Reported Nationwide: Fire Department Reviews Five Characteristics of Fires in China in 2024</w:t>
      </w:r>
      <w:proofErr w:type="gramStart"/>
      <w:r w:rsidR="00AD4607" w:rsidRPr="006C305A">
        <w:rPr>
          <w:sz w:val="18"/>
        </w:rPr>
        <w:t>.”[</w:t>
      </w:r>
      <w:proofErr w:type="gramEnd"/>
      <w:r w:rsidR="00AD4607" w:rsidRPr="006C305A">
        <w:rPr>
          <w:sz w:val="18"/>
        </w:rPr>
        <w:t>EB/OL]. (2025-01-</w:t>
      </w:r>
      <w:proofErr w:type="gramStart"/>
      <w:r w:rsidR="00AD4607" w:rsidRPr="006C305A">
        <w:rPr>
          <w:sz w:val="18"/>
        </w:rPr>
        <w:t>24)[</w:t>
      </w:r>
      <w:proofErr w:type="gramEnd"/>
      <w:r w:rsidR="00AD4607" w:rsidRPr="006C305A">
        <w:rPr>
          <w:sz w:val="18"/>
        </w:rPr>
        <w:t>2025-09-02]. https://www.119.gov.cn/qmxfxw/mtbd/wzbd/2025/48022.shtml.</w:t>
      </w:r>
    </w:p>
    <w:p w14:paraId="57B66205" w14:textId="68E1C78A" w:rsidR="00AD4607" w:rsidRPr="006C305A" w:rsidRDefault="00AD4607" w:rsidP="00AD4607">
      <w:pPr>
        <w:rPr>
          <w:sz w:val="18"/>
        </w:rPr>
      </w:pPr>
      <w:r w:rsidRPr="006C305A">
        <w:rPr>
          <w:sz w:val="18"/>
        </w:rPr>
        <w:t>[13]</w:t>
      </w:r>
      <w:r w:rsidRPr="006C305A">
        <w:rPr>
          <w:sz w:val="18"/>
        </w:rPr>
        <w:tab/>
        <w:t xml:space="preserve">Li S, Sun L. Measurement of methane gas with high absorbance based </w:t>
      </w:r>
      <w:proofErr w:type="gramStart"/>
      <w:r w:rsidRPr="006C305A">
        <w:rPr>
          <w:sz w:val="18"/>
        </w:rPr>
        <w:t>on  modified</w:t>
      </w:r>
      <w:proofErr w:type="gramEnd"/>
      <w:r w:rsidRPr="006C305A">
        <w:rPr>
          <w:sz w:val="18"/>
        </w:rPr>
        <w:t xml:space="preserve"> wavelength modulation spectroscopy[J]. Acta Physica Sinica, 2023, 72(1): 55-62.</w:t>
      </w:r>
      <w:r w:rsidRPr="00AD4607">
        <w:rPr>
          <w:sz w:val="18"/>
        </w:rPr>
        <w:t xml:space="preserve"> (in Chinese)</w:t>
      </w:r>
    </w:p>
    <w:p w14:paraId="3FC369B9" w14:textId="54C427A9" w:rsidR="00AD4607" w:rsidRPr="006C12C0" w:rsidRDefault="003B15D3" w:rsidP="006C305A">
      <w:pPr>
        <w:pStyle w:val="aff1"/>
        <w:rPr>
          <w:sz w:val="18"/>
        </w:rPr>
      </w:pPr>
      <w:r w:rsidRPr="003B15D3">
        <w:rPr>
          <w:sz w:val="18"/>
        </w:rPr>
        <w:t>[2]</w:t>
      </w:r>
      <w:r w:rsidRPr="003B15D3">
        <w:rPr>
          <w:sz w:val="18"/>
        </w:rPr>
        <w:tab/>
      </w:r>
      <w:r w:rsidRPr="003B15D3">
        <w:rPr>
          <w:sz w:val="18"/>
        </w:rPr>
        <w:t>中国城市燃气协会安全管理工作委员会</w:t>
      </w:r>
      <w:r w:rsidRPr="003B15D3">
        <w:rPr>
          <w:sz w:val="18"/>
        </w:rPr>
        <w:t xml:space="preserve">, </w:t>
      </w:r>
      <w:r w:rsidRPr="003B15D3">
        <w:rPr>
          <w:sz w:val="18"/>
        </w:rPr>
        <w:t>中国燃气安全杂志社</w:t>
      </w:r>
      <w:r w:rsidRPr="003B15D3">
        <w:rPr>
          <w:sz w:val="18"/>
        </w:rPr>
        <w:t xml:space="preserve">. </w:t>
      </w:r>
      <w:r w:rsidRPr="003B15D3">
        <w:rPr>
          <w:sz w:val="18"/>
        </w:rPr>
        <w:t>全国燃气事故分析报告（</w:t>
      </w:r>
      <w:r w:rsidRPr="003B15D3">
        <w:rPr>
          <w:sz w:val="18"/>
        </w:rPr>
        <w:t>2024</w:t>
      </w:r>
      <w:r w:rsidRPr="003B15D3">
        <w:rPr>
          <w:sz w:val="18"/>
        </w:rPr>
        <w:t>年</w:t>
      </w:r>
      <w:r w:rsidRPr="003B15D3">
        <w:rPr>
          <w:sz w:val="18"/>
        </w:rPr>
        <w:t>·</w:t>
      </w:r>
      <w:r w:rsidRPr="003B15D3">
        <w:rPr>
          <w:sz w:val="18"/>
        </w:rPr>
        <w:t>上半年报告）</w:t>
      </w:r>
      <w:r w:rsidRPr="003B15D3">
        <w:rPr>
          <w:sz w:val="18"/>
        </w:rPr>
        <w:t xml:space="preserve">[R]. </w:t>
      </w:r>
      <w:r w:rsidRPr="003B15D3">
        <w:rPr>
          <w:sz w:val="18"/>
        </w:rPr>
        <w:t>北京</w:t>
      </w:r>
      <w:r w:rsidRPr="003B15D3">
        <w:rPr>
          <w:sz w:val="18"/>
        </w:rPr>
        <w:t xml:space="preserve">: </w:t>
      </w:r>
      <w:r w:rsidRPr="003B15D3">
        <w:rPr>
          <w:sz w:val="18"/>
        </w:rPr>
        <w:t>中国城市燃气协会</w:t>
      </w:r>
      <w:r w:rsidRPr="003B15D3">
        <w:rPr>
          <w:sz w:val="18"/>
        </w:rPr>
        <w:t>, 2024.</w:t>
      </w:r>
      <w:r w:rsidR="00AD4607">
        <w:rPr>
          <w:sz w:val="18"/>
        </w:rPr>
        <w:br/>
      </w:r>
      <w:r w:rsidR="00AD4607" w:rsidRPr="006C12C0">
        <w:rPr>
          <w:sz w:val="18"/>
        </w:rPr>
        <w:t>Safety Management Working Committee, China City Gas Association, Editorial Office of China Gas Safety Journal. National Gas Accident Analysis Report: First Half of 2024[R]. Beijing, China: China City Gas Association, 2024.</w:t>
      </w:r>
      <w:r w:rsidR="00AD4607" w:rsidRPr="00AD4607">
        <w:rPr>
          <w:sz w:val="18"/>
        </w:rPr>
        <w:t xml:space="preserve"> (in Chinese)</w:t>
      </w:r>
    </w:p>
    <w:p w14:paraId="03CB2F5E" w14:textId="77777777" w:rsidR="00AD4607" w:rsidRPr="006C305A" w:rsidRDefault="00AD4607" w:rsidP="006C305A"/>
    <w:p w14:paraId="602094B0" w14:textId="49347C16" w:rsidR="00AD4607" w:rsidRPr="00AD4607" w:rsidRDefault="003B15D3" w:rsidP="00AD4607">
      <w:pPr>
        <w:pStyle w:val="aff1"/>
        <w:rPr>
          <w:sz w:val="18"/>
        </w:rPr>
      </w:pPr>
      <w:r w:rsidRPr="003B15D3">
        <w:rPr>
          <w:sz w:val="18"/>
        </w:rPr>
        <w:t>[3]</w:t>
      </w:r>
      <w:r w:rsidRPr="003B15D3">
        <w:rPr>
          <w:sz w:val="18"/>
        </w:rPr>
        <w:tab/>
      </w:r>
      <w:r w:rsidRPr="003B15D3">
        <w:rPr>
          <w:sz w:val="18"/>
        </w:rPr>
        <w:t>刘云龙</w:t>
      </w:r>
      <w:r w:rsidRPr="003B15D3">
        <w:rPr>
          <w:sz w:val="18"/>
        </w:rPr>
        <w:t xml:space="preserve">, </w:t>
      </w:r>
      <w:r w:rsidRPr="003B15D3">
        <w:rPr>
          <w:sz w:val="18"/>
        </w:rPr>
        <w:t>殷松峰</w:t>
      </w:r>
      <w:r w:rsidRPr="003B15D3">
        <w:rPr>
          <w:sz w:val="18"/>
        </w:rPr>
        <w:t xml:space="preserve">, </w:t>
      </w:r>
      <w:r w:rsidRPr="003B15D3">
        <w:rPr>
          <w:sz w:val="18"/>
        </w:rPr>
        <w:t>程跃</w:t>
      </w:r>
      <w:r w:rsidRPr="003B15D3">
        <w:rPr>
          <w:sz w:val="18"/>
        </w:rPr>
        <w:t xml:space="preserve">, </w:t>
      </w:r>
      <w:r w:rsidRPr="003B15D3">
        <w:rPr>
          <w:sz w:val="18"/>
        </w:rPr>
        <w:t>等</w:t>
      </w:r>
      <w:r w:rsidRPr="003B15D3">
        <w:rPr>
          <w:sz w:val="18"/>
        </w:rPr>
        <w:t xml:space="preserve">. </w:t>
      </w:r>
      <w:r w:rsidRPr="003B15D3">
        <w:rPr>
          <w:sz w:val="18"/>
        </w:rPr>
        <w:t>基于算法融合的全量程高精度激光甲烷传感器</w:t>
      </w:r>
      <w:r w:rsidRPr="003B15D3">
        <w:rPr>
          <w:sz w:val="18"/>
        </w:rPr>
        <w:t xml:space="preserve">[J]. </w:t>
      </w:r>
      <w:r w:rsidRPr="003B15D3">
        <w:rPr>
          <w:sz w:val="18"/>
        </w:rPr>
        <w:t>激光与光电子学进展</w:t>
      </w:r>
      <w:r w:rsidRPr="003B15D3">
        <w:rPr>
          <w:sz w:val="18"/>
        </w:rPr>
        <w:t>, 2024.</w:t>
      </w:r>
      <w:r w:rsidR="00AD4607">
        <w:rPr>
          <w:sz w:val="18"/>
        </w:rPr>
        <w:br/>
      </w:r>
      <w:r w:rsidR="00AD4607" w:rsidRPr="006C12C0">
        <w:rPr>
          <w:sz w:val="18"/>
        </w:rPr>
        <w:t>Liu Y, Yin S, Cheng Y, et al. Full Range and High Precision Laser Methane Sensor Based on Algorithm Fusion[J]. Laser &amp; Optoelectronics Progress, 2024.</w:t>
      </w:r>
      <w:r w:rsidR="00AD4607" w:rsidRPr="00AD4607">
        <w:rPr>
          <w:sz w:val="18"/>
        </w:rPr>
        <w:t xml:space="preserve"> (in Chinese)</w:t>
      </w:r>
    </w:p>
    <w:p w14:paraId="18A159D7" w14:textId="4D3ACEF2" w:rsidR="00AD4607" w:rsidRPr="006C12C0" w:rsidRDefault="003B15D3" w:rsidP="006C305A">
      <w:pPr>
        <w:pStyle w:val="aff1"/>
        <w:rPr>
          <w:sz w:val="18"/>
        </w:rPr>
      </w:pPr>
      <w:r w:rsidRPr="003B15D3">
        <w:rPr>
          <w:sz w:val="18"/>
        </w:rPr>
        <w:t>[4]</w:t>
      </w:r>
      <w:r w:rsidRPr="003B15D3">
        <w:rPr>
          <w:sz w:val="18"/>
        </w:rPr>
        <w:tab/>
      </w:r>
      <w:r w:rsidRPr="003B15D3">
        <w:rPr>
          <w:sz w:val="18"/>
        </w:rPr>
        <w:t>赵晓虎</w:t>
      </w:r>
      <w:r w:rsidRPr="003B15D3">
        <w:rPr>
          <w:sz w:val="18"/>
        </w:rPr>
        <w:t xml:space="preserve">, </w:t>
      </w:r>
      <w:proofErr w:type="gramStart"/>
      <w:r w:rsidRPr="003B15D3">
        <w:rPr>
          <w:sz w:val="18"/>
        </w:rPr>
        <w:t>孙鹏帅</w:t>
      </w:r>
      <w:proofErr w:type="gramEnd"/>
      <w:r w:rsidRPr="003B15D3">
        <w:rPr>
          <w:sz w:val="18"/>
        </w:rPr>
        <w:t xml:space="preserve">, </w:t>
      </w:r>
      <w:r w:rsidRPr="003B15D3">
        <w:rPr>
          <w:sz w:val="18"/>
        </w:rPr>
        <w:t>张志荣</w:t>
      </w:r>
      <w:r w:rsidRPr="003B15D3">
        <w:rPr>
          <w:sz w:val="18"/>
        </w:rPr>
        <w:t xml:space="preserve">, </w:t>
      </w:r>
      <w:r w:rsidRPr="003B15D3">
        <w:rPr>
          <w:sz w:val="18"/>
        </w:rPr>
        <w:t>等</w:t>
      </w:r>
      <w:r w:rsidRPr="003B15D3">
        <w:rPr>
          <w:sz w:val="18"/>
        </w:rPr>
        <w:t xml:space="preserve">. </w:t>
      </w:r>
      <w:r w:rsidRPr="003B15D3">
        <w:rPr>
          <w:sz w:val="18"/>
        </w:rPr>
        <w:t>基于跨波长调制和直接吸收光谱的宽量程多气体检测方法</w:t>
      </w:r>
      <w:r w:rsidRPr="003B15D3">
        <w:rPr>
          <w:sz w:val="18"/>
        </w:rPr>
        <w:t xml:space="preserve">[J]. </w:t>
      </w:r>
      <w:r w:rsidRPr="003B15D3">
        <w:rPr>
          <w:sz w:val="18"/>
        </w:rPr>
        <w:t>红外与激光工程</w:t>
      </w:r>
      <w:r w:rsidRPr="003B15D3">
        <w:rPr>
          <w:sz w:val="18"/>
        </w:rPr>
        <w:t>, 2023, 52(1): 20220284.</w:t>
      </w:r>
      <w:r w:rsidR="00AD4607">
        <w:rPr>
          <w:sz w:val="18"/>
        </w:rPr>
        <w:br/>
      </w:r>
      <w:r w:rsidR="00AD4607" w:rsidRPr="006C12C0">
        <w:rPr>
          <w:sz w:val="18"/>
        </w:rPr>
        <w:t>Zhao X, Sun P, Zhang Z, et al. Wide-range multi-gas detection method based on wavelength modulation spectroscopy and direct absorption spectroscopy[J]. Infrared and Laser Engineering, 2023, 52(1): 20220284.</w:t>
      </w:r>
      <w:r w:rsidR="00AD4607" w:rsidRPr="00AD4607">
        <w:rPr>
          <w:sz w:val="18"/>
        </w:rPr>
        <w:t xml:space="preserve"> (in Chinese)</w:t>
      </w:r>
    </w:p>
    <w:p w14:paraId="26391B24" w14:textId="77777777" w:rsidR="003B15D3" w:rsidRPr="003B15D3" w:rsidRDefault="003B15D3" w:rsidP="003B15D3">
      <w:pPr>
        <w:pStyle w:val="aff1"/>
        <w:rPr>
          <w:sz w:val="18"/>
        </w:rPr>
      </w:pPr>
      <w:r w:rsidRPr="003B15D3">
        <w:rPr>
          <w:sz w:val="18"/>
        </w:rPr>
        <w:t>[5]</w:t>
      </w:r>
      <w:r w:rsidRPr="003B15D3">
        <w:rPr>
          <w:sz w:val="18"/>
        </w:rPr>
        <w:tab/>
        <w:t>Chaudhry T, Moinuddin K. Method of identifying burning material from its smoke using attenuation of light[J]. Fire Safety Journal, 2017, 93: 84-97.</w:t>
      </w:r>
    </w:p>
    <w:p w14:paraId="77D2F81C" w14:textId="77777777" w:rsidR="003B15D3" w:rsidRPr="003B15D3" w:rsidRDefault="003B15D3" w:rsidP="003B15D3">
      <w:pPr>
        <w:pStyle w:val="aff1"/>
        <w:rPr>
          <w:sz w:val="18"/>
        </w:rPr>
      </w:pPr>
      <w:r w:rsidRPr="003B15D3">
        <w:rPr>
          <w:sz w:val="18"/>
        </w:rPr>
        <w:t>[6]</w:t>
      </w:r>
      <w:r w:rsidRPr="003B15D3">
        <w:rPr>
          <w:sz w:val="18"/>
        </w:rPr>
        <w:tab/>
        <w:t>Li K, Liu G, Yuan H, et al. Dual-wavelength smoke detector measuring both light scattering and extinction to reduce false alarms[J]. Fire, 2023, 6(4): 140.</w:t>
      </w:r>
    </w:p>
    <w:p w14:paraId="738547AD" w14:textId="77777777" w:rsidR="003B15D3" w:rsidRPr="003B15D3" w:rsidRDefault="003B15D3" w:rsidP="003B15D3">
      <w:pPr>
        <w:pStyle w:val="aff1"/>
        <w:rPr>
          <w:sz w:val="18"/>
        </w:rPr>
      </w:pPr>
      <w:r w:rsidRPr="003B15D3">
        <w:rPr>
          <w:sz w:val="18"/>
        </w:rPr>
        <w:t>[7]</w:t>
      </w:r>
      <w:r w:rsidRPr="003B15D3">
        <w:rPr>
          <w:sz w:val="18"/>
        </w:rPr>
        <w:tab/>
        <w:t xml:space="preserve">Xiao X, Wang S, Zhu M, et al. Three-wavelength optical sensor for measuring distributed mass concentrations of aerosols </w:t>
      </w:r>
      <w:r w:rsidRPr="003B15D3">
        <w:rPr>
          <w:sz w:val="18"/>
        </w:rPr>
        <w:lastRenderedPageBreak/>
        <w:t>from stationary sources[J]. Optics Express, 2021, 29(5): 6407.</w:t>
      </w:r>
    </w:p>
    <w:p w14:paraId="5B1B9B47" w14:textId="77777777" w:rsidR="003B15D3" w:rsidRPr="003B15D3" w:rsidRDefault="003B15D3" w:rsidP="003B15D3">
      <w:pPr>
        <w:pStyle w:val="aff1"/>
        <w:rPr>
          <w:sz w:val="18"/>
        </w:rPr>
      </w:pPr>
      <w:r w:rsidRPr="003B15D3">
        <w:rPr>
          <w:sz w:val="18"/>
        </w:rPr>
        <w:t>[8]</w:t>
      </w:r>
      <w:r w:rsidRPr="003B15D3">
        <w:rPr>
          <w:sz w:val="18"/>
        </w:rPr>
        <w:tab/>
        <w:t>Xiao X, Zhu M, Wang Q, et al. A three-wavelength optical sensor for measuring the multi-particle-size channel mass concentration of thermal power plant emissions[J]. Sensors, 2024, 24(5): 1424.</w:t>
      </w:r>
    </w:p>
    <w:p w14:paraId="4D20CE21" w14:textId="77777777" w:rsidR="003B15D3" w:rsidRPr="003B15D3" w:rsidRDefault="003B15D3" w:rsidP="003B15D3">
      <w:pPr>
        <w:pStyle w:val="aff1"/>
        <w:rPr>
          <w:sz w:val="18"/>
        </w:rPr>
      </w:pPr>
      <w:r w:rsidRPr="003B15D3">
        <w:rPr>
          <w:sz w:val="18"/>
        </w:rPr>
        <w:t>[9]</w:t>
      </w:r>
      <w:r w:rsidRPr="003B15D3">
        <w:rPr>
          <w:sz w:val="18"/>
        </w:rPr>
        <w:tab/>
        <w:t>Yu D, Song F, Zheng C, et al. Simultaneous CH4/CO measurement at atmospheric pressure using a single 2.3 μm laser and a dual-gas cross-interference cancellation algorithm[J]. IEEE Transactions on Instrumentation and Measurement, 2022, 71: 1-9.</w:t>
      </w:r>
    </w:p>
    <w:p w14:paraId="3DCEE0E1" w14:textId="672E6BE9" w:rsidR="00AD4607" w:rsidRPr="00AD4607" w:rsidRDefault="003B15D3" w:rsidP="00AD4607">
      <w:pPr>
        <w:pStyle w:val="aff1"/>
        <w:rPr>
          <w:sz w:val="18"/>
        </w:rPr>
      </w:pPr>
      <w:r w:rsidRPr="003B15D3">
        <w:rPr>
          <w:sz w:val="18"/>
        </w:rPr>
        <w:t>[10]</w:t>
      </w:r>
      <w:r w:rsidRPr="003B15D3">
        <w:rPr>
          <w:sz w:val="18"/>
        </w:rPr>
        <w:tab/>
      </w:r>
      <w:r w:rsidRPr="003B15D3">
        <w:rPr>
          <w:sz w:val="18"/>
        </w:rPr>
        <w:t>王殊</w:t>
      </w:r>
      <w:r w:rsidRPr="003B15D3">
        <w:rPr>
          <w:sz w:val="18"/>
        </w:rPr>
        <w:t>,</w:t>
      </w:r>
      <w:r w:rsidRPr="003B15D3">
        <w:rPr>
          <w:sz w:val="18"/>
        </w:rPr>
        <w:t>窦征</w:t>
      </w:r>
      <w:r w:rsidRPr="003B15D3">
        <w:rPr>
          <w:sz w:val="18"/>
        </w:rPr>
        <w:t xml:space="preserve">. </w:t>
      </w:r>
      <w:r w:rsidRPr="003B15D3">
        <w:rPr>
          <w:sz w:val="18"/>
        </w:rPr>
        <w:t>一氧化碳、光电感烟和感温三复合火灾探测器</w:t>
      </w:r>
      <w:r w:rsidRPr="003B15D3">
        <w:rPr>
          <w:sz w:val="18"/>
        </w:rPr>
        <w:t xml:space="preserve">[J]. </w:t>
      </w:r>
      <w:r w:rsidRPr="003B15D3">
        <w:rPr>
          <w:sz w:val="18"/>
        </w:rPr>
        <w:t>消防技术与产品信息</w:t>
      </w:r>
      <w:r w:rsidRPr="003B15D3">
        <w:rPr>
          <w:sz w:val="18"/>
        </w:rPr>
        <w:t>, 2000(7): 33-35.</w:t>
      </w:r>
      <w:r w:rsidR="00AD4607">
        <w:rPr>
          <w:sz w:val="18"/>
        </w:rPr>
        <w:br/>
      </w:r>
      <w:r w:rsidR="00AD4607" w:rsidRPr="006C12C0">
        <w:rPr>
          <w:sz w:val="18"/>
        </w:rPr>
        <w:t>Wang S, Dou Z. A Tri-Composite Fire Detector Incorporating Carbon Monoxide, Photoelectric Smoke, and Thermal Detection Technologies[J]. Fire Technique and Products Information, 2000(7): 33-35.</w:t>
      </w:r>
      <w:r w:rsidR="00AD4607" w:rsidRPr="00AD4607">
        <w:rPr>
          <w:sz w:val="18"/>
        </w:rPr>
        <w:t xml:space="preserve"> (in Chinese)</w:t>
      </w:r>
    </w:p>
    <w:p w14:paraId="100717E3" w14:textId="731B646D" w:rsidR="003B15D3" w:rsidRPr="003B15D3" w:rsidRDefault="003B15D3" w:rsidP="006C305A">
      <w:pPr>
        <w:rPr>
          <w:sz w:val="18"/>
        </w:rPr>
      </w:pPr>
      <w:r w:rsidRPr="003B15D3">
        <w:rPr>
          <w:sz w:val="18"/>
        </w:rPr>
        <w:t>[11]</w:t>
      </w:r>
      <w:r w:rsidRPr="003B15D3">
        <w:rPr>
          <w:sz w:val="18"/>
        </w:rPr>
        <w:tab/>
      </w:r>
      <w:r w:rsidRPr="003B15D3">
        <w:rPr>
          <w:sz w:val="18"/>
        </w:rPr>
        <w:t>樊荣</w:t>
      </w:r>
      <w:r w:rsidRPr="003B15D3">
        <w:rPr>
          <w:sz w:val="18"/>
        </w:rPr>
        <w:t xml:space="preserve">. </w:t>
      </w:r>
      <w:r w:rsidRPr="003B15D3">
        <w:rPr>
          <w:sz w:val="18"/>
        </w:rPr>
        <w:t>激光甲烷传感器相关理论及其检测方法研究</w:t>
      </w:r>
      <w:r w:rsidRPr="003B15D3">
        <w:rPr>
          <w:sz w:val="18"/>
        </w:rPr>
        <w:t xml:space="preserve">[M]. </w:t>
      </w:r>
      <w:r w:rsidRPr="003B15D3">
        <w:rPr>
          <w:sz w:val="18"/>
        </w:rPr>
        <w:t>西安电子科技大学出版社</w:t>
      </w:r>
      <w:r w:rsidRPr="003B15D3">
        <w:rPr>
          <w:sz w:val="18"/>
        </w:rPr>
        <w:t>, 2017.</w:t>
      </w:r>
      <w:r w:rsidR="00AD4607">
        <w:rPr>
          <w:sz w:val="18"/>
        </w:rPr>
        <w:br/>
      </w:r>
      <w:r w:rsidR="00AD4607" w:rsidRPr="006C12C0">
        <w:rPr>
          <w:sz w:val="18"/>
        </w:rPr>
        <w:t xml:space="preserve">Fan R. Research on the Theory and Detection Methods of Laser Methane Sensors[M]. </w:t>
      </w:r>
      <w:proofErr w:type="spellStart"/>
      <w:r w:rsidR="00AD4607" w:rsidRPr="006C12C0">
        <w:rPr>
          <w:sz w:val="18"/>
        </w:rPr>
        <w:t>Xidian</w:t>
      </w:r>
      <w:proofErr w:type="spellEnd"/>
      <w:r w:rsidR="00AD4607" w:rsidRPr="006C12C0">
        <w:rPr>
          <w:sz w:val="18"/>
        </w:rPr>
        <w:t xml:space="preserve"> University Press, 2017.</w:t>
      </w:r>
      <w:r w:rsidR="00AD4607" w:rsidRPr="00AD4607">
        <w:rPr>
          <w:sz w:val="18"/>
        </w:rPr>
        <w:t xml:space="preserve"> (in Chinese)</w:t>
      </w:r>
    </w:p>
    <w:p w14:paraId="7B2C0EE4" w14:textId="22D066E6" w:rsidR="003B15D3" w:rsidRPr="00AD4607" w:rsidRDefault="003B15D3" w:rsidP="006C305A">
      <w:pPr>
        <w:rPr>
          <w:sz w:val="18"/>
        </w:rPr>
      </w:pPr>
      <w:r w:rsidRPr="003B15D3">
        <w:rPr>
          <w:sz w:val="18"/>
        </w:rPr>
        <w:t>[12]</w:t>
      </w:r>
      <w:r w:rsidRPr="003B15D3">
        <w:rPr>
          <w:sz w:val="18"/>
        </w:rPr>
        <w:tab/>
      </w:r>
      <w:r w:rsidRPr="003B15D3">
        <w:rPr>
          <w:sz w:val="18"/>
        </w:rPr>
        <w:t>施志成</w:t>
      </w:r>
      <w:r w:rsidRPr="003B15D3">
        <w:rPr>
          <w:sz w:val="18"/>
        </w:rPr>
        <w:t xml:space="preserve">. </w:t>
      </w:r>
      <w:r w:rsidRPr="003B15D3">
        <w:rPr>
          <w:sz w:val="18"/>
        </w:rPr>
        <w:t>锂离子电池电解液火灾的烟雾光散射特性研究</w:t>
      </w:r>
      <w:r w:rsidRPr="003B15D3">
        <w:rPr>
          <w:sz w:val="18"/>
        </w:rPr>
        <w:t xml:space="preserve">[D]. </w:t>
      </w:r>
      <w:r w:rsidRPr="003B15D3">
        <w:rPr>
          <w:sz w:val="18"/>
        </w:rPr>
        <w:t>合肥</w:t>
      </w:r>
      <w:r w:rsidRPr="003B15D3">
        <w:rPr>
          <w:sz w:val="18"/>
        </w:rPr>
        <w:t xml:space="preserve">: </w:t>
      </w:r>
      <w:r w:rsidRPr="003B15D3">
        <w:rPr>
          <w:sz w:val="18"/>
        </w:rPr>
        <w:t>中国科学技术大学</w:t>
      </w:r>
      <w:r w:rsidRPr="003B15D3">
        <w:rPr>
          <w:sz w:val="18"/>
        </w:rPr>
        <w:t>, 2021.</w:t>
      </w:r>
      <w:r w:rsidR="00AD4607">
        <w:rPr>
          <w:sz w:val="18"/>
        </w:rPr>
        <w:br/>
      </w:r>
      <w:r w:rsidR="00AD4607" w:rsidRPr="006C12C0">
        <w:rPr>
          <w:sz w:val="18"/>
        </w:rPr>
        <w:t xml:space="preserve">Shi Z. Study on Light Scattering Characteristics of Smoke from Electrolyte Fire of Lithium </w:t>
      </w:r>
      <w:proofErr w:type="spellStart"/>
      <w:r w:rsidR="00AD4607" w:rsidRPr="006C12C0">
        <w:rPr>
          <w:sz w:val="18"/>
        </w:rPr>
        <w:t>lon</w:t>
      </w:r>
      <w:proofErr w:type="spellEnd"/>
      <w:r w:rsidR="00AD4607" w:rsidRPr="006C12C0">
        <w:rPr>
          <w:sz w:val="18"/>
        </w:rPr>
        <w:t xml:space="preserve"> Battery[D]. Hefei, China: University of Science and Technology of China, 2021.</w:t>
      </w:r>
      <w:r w:rsidR="00AD4607" w:rsidRPr="00AD4607">
        <w:rPr>
          <w:sz w:val="18"/>
        </w:rPr>
        <w:t xml:space="preserve"> (in Chinese)</w:t>
      </w:r>
    </w:p>
    <w:p w14:paraId="64444034" w14:textId="195B6DEA" w:rsidR="003B15D3" w:rsidRDefault="003B15D3" w:rsidP="003B15D3">
      <w:pPr>
        <w:pStyle w:val="aff1"/>
        <w:rPr>
          <w:sz w:val="18"/>
        </w:rPr>
      </w:pPr>
      <w:r w:rsidRPr="003B15D3">
        <w:rPr>
          <w:sz w:val="18"/>
        </w:rPr>
        <w:t>[13]</w:t>
      </w:r>
      <w:r w:rsidRPr="003B15D3">
        <w:rPr>
          <w:sz w:val="18"/>
        </w:rPr>
        <w:tab/>
      </w:r>
      <w:r w:rsidRPr="003B15D3">
        <w:rPr>
          <w:sz w:val="18"/>
        </w:rPr>
        <w:t>李绍民</w:t>
      </w:r>
      <w:r w:rsidRPr="003B15D3">
        <w:rPr>
          <w:sz w:val="18"/>
        </w:rPr>
        <w:t xml:space="preserve">, </w:t>
      </w:r>
      <w:r w:rsidRPr="003B15D3">
        <w:rPr>
          <w:sz w:val="18"/>
        </w:rPr>
        <w:t>孙利群</w:t>
      </w:r>
      <w:r w:rsidRPr="003B15D3">
        <w:rPr>
          <w:sz w:val="18"/>
        </w:rPr>
        <w:t xml:space="preserve">. </w:t>
      </w:r>
      <w:r w:rsidRPr="003B15D3">
        <w:rPr>
          <w:sz w:val="18"/>
        </w:rPr>
        <w:t>基于改进波长调制光谱技术的高吸收度甲烷气体测量</w:t>
      </w:r>
      <w:r w:rsidRPr="003B15D3">
        <w:rPr>
          <w:sz w:val="18"/>
        </w:rPr>
        <w:t xml:space="preserve">[J]. </w:t>
      </w:r>
      <w:r w:rsidRPr="003B15D3">
        <w:rPr>
          <w:sz w:val="18"/>
        </w:rPr>
        <w:t>物理学报</w:t>
      </w:r>
      <w:r w:rsidRPr="003B15D3">
        <w:rPr>
          <w:sz w:val="18"/>
        </w:rPr>
        <w:t>, 2023, 72(1): 55-62.</w:t>
      </w:r>
      <w:r w:rsidR="00AD4607">
        <w:rPr>
          <w:sz w:val="18"/>
        </w:rPr>
        <w:br/>
      </w:r>
      <w:r w:rsidR="00AD4607" w:rsidRPr="006C12C0">
        <w:rPr>
          <w:sz w:val="18"/>
        </w:rPr>
        <w:t xml:space="preserve">Li S, Sun L. Measurement of methane gas with high absorbance based </w:t>
      </w:r>
      <w:proofErr w:type="gramStart"/>
      <w:r w:rsidR="00AD4607" w:rsidRPr="006C12C0">
        <w:rPr>
          <w:sz w:val="18"/>
        </w:rPr>
        <w:t>on  modified</w:t>
      </w:r>
      <w:proofErr w:type="gramEnd"/>
      <w:r w:rsidR="00AD4607" w:rsidRPr="006C12C0">
        <w:rPr>
          <w:sz w:val="18"/>
        </w:rPr>
        <w:t xml:space="preserve"> wavelength modulation spectroscopy[J]. Acta Physica Sinica, 2023, 72(1): 55-62.</w:t>
      </w:r>
      <w:r w:rsidR="00AD4607" w:rsidRPr="00AD4607">
        <w:rPr>
          <w:sz w:val="18"/>
        </w:rPr>
        <w:t xml:space="preserve"> (in Chinese)</w:t>
      </w:r>
    </w:p>
    <w:p w14:paraId="68A811C3" w14:textId="77777777" w:rsidR="00AD4607" w:rsidRPr="006C305A" w:rsidRDefault="00AD4607" w:rsidP="006C305A"/>
    <w:p w14:paraId="2998FF7C" w14:textId="4593D99D" w:rsidR="00F1691B" w:rsidRDefault="00F1691B">
      <w:pPr>
        <w:autoSpaceDE w:val="0"/>
        <w:autoSpaceDN w:val="0"/>
        <w:adjustRightInd w:val="0"/>
        <w:spacing w:line="240" w:lineRule="atLeast"/>
        <w:ind w:left="420" w:hanging="420"/>
        <w:rPr>
          <w:rFonts w:cs="Times New Roman"/>
          <w:sz w:val="18"/>
          <w:szCs w:val="18"/>
        </w:rPr>
      </w:pPr>
    </w:p>
    <w:p w14:paraId="1A3C0D0D" w14:textId="77777777" w:rsidR="00F1691B" w:rsidRDefault="00F1691B">
      <w:pPr>
        <w:autoSpaceDE w:val="0"/>
        <w:autoSpaceDN w:val="0"/>
        <w:adjustRightInd w:val="0"/>
        <w:spacing w:line="240" w:lineRule="atLeast"/>
        <w:ind w:left="420" w:hanging="420"/>
        <w:rPr>
          <w:rFonts w:cs="Times New Roman"/>
          <w:szCs w:val="21"/>
        </w:rPr>
        <w:sectPr w:rsidR="00F1691B">
          <w:type w:val="continuous"/>
          <w:pgSz w:w="11906" w:h="16838"/>
          <w:pgMar w:top="1440" w:right="1106" w:bottom="1440" w:left="1106" w:header="851" w:footer="992" w:gutter="0"/>
          <w:cols w:num="2" w:space="425"/>
          <w:titlePg/>
          <w:docGrid w:type="linesAndChars" w:linePitch="312"/>
        </w:sectPr>
      </w:pPr>
    </w:p>
    <w:p w14:paraId="738A0A66" w14:textId="77777777" w:rsidR="00F1691B" w:rsidRDefault="00F1691B">
      <w:pPr>
        <w:autoSpaceDE w:val="0"/>
        <w:autoSpaceDN w:val="0"/>
        <w:adjustRightInd w:val="0"/>
        <w:spacing w:line="240" w:lineRule="atLeast"/>
        <w:ind w:left="420" w:hanging="420"/>
        <w:rPr>
          <w:rFonts w:cs="Times New Roman"/>
          <w:szCs w:val="21"/>
        </w:rPr>
      </w:pPr>
    </w:p>
    <w:p w14:paraId="1EEE977A" w14:textId="77777777" w:rsidR="00F1691B" w:rsidRDefault="00F1691B">
      <w:pPr>
        <w:autoSpaceDE w:val="0"/>
        <w:autoSpaceDN w:val="0"/>
        <w:adjustRightInd w:val="0"/>
        <w:spacing w:line="240" w:lineRule="atLeast"/>
        <w:rPr>
          <w:rFonts w:cs="Times New Roman"/>
          <w:kern w:val="0"/>
          <w:szCs w:val="21"/>
        </w:rPr>
      </w:pPr>
    </w:p>
    <w:p w14:paraId="6F61F734" w14:textId="77777777" w:rsidR="00F1691B" w:rsidRDefault="00000000">
      <w:pPr>
        <w:widowControl/>
        <w:spacing w:line="240" w:lineRule="atLeast"/>
        <w:jc w:val="center"/>
        <w:rPr>
          <w:rFonts w:eastAsia="黑体" w:cs="Times New Roman"/>
          <w:kern w:val="0"/>
          <w:sz w:val="36"/>
          <w:szCs w:val="36"/>
        </w:rPr>
      </w:pPr>
      <w:r>
        <w:rPr>
          <w:rFonts w:eastAsia="黑体" w:cs="Times New Roman" w:hint="eastAsia"/>
          <w:kern w:val="0"/>
          <w:sz w:val="36"/>
          <w:szCs w:val="36"/>
        </w:rPr>
        <w:t xml:space="preserve">Smoke-methane composite detector based on </w:t>
      </w:r>
      <w:r>
        <w:rPr>
          <w:rFonts w:eastAsia="黑体" w:cs="Times New Roman" w:hint="eastAsia"/>
          <w:kern w:val="0"/>
          <w:sz w:val="36"/>
          <w:szCs w:val="36"/>
        </w:rPr>
        <w:br/>
        <w:t>laser scattering and extinction</w:t>
      </w:r>
    </w:p>
    <w:p w14:paraId="18CD0543" w14:textId="0FC24E27" w:rsidR="00F1691B" w:rsidRDefault="00000000">
      <w:pPr>
        <w:widowControl/>
        <w:spacing w:line="240" w:lineRule="atLeast"/>
        <w:rPr>
          <w:rFonts w:cs="Times New Roman"/>
          <w:kern w:val="0"/>
          <w:szCs w:val="21"/>
        </w:rPr>
      </w:pPr>
      <w:r>
        <w:rPr>
          <w:rFonts w:cs="Times New Roman"/>
          <w:b/>
          <w:bCs/>
          <w:kern w:val="0"/>
          <w:szCs w:val="21"/>
        </w:rPr>
        <w:t>Abstract:</w:t>
      </w:r>
      <w:r>
        <w:rPr>
          <w:rFonts w:cs="Times New Roman"/>
          <w:kern w:val="0"/>
          <w:szCs w:val="21"/>
        </w:rPr>
        <w:t xml:space="preserve"> </w:t>
      </w:r>
      <w:r w:rsidR="003C60B3" w:rsidRPr="003C60B3">
        <w:rPr>
          <w:rFonts w:cs="Times New Roman"/>
          <w:kern w:val="0"/>
          <w:szCs w:val="21"/>
        </w:rPr>
        <w:t>In complex environments such as residential kitchens, catering venues, and chemical workshops, the risks of fire smoke and combustible gas leakage often coexist, posing higher demands on monitoring systems. Most existing detectors are based on a single principle, capable of addressing only one type of risk, and are thus insufficient for accurate early warning in composite scenarios. Although multi-sensor combinations can achieve multi-target detect</w:t>
      </w:r>
      <w:r w:rsidR="003C60B3">
        <w:rPr>
          <w:rFonts w:cs="Times New Roman" w:hint="eastAsia"/>
          <w:kern w:val="0"/>
          <w:szCs w:val="21"/>
        </w:rPr>
        <w:t>ion</w:t>
      </w:r>
      <w:r w:rsidR="003C60B3" w:rsidRPr="003C60B3">
        <w:rPr>
          <w:rFonts w:cs="Times New Roman"/>
          <w:kern w:val="0"/>
          <w:szCs w:val="21"/>
        </w:rPr>
        <w:t>, they typically suffer from high cost and low integration. To enable composite detect</w:t>
      </w:r>
      <w:r w:rsidR="003C60B3">
        <w:rPr>
          <w:rFonts w:cs="Times New Roman" w:hint="eastAsia"/>
          <w:kern w:val="0"/>
          <w:szCs w:val="21"/>
        </w:rPr>
        <w:t>ion</w:t>
      </w:r>
      <w:r w:rsidR="003C60B3" w:rsidRPr="003C60B3">
        <w:rPr>
          <w:rFonts w:cs="Times New Roman"/>
          <w:kern w:val="0"/>
          <w:szCs w:val="21"/>
        </w:rPr>
        <w:t xml:space="preserve"> and early warning of fire and gas risks, this study proposes a novel smoke–methane composite detection method based on 1</w:t>
      </w:r>
      <w:r w:rsidR="00381A43">
        <w:rPr>
          <w:rFonts w:cs="Times New Roman" w:hint="eastAsia"/>
          <w:kern w:val="0"/>
          <w:szCs w:val="21"/>
        </w:rPr>
        <w:t xml:space="preserve"> </w:t>
      </w:r>
      <w:r w:rsidR="003C60B3" w:rsidRPr="003C60B3">
        <w:rPr>
          <w:rFonts w:cs="Times New Roman"/>
          <w:kern w:val="0"/>
          <w:szCs w:val="21"/>
        </w:rPr>
        <w:t xml:space="preserve">653 nm scattering–extinction signals and develops a new detector utilizing a single laser source. The detector adopts a multi-mirror and cross-beam optical path design, which achieves a sixfold increase in absorption path length and a fourfold enhancement in scattering signal compared with the conventional open-path configuration. Experimental results demonstrate that the detector achieves a methane detection limit of </w:t>
      </w:r>
      <w:r w:rsidR="00452DB9">
        <w:rPr>
          <w:rFonts w:cs="Times New Roman" w:hint="eastAsia"/>
          <w:kern w:val="0"/>
          <w:szCs w:val="21"/>
        </w:rPr>
        <w:t>0.008 %</w:t>
      </w:r>
      <w:r w:rsidR="003C60B3" w:rsidRPr="003C60B3">
        <w:rPr>
          <w:rFonts w:cs="Times New Roman"/>
          <w:kern w:val="0"/>
          <w:szCs w:val="21"/>
        </w:rPr>
        <w:t xml:space="preserve"> and a smoke detection limit of 0.05 dB/m, indicating high-precision composite detection capability for both smoke and methane.</w:t>
      </w:r>
    </w:p>
    <w:p w14:paraId="51BE46F3" w14:textId="77777777" w:rsidR="00F1691B" w:rsidRDefault="00000000">
      <w:pPr>
        <w:widowControl/>
        <w:spacing w:line="240" w:lineRule="atLeast"/>
        <w:rPr>
          <w:rFonts w:cs="Times New Roman"/>
          <w:kern w:val="0"/>
          <w:szCs w:val="21"/>
        </w:rPr>
      </w:pPr>
      <w:r>
        <w:rPr>
          <w:rFonts w:cs="Times New Roman"/>
          <w:b/>
          <w:bCs/>
          <w:kern w:val="0"/>
          <w:szCs w:val="21"/>
        </w:rPr>
        <w:t>Key words:</w:t>
      </w:r>
      <w:r>
        <w:rPr>
          <w:rFonts w:cs="Times New Roman"/>
          <w:kern w:val="0"/>
          <w:szCs w:val="21"/>
        </w:rPr>
        <w:t xml:space="preserve"> </w:t>
      </w:r>
      <w:r>
        <w:rPr>
          <w:rFonts w:cs="Times New Roman" w:hint="eastAsia"/>
          <w:kern w:val="0"/>
          <w:szCs w:val="21"/>
        </w:rPr>
        <w:t>composite detection</w:t>
      </w:r>
      <w:r>
        <w:rPr>
          <w:rFonts w:cs="Times New Roman"/>
          <w:kern w:val="0"/>
          <w:szCs w:val="21"/>
        </w:rPr>
        <w:t xml:space="preserve">; </w:t>
      </w:r>
      <w:r>
        <w:rPr>
          <w:rFonts w:cs="Times New Roman" w:hint="eastAsia"/>
          <w:kern w:val="0"/>
          <w:szCs w:val="21"/>
        </w:rPr>
        <w:t>methane detection</w:t>
      </w:r>
      <w:r>
        <w:rPr>
          <w:rFonts w:cs="Times New Roman"/>
          <w:kern w:val="0"/>
          <w:szCs w:val="21"/>
        </w:rPr>
        <w:t xml:space="preserve">; </w:t>
      </w:r>
      <w:r>
        <w:rPr>
          <w:rFonts w:cs="Times New Roman" w:hint="eastAsia"/>
          <w:kern w:val="0"/>
          <w:szCs w:val="21"/>
        </w:rPr>
        <w:t>smoke detection</w:t>
      </w:r>
      <w:r>
        <w:rPr>
          <w:rFonts w:cs="Times New Roman"/>
          <w:kern w:val="0"/>
          <w:szCs w:val="21"/>
        </w:rPr>
        <w:t xml:space="preserve">; </w:t>
      </w:r>
      <w:r>
        <w:rPr>
          <w:rFonts w:cs="Times New Roman" w:hint="eastAsia"/>
          <w:kern w:val="0"/>
          <w:szCs w:val="21"/>
        </w:rPr>
        <w:t>laser detection</w:t>
      </w:r>
    </w:p>
    <w:sectPr w:rsidR="00F1691B">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B83580" w14:textId="77777777" w:rsidR="00F84732" w:rsidRDefault="00F84732">
      <w:r>
        <w:separator/>
      </w:r>
    </w:p>
  </w:endnote>
  <w:endnote w:type="continuationSeparator" w:id="0">
    <w:p w14:paraId="1441CE2D" w14:textId="77777777" w:rsidR="00F84732" w:rsidRDefault="00F847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51F68" w14:textId="77777777" w:rsidR="00F1691B" w:rsidRDefault="00000000">
    <w:pPr>
      <w:tabs>
        <w:tab w:val="left" w:pos="735"/>
      </w:tabs>
      <w:spacing w:line="360" w:lineRule="exact"/>
      <w:rPr>
        <w:rFonts w:eastAsia="黑体"/>
        <w:sz w:val="18"/>
        <w:szCs w:val="18"/>
      </w:rPr>
    </w:pPr>
    <w:r>
      <w:rPr>
        <w:rFonts w:eastAsia="黑体" w:hint="eastAsia"/>
        <w:sz w:val="18"/>
        <w:szCs w:val="18"/>
      </w:rPr>
      <w:t>——</w:t>
    </w:r>
    <w:proofErr w:type="gramStart"/>
    <w:r>
      <w:rPr>
        <w:rFonts w:eastAsia="黑体" w:hint="eastAsia"/>
        <w:sz w:val="18"/>
        <w:szCs w:val="18"/>
      </w:rPr>
      <w:t>——————</w:t>
    </w:r>
    <w:proofErr w:type="gramEnd"/>
  </w:p>
  <w:p w14:paraId="3718AFB1" w14:textId="68CABC88" w:rsidR="00F1691B" w:rsidRDefault="00F1691B">
    <w:pPr>
      <w:tabs>
        <w:tab w:val="left" w:pos="735"/>
      </w:tabs>
      <w:spacing w:line="360" w:lineRule="exact"/>
      <w:rPr>
        <w:rFonts w:ascii="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2426E0" w14:textId="77777777" w:rsidR="00F84732" w:rsidRDefault="00F84732">
      <w:r>
        <w:separator/>
      </w:r>
    </w:p>
  </w:footnote>
  <w:footnote w:type="continuationSeparator" w:id="0">
    <w:p w14:paraId="310636E0" w14:textId="77777777" w:rsidR="00F84732" w:rsidRDefault="00F847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13F89"/>
    <w:multiLevelType w:val="multilevel"/>
    <w:tmpl w:val="1D213F89"/>
    <w:lvl w:ilvl="0">
      <w:start w:val="1"/>
      <w:numFmt w:val="decimal"/>
      <w:lvlText w:val="%1"/>
      <w:lvlJc w:val="left"/>
      <w:pPr>
        <w:ind w:left="425" w:hanging="425"/>
      </w:pPr>
    </w:lvl>
    <w:lvl w:ilvl="1">
      <w:start w:val="1"/>
      <w:numFmt w:val="decimal"/>
      <w:lvlText w:val="%1.%2"/>
      <w:lvlJc w:val="left"/>
      <w:pPr>
        <w:ind w:left="1134" w:hanging="567"/>
      </w:pPr>
    </w:lvl>
    <w:lvl w:ilvl="2">
      <w:start w:val="1"/>
      <w:numFmt w:val="decimal"/>
      <w:pStyle w:val="3"/>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16cid:durableId="1881627115">
    <w:abstractNumId w:val="0"/>
  </w:num>
  <w:num w:numId="2" w16cid:durableId="1200045134">
    <w:abstractNumId w:val="2"/>
  </w:num>
  <w:num w:numId="3" w16cid:durableId="3884588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HorizontalSpacing w:val="105"/>
  <w:drawingGridVerticalSpacing w:val="156"/>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4BA1"/>
    <w:rsid w:val="00005175"/>
    <w:rsid w:val="0000547A"/>
    <w:rsid w:val="00011004"/>
    <w:rsid w:val="0001643B"/>
    <w:rsid w:val="00017F61"/>
    <w:rsid w:val="0002256B"/>
    <w:rsid w:val="000262B9"/>
    <w:rsid w:val="00030A0B"/>
    <w:rsid w:val="000314FB"/>
    <w:rsid w:val="000333BF"/>
    <w:rsid w:val="00033EC0"/>
    <w:rsid w:val="00044052"/>
    <w:rsid w:val="0004423E"/>
    <w:rsid w:val="000447B2"/>
    <w:rsid w:val="0005120D"/>
    <w:rsid w:val="0005131B"/>
    <w:rsid w:val="000540F0"/>
    <w:rsid w:val="00056B93"/>
    <w:rsid w:val="0006042B"/>
    <w:rsid w:val="000620EC"/>
    <w:rsid w:val="00062519"/>
    <w:rsid w:val="00063295"/>
    <w:rsid w:val="00067B7F"/>
    <w:rsid w:val="000710B9"/>
    <w:rsid w:val="00074339"/>
    <w:rsid w:val="00075183"/>
    <w:rsid w:val="000763CA"/>
    <w:rsid w:val="0008007F"/>
    <w:rsid w:val="000811ED"/>
    <w:rsid w:val="00083ADC"/>
    <w:rsid w:val="000913F4"/>
    <w:rsid w:val="000A0377"/>
    <w:rsid w:val="000B0527"/>
    <w:rsid w:val="000B3C05"/>
    <w:rsid w:val="000B45C5"/>
    <w:rsid w:val="000B6F99"/>
    <w:rsid w:val="000C5FC1"/>
    <w:rsid w:val="000D3C89"/>
    <w:rsid w:val="000D4FB5"/>
    <w:rsid w:val="000D5FF7"/>
    <w:rsid w:val="000E02D2"/>
    <w:rsid w:val="000E0B0E"/>
    <w:rsid w:val="000E4241"/>
    <w:rsid w:val="000E6861"/>
    <w:rsid w:val="000E6C61"/>
    <w:rsid w:val="000E6DDB"/>
    <w:rsid w:val="000F1BE5"/>
    <w:rsid w:val="000F6A83"/>
    <w:rsid w:val="000F76F4"/>
    <w:rsid w:val="001003C5"/>
    <w:rsid w:val="00100511"/>
    <w:rsid w:val="00101090"/>
    <w:rsid w:val="00106CA5"/>
    <w:rsid w:val="00106CCE"/>
    <w:rsid w:val="00111C04"/>
    <w:rsid w:val="0011426E"/>
    <w:rsid w:val="00115354"/>
    <w:rsid w:val="0012005B"/>
    <w:rsid w:val="0012152F"/>
    <w:rsid w:val="00122D47"/>
    <w:rsid w:val="001234E0"/>
    <w:rsid w:val="00123BD4"/>
    <w:rsid w:val="001256A6"/>
    <w:rsid w:val="00133673"/>
    <w:rsid w:val="001370D7"/>
    <w:rsid w:val="001377FA"/>
    <w:rsid w:val="00146EBD"/>
    <w:rsid w:val="00150EE3"/>
    <w:rsid w:val="0015261F"/>
    <w:rsid w:val="001644A8"/>
    <w:rsid w:val="001668DB"/>
    <w:rsid w:val="001674B7"/>
    <w:rsid w:val="001724F6"/>
    <w:rsid w:val="00172A27"/>
    <w:rsid w:val="001749A8"/>
    <w:rsid w:val="00176633"/>
    <w:rsid w:val="00177368"/>
    <w:rsid w:val="001808DA"/>
    <w:rsid w:val="00181370"/>
    <w:rsid w:val="00181A00"/>
    <w:rsid w:val="0018307D"/>
    <w:rsid w:val="001857CA"/>
    <w:rsid w:val="0018668C"/>
    <w:rsid w:val="00190575"/>
    <w:rsid w:val="001949AF"/>
    <w:rsid w:val="00195A62"/>
    <w:rsid w:val="00196BA2"/>
    <w:rsid w:val="00196C45"/>
    <w:rsid w:val="001A1944"/>
    <w:rsid w:val="001A2515"/>
    <w:rsid w:val="001A50AA"/>
    <w:rsid w:val="001B428E"/>
    <w:rsid w:val="001B561D"/>
    <w:rsid w:val="001C008C"/>
    <w:rsid w:val="001C06EF"/>
    <w:rsid w:val="001C1F04"/>
    <w:rsid w:val="001C2CC9"/>
    <w:rsid w:val="001C32FE"/>
    <w:rsid w:val="001C391E"/>
    <w:rsid w:val="001C6324"/>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2058F"/>
    <w:rsid w:val="002229A7"/>
    <w:rsid w:val="002269F1"/>
    <w:rsid w:val="002312F2"/>
    <w:rsid w:val="00231EA4"/>
    <w:rsid w:val="00232F17"/>
    <w:rsid w:val="00234B98"/>
    <w:rsid w:val="002411E0"/>
    <w:rsid w:val="00241EB0"/>
    <w:rsid w:val="00241FD1"/>
    <w:rsid w:val="00244CE7"/>
    <w:rsid w:val="00247F7C"/>
    <w:rsid w:val="0026720B"/>
    <w:rsid w:val="00275235"/>
    <w:rsid w:val="00284201"/>
    <w:rsid w:val="002872BB"/>
    <w:rsid w:val="002928AF"/>
    <w:rsid w:val="0029530E"/>
    <w:rsid w:val="002A402F"/>
    <w:rsid w:val="002A6FCF"/>
    <w:rsid w:val="002B4535"/>
    <w:rsid w:val="002C1573"/>
    <w:rsid w:val="002C5A48"/>
    <w:rsid w:val="002D29E6"/>
    <w:rsid w:val="002D312C"/>
    <w:rsid w:val="002D41C8"/>
    <w:rsid w:val="002E1B29"/>
    <w:rsid w:val="002E2A26"/>
    <w:rsid w:val="002E3128"/>
    <w:rsid w:val="002E3682"/>
    <w:rsid w:val="002E4D70"/>
    <w:rsid w:val="002F08D1"/>
    <w:rsid w:val="002F1D37"/>
    <w:rsid w:val="002F33AD"/>
    <w:rsid w:val="002F35EE"/>
    <w:rsid w:val="0030005E"/>
    <w:rsid w:val="0030080A"/>
    <w:rsid w:val="003017E0"/>
    <w:rsid w:val="0030398B"/>
    <w:rsid w:val="00311A98"/>
    <w:rsid w:val="00313B64"/>
    <w:rsid w:val="00313B7F"/>
    <w:rsid w:val="00313E99"/>
    <w:rsid w:val="00314763"/>
    <w:rsid w:val="00320965"/>
    <w:rsid w:val="00320EA1"/>
    <w:rsid w:val="003232B7"/>
    <w:rsid w:val="00323DC9"/>
    <w:rsid w:val="00331516"/>
    <w:rsid w:val="00331828"/>
    <w:rsid w:val="003341A5"/>
    <w:rsid w:val="00335FD7"/>
    <w:rsid w:val="0033612A"/>
    <w:rsid w:val="003411C3"/>
    <w:rsid w:val="00341930"/>
    <w:rsid w:val="003444A0"/>
    <w:rsid w:val="00346A15"/>
    <w:rsid w:val="00346B66"/>
    <w:rsid w:val="0035144B"/>
    <w:rsid w:val="00356083"/>
    <w:rsid w:val="00356E2D"/>
    <w:rsid w:val="00361D3F"/>
    <w:rsid w:val="00366986"/>
    <w:rsid w:val="00371EBA"/>
    <w:rsid w:val="003720EF"/>
    <w:rsid w:val="003760E9"/>
    <w:rsid w:val="003819C4"/>
    <w:rsid w:val="00381A43"/>
    <w:rsid w:val="00390250"/>
    <w:rsid w:val="0039058E"/>
    <w:rsid w:val="003906DF"/>
    <w:rsid w:val="00392AC1"/>
    <w:rsid w:val="00396597"/>
    <w:rsid w:val="003A4388"/>
    <w:rsid w:val="003B03C1"/>
    <w:rsid w:val="003B13DA"/>
    <w:rsid w:val="003B15D3"/>
    <w:rsid w:val="003C1DDB"/>
    <w:rsid w:val="003C3DAD"/>
    <w:rsid w:val="003C60B3"/>
    <w:rsid w:val="003D03FC"/>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140C6"/>
    <w:rsid w:val="00423A02"/>
    <w:rsid w:val="0042473F"/>
    <w:rsid w:val="00424E6E"/>
    <w:rsid w:val="0043200C"/>
    <w:rsid w:val="00432E9B"/>
    <w:rsid w:val="004354FF"/>
    <w:rsid w:val="00435FAB"/>
    <w:rsid w:val="00436F62"/>
    <w:rsid w:val="004376DB"/>
    <w:rsid w:val="004411FB"/>
    <w:rsid w:val="00450015"/>
    <w:rsid w:val="00452DB9"/>
    <w:rsid w:val="00454C0A"/>
    <w:rsid w:val="004550BE"/>
    <w:rsid w:val="004569F6"/>
    <w:rsid w:val="004620F9"/>
    <w:rsid w:val="00464151"/>
    <w:rsid w:val="0047128A"/>
    <w:rsid w:val="0047568F"/>
    <w:rsid w:val="00477D55"/>
    <w:rsid w:val="00481376"/>
    <w:rsid w:val="004839CA"/>
    <w:rsid w:val="00485243"/>
    <w:rsid w:val="00485FDC"/>
    <w:rsid w:val="00486945"/>
    <w:rsid w:val="00490F1A"/>
    <w:rsid w:val="0049426A"/>
    <w:rsid w:val="004A1048"/>
    <w:rsid w:val="004A45D1"/>
    <w:rsid w:val="004A4F0B"/>
    <w:rsid w:val="004B3FA3"/>
    <w:rsid w:val="004B6386"/>
    <w:rsid w:val="004C0AB5"/>
    <w:rsid w:val="004C3914"/>
    <w:rsid w:val="004C643C"/>
    <w:rsid w:val="004C6EDF"/>
    <w:rsid w:val="004C71DF"/>
    <w:rsid w:val="004D2748"/>
    <w:rsid w:val="004D4B03"/>
    <w:rsid w:val="004D56A6"/>
    <w:rsid w:val="004E1F4C"/>
    <w:rsid w:val="004F3AC7"/>
    <w:rsid w:val="004F5163"/>
    <w:rsid w:val="005004A8"/>
    <w:rsid w:val="00501499"/>
    <w:rsid w:val="0050377C"/>
    <w:rsid w:val="00503DE4"/>
    <w:rsid w:val="00506AF7"/>
    <w:rsid w:val="0051053C"/>
    <w:rsid w:val="00511CD6"/>
    <w:rsid w:val="0051527D"/>
    <w:rsid w:val="00517860"/>
    <w:rsid w:val="00535DAA"/>
    <w:rsid w:val="0054314E"/>
    <w:rsid w:val="00551709"/>
    <w:rsid w:val="00552E58"/>
    <w:rsid w:val="005535B3"/>
    <w:rsid w:val="005536CC"/>
    <w:rsid w:val="005614EF"/>
    <w:rsid w:val="00563937"/>
    <w:rsid w:val="00564264"/>
    <w:rsid w:val="00565FCA"/>
    <w:rsid w:val="00567907"/>
    <w:rsid w:val="00575A82"/>
    <w:rsid w:val="0057677C"/>
    <w:rsid w:val="00582D04"/>
    <w:rsid w:val="00586459"/>
    <w:rsid w:val="00587DBD"/>
    <w:rsid w:val="005914CF"/>
    <w:rsid w:val="00594529"/>
    <w:rsid w:val="00594BB3"/>
    <w:rsid w:val="00595F9B"/>
    <w:rsid w:val="005A3E13"/>
    <w:rsid w:val="005A3E75"/>
    <w:rsid w:val="005A4F6B"/>
    <w:rsid w:val="005A5DDB"/>
    <w:rsid w:val="005A6FD0"/>
    <w:rsid w:val="005B1FA7"/>
    <w:rsid w:val="005B3B3F"/>
    <w:rsid w:val="005B4E8F"/>
    <w:rsid w:val="005C0C15"/>
    <w:rsid w:val="005C3352"/>
    <w:rsid w:val="005C47A9"/>
    <w:rsid w:val="005D4250"/>
    <w:rsid w:val="005D6551"/>
    <w:rsid w:val="005F0997"/>
    <w:rsid w:val="005F4CDD"/>
    <w:rsid w:val="005F513E"/>
    <w:rsid w:val="005F5F15"/>
    <w:rsid w:val="00600B1E"/>
    <w:rsid w:val="00603E8E"/>
    <w:rsid w:val="00603F9F"/>
    <w:rsid w:val="00605ADF"/>
    <w:rsid w:val="00605BCB"/>
    <w:rsid w:val="00606258"/>
    <w:rsid w:val="006075FF"/>
    <w:rsid w:val="00633992"/>
    <w:rsid w:val="00634EC9"/>
    <w:rsid w:val="00636EF8"/>
    <w:rsid w:val="00641A57"/>
    <w:rsid w:val="00646196"/>
    <w:rsid w:val="00651DF2"/>
    <w:rsid w:val="00651DF4"/>
    <w:rsid w:val="00652A1C"/>
    <w:rsid w:val="00653A36"/>
    <w:rsid w:val="0066112B"/>
    <w:rsid w:val="00664B0C"/>
    <w:rsid w:val="006650A9"/>
    <w:rsid w:val="00671F0F"/>
    <w:rsid w:val="0067212C"/>
    <w:rsid w:val="00672365"/>
    <w:rsid w:val="006729ED"/>
    <w:rsid w:val="00675C5B"/>
    <w:rsid w:val="006761CD"/>
    <w:rsid w:val="00684724"/>
    <w:rsid w:val="0069199C"/>
    <w:rsid w:val="00693528"/>
    <w:rsid w:val="006949E3"/>
    <w:rsid w:val="006A25F9"/>
    <w:rsid w:val="006A2AF1"/>
    <w:rsid w:val="006B1C2D"/>
    <w:rsid w:val="006B2738"/>
    <w:rsid w:val="006B2A12"/>
    <w:rsid w:val="006B6352"/>
    <w:rsid w:val="006C305A"/>
    <w:rsid w:val="006C324B"/>
    <w:rsid w:val="006C7180"/>
    <w:rsid w:val="006C74A7"/>
    <w:rsid w:val="006D42A3"/>
    <w:rsid w:val="006E209D"/>
    <w:rsid w:val="006E4328"/>
    <w:rsid w:val="006F1B0C"/>
    <w:rsid w:val="006F27E8"/>
    <w:rsid w:val="006F498E"/>
    <w:rsid w:val="006F62E1"/>
    <w:rsid w:val="00706159"/>
    <w:rsid w:val="00706997"/>
    <w:rsid w:val="0070789D"/>
    <w:rsid w:val="00707D7F"/>
    <w:rsid w:val="00710340"/>
    <w:rsid w:val="007120C2"/>
    <w:rsid w:val="00713787"/>
    <w:rsid w:val="00713BCC"/>
    <w:rsid w:val="00714F56"/>
    <w:rsid w:val="007233F2"/>
    <w:rsid w:val="00726032"/>
    <w:rsid w:val="00726F39"/>
    <w:rsid w:val="00730C08"/>
    <w:rsid w:val="00736685"/>
    <w:rsid w:val="0074272A"/>
    <w:rsid w:val="007555B0"/>
    <w:rsid w:val="007562FB"/>
    <w:rsid w:val="0075790C"/>
    <w:rsid w:val="00764726"/>
    <w:rsid w:val="007651DF"/>
    <w:rsid w:val="0076759E"/>
    <w:rsid w:val="00770F4F"/>
    <w:rsid w:val="00771DC8"/>
    <w:rsid w:val="00774046"/>
    <w:rsid w:val="007746AF"/>
    <w:rsid w:val="00776F0E"/>
    <w:rsid w:val="00781C7D"/>
    <w:rsid w:val="00783BB4"/>
    <w:rsid w:val="00791DCD"/>
    <w:rsid w:val="00797730"/>
    <w:rsid w:val="007A0396"/>
    <w:rsid w:val="007A12FA"/>
    <w:rsid w:val="007A2763"/>
    <w:rsid w:val="007A2E58"/>
    <w:rsid w:val="007A704A"/>
    <w:rsid w:val="007A7E96"/>
    <w:rsid w:val="007B0542"/>
    <w:rsid w:val="007B44F6"/>
    <w:rsid w:val="007B6DFC"/>
    <w:rsid w:val="007C0758"/>
    <w:rsid w:val="007C1E5A"/>
    <w:rsid w:val="007D538B"/>
    <w:rsid w:val="007D70EE"/>
    <w:rsid w:val="007E0688"/>
    <w:rsid w:val="007E1944"/>
    <w:rsid w:val="007E458E"/>
    <w:rsid w:val="00801485"/>
    <w:rsid w:val="00804EBC"/>
    <w:rsid w:val="00804F09"/>
    <w:rsid w:val="008160BD"/>
    <w:rsid w:val="008171BF"/>
    <w:rsid w:val="008177BE"/>
    <w:rsid w:val="00824500"/>
    <w:rsid w:val="00825ABE"/>
    <w:rsid w:val="00826403"/>
    <w:rsid w:val="00841062"/>
    <w:rsid w:val="00842F17"/>
    <w:rsid w:val="0084428E"/>
    <w:rsid w:val="00844E93"/>
    <w:rsid w:val="00850DE8"/>
    <w:rsid w:val="00851924"/>
    <w:rsid w:val="008558EE"/>
    <w:rsid w:val="008563C8"/>
    <w:rsid w:val="00856B72"/>
    <w:rsid w:val="00864A5D"/>
    <w:rsid w:val="008700E7"/>
    <w:rsid w:val="0087669A"/>
    <w:rsid w:val="00877B0D"/>
    <w:rsid w:val="008803DE"/>
    <w:rsid w:val="00882044"/>
    <w:rsid w:val="0088209B"/>
    <w:rsid w:val="008925BD"/>
    <w:rsid w:val="00892659"/>
    <w:rsid w:val="00893C90"/>
    <w:rsid w:val="00894A66"/>
    <w:rsid w:val="00895560"/>
    <w:rsid w:val="0089758E"/>
    <w:rsid w:val="00897DDC"/>
    <w:rsid w:val="008A0DEC"/>
    <w:rsid w:val="008B0FB1"/>
    <w:rsid w:val="008B4148"/>
    <w:rsid w:val="008B7F9D"/>
    <w:rsid w:val="008C2DAB"/>
    <w:rsid w:val="008C3B42"/>
    <w:rsid w:val="008D02DF"/>
    <w:rsid w:val="008D178C"/>
    <w:rsid w:val="008D7003"/>
    <w:rsid w:val="008E1A25"/>
    <w:rsid w:val="008E2F4B"/>
    <w:rsid w:val="008E4FE0"/>
    <w:rsid w:val="008E7372"/>
    <w:rsid w:val="008F039A"/>
    <w:rsid w:val="008F3F51"/>
    <w:rsid w:val="008F485A"/>
    <w:rsid w:val="008F4BA2"/>
    <w:rsid w:val="008F5839"/>
    <w:rsid w:val="0090086B"/>
    <w:rsid w:val="00904381"/>
    <w:rsid w:val="00905D14"/>
    <w:rsid w:val="009143AB"/>
    <w:rsid w:val="00914507"/>
    <w:rsid w:val="00916B47"/>
    <w:rsid w:val="0091700B"/>
    <w:rsid w:val="009254B4"/>
    <w:rsid w:val="00926109"/>
    <w:rsid w:val="00926AEB"/>
    <w:rsid w:val="0093048E"/>
    <w:rsid w:val="009357F5"/>
    <w:rsid w:val="00941AF1"/>
    <w:rsid w:val="00954888"/>
    <w:rsid w:val="00957C5A"/>
    <w:rsid w:val="009637DF"/>
    <w:rsid w:val="00966015"/>
    <w:rsid w:val="009675AA"/>
    <w:rsid w:val="009719DD"/>
    <w:rsid w:val="0097412B"/>
    <w:rsid w:val="009746FA"/>
    <w:rsid w:val="00981535"/>
    <w:rsid w:val="00983D2B"/>
    <w:rsid w:val="0099497E"/>
    <w:rsid w:val="00994FE7"/>
    <w:rsid w:val="009A4A87"/>
    <w:rsid w:val="009A592B"/>
    <w:rsid w:val="009A5B5E"/>
    <w:rsid w:val="009B0D3C"/>
    <w:rsid w:val="009B27B6"/>
    <w:rsid w:val="009C16EC"/>
    <w:rsid w:val="009C6D7F"/>
    <w:rsid w:val="009D6413"/>
    <w:rsid w:val="009D7621"/>
    <w:rsid w:val="009E3ACA"/>
    <w:rsid w:val="009E3F73"/>
    <w:rsid w:val="009E5AF6"/>
    <w:rsid w:val="009F2613"/>
    <w:rsid w:val="009F41EF"/>
    <w:rsid w:val="009F677D"/>
    <w:rsid w:val="00A016D1"/>
    <w:rsid w:val="00A0195D"/>
    <w:rsid w:val="00A07AB8"/>
    <w:rsid w:val="00A10799"/>
    <w:rsid w:val="00A14C49"/>
    <w:rsid w:val="00A16498"/>
    <w:rsid w:val="00A21324"/>
    <w:rsid w:val="00A24FE3"/>
    <w:rsid w:val="00A31CA3"/>
    <w:rsid w:val="00A34E2E"/>
    <w:rsid w:val="00A36AB6"/>
    <w:rsid w:val="00A36D77"/>
    <w:rsid w:val="00A43460"/>
    <w:rsid w:val="00A438D8"/>
    <w:rsid w:val="00A4639D"/>
    <w:rsid w:val="00A470F1"/>
    <w:rsid w:val="00A524BB"/>
    <w:rsid w:val="00A525A9"/>
    <w:rsid w:val="00A52CD7"/>
    <w:rsid w:val="00A558D4"/>
    <w:rsid w:val="00A60181"/>
    <w:rsid w:val="00A6110B"/>
    <w:rsid w:val="00A62905"/>
    <w:rsid w:val="00A66BFD"/>
    <w:rsid w:val="00A67076"/>
    <w:rsid w:val="00A75B6B"/>
    <w:rsid w:val="00A775A4"/>
    <w:rsid w:val="00A834E9"/>
    <w:rsid w:val="00A83DAE"/>
    <w:rsid w:val="00A90C59"/>
    <w:rsid w:val="00A91C20"/>
    <w:rsid w:val="00A959AF"/>
    <w:rsid w:val="00AA26EF"/>
    <w:rsid w:val="00AA4329"/>
    <w:rsid w:val="00AB5D5E"/>
    <w:rsid w:val="00AC5AA6"/>
    <w:rsid w:val="00AD2188"/>
    <w:rsid w:val="00AD2D31"/>
    <w:rsid w:val="00AD2DF5"/>
    <w:rsid w:val="00AD4607"/>
    <w:rsid w:val="00AD509B"/>
    <w:rsid w:val="00AD6337"/>
    <w:rsid w:val="00AD6D1E"/>
    <w:rsid w:val="00AE521C"/>
    <w:rsid w:val="00AF224C"/>
    <w:rsid w:val="00AF7EAB"/>
    <w:rsid w:val="00B0605A"/>
    <w:rsid w:val="00B11AA0"/>
    <w:rsid w:val="00B128E0"/>
    <w:rsid w:val="00B130EB"/>
    <w:rsid w:val="00B154B4"/>
    <w:rsid w:val="00B15D44"/>
    <w:rsid w:val="00B1776A"/>
    <w:rsid w:val="00B2035F"/>
    <w:rsid w:val="00B2434D"/>
    <w:rsid w:val="00B279BF"/>
    <w:rsid w:val="00B36F86"/>
    <w:rsid w:val="00B3743D"/>
    <w:rsid w:val="00B447E7"/>
    <w:rsid w:val="00B45E49"/>
    <w:rsid w:val="00B45EB3"/>
    <w:rsid w:val="00B46BD9"/>
    <w:rsid w:val="00B51311"/>
    <w:rsid w:val="00B519FB"/>
    <w:rsid w:val="00B52B0C"/>
    <w:rsid w:val="00B56AC3"/>
    <w:rsid w:val="00B56D77"/>
    <w:rsid w:val="00B57B05"/>
    <w:rsid w:val="00B60584"/>
    <w:rsid w:val="00B6394D"/>
    <w:rsid w:val="00B639DB"/>
    <w:rsid w:val="00B6689C"/>
    <w:rsid w:val="00B72046"/>
    <w:rsid w:val="00B742DD"/>
    <w:rsid w:val="00B75B21"/>
    <w:rsid w:val="00B90454"/>
    <w:rsid w:val="00B92A0F"/>
    <w:rsid w:val="00B93DDB"/>
    <w:rsid w:val="00B97D53"/>
    <w:rsid w:val="00BA028B"/>
    <w:rsid w:val="00BA16C6"/>
    <w:rsid w:val="00BA62C6"/>
    <w:rsid w:val="00BB0607"/>
    <w:rsid w:val="00BB6655"/>
    <w:rsid w:val="00BB7F5C"/>
    <w:rsid w:val="00BC0F72"/>
    <w:rsid w:val="00BC1E8E"/>
    <w:rsid w:val="00BC63D8"/>
    <w:rsid w:val="00BC7254"/>
    <w:rsid w:val="00BD40C8"/>
    <w:rsid w:val="00BE6B8D"/>
    <w:rsid w:val="00BF136E"/>
    <w:rsid w:val="00BF4D4E"/>
    <w:rsid w:val="00BF64FD"/>
    <w:rsid w:val="00C04F62"/>
    <w:rsid w:val="00C11E87"/>
    <w:rsid w:val="00C14AF9"/>
    <w:rsid w:val="00C15196"/>
    <w:rsid w:val="00C1746D"/>
    <w:rsid w:val="00C17AAA"/>
    <w:rsid w:val="00C224FA"/>
    <w:rsid w:val="00C23857"/>
    <w:rsid w:val="00C23FEA"/>
    <w:rsid w:val="00C2458A"/>
    <w:rsid w:val="00C3137D"/>
    <w:rsid w:val="00C325AC"/>
    <w:rsid w:val="00C3601C"/>
    <w:rsid w:val="00C3764F"/>
    <w:rsid w:val="00C430E8"/>
    <w:rsid w:val="00C457FA"/>
    <w:rsid w:val="00C46BE5"/>
    <w:rsid w:val="00C474AD"/>
    <w:rsid w:val="00C56EA5"/>
    <w:rsid w:val="00C621F9"/>
    <w:rsid w:val="00C635EF"/>
    <w:rsid w:val="00C76E39"/>
    <w:rsid w:val="00C92386"/>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2996"/>
    <w:rsid w:val="00CE38F4"/>
    <w:rsid w:val="00CE5E44"/>
    <w:rsid w:val="00CF1A82"/>
    <w:rsid w:val="00CF458F"/>
    <w:rsid w:val="00CF7366"/>
    <w:rsid w:val="00CF75FC"/>
    <w:rsid w:val="00D03926"/>
    <w:rsid w:val="00D03B85"/>
    <w:rsid w:val="00D04679"/>
    <w:rsid w:val="00D10F55"/>
    <w:rsid w:val="00D12DDD"/>
    <w:rsid w:val="00D13AD3"/>
    <w:rsid w:val="00D20F57"/>
    <w:rsid w:val="00D23C86"/>
    <w:rsid w:val="00D242D3"/>
    <w:rsid w:val="00D26D80"/>
    <w:rsid w:val="00D31B94"/>
    <w:rsid w:val="00D3220E"/>
    <w:rsid w:val="00D405DB"/>
    <w:rsid w:val="00D407A9"/>
    <w:rsid w:val="00D41A70"/>
    <w:rsid w:val="00D425C6"/>
    <w:rsid w:val="00D436DC"/>
    <w:rsid w:val="00D44107"/>
    <w:rsid w:val="00D44B69"/>
    <w:rsid w:val="00D50F5F"/>
    <w:rsid w:val="00D521FB"/>
    <w:rsid w:val="00D52837"/>
    <w:rsid w:val="00D52965"/>
    <w:rsid w:val="00D5686E"/>
    <w:rsid w:val="00D63EC0"/>
    <w:rsid w:val="00D64C16"/>
    <w:rsid w:val="00D676F4"/>
    <w:rsid w:val="00D704EE"/>
    <w:rsid w:val="00D70DFB"/>
    <w:rsid w:val="00D72E30"/>
    <w:rsid w:val="00D7346A"/>
    <w:rsid w:val="00D73F3A"/>
    <w:rsid w:val="00D75E94"/>
    <w:rsid w:val="00D804A5"/>
    <w:rsid w:val="00D807BC"/>
    <w:rsid w:val="00D90B7A"/>
    <w:rsid w:val="00D9171A"/>
    <w:rsid w:val="00D926BC"/>
    <w:rsid w:val="00D92E2C"/>
    <w:rsid w:val="00D94804"/>
    <w:rsid w:val="00D94EC6"/>
    <w:rsid w:val="00DA11A2"/>
    <w:rsid w:val="00DA1A86"/>
    <w:rsid w:val="00DA7BB0"/>
    <w:rsid w:val="00DB0556"/>
    <w:rsid w:val="00DB1E5D"/>
    <w:rsid w:val="00DB4C17"/>
    <w:rsid w:val="00DB4D51"/>
    <w:rsid w:val="00DB53E8"/>
    <w:rsid w:val="00DC0E17"/>
    <w:rsid w:val="00DD32CD"/>
    <w:rsid w:val="00DD5944"/>
    <w:rsid w:val="00DE0B59"/>
    <w:rsid w:val="00DF3411"/>
    <w:rsid w:val="00DF7EFF"/>
    <w:rsid w:val="00E013ED"/>
    <w:rsid w:val="00E0396D"/>
    <w:rsid w:val="00E0484C"/>
    <w:rsid w:val="00E04C61"/>
    <w:rsid w:val="00E06AE2"/>
    <w:rsid w:val="00E10ABD"/>
    <w:rsid w:val="00E1252E"/>
    <w:rsid w:val="00E12955"/>
    <w:rsid w:val="00E21CD2"/>
    <w:rsid w:val="00E22A83"/>
    <w:rsid w:val="00E2701E"/>
    <w:rsid w:val="00E33A8A"/>
    <w:rsid w:val="00E373F2"/>
    <w:rsid w:val="00E42015"/>
    <w:rsid w:val="00E43E72"/>
    <w:rsid w:val="00E441E4"/>
    <w:rsid w:val="00E46917"/>
    <w:rsid w:val="00E50DE4"/>
    <w:rsid w:val="00E6182F"/>
    <w:rsid w:val="00E65192"/>
    <w:rsid w:val="00E65ED4"/>
    <w:rsid w:val="00E67138"/>
    <w:rsid w:val="00E7373C"/>
    <w:rsid w:val="00E776F4"/>
    <w:rsid w:val="00E821E1"/>
    <w:rsid w:val="00E875B8"/>
    <w:rsid w:val="00E9007A"/>
    <w:rsid w:val="00E901FC"/>
    <w:rsid w:val="00E94FE8"/>
    <w:rsid w:val="00E979B5"/>
    <w:rsid w:val="00EA0B80"/>
    <w:rsid w:val="00EA17A3"/>
    <w:rsid w:val="00EB0D0D"/>
    <w:rsid w:val="00EB102C"/>
    <w:rsid w:val="00EB49BD"/>
    <w:rsid w:val="00EB53D3"/>
    <w:rsid w:val="00EC509B"/>
    <w:rsid w:val="00ED0481"/>
    <w:rsid w:val="00ED6658"/>
    <w:rsid w:val="00EE3053"/>
    <w:rsid w:val="00EE633B"/>
    <w:rsid w:val="00EF21A9"/>
    <w:rsid w:val="00EF24B6"/>
    <w:rsid w:val="00EF4934"/>
    <w:rsid w:val="00EF75EA"/>
    <w:rsid w:val="00F007B8"/>
    <w:rsid w:val="00F0193E"/>
    <w:rsid w:val="00F02389"/>
    <w:rsid w:val="00F03542"/>
    <w:rsid w:val="00F04369"/>
    <w:rsid w:val="00F058AD"/>
    <w:rsid w:val="00F07D1E"/>
    <w:rsid w:val="00F07FF5"/>
    <w:rsid w:val="00F11D8E"/>
    <w:rsid w:val="00F12D79"/>
    <w:rsid w:val="00F1691B"/>
    <w:rsid w:val="00F17573"/>
    <w:rsid w:val="00F20FE0"/>
    <w:rsid w:val="00F2267B"/>
    <w:rsid w:val="00F30018"/>
    <w:rsid w:val="00F32F31"/>
    <w:rsid w:val="00F35586"/>
    <w:rsid w:val="00F35A73"/>
    <w:rsid w:val="00F363A6"/>
    <w:rsid w:val="00F4267A"/>
    <w:rsid w:val="00F44A26"/>
    <w:rsid w:val="00F476B3"/>
    <w:rsid w:val="00F53B5F"/>
    <w:rsid w:val="00F567D1"/>
    <w:rsid w:val="00F57B5A"/>
    <w:rsid w:val="00F6030D"/>
    <w:rsid w:val="00F61191"/>
    <w:rsid w:val="00F611CA"/>
    <w:rsid w:val="00F64DEC"/>
    <w:rsid w:val="00F67FB5"/>
    <w:rsid w:val="00F73F67"/>
    <w:rsid w:val="00F74AAE"/>
    <w:rsid w:val="00F77DE4"/>
    <w:rsid w:val="00F84346"/>
    <w:rsid w:val="00F84732"/>
    <w:rsid w:val="00F874D1"/>
    <w:rsid w:val="00F9321A"/>
    <w:rsid w:val="00F975D0"/>
    <w:rsid w:val="00FA1719"/>
    <w:rsid w:val="00FA4A0F"/>
    <w:rsid w:val="00FA5BD4"/>
    <w:rsid w:val="00FA5E8A"/>
    <w:rsid w:val="00FB0057"/>
    <w:rsid w:val="00FB14EA"/>
    <w:rsid w:val="00FB1877"/>
    <w:rsid w:val="00FB1D6C"/>
    <w:rsid w:val="00FB7B19"/>
    <w:rsid w:val="00FC0588"/>
    <w:rsid w:val="00FC1900"/>
    <w:rsid w:val="00FC3E90"/>
    <w:rsid w:val="00FC3FF6"/>
    <w:rsid w:val="00FC7223"/>
    <w:rsid w:val="00FC72AE"/>
    <w:rsid w:val="00FD0B82"/>
    <w:rsid w:val="00FD3A83"/>
    <w:rsid w:val="00FD71F5"/>
    <w:rsid w:val="00FE19E3"/>
    <w:rsid w:val="00FE62D7"/>
    <w:rsid w:val="00FF1173"/>
    <w:rsid w:val="00FF1C1B"/>
    <w:rsid w:val="00FF2D6B"/>
    <w:rsid w:val="00FF30B4"/>
    <w:rsid w:val="00FF64F5"/>
    <w:rsid w:val="00FF76D3"/>
    <w:rsid w:val="00FF7A7C"/>
    <w:rsid w:val="083852AB"/>
    <w:rsid w:val="0CCD2711"/>
    <w:rsid w:val="10537A38"/>
    <w:rsid w:val="157359AA"/>
    <w:rsid w:val="1B70660E"/>
    <w:rsid w:val="1F947BE9"/>
    <w:rsid w:val="237F75B9"/>
    <w:rsid w:val="276120F8"/>
    <w:rsid w:val="2DF527D3"/>
    <w:rsid w:val="35357A16"/>
    <w:rsid w:val="35C724BA"/>
    <w:rsid w:val="40AD0F15"/>
    <w:rsid w:val="40F6601C"/>
    <w:rsid w:val="4B68369B"/>
    <w:rsid w:val="4C847389"/>
    <w:rsid w:val="4F4B0E1F"/>
    <w:rsid w:val="505B6CC3"/>
    <w:rsid w:val="515D0F7E"/>
    <w:rsid w:val="52E03507"/>
    <w:rsid w:val="5D1361F8"/>
    <w:rsid w:val="620F0088"/>
    <w:rsid w:val="66E335E4"/>
    <w:rsid w:val="686722FB"/>
    <w:rsid w:val="6E787700"/>
    <w:rsid w:val="6F1E7F02"/>
    <w:rsid w:val="7297468D"/>
    <w:rsid w:val="74A87AE4"/>
    <w:rsid w:val="774E4BEA"/>
    <w:rsid w:val="7ED72E9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64A1A1"/>
  <w15:docId w15:val="{5F13E4D9-A515-4A73-AB72-A1E7FD42B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cstheme="minorBidi"/>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unhideWhenUsed/>
    <w:qFormat/>
    <w:rPr>
      <w:rFonts w:cstheme="majorBidi"/>
      <w:szCs w:val="20"/>
    </w:rPr>
  </w:style>
  <w:style w:type="paragraph" w:styleId="a4">
    <w:name w:val="annotation text"/>
    <w:basedOn w:val="a"/>
    <w:link w:val="a5"/>
    <w:uiPriority w:val="99"/>
    <w:semiHidden/>
    <w:unhideWhenUsed/>
    <w:qFormat/>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qFormat/>
    <w:pPr>
      <w:snapToGrid w:val="0"/>
      <w:jc w:val="left"/>
    </w:pPr>
    <w:rPr>
      <w:sz w:val="18"/>
      <w:szCs w:val="18"/>
    </w:rPr>
  </w:style>
  <w:style w:type="paragraph" w:styleId="ae">
    <w:name w:val="annotation subject"/>
    <w:basedOn w:val="a4"/>
    <w:next w:val="a4"/>
    <w:link w:val="af"/>
    <w:uiPriority w:val="99"/>
    <w:semiHidden/>
    <w:unhideWhenUsed/>
    <w:qFormat/>
    <w:rPr>
      <w:b/>
      <w:bCs/>
    </w:rPr>
  </w:style>
  <w:style w:type="table" w:styleId="af0">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uiPriority w:val="22"/>
    <w:qFormat/>
    <w:rPr>
      <w:b/>
      <w:bCs/>
    </w:rPr>
  </w:style>
  <w:style w:type="character" w:styleId="af2">
    <w:name w:val="FollowedHyperlink"/>
    <w:basedOn w:val="a0"/>
    <w:uiPriority w:val="99"/>
    <w:semiHidden/>
    <w:unhideWhenUsed/>
    <w:qFormat/>
    <w:rPr>
      <w:color w:val="800080" w:themeColor="followedHyperlink"/>
      <w:u w:val="single"/>
    </w:rPr>
  </w:style>
  <w:style w:type="character" w:styleId="af3">
    <w:name w:val="Emphasis"/>
    <w:basedOn w:val="a0"/>
    <w:uiPriority w:val="20"/>
    <w:qFormat/>
    <w:rPr>
      <w:i/>
      <w:iCs/>
    </w:rPr>
  </w:style>
  <w:style w:type="character" w:styleId="af4">
    <w:name w:val="Hyperlink"/>
    <w:basedOn w:val="a0"/>
    <w:uiPriority w:val="99"/>
    <w:unhideWhenUsed/>
    <w:qFormat/>
    <w:rPr>
      <w:color w:val="0000FF"/>
      <w:u w:val="single"/>
    </w:rPr>
  </w:style>
  <w:style w:type="character" w:styleId="af5">
    <w:name w:val="annotation reference"/>
    <w:basedOn w:val="a0"/>
    <w:uiPriority w:val="99"/>
    <w:semiHidden/>
    <w:unhideWhenUsed/>
    <w:qFormat/>
    <w:rPr>
      <w:sz w:val="21"/>
      <w:szCs w:val="21"/>
    </w:rPr>
  </w:style>
  <w:style w:type="character" w:styleId="af6">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b">
    <w:name w:val="页眉 字符"/>
    <w:basedOn w:val="a0"/>
    <w:link w:val="aa"/>
    <w:uiPriority w:val="99"/>
    <w:qFormat/>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7">
    <w:name w:val="List Paragraph"/>
    <w:basedOn w:val="a"/>
    <w:uiPriority w:val="34"/>
    <w:qFormat/>
    <w:pPr>
      <w:ind w:firstLineChars="200" w:firstLine="420"/>
    </w:pPr>
  </w:style>
  <w:style w:type="paragraph" w:styleId="af8">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9">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
    <w:name w:val="批注主题 字符"/>
    <w:basedOn w:val="a5"/>
    <w:link w:val="ae"/>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a">
    <w:name w:val="表"/>
    <w:basedOn w:val="a3"/>
    <w:qFormat/>
    <w:pPr>
      <w:spacing w:before="240" w:after="120"/>
      <w:jc w:val="center"/>
    </w:pPr>
    <w:rPr>
      <w:rFonts w:cs="Times New Roman"/>
      <w:sz w:val="22"/>
      <w:lang w:val="zh-CN"/>
    </w:rPr>
  </w:style>
  <w:style w:type="paragraph" w:customStyle="1" w:styleId="afb">
    <w:name w:val="表格样式"/>
    <w:qFormat/>
    <w:pPr>
      <w:jc w:val="both"/>
    </w:pPr>
    <w:rPr>
      <w:rFonts w:ascii="宋体" w:hAnsi="宋体"/>
      <w:kern w:val="2"/>
      <w:sz w:val="18"/>
      <w:szCs w:val="21"/>
    </w:rPr>
  </w:style>
  <w:style w:type="paragraph" w:customStyle="1" w:styleId="afc">
    <w:name w:val="中文表序样式"/>
    <w:basedOn w:val="a"/>
    <w:link w:val="Char"/>
    <w:qFormat/>
    <w:pPr>
      <w:widowControl/>
      <w:jc w:val="center"/>
    </w:pPr>
    <w:rPr>
      <w:rFonts w:cs="Times New Roman"/>
      <w:b/>
      <w:sz w:val="18"/>
      <w:szCs w:val="18"/>
    </w:rPr>
  </w:style>
  <w:style w:type="character" w:customStyle="1" w:styleId="Char">
    <w:name w:val="中文表序样式 Char"/>
    <w:basedOn w:val="a0"/>
    <w:link w:val="afc"/>
    <w:qFormat/>
    <w:rPr>
      <w:rFonts w:ascii="Times New Roman" w:eastAsia="宋体" w:hAnsi="Times New Roman" w:cs="Times New Roman"/>
      <w:b/>
      <w:sz w:val="18"/>
      <w:szCs w:val="18"/>
    </w:rPr>
  </w:style>
  <w:style w:type="character" w:customStyle="1" w:styleId="30">
    <w:name w:val="未处理的提及3"/>
    <w:basedOn w:val="a0"/>
    <w:uiPriority w:val="99"/>
    <w:semiHidden/>
    <w:unhideWhenUsed/>
    <w:qFormat/>
    <w:rPr>
      <w:color w:val="605E5C"/>
      <w:shd w:val="clear" w:color="auto" w:fill="E1DFDD"/>
    </w:rPr>
  </w:style>
  <w:style w:type="paragraph" w:customStyle="1" w:styleId="13">
    <w:name w:val="书目1"/>
    <w:basedOn w:val="a"/>
    <w:qFormat/>
    <w:pPr>
      <w:tabs>
        <w:tab w:val="left" w:pos="0"/>
        <w:tab w:val="left" w:pos="735"/>
      </w:tabs>
      <w:spacing w:line="320" w:lineRule="exact"/>
      <w:ind w:left="270" w:hangingChars="150" w:hanging="270"/>
    </w:pPr>
    <w:rPr>
      <w:rFonts w:cs="Times New Roman"/>
      <w:sz w:val="18"/>
      <w:szCs w:val="18"/>
    </w:rPr>
  </w:style>
  <w:style w:type="paragraph" w:customStyle="1" w:styleId="afd">
    <w:name w:val="正文 内容"/>
    <w:basedOn w:val="afe"/>
    <w:qFormat/>
    <w:pPr>
      <w:widowControl w:val="0"/>
      <w:autoSpaceDE/>
      <w:autoSpaceDN/>
      <w:snapToGrid w:val="0"/>
      <w:spacing w:line="360" w:lineRule="auto"/>
    </w:pPr>
    <w:rPr>
      <w:rFonts w:ascii="Times New Roman" w:eastAsiaTheme="majorEastAsia" w:cs="Times New Roman"/>
      <w:sz w:val="24"/>
      <w:szCs w:val="24"/>
    </w:rPr>
  </w:style>
  <w:style w:type="paragraph" w:customStyle="1" w:styleId="afe">
    <w:name w:val="段"/>
    <w:qFormat/>
    <w:pPr>
      <w:autoSpaceDE w:val="0"/>
      <w:autoSpaceDN w:val="0"/>
      <w:ind w:firstLineChars="200" w:firstLine="200"/>
      <w:jc w:val="both"/>
    </w:pPr>
    <w:rPr>
      <w:rFonts w:ascii="宋体" w:cs="宋体"/>
      <w:szCs w:val="21"/>
    </w:rPr>
  </w:style>
  <w:style w:type="paragraph" w:customStyle="1" w:styleId="aff">
    <w:name w:val="无缩进正文"/>
    <w:basedOn w:val="a"/>
    <w:qFormat/>
    <w:pPr>
      <w:adjustRightInd w:val="0"/>
      <w:snapToGrid w:val="0"/>
      <w:spacing w:line="360" w:lineRule="auto"/>
      <w:jc w:val="center"/>
    </w:pPr>
    <w:rPr>
      <w:sz w:val="24"/>
      <w:szCs w:val="28"/>
    </w:rPr>
  </w:style>
  <w:style w:type="paragraph" w:customStyle="1" w:styleId="3">
    <w:name w:val="标题3"/>
    <w:basedOn w:val="a"/>
    <w:next w:val="afd"/>
    <w:qFormat/>
    <w:pPr>
      <w:numPr>
        <w:ilvl w:val="2"/>
        <w:numId w:val="1"/>
      </w:numPr>
      <w:spacing w:line="360" w:lineRule="auto"/>
      <w:jc w:val="left"/>
      <w:outlineLvl w:val="2"/>
    </w:pPr>
    <w:rPr>
      <w:rFonts w:ascii="宋体" w:hAnsi="宋体"/>
      <w:b/>
      <w:sz w:val="24"/>
      <w:szCs w:val="24"/>
    </w:rPr>
  </w:style>
  <w:style w:type="paragraph" w:customStyle="1" w:styleId="22">
    <w:name w:val="书目2"/>
    <w:basedOn w:val="a"/>
    <w:next w:val="a"/>
    <w:uiPriority w:val="37"/>
    <w:unhideWhenUsed/>
    <w:qFormat/>
  </w:style>
  <w:style w:type="table" w:customStyle="1" w:styleId="110">
    <w:name w:val="网格表 1 浅色1"/>
    <w:basedOn w:val="a1"/>
    <w:uiPriority w:val="46"/>
    <w:qFormat/>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0">
    <w:name w:val="无格式表格 21"/>
    <w:basedOn w:val="a1"/>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4">
    <w:name w:val="网格型1"/>
    <w:basedOn w:val="a1"/>
    <w:qFormat/>
    <w:rPr>
      <w:rFonts w:asciiTheme="minorHAnsi" w:eastAsia="Times New Roman"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书目3"/>
    <w:basedOn w:val="a"/>
    <w:next w:val="a"/>
    <w:uiPriority w:val="37"/>
    <w:unhideWhenUsed/>
    <w:qFormat/>
  </w:style>
  <w:style w:type="character" w:customStyle="1" w:styleId="41">
    <w:name w:val="未处理的提及4"/>
    <w:basedOn w:val="a0"/>
    <w:uiPriority w:val="99"/>
    <w:semiHidden/>
    <w:unhideWhenUsed/>
    <w:qFormat/>
    <w:rPr>
      <w:color w:val="605E5C"/>
      <w:shd w:val="clear" w:color="auto" w:fill="E1DFDD"/>
    </w:rPr>
  </w:style>
  <w:style w:type="character" w:customStyle="1" w:styleId="katex-mathml">
    <w:name w:val="katex-mathml"/>
    <w:basedOn w:val="a0"/>
    <w:qFormat/>
  </w:style>
  <w:style w:type="paragraph" w:customStyle="1" w:styleId="15">
    <w:name w:val="修订1"/>
    <w:hidden/>
    <w:uiPriority w:val="99"/>
    <w:unhideWhenUsed/>
    <w:rPr>
      <w:rFonts w:cstheme="minorBidi"/>
      <w:kern w:val="2"/>
      <w:sz w:val="21"/>
      <w:szCs w:val="22"/>
    </w:rPr>
  </w:style>
  <w:style w:type="paragraph" w:styleId="aff0">
    <w:name w:val="Revision"/>
    <w:hidden/>
    <w:uiPriority w:val="99"/>
    <w:unhideWhenUsed/>
    <w:rsid w:val="00074339"/>
    <w:rPr>
      <w:rFonts w:cstheme="minorBidi"/>
      <w:kern w:val="2"/>
      <w:sz w:val="21"/>
      <w:szCs w:val="22"/>
    </w:rPr>
  </w:style>
  <w:style w:type="paragraph" w:styleId="aff1">
    <w:name w:val="Bibliography"/>
    <w:basedOn w:val="a"/>
    <w:next w:val="a"/>
    <w:uiPriority w:val="37"/>
    <w:unhideWhenUsed/>
    <w:rsid w:val="0005131B"/>
  </w:style>
  <w:style w:type="character" w:styleId="aff2">
    <w:name w:val="Unresolved Mention"/>
    <w:basedOn w:val="a0"/>
    <w:uiPriority w:val="99"/>
    <w:semiHidden/>
    <w:unhideWhenUsed/>
    <w:rsid w:val="00AD46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png"/><Relationship Id="rId28" Type="http://schemas.openxmlformats.org/officeDocument/2006/relationships/theme" Target="theme/theme1.xml"/><Relationship Id="rId10" Type="http://schemas.openxmlformats.org/officeDocument/2006/relationships/numbering" Target="numbering.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png"/><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290044E2-0BA4-467E-9E53-FFCB639A368E}">
  <ds:schemaRefs>
    <ds:schemaRef ds:uri="http://www.w3.org/2003/InkML"/>
  </ds:schemaRefs>
</ds:datastoreItem>
</file>

<file path=customXml/itemProps2.xml><?xml version="1.0" encoding="utf-8"?>
<ds:datastoreItem xmlns:ds="http://schemas.openxmlformats.org/officeDocument/2006/customXml" ds:itemID="{C3CB785B-7851-45EB-A695-18D06BBAF8F4}">
  <ds:schemaRefs>
    <ds:schemaRef ds:uri="http://www.w3.org/2003/InkML"/>
  </ds:schemaRefs>
</ds:datastoreItem>
</file>

<file path=customXml/itemProps3.xml><?xml version="1.0" encoding="utf-8"?>
<ds:datastoreItem xmlns:ds="http://schemas.openxmlformats.org/officeDocument/2006/customXml" ds:itemID="{DF7E2C67-A2F6-4770-A022-CC6D6CEBEFC9}">
  <ds:schemaRefs>
    <ds:schemaRef ds:uri="http://www.w3.org/2003/InkML"/>
  </ds:schemaRefs>
</ds:datastoreItem>
</file>

<file path=customXml/itemProps4.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5.xml><?xml version="1.0" encoding="utf-8"?>
<ds:datastoreItem xmlns:ds="http://schemas.openxmlformats.org/officeDocument/2006/customXml" ds:itemID="{2CF8A7BC-A6C9-488E-AE21-F47F958DEE91}">
  <ds:schemaRefs>
    <ds:schemaRef ds:uri="http://www.w3.org/2003/InkML"/>
  </ds:schemaRefs>
</ds:datastoreItem>
</file>

<file path=customXml/itemProps6.xml><?xml version="1.0" encoding="utf-8"?>
<ds:datastoreItem xmlns:ds="http://schemas.openxmlformats.org/officeDocument/2006/customXml" ds:itemID="{4EAB2A64-D528-4499-9246-6390C4E52F7A}">
  <ds:schemaRefs>
    <ds:schemaRef ds:uri="http://www.w3.org/2003/InkML"/>
  </ds:schemaRefs>
</ds:datastoreItem>
</file>

<file path=customXml/itemProps7.xml><?xml version="1.0" encoding="utf-8"?>
<ds:datastoreItem xmlns:ds="http://schemas.openxmlformats.org/officeDocument/2006/customXml" ds:itemID="{92508B80-DB3B-412D-8990-6D42959CC3CB}">
  <ds:schemaRefs>
    <ds:schemaRef ds:uri="http://www.w3.org/2003/InkML"/>
  </ds:schemaRefs>
</ds:datastoreItem>
</file>

<file path=customXml/itemProps8.xml><?xml version="1.0" encoding="utf-8"?>
<ds:datastoreItem xmlns:ds="http://schemas.openxmlformats.org/officeDocument/2006/customXml" ds:itemID="{C4632F00-5510-4446-BFC6-AFD51E328A87}">
  <ds:schemaRefs>
    <ds:schemaRef ds:uri="http://www.w3.org/2003/InkML"/>
  </ds:schemaRefs>
</ds:datastoreItem>
</file>

<file path=customXml/itemProps9.xml><?xml version="1.0" encoding="utf-8"?>
<ds:datastoreItem xmlns:ds="http://schemas.openxmlformats.org/officeDocument/2006/customXml" ds:itemID="{A24CD530-54B2-4D4C-A1F1-FF10573DFF46}">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6</Pages>
  <Words>1760</Words>
  <Characters>10032</Characters>
  <Application>Microsoft Office Word</Application>
  <DocSecurity>0</DocSecurity>
  <Lines>83</Lines>
  <Paragraphs>23</Paragraphs>
  <ScaleCrop>false</ScaleCrop>
  <Company>siom</Company>
  <LinksUpToDate>false</LinksUpToDate>
  <CharactersWithSpaces>11769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刘森</dc:creator>
  <cp:lastModifiedBy>yh X</cp:lastModifiedBy>
  <cp:revision>9</cp:revision>
  <dcterms:created xsi:type="dcterms:W3CDTF">2025-09-16T03:11:00Z</dcterms:created>
  <dcterms:modified xsi:type="dcterms:W3CDTF">2026-06-05T06:20:00Z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BF24B8C0556F467EB61E985F20EFCFE9_13</vt:lpwstr>
  </property>
  <property fmtid="{D5CDD505-2E9C-101B-9397-08002B2CF9AE}" pid="4" name="KSOTemplateDocerSaveRecord">
    <vt:lpwstr>eyJoZGlkIjoiZWQwNWI3ZTdmNzUwZjU5NDgwYTM3YmM0ZmM5YjhmNWYiLCJ1c2VySWQiOiIxNjIzMzgxMDY1In0=</vt:lpwstr>
  </property>
  <property fmtid="{D5CDD505-2E9C-101B-9397-08002B2CF9AE}" pid="5" name="ZOTERO_PREF_1">
    <vt:lpwstr>&lt;data data-version="3" zotero-version="7.0.24"&gt;&lt;session id="7wREIhDo"/&gt;&lt;style id="https://www.zotero-chinese.com/styles/清华大学（顺序编码）" hasBibliography="1" bibliographyStyleHasBeenSet="1"/&gt;&lt;prefs&gt;&lt;pref name="fieldType" value="Field"/&gt;&lt;pref name="automaticJour</vt:lpwstr>
  </property>
  <property fmtid="{D5CDD505-2E9C-101B-9397-08002B2CF9AE}" pid="6" name="ZOTERO_PREF_2">
    <vt:lpwstr>nalAbbreviations" value="true"/&gt;&lt;/prefs&gt;&lt;/data&gt;</vt:lpwstr>
  </property>
</Properties>
</file>