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 ContentType="image/tiff"/>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203395512"/>
    <w:bookmarkStart w:id="1" w:name="中文标题_2"/>
    <w:bookmarkEnd w:id="0"/>
    <w:p w14:paraId="2EF51A52" w14:textId="3A108FF4" w:rsidR="0032210F" w:rsidRDefault="002E387E">
      <w:pPr>
        <w:pStyle w:val="af2"/>
        <w:rPr>
          <w:rFonts w:hint="eastAsia"/>
        </w:rPr>
      </w:pPr>
      <w:r>
        <w:rPr>
          <w:rFonts w:hAnsi="Times New Roman"/>
        </w:rPr>
        <w:fldChar w:fldCharType="begin"/>
      </w:r>
      <w:r>
        <w:rPr>
          <w:rFonts w:hAnsi="Times New Roman"/>
        </w:rPr>
        <w:instrText xml:space="preserve"> MACROBUTTON MTEditEquationSection2 </w:instrText>
      </w:r>
      <w:r w:rsidRPr="007C5815">
        <w:rPr>
          <w:rStyle w:val="MTEquationSection"/>
        </w:rPr>
        <w:instrText>Equation Chapter 1 Section 1</w:instrText>
      </w:r>
      <w:r>
        <w:rPr>
          <w:rFonts w:hAnsi="Times New Roman"/>
        </w:rPr>
        <w:fldChar w:fldCharType="begin"/>
      </w:r>
      <w:r>
        <w:rPr>
          <w:rFonts w:hAnsi="Times New Roman"/>
        </w:rPr>
        <w:instrText xml:space="preserve"> SEQ MTEqn \r \h \* MERGEFORMAT </w:instrText>
      </w:r>
      <w:r>
        <w:rPr>
          <w:rFonts w:hAnsi="Times New Roman"/>
        </w:rPr>
        <w:fldChar w:fldCharType="end"/>
      </w:r>
      <w:r>
        <w:rPr>
          <w:rFonts w:hAnsi="Times New Roman"/>
        </w:rPr>
        <w:fldChar w:fldCharType="begin"/>
      </w:r>
      <w:r>
        <w:rPr>
          <w:rFonts w:hAnsi="Times New Roman"/>
        </w:rPr>
        <w:instrText xml:space="preserve"> SEQ MTSec \r 1 \h \* MERGEFORMAT </w:instrText>
      </w:r>
      <w:r>
        <w:rPr>
          <w:rFonts w:hAnsi="Times New Roman"/>
        </w:rPr>
        <w:fldChar w:fldCharType="end"/>
      </w:r>
      <w:r>
        <w:rPr>
          <w:rFonts w:hAnsi="Times New Roman"/>
        </w:rPr>
        <w:fldChar w:fldCharType="begin"/>
      </w:r>
      <w:r>
        <w:rPr>
          <w:rFonts w:hAnsi="Times New Roman"/>
        </w:rPr>
        <w:instrText xml:space="preserve"> SEQ MTChap \r 1 \h \* MERGEFORMAT </w:instrText>
      </w:r>
      <w:r>
        <w:rPr>
          <w:rFonts w:hAnsi="Times New Roman"/>
        </w:rPr>
        <w:fldChar w:fldCharType="end"/>
      </w:r>
      <w:r>
        <w:rPr>
          <w:rFonts w:hAnsi="Times New Roman"/>
        </w:rPr>
        <w:fldChar w:fldCharType="end"/>
      </w:r>
      <w:r>
        <w:rPr>
          <w:rFonts w:hAnsi="Times New Roman"/>
        </w:rPr>
        <w:t>基于台风全过程的输电线路</w:t>
      </w:r>
      <w:r w:rsidR="000333E8">
        <w:rPr>
          <w:rFonts w:hAnsi="Times New Roman" w:hint="eastAsia"/>
        </w:rPr>
        <w:t>区段</w:t>
      </w:r>
      <w:r>
        <w:rPr>
          <w:rFonts w:hAnsi="Times New Roman"/>
        </w:rPr>
        <w:t>差异化易损性评估研究</w:t>
      </w:r>
      <w:bookmarkEnd w:id="1"/>
    </w:p>
    <w:p w14:paraId="15AA6FB6" w14:textId="77777777" w:rsidR="00AA3D27" w:rsidRPr="00DE3075" w:rsidRDefault="00AA3D27">
      <w:pPr>
        <w:jc w:val="center"/>
        <w:rPr>
          <w:rFonts w:ascii="宋体" w:hAnsi="宋体" w:hint="eastAsia"/>
          <w:sz w:val="24"/>
        </w:rPr>
      </w:pPr>
    </w:p>
    <w:p w14:paraId="468C51D6" w14:textId="77777777" w:rsidR="0062389A" w:rsidRDefault="0062389A" w:rsidP="003E0DA2">
      <w:pPr>
        <w:pStyle w:val="af2"/>
        <w:rPr>
          <w:rFonts w:hint="eastAsia"/>
        </w:rPr>
        <w:sectPr w:rsidR="0062389A" w:rsidSect="00557BD0">
          <w:headerReference w:type="even" r:id="rId9"/>
          <w:headerReference w:type="default" r:id="rId10"/>
          <w:headerReference w:type="first" r:id="rId11"/>
          <w:footerReference w:type="first" r:id="rId12"/>
          <w:endnotePr>
            <w:numFmt w:val="decimal"/>
          </w:endnotePr>
          <w:type w:val="continuous"/>
          <w:pgSz w:w="11906" w:h="16838"/>
          <w:pgMar w:top="1701" w:right="1134" w:bottom="1134" w:left="1134" w:header="992" w:footer="992" w:gutter="0"/>
          <w:cols w:space="720"/>
          <w:titlePg/>
          <w:docGrid w:type="lines" w:linePitch="312"/>
        </w:sectPr>
      </w:pPr>
    </w:p>
    <w:p w14:paraId="102C6BD7" w14:textId="7AF5BC1A" w:rsidR="00AA3D27" w:rsidRPr="003334EB" w:rsidRDefault="00000000" w:rsidP="00B77620">
      <w:pPr>
        <w:pStyle w:val="affff4"/>
        <w:rPr>
          <w:rFonts w:eastAsia="楷体" w:hint="eastAsia"/>
        </w:rPr>
      </w:pPr>
      <w:bookmarkStart w:id="2" w:name="中文摘要_2"/>
      <w:r w:rsidRPr="003334EB">
        <w:rPr>
          <w:rStyle w:val="af5"/>
          <w:szCs w:val="18"/>
        </w:rPr>
        <w:t>摘  要：</w:t>
      </w:r>
      <w:r>
        <w:rPr>
          <w:rFonts w:hAnsi="Times New Roman"/>
        </w:rPr>
        <w:t>台风频发对电力系统安全构成严重威胁，输电线路台风易损性研究对于提升电网韧性与保障供电稳定具有重要意义。本文以台风历史数据为依据，提出了区域性台风全过程随机模拟方法，构建考虑风速极值与风向联合分布的输电线路易损性评估框架。首先，通过建立台风起始、行进与终止全过程概率模型，达成台风路径随机模拟，并</w:t>
      </w:r>
      <w:proofErr w:type="gramStart"/>
      <w:r>
        <w:rPr>
          <w:rFonts w:hAnsi="Times New Roman"/>
        </w:rPr>
        <w:t>结合近</w:t>
      </w:r>
      <w:proofErr w:type="gramEnd"/>
      <w:r>
        <w:rPr>
          <w:rFonts w:hAnsi="Times New Roman"/>
        </w:rPr>
        <w:t>地表风场特性，生成台风年风速极值与风向的联合概率密度。再者，</w:t>
      </w:r>
      <w:r w:rsidR="000333E8">
        <w:rPr>
          <w:rFonts w:hAnsi="Times New Roman" w:hint="eastAsia"/>
        </w:rPr>
        <w:t>利用</w:t>
      </w:r>
      <w:r>
        <w:rPr>
          <w:rFonts w:hAnsi="Times New Roman"/>
        </w:rPr>
        <w:t>基于塔体失效的线路风致易损性</w:t>
      </w:r>
      <w:r w:rsidR="00F34995">
        <w:rPr>
          <w:rFonts w:hAnsi="Times New Roman" w:hint="eastAsia"/>
        </w:rPr>
        <w:t>多维</w:t>
      </w:r>
      <w:r>
        <w:rPr>
          <w:rFonts w:hAnsi="Times New Roman"/>
        </w:rPr>
        <w:t>模型，求解获得目标区域输电线路各区段差异化台风灾害失效概率。通过开展案例测试，验证了该易损性评估方法的可行性和有效性。</w:t>
      </w:r>
      <w:r w:rsidR="003D4391" w:rsidRPr="003D4391">
        <w:rPr>
          <w:rFonts w:hAnsi="Times New Roman" w:hint="eastAsia"/>
        </w:rPr>
        <w:t>研究结果表明，本文所提出的评估方法，可依据线路空间分布特征量化</w:t>
      </w:r>
      <w:proofErr w:type="gramStart"/>
      <w:r w:rsidR="003D4391" w:rsidRPr="003D4391">
        <w:rPr>
          <w:rFonts w:hAnsi="Times New Roman" w:hint="eastAsia"/>
        </w:rPr>
        <w:t>各基塔年</w:t>
      </w:r>
      <w:proofErr w:type="gramEnd"/>
      <w:r w:rsidR="003D4391" w:rsidRPr="003D4391">
        <w:rPr>
          <w:rFonts w:hAnsi="Times New Roman" w:hint="eastAsia"/>
        </w:rPr>
        <w:t>失效概率，进而</w:t>
      </w:r>
      <w:proofErr w:type="gramStart"/>
      <w:r w:rsidR="003D4391" w:rsidRPr="003D4391">
        <w:rPr>
          <w:rFonts w:hAnsi="Times New Roman" w:hint="eastAsia"/>
        </w:rPr>
        <w:t>识别高风险耐张</w:t>
      </w:r>
      <w:proofErr w:type="gramEnd"/>
      <w:r w:rsidR="003D4391" w:rsidRPr="003D4391">
        <w:rPr>
          <w:rFonts w:hAnsi="Times New Roman" w:hint="eastAsia"/>
        </w:rPr>
        <w:t>区段，并有效判别失效概率偏高的线路区间及整体失效水平</w:t>
      </w:r>
      <w:r w:rsidR="003D4391">
        <w:rPr>
          <w:rFonts w:hAnsi="Times New Roman" w:hint="eastAsia"/>
        </w:rPr>
        <w:t>，</w:t>
      </w:r>
      <w:r>
        <w:rPr>
          <w:rFonts w:hAnsi="Times New Roman"/>
        </w:rPr>
        <w:t>可为</w:t>
      </w:r>
      <w:r w:rsidR="00F87083">
        <w:rPr>
          <w:rFonts w:hAnsi="Times New Roman" w:hint="eastAsia"/>
        </w:rPr>
        <w:t>输电</w:t>
      </w:r>
      <w:r>
        <w:rPr>
          <w:rFonts w:hAnsi="Times New Roman"/>
        </w:rPr>
        <w:t>线路台风灾害防御</w:t>
      </w:r>
      <w:r w:rsidR="003D4391">
        <w:rPr>
          <w:rFonts w:hAnsi="Times New Roman" w:hint="eastAsia"/>
        </w:rPr>
        <w:t>及</w:t>
      </w:r>
      <w:r>
        <w:rPr>
          <w:rFonts w:hAnsi="Times New Roman"/>
        </w:rPr>
        <w:t>加固提供重要依据。</w:t>
      </w:r>
      <w:bookmarkEnd w:id="2"/>
    </w:p>
    <w:p w14:paraId="1331DC91" w14:textId="77777777" w:rsidR="00AA3D27" w:rsidRPr="003334EB" w:rsidRDefault="00000000" w:rsidP="008E4686">
      <w:pPr>
        <w:rPr>
          <w:rFonts w:eastAsia="楷体" w:hAnsi="楷体" w:hint="eastAsia"/>
          <w:sz w:val="18"/>
          <w:szCs w:val="18"/>
        </w:rPr>
      </w:pPr>
      <w:r w:rsidRPr="003334EB">
        <w:rPr>
          <w:rStyle w:val="af6"/>
          <w:sz w:val="18"/>
          <w:szCs w:val="18"/>
        </w:rPr>
        <w:t>关键词：</w:t>
      </w:r>
      <w:bookmarkStart w:id="3" w:name="中文关键词_2"/>
      <w:r>
        <w:rPr>
          <w:rStyle w:val="af7"/>
          <w:kern w:val="0"/>
          <w:szCs w:val="20"/>
        </w:rPr>
        <w:t>输电线路；台风灾害；易损性；台风路径；联合概率</w:t>
      </w:r>
      <w:bookmarkEnd w:id="3"/>
    </w:p>
    <w:p w14:paraId="7AE768C2" w14:textId="7A1E02DD" w:rsidR="00572DE4" w:rsidRDefault="00000000" w:rsidP="008E4686">
      <w:pPr>
        <w:rPr>
          <w:rStyle w:val="aff8"/>
          <w:sz w:val="18"/>
          <w:szCs w:val="18"/>
        </w:rPr>
      </w:pPr>
      <w:bookmarkStart w:id="4" w:name="[中图分类号]_1"/>
      <w:r w:rsidRPr="001B5BD9">
        <w:rPr>
          <w:rFonts w:ascii="黑体" w:eastAsia="黑体" w:hAnsi="黑体"/>
          <w:sz w:val="18"/>
          <w:szCs w:val="18"/>
        </w:rPr>
        <w:t>中图分类号：</w:t>
      </w:r>
      <w:r w:rsidR="006F15C5">
        <w:rPr>
          <w:rFonts w:hint="eastAsia"/>
          <w:sz w:val="18"/>
          <w:szCs w:val="18"/>
        </w:rPr>
        <w:t>TM75</w:t>
      </w:r>
      <w:r w:rsidR="00D7768F">
        <w:rPr>
          <w:rFonts w:hint="eastAsia"/>
          <w:sz w:val="18"/>
          <w:szCs w:val="18"/>
        </w:rPr>
        <w:t xml:space="preserve"> </w:t>
      </w:r>
      <w:r w:rsidRPr="00E35385">
        <w:rPr>
          <w:rFonts w:eastAsia="黑体"/>
          <w:sz w:val="18"/>
          <w:szCs w:val="18"/>
        </w:rPr>
        <w:t>文献标</w:t>
      </w:r>
      <w:r w:rsidR="00F97A49" w:rsidRPr="00E35385">
        <w:rPr>
          <w:rFonts w:eastAsia="黑体"/>
          <w:sz w:val="18"/>
          <w:szCs w:val="18"/>
        </w:rPr>
        <w:t>志</w:t>
      </w:r>
      <w:r w:rsidRPr="00E35385">
        <w:rPr>
          <w:rFonts w:eastAsia="黑体"/>
          <w:sz w:val="18"/>
          <w:szCs w:val="18"/>
        </w:rPr>
        <w:t>码：</w:t>
      </w:r>
      <w:bookmarkEnd w:id="4"/>
      <w:r w:rsidR="00E35385" w:rsidRPr="00E35385">
        <w:rPr>
          <w:rFonts w:eastAsia="黑体"/>
          <w:sz w:val="18"/>
          <w:szCs w:val="18"/>
        </w:rPr>
        <w:t>A</w:t>
      </w:r>
    </w:p>
    <w:p w14:paraId="1AAAE2A0" w14:textId="77777777" w:rsidR="00AA3D27" w:rsidRDefault="00000000" w:rsidP="008E4686">
      <w:pPr>
        <w:ind w:rightChars="150" w:right="315"/>
        <w:rPr>
          <w:rStyle w:val="aff9"/>
        </w:rPr>
      </w:pPr>
      <w:bookmarkStart w:id="5" w:name="[文章编号]_1"/>
      <w:r w:rsidRPr="001B5BD9">
        <w:rPr>
          <w:rFonts w:ascii="黑体" w:eastAsia="黑体" w:hAnsi="黑体"/>
          <w:sz w:val="18"/>
          <w:szCs w:val="18"/>
        </w:rPr>
        <w:t>文章编号：</w:t>
      </w:r>
      <w:bookmarkEnd w:id="5"/>
    </w:p>
    <w:p w14:paraId="28C4C940" w14:textId="77777777" w:rsidR="0032210F" w:rsidRDefault="00000000">
      <w:pPr>
        <w:pStyle w:val="aff0"/>
        <w:keepNext/>
        <w:spacing w:before="156" w:after="156"/>
      </w:pPr>
      <w:bookmarkStart w:id="6" w:name="一级标题序号_1"/>
      <w:bookmarkStart w:id="7" w:name="一级标题_2"/>
      <w:r>
        <w:rPr>
          <w:rStyle w:val="afffb"/>
          <w:b/>
          <w:kern w:val="0"/>
          <w:szCs w:val="20"/>
        </w:rPr>
        <w:t xml:space="preserve">1  </w:t>
      </w:r>
      <w:bookmarkEnd w:id="6"/>
      <w:r>
        <w:t>引言</w:t>
      </w:r>
      <w:bookmarkEnd w:id="7"/>
    </w:p>
    <w:p w14:paraId="20696DC6" w14:textId="4E261F68" w:rsidR="0032210F" w:rsidRDefault="00000000">
      <w:pPr>
        <w:pStyle w:val="afe"/>
        <w:ind w:firstLine="420"/>
      </w:pPr>
      <w:bookmarkStart w:id="8" w:name="正文段落_2"/>
      <w:r>
        <w:t>随着全球气候变化的持续加剧，尽管台风整体发生频次</w:t>
      </w:r>
      <w:r w:rsidR="002F3F59">
        <w:rPr>
          <w:rFonts w:hint="eastAsia"/>
        </w:rPr>
        <w:t>的</w:t>
      </w:r>
      <w:r>
        <w:t>变化趋势尚存争议，但强台风事件的强度和影响范围呈上升态势，特别是在我国东南沿海地区，台风灾害对电力系统的安全运行构成了日益严重的威胁。</w:t>
      </w:r>
      <w:r w:rsidR="00F87083" w:rsidRPr="00F87083">
        <w:rPr>
          <w:rFonts w:hint="eastAsia"/>
        </w:rPr>
        <w:t>输电线路作为电力系统的重要组成部分，长期暴露于复杂多变的自然环境中，在极端环境作用下极易发生结构损伤，严重威胁电网的运行稳定性与供电连续性</w:t>
      </w:r>
      <w:r w:rsidR="00F87083" w:rsidRPr="00254B08">
        <w:rPr>
          <w:rFonts w:hint="eastAsia"/>
          <w:vertAlign w:val="superscript"/>
        </w:rPr>
        <w:t>[1,2,</w:t>
      </w:r>
      <w:r w:rsidR="00423ED2" w:rsidRPr="00254B08">
        <w:rPr>
          <w:rFonts w:hint="eastAsia"/>
          <w:vertAlign w:val="superscript"/>
        </w:rPr>
        <w:t>3</w:t>
      </w:r>
      <w:r w:rsidR="00F87083" w:rsidRPr="00254B08">
        <w:rPr>
          <w:rFonts w:hint="eastAsia"/>
          <w:vertAlign w:val="superscript"/>
        </w:rPr>
        <w:t>]</w:t>
      </w:r>
      <w:r w:rsidR="00F87083" w:rsidRPr="00F87083">
        <w:rPr>
          <w:rFonts w:hint="eastAsia"/>
        </w:rPr>
        <w:t>。相关研究表明，随机风场对输电</w:t>
      </w:r>
      <w:proofErr w:type="gramStart"/>
      <w:r w:rsidR="00F87083" w:rsidRPr="00F87083">
        <w:rPr>
          <w:rFonts w:hint="eastAsia"/>
        </w:rPr>
        <w:t>塔结构</w:t>
      </w:r>
      <w:proofErr w:type="gramEnd"/>
      <w:r w:rsidR="00F87083" w:rsidRPr="00F87083">
        <w:rPr>
          <w:rFonts w:hint="eastAsia"/>
        </w:rPr>
        <w:t>性能和动力响应具有显著影响</w:t>
      </w:r>
      <w:r w:rsidR="00F87083" w:rsidRPr="00254B08">
        <w:rPr>
          <w:rFonts w:hint="eastAsia"/>
          <w:vertAlign w:val="superscript"/>
        </w:rPr>
        <w:t>[</w:t>
      </w:r>
      <w:r w:rsidR="00423ED2" w:rsidRPr="00254B08">
        <w:rPr>
          <w:rFonts w:hint="eastAsia"/>
          <w:vertAlign w:val="superscript"/>
        </w:rPr>
        <w:t>4</w:t>
      </w:r>
      <w:r w:rsidR="00864058">
        <w:rPr>
          <w:rFonts w:hint="eastAsia"/>
          <w:vertAlign w:val="superscript"/>
        </w:rPr>
        <w:t>,5</w:t>
      </w:r>
      <w:r w:rsidR="00F87083" w:rsidRPr="00254B08">
        <w:rPr>
          <w:rFonts w:hint="eastAsia"/>
          <w:vertAlign w:val="superscript"/>
        </w:rPr>
        <w:t>]</w:t>
      </w:r>
      <w:r w:rsidR="00F87083" w:rsidRPr="00F87083">
        <w:rPr>
          <w:rFonts w:hint="eastAsia"/>
        </w:rPr>
        <w:t>，风致损伤与破坏已成为导致电力线路中断的主要诱因之一。</w:t>
      </w:r>
      <w:bookmarkEnd w:id="8"/>
    </w:p>
    <w:p w14:paraId="26A8223A" w14:textId="3CB3DC24" w:rsidR="00855778" w:rsidRDefault="005F2F11" w:rsidP="00855778">
      <w:pPr>
        <w:pStyle w:val="afe"/>
        <w:ind w:firstLine="420"/>
      </w:pPr>
      <w:bookmarkStart w:id="9" w:name="正文段落_4"/>
      <w:r w:rsidRPr="005F2F11">
        <w:rPr>
          <w:rFonts w:hint="eastAsia"/>
        </w:rPr>
        <w:t>台风灾害具有显著的极端性与不确定性，其引发的风荷载呈现出强烈的时空变异性，受路径演变、风速波动与风向</w:t>
      </w:r>
      <w:r w:rsidR="004C153E">
        <w:rPr>
          <w:rFonts w:hint="eastAsia"/>
        </w:rPr>
        <w:t>变化</w:t>
      </w:r>
      <w:r w:rsidRPr="005F2F11">
        <w:rPr>
          <w:rFonts w:hint="eastAsia"/>
        </w:rPr>
        <w:t>等多</w:t>
      </w:r>
      <w:r w:rsidR="004C153E">
        <w:rPr>
          <w:rFonts w:hint="eastAsia"/>
        </w:rPr>
        <w:t>重</w:t>
      </w:r>
      <w:r w:rsidRPr="005F2F11">
        <w:rPr>
          <w:rFonts w:hint="eastAsia"/>
        </w:rPr>
        <w:t>因素</w:t>
      </w:r>
      <w:r w:rsidR="004C153E">
        <w:rPr>
          <w:rFonts w:hint="eastAsia"/>
        </w:rPr>
        <w:t>共同作用</w:t>
      </w:r>
      <w:r w:rsidRPr="00254B08">
        <w:rPr>
          <w:rFonts w:hint="eastAsia"/>
          <w:vertAlign w:val="superscript"/>
        </w:rPr>
        <w:t>[</w:t>
      </w:r>
      <w:r w:rsidR="00423ED2" w:rsidRPr="00254B08">
        <w:rPr>
          <w:rFonts w:hint="eastAsia"/>
          <w:vertAlign w:val="superscript"/>
        </w:rPr>
        <w:t>6</w:t>
      </w:r>
      <w:r w:rsidRPr="00254B08">
        <w:rPr>
          <w:rFonts w:hint="eastAsia"/>
          <w:vertAlign w:val="superscript"/>
        </w:rPr>
        <w:t>,</w:t>
      </w:r>
      <w:r w:rsidR="00423ED2" w:rsidRPr="00254B08">
        <w:rPr>
          <w:rFonts w:hint="eastAsia"/>
          <w:vertAlign w:val="superscript"/>
        </w:rPr>
        <w:t>7</w:t>
      </w:r>
      <w:r w:rsidRPr="00254B08">
        <w:rPr>
          <w:rFonts w:hint="eastAsia"/>
          <w:vertAlign w:val="superscript"/>
        </w:rPr>
        <w:t>]</w:t>
      </w:r>
      <w:r w:rsidR="004C153E">
        <w:rPr>
          <w:rFonts w:hint="eastAsia"/>
        </w:rPr>
        <w:t>，进而对</w:t>
      </w:r>
      <w:r w:rsidR="004C153E" w:rsidRPr="005F2F11">
        <w:rPr>
          <w:rFonts w:hint="eastAsia"/>
        </w:rPr>
        <w:t>输电</w:t>
      </w:r>
      <w:r w:rsidR="004C153E">
        <w:rPr>
          <w:rFonts w:hint="eastAsia"/>
        </w:rPr>
        <w:t>线路</w:t>
      </w:r>
      <w:r w:rsidR="004C153E" w:rsidRPr="005F2F11">
        <w:rPr>
          <w:rFonts w:hint="eastAsia"/>
        </w:rPr>
        <w:t>结构在台风过程中的动态响应与失效机制</w:t>
      </w:r>
      <w:r w:rsidR="004C153E">
        <w:rPr>
          <w:rFonts w:hint="eastAsia"/>
        </w:rPr>
        <w:t>造成影响</w:t>
      </w:r>
      <w:r w:rsidR="004C153E" w:rsidRPr="005F2F11">
        <w:rPr>
          <w:rFonts w:hint="eastAsia"/>
        </w:rPr>
        <w:t>，增加了结构性能退化</w:t>
      </w:r>
      <w:r w:rsidR="004C153E">
        <w:rPr>
          <w:rFonts w:hint="eastAsia"/>
        </w:rPr>
        <w:t>和</w:t>
      </w:r>
      <w:r w:rsidR="004C153E" w:rsidRPr="005F2F11">
        <w:rPr>
          <w:rFonts w:hint="eastAsia"/>
        </w:rPr>
        <w:t>故障</w:t>
      </w:r>
      <w:r w:rsidR="004C153E">
        <w:rPr>
          <w:rFonts w:hint="eastAsia"/>
        </w:rPr>
        <w:t>发生的风险</w:t>
      </w:r>
      <w:r w:rsidR="004C153E" w:rsidRPr="005F2F11">
        <w:rPr>
          <w:rFonts w:hint="eastAsia"/>
        </w:rPr>
        <w:t>。</w:t>
      </w:r>
      <w:r w:rsidR="00F2419D" w:rsidRPr="00F2419D">
        <w:rPr>
          <w:rFonts w:hint="eastAsia"/>
        </w:rPr>
        <w:t>当前大多数输电线路风致易损性评估工作仍基于静态或确定性风场假设，未能充分考虑台风全过程中的关键不确定性因素，导致结构失效概率评估存在系统性偏差</w:t>
      </w:r>
      <w:r w:rsidR="00D7768F">
        <w:rPr>
          <w:rFonts w:hint="eastAsia"/>
        </w:rPr>
        <w:t>。</w:t>
      </w:r>
      <w:r w:rsidR="00F2419D" w:rsidRPr="00F2419D">
        <w:rPr>
          <w:rFonts w:hint="eastAsia"/>
        </w:rPr>
        <w:t>范存新等</w:t>
      </w:r>
      <w:r w:rsidR="007F42EB" w:rsidRPr="00254B08">
        <w:rPr>
          <w:rFonts w:hint="eastAsia"/>
          <w:vertAlign w:val="superscript"/>
        </w:rPr>
        <w:t>[</w:t>
      </w:r>
      <w:r w:rsidR="00423ED2" w:rsidRPr="00254B08">
        <w:rPr>
          <w:rFonts w:hint="eastAsia"/>
          <w:vertAlign w:val="superscript"/>
        </w:rPr>
        <w:t>8</w:t>
      </w:r>
      <w:r w:rsidR="007F42EB" w:rsidRPr="00254B08">
        <w:rPr>
          <w:rFonts w:hint="eastAsia"/>
          <w:vertAlign w:val="superscript"/>
        </w:rPr>
        <w:t>]</w:t>
      </w:r>
      <w:r w:rsidR="00F2419D" w:rsidRPr="00F2419D">
        <w:rPr>
          <w:rFonts w:hint="eastAsia"/>
        </w:rPr>
        <w:t>指出</w:t>
      </w:r>
      <w:r w:rsidR="007F42EB">
        <w:rPr>
          <w:rFonts w:hint="eastAsia"/>
        </w:rPr>
        <w:t>：</w:t>
      </w:r>
      <w:r w:rsidR="00F2419D" w:rsidRPr="00F2419D">
        <w:rPr>
          <w:rFonts w:hint="eastAsia"/>
        </w:rPr>
        <w:t>单一风速变量建模难以反映风速与风向的耦合效应，</w:t>
      </w:r>
      <w:r w:rsidR="007F42EB">
        <w:rPr>
          <w:rFonts w:hint="eastAsia"/>
        </w:rPr>
        <w:t>从而</w:t>
      </w:r>
      <w:r w:rsidR="00F2419D" w:rsidRPr="00F2419D">
        <w:rPr>
          <w:rFonts w:hint="eastAsia"/>
        </w:rPr>
        <w:t>低估</w:t>
      </w:r>
      <w:r w:rsidR="00F2419D" w:rsidRPr="00F2419D">
        <w:rPr>
          <w:rFonts w:hint="eastAsia"/>
        </w:rPr>
        <w:t>极端风下的结构易损性</w:t>
      </w:r>
      <w:r w:rsidR="00F2419D">
        <w:rPr>
          <w:rFonts w:hint="eastAsia"/>
        </w:rPr>
        <w:t>；</w:t>
      </w:r>
      <w:r w:rsidR="00235784" w:rsidRPr="007E0779">
        <w:t>C</w:t>
      </w:r>
      <w:r w:rsidR="00235784" w:rsidRPr="00235784">
        <w:t>ai</w:t>
      </w:r>
      <w:r w:rsidR="00235784" w:rsidRPr="00235784">
        <w:rPr>
          <w:rFonts w:hint="eastAsia"/>
        </w:rPr>
        <w:t>等</w:t>
      </w:r>
      <w:r w:rsidR="00F2419D" w:rsidRPr="00235784">
        <w:rPr>
          <w:rFonts w:hint="eastAsia"/>
          <w:vertAlign w:val="superscript"/>
        </w:rPr>
        <w:t>[9]</w:t>
      </w:r>
      <w:r w:rsidR="00F2419D" w:rsidRPr="00235784">
        <w:rPr>
          <w:rFonts w:hint="eastAsia"/>
        </w:rPr>
        <w:t>指出</w:t>
      </w:r>
      <w:r w:rsidR="007F42EB" w:rsidRPr="00235784">
        <w:rPr>
          <w:rFonts w:hint="eastAsia"/>
        </w:rPr>
        <w:t>：</w:t>
      </w:r>
      <w:r w:rsidR="008B72B6">
        <w:rPr>
          <w:rFonts w:hint="eastAsia"/>
        </w:rPr>
        <w:t>有必要考虑</w:t>
      </w:r>
      <w:r w:rsidR="00235784" w:rsidRPr="00235784">
        <w:t>台风</w:t>
      </w:r>
      <w:r w:rsidR="00C82B8C">
        <w:rPr>
          <w:rFonts w:hint="eastAsia"/>
        </w:rPr>
        <w:t>风场时空变化</w:t>
      </w:r>
      <w:r w:rsidR="008B72B6">
        <w:rPr>
          <w:rFonts w:hint="eastAsia"/>
        </w:rPr>
        <w:t>历程</w:t>
      </w:r>
      <w:r w:rsidR="00C82B8C">
        <w:rPr>
          <w:rFonts w:hint="eastAsia"/>
        </w:rPr>
        <w:t>对输电塔线结构的影响，</w:t>
      </w:r>
      <w:r w:rsidR="008B72B6">
        <w:rPr>
          <w:rFonts w:hint="eastAsia"/>
        </w:rPr>
        <w:t>采用基于</w:t>
      </w:r>
      <w:proofErr w:type="gramStart"/>
      <w:r w:rsidR="008B72B6">
        <w:rPr>
          <w:rFonts w:hint="eastAsia"/>
        </w:rPr>
        <w:t>稳态风</w:t>
      </w:r>
      <w:proofErr w:type="gramEnd"/>
      <w:r w:rsidR="008B72B6">
        <w:rPr>
          <w:rFonts w:hint="eastAsia"/>
        </w:rPr>
        <w:t>设定的</w:t>
      </w:r>
      <w:r w:rsidR="00235784" w:rsidRPr="00235784">
        <w:t>规范</w:t>
      </w:r>
      <w:r w:rsidR="008B72B6">
        <w:rPr>
          <w:rFonts w:hint="eastAsia"/>
        </w:rPr>
        <w:t>风振</w:t>
      </w:r>
      <w:r w:rsidR="00235784" w:rsidRPr="00235784">
        <w:t>系数</w:t>
      </w:r>
      <w:r w:rsidR="008B72B6">
        <w:rPr>
          <w:rFonts w:hint="eastAsia"/>
        </w:rPr>
        <w:t>会</w:t>
      </w:r>
      <w:r w:rsidR="00235784" w:rsidRPr="00235784">
        <w:t>低估</w:t>
      </w:r>
      <w:r w:rsidR="008B72B6">
        <w:rPr>
          <w:rFonts w:hint="eastAsia"/>
        </w:rPr>
        <w:t>线路结构台风风致响应</w:t>
      </w:r>
      <w:r w:rsidR="00F2419D" w:rsidRPr="00235784">
        <w:rPr>
          <w:rFonts w:hint="eastAsia"/>
        </w:rPr>
        <w:t>；</w:t>
      </w:r>
      <w:r w:rsidR="00F2419D" w:rsidRPr="00235784">
        <w:rPr>
          <w:rFonts w:hint="eastAsia"/>
        </w:rPr>
        <w:t>Fu</w:t>
      </w:r>
      <w:r w:rsidR="00F2419D" w:rsidRPr="00235784">
        <w:rPr>
          <w:rFonts w:hint="eastAsia"/>
        </w:rPr>
        <w:t>等</w:t>
      </w:r>
      <w:r w:rsidR="007F42EB" w:rsidRPr="00235784">
        <w:rPr>
          <w:rFonts w:hint="eastAsia"/>
          <w:vertAlign w:val="superscript"/>
        </w:rPr>
        <w:t>[10]</w:t>
      </w:r>
      <w:r w:rsidR="00F2419D" w:rsidRPr="00235784">
        <w:rPr>
          <w:rFonts w:hint="eastAsia"/>
        </w:rPr>
        <w:t>指出</w:t>
      </w:r>
      <w:r w:rsidR="007F42EB" w:rsidRPr="00235784">
        <w:rPr>
          <w:rFonts w:hint="eastAsia"/>
        </w:rPr>
        <w:t>：</w:t>
      </w:r>
      <w:r w:rsidR="00F2419D" w:rsidRPr="00235784">
        <w:rPr>
          <w:rFonts w:hint="eastAsia"/>
        </w:rPr>
        <w:t>现有</w:t>
      </w:r>
      <w:r w:rsidR="007F42EB" w:rsidRPr="00235784">
        <w:rPr>
          <w:rFonts w:hint="eastAsia"/>
        </w:rPr>
        <w:t>分析</w:t>
      </w:r>
      <w:r w:rsidR="00F2419D" w:rsidRPr="00235784">
        <w:rPr>
          <w:rFonts w:hint="eastAsia"/>
        </w:rPr>
        <w:t>模型多</w:t>
      </w:r>
      <w:proofErr w:type="gramStart"/>
      <w:r w:rsidR="00F2419D" w:rsidRPr="00235784">
        <w:rPr>
          <w:rFonts w:hint="eastAsia"/>
        </w:rPr>
        <w:t>假设塔间失效</w:t>
      </w:r>
      <w:proofErr w:type="gramEnd"/>
      <w:r w:rsidR="00F2419D" w:rsidRPr="00235784">
        <w:rPr>
          <w:rFonts w:hint="eastAsia"/>
        </w:rPr>
        <w:t>独立</w:t>
      </w:r>
      <w:r w:rsidR="00F2419D" w:rsidRPr="00F2419D">
        <w:rPr>
          <w:rFonts w:hint="eastAsia"/>
        </w:rPr>
        <w:t>，忽略结构</w:t>
      </w:r>
      <w:r w:rsidR="008B72B6">
        <w:rPr>
          <w:rFonts w:hint="eastAsia"/>
        </w:rPr>
        <w:t>之</w:t>
      </w:r>
      <w:r w:rsidR="00F2419D" w:rsidRPr="00F2419D">
        <w:rPr>
          <w:rFonts w:hint="eastAsia"/>
        </w:rPr>
        <w:t>间关联性，易低估或高估系统性风险。</w:t>
      </w:r>
      <w:r w:rsidR="004C153E">
        <w:rPr>
          <w:rFonts w:hint="eastAsia"/>
        </w:rPr>
        <w:t>因此</w:t>
      </w:r>
      <w:r w:rsidR="004C153E" w:rsidRPr="00B81464">
        <w:rPr>
          <w:rFonts w:hint="eastAsia"/>
        </w:rPr>
        <w:t>开展</w:t>
      </w:r>
      <w:r w:rsidR="004C153E">
        <w:rPr>
          <w:rFonts w:hint="eastAsia"/>
        </w:rPr>
        <w:t>台风作用下</w:t>
      </w:r>
      <w:r w:rsidR="004C153E" w:rsidRPr="00B81464">
        <w:rPr>
          <w:rFonts w:hint="eastAsia"/>
        </w:rPr>
        <w:t>多变量联合建模对</w:t>
      </w:r>
      <w:r w:rsidR="007F42EB">
        <w:rPr>
          <w:rFonts w:hint="eastAsia"/>
        </w:rPr>
        <w:t>有效</w:t>
      </w:r>
      <w:r w:rsidR="004C153E" w:rsidRPr="00B81464">
        <w:rPr>
          <w:rFonts w:hint="eastAsia"/>
        </w:rPr>
        <w:t>捕捉</w:t>
      </w:r>
      <w:r w:rsidR="004C153E">
        <w:rPr>
          <w:rFonts w:hint="eastAsia"/>
        </w:rPr>
        <w:t>线路</w:t>
      </w:r>
      <w:r w:rsidR="007F42EB">
        <w:rPr>
          <w:rFonts w:hint="eastAsia"/>
        </w:rPr>
        <w:t>结构</w:t>
      </w:r>
      <w:r w:rsidR="004C153E" w:rsidRPr="00B81464">
        <w:rPr>
          <w:rFonts w:hint="eastAsia"/>
        </w:rPr>
        <w:t>风</w:t>
      </w:r>
      <w:r w:rsidR="004C153E" w:rsidRPr="00270A89">
        <w:rPr>
          <w:rFonts w:hint="eastAsia"/>
        </w:rPr>
        <w:t>致响应</w:t>
      </w:r>
      <w:r w:rsidR="007F42EB" w:rsidRPr="00270A89">
        <w:rPr>
          <w:rFonts w:hint="eastAsia"/>
        </w:rPr>
        <w:t>并准确评估其安全性</w:t>
      </w:r>
      <w:r w:rsidR="004C153E" w:rsidRPr="00270A89">
        <w:rPr>
          <w:rFonts w:hint="eastAsia"/>
        </w:rPr>
        <w:t>具有重要意义。</w:t>
      </w:r>
      <w:r w:rsidR="007F42EB" w:rsidRPr="00270A89">
        <w:rPr>
          <w:rFonts w:hint="eastAsia"/>
        </w:rPr>
        <w:t>对此，</w:t>
      </w:r>
      <w:r w:rsidR="00270A89" w:rsidRPr="00270A89">
        <w:t>Cai</w:t>
      </w:r>
      <w:r w:rsidR="00270A89" w:rsidRPr="00270A89">
        <w:t>等</w:t>
      </w:r>
      <w:r w:rsidR="00270A89" w:rsidRPr="00270A89">
        <w:rPr>
          <w:rFonts w:hint="eastAsia"/>
          <w:vertAlign w:val="superscript"/>
        </w:rPr>
        <w:t>[11]</w:t>
      </w:r>
      <w:r w:rsidR="008B72B6">
        <w:rPr>
          <w:rFonts w:hint="eastAsia"/>
        </w:rPr>
        <w:t>结合线路与风场空间效应，针对输电</w:t>
      </w:r>
      <w:proofErr w:type="gramStart"/>
      <w:r w:rsidR="008B72B6">
        <w:rPr>
          <w:rFonts w:hint="eastAsia"/>
        </w:rPr>
        <w:t>塔提出</w:t>
      </w:r>
      <w:proofErr w:type="gramEnd"/>
      <w:r w:rsidR="008B72B6">
        <w:rPr>
          <w:rFonts w:hint="eastAsia"/>
        </w:rPr>
        <w:t>了关于风速</w:t>
      </w:r>
      <w:r w:rsidR="008B72B6">
        <w:rPr>
          <w:rFonts w:hint="eastAsia"/>
        </w:rPr>
        <w:t>-</w:t>
      </w:r>
      <w:r w:rsidR="008B72B6">
        <w:rPr>
          <w:rFonts w:hint="eastAsia"/>
        </w:rPr>
        <w:t>风向角</w:t>
      </w:r>
      <w:r w:rsidR="008B72B6">
        <w:rPr>
          <w:rFonts w:hint="eastAsia"/>
        </w:rPr>
        <w:t>-</w:t>
      </w:r>
      <w:r w:rsidR="008B72B6">
        <w:rPr>
          <w:rFonts w:hint="eastAsia"/>
        </w:rPr>
        <w:t>水平档距的三维抗风能力模型，并</w:t>
      </w:r>
      <w:r w:rsidR="0028235D">
        <w:rPr>
          <w:rFonts w:hint="eastAsia"/>
        </w:rPr>
        <w:t>采用</w:t>
      </w:r>
      <w:r w:rsidR="008B72B6">
        <w:rPr>
          <w:rFonts w:hint="eastAsia"/>
        </w:rPr>
        <w:t>机器学习</w:t>
      </w:r>
      <w:r w:rsidR="0028235D">
        <w:rPr>
          <w:rFonts w:hint="eastAsia"/>
        </w:rPr>
        <w:t>方法开展了塔体抗风能力概率建模研究</w:t>
      </w:r>
      <w:r w:rsidR="00270A89" w:rsidRPr="00270A89">
        <w:rPr>
          <w:rFonts w:hint="eastAsia"/>
        </w:rPr>
        <w:t>；</w:t>
      </w:r>
      <w:r w:rsidR="004C153E" w:rsidRPr="00270A89">
        <w:rPr>
          <w:rFonts w:hint="eastAsia"/>
        </w:rPr>
        <w:t>Fu</w:t>
      </w:r>
      <w:r w:rsidR="004C153E" w:rsidRPr="00270A89">
        <w:rPr>
          <w:rFonts w:hint="eastAsia"/>
        </w:rPr>
        <w:t>等</w:t>
      </w:r>
      <w:r w:rsidR="004C153E" w:rsidRPr="00270A89">
        <w:rPr>
          <w:rFonts w:hint="eastAsia"/>
          <w:vertAlign w:val="superscript"/>
        </w:rPr>
        <w:t>[</w:t>
      </w:r>
      <w:r w:rsidR="00423ED2" w:rsidRPr="00270A89">
        <w:rPr>
          <w:rFonts w:hint="eastAsia"/>
          <w:vertAlign w:val="superscript"/>
        </w:rPr>
        <w:t>12</w:t>
      </w:r>
      <w:r w:rsidR="004C153E" w:rsidRPr="00270A89">
        <w:rPr>
          <w:rFonts w:hint="eastAsia"/>
          <w:vertAlign w:val="superscript"/>
        </w:rPr>
        <w:t>]</w:t>
      </w:r>
      <w:r w:rsidR="004C153E">
        <w:rPr>
          <w:rFonts w:hint="eastAsia"/>
        </w:rPr>
        <w:t>深入分析了风速与风向的联合效应，指出其统计相关性对输电塔的风致响应具有显著影响</w:t>
      </w:r>
      <w:r w:rsidR="007F42EB">
        <w:rPr>
          <w:rFonts w:hint="eastAsia"/>
        </w:rPr>
        <w:t>；</w:t>
      </w:r>
      <w:r w:rsidR="004C153E">
        <w:rPr>
          <w:rFonts w:hint="eastAsia"/>
        </w:rPr>
        <w:t>Rong</w:t>
      </w:r>
      <w:r w:rsidR="004C153E">
        <w:rPr>
          <w:rFonts w:hint="eastAsia"/>
        </w:rPr>
        <w:t>等</w:t>
      </w:r>
      <w:r w:rsidR="004C153E" w:rsidRPr="00254B08">
        <w:rPr>
          <w:rFonts w:hint="eastAsia"/>
          <w:vertAlign w:val="superscript"/>
        </w:rPr>
        <w:t>[</w:t>
      </w:r>
      <w:r w:rsidR="00423ED2" w:rsidRPr="00254B08">
        <w:rPr>
          <w:rFonts w:hint="eastAsia"/>
          <w:vertAlign w:val="superscript"/>
        </w:rPr>
        <w:t>13</w:t>
      </w:r>
      <w:r w:rsidR="004C153E" w:rsidRPr="00254B08">
        <w:rPr>
          <w:rFonts w:hint="eastAsia"/>
          <w:vertAlign w:val="superscript"/>
        </w:rPr>
        <w:t>]</w:t>
      </w:r>
      <w:r w:rsidR="004C153E">
        <w:rPr>
          <w:rFonts w:hint="eastAsia"/>
        </w:rPr>
        <w:t>提出了一种基于风速</w:t>
      </w:r>
      <w:r w:rsidR="007F42EB">
        <w:rPr>
          <w:rFonts w:hint="eastAsia"/>
        </w:rPr>
        <w:t>-</w:t>
      </w:r>
      <w:r w:rsidR="004C153E">
        <w:rPr>
          <w:rFonts w:hint="eastAsia"/>
        </w:rPr>
        <w:t>风向联合分布的多元构件疲劳损伤分析方法，</w:t>
      </w:r>
      <w:r w:rsidR="007F42EB">
        <w:rPr>
          <w:rFonts w:hint="eastAsia"/>
        </w:rPr>
        <w:t>研究</w:t>
      </w:r>
      <w:r w:rsidR="004C153E">
        <w:rPr>
          <w:rFonts w:hint="eastAsia"/>
        </w:rPr>
        <w:t>表明联合分布特征显著影响风致疲劳累积与结构寿命预测</w:t>
      </w:r>
      <w:r w:rsidR="007F42EB">
        <w:rPr>
          <w:rFonts w:hint="eastAsia"/>
        </w:rPr>
        <w:t>；</w:t>
      </w:r>
      <w:r w:rsidR="004C153E">
        <w:rPr>
          <w:rFonts w:hint="eastAsia"/>
        </w:rPr>
        <w:t>Zhang</w:t>
      </w:r>
      <w:r w:rsidR="004C153E">
        <w:rPr>
          <w:rFonts w:hint="eastAsia"/>
        </w:rPr>
        <w:t>等</w:t>
      </w:r>
      <w:r w:rsidR="004C153E" w:rsidRPr="00254B08">
        <w:rPr>
          <w:rFonts w:hint="eastAsia"/>
          <w:vertAlign w:val="superscript"/>
        </w:rPr>
        <w:t>[</w:t>
      </w:r>
      <w:r w:rsidR="00423ED2" w:rsidRPr="00254B08">
        <w:rPr>
          <w:rFonts w:hint="eastAsia"/>
          <w:vertAlign w:val="superscript"/>
        </w:rPr>
        <w:t>14</w:t>
      </w:r>
      <w:r w:rsidR="004C153E" w:rsidRPr="00254B08">
        <w:rPr>
          <w:rFonts w:hint="eastAsia"/>
          <w:vertAlign w:val="superscript"/>
        </w:rPr>
        <w:t>]</w:t>
      </w:r>
      <w:r w:rsidR="005F377F">
        <w:rPr>
          <w:rFonts w:hint="eastAsia"/>
        </w:rPr>
        <w:t>探究了</w:t>
      </w:r>
      <w:r w:rsidR="004C153E">
        <w:rPr>
          <w:rFonts w:hint="eastAsia"/>
        </w:rPr>
        <w:t>风速、风向与结构动态响应之间</w:t>
      </w:r>
      <w:r w:rsidR="005F377F">
        <w:rPr>
          <w:rFonts w:hint="eastAsia"/>
        </w:rPr>
        <w:t>的</w:t>
      </w:r>
      <w:r w:rsidR="004C153E">
        <w:rPr>
          <w:rFonts w:hint="eastAsia"/>
        </w:rPr>
        <w:t>复杂耦合关系</w:t>
      </w:r>
      <w:r w:rsidR="005F377F">
        <w:rPr>
          <w:rFonts w:hint="eastAsia"/>
        </w:rPr>
        <w:t>并指出其</w:t>
      </w:r>
      <w:r w:rsidR="004C153E">
        <w:rPr>
          <w:rFonts w:hint="eastAsia"/>
        </w:rPr>
        <w:t>对易损性曲线</w:t>
      </w:r>
      <w:r w:rsidR="005F377F">
        <w:rPr>
          <w:rFonts w:hint="eastAsia"/>
        </w:rPr>
        <w:t>特性造成</w:t>
      </w:r>
      <w:r w:rsidR="004C153E">
        <w:rPr>
          <w:rFonts w:hint="eastAsia"/>
        </w:rPr>
        <w:t>关键</w:t>
      </w:r>
      <w:r w:rsidR="005F377F">
        <w:rPr>
          <w:rFonts w:hint="eastAsia"/>
        </w:rPr>
        <w:t>影响；</w:t>
      </w:r>
      <w:r w:rsidR="004C153E">
        <w:rPr>
          <w:rFonts w:hint="eastAsia"/>
        </w:rPr>
        <w:t>卞荣等</w:t>
      </w:r>
      <w:r w:rsidR="004C153E" w:rsidRPr="00254B08">
        <w:rPr>
          <w:rFonts w:hint="eastAsia"/>
          <w:vertAlign w:val="superscript"/>
        </w:rPr>
        <w:t>[</w:t>
      </w:r>
      <w:r w:rsidR="00423ED2" w:rsidRPr="00254B08">
        <w:rPr>
          <w:rFonts w:hint="eastAsia"/>
          <w:vertAlign w:val="superscript"/>
        </w:rPr>
        <w:t>15</w:t>
      </w:r>
      <w:r w:rsidR="004C153E" w:rsidRPr="00254B08">
        <w:rPr>
          <w:rFonts w:hint="eastAsia"/>
          <w:vertAlign w:val="superscript"/>
        </w:rPr>
        <w:t>]</w:t>
      </w:r>
      <w:r w:rsidR="004C153E">
        <w:rPr>
          <w:rFonts w:hint="eastAsia"/>
        </w:rPr>
        <w:t>结合现场监测数据与数值模拟，构建了风速</w:t>
      </w:r>
      <w:r w:rsidR="005F377F">
        <w:rPr>
          <w:rFonts w:hint="eastAsia"/>
        </w:rPr>
        <w:t>-</w:t>
      </w:r>
      <w:r w:rsidR="004C153E">
        <w:rPr>
          <w:rFonts w:hint="eastAsia"/>
        </w:rPr>
        <w:t>风向联合概率模型，</w:t>
      </w:r>
      <w:r w:rsidR="005F377F">
        <w:rPr>
          <w:rFonts w:hint="eastAsia"/>
        </w:rPr>
        <w:t>阐明了</w:t>
      </w:r>
      <w:r w:rsidR="004C153E">
        <w:rPr>
          <w:rFonts w:hint="eastAsia"/>
        </w:rPr>
        <w:t>其</w:t>
      </w:r>
      <w:proofErr w:type="gramStart"/>
      <w:r w:rsidR="004C153E">
        <w:rPr>
          <w:rFonts w:hint="eastAsia"/>
        </w:rPr>
        <w:t>在风偏响应</w:t>
      </w:r>
      <w:proofErr w:type="gramEnd"/>
      <w:r w:rsidR="004C153E">
        <w:rPr>
          <w:rFonts w:hint="eastAsia"/>
        </w:rPr>
        <w:t>预测中的</w:t>
      </w:r>
      <w:r w:rsidR="005F377F">
        <w:rPr>
          <w:rFonts w:hint="eastAsia"/>
        </w:rPr>
        <w:t>重要性</w:t>
      </w:r>
      <w:r w:rsidR="004C153E">
        <w:rPr>
          <w:rFonts w:hint="eastAsia"/>
        </w:rPr>
        <w:t>。</w:t>
      </w:r>
    </w:p>
    <w:p w14:paraId="28D04F48" w14:textId="3022A76F" w:rsidR="00B81464" w:rsidRDefault="005F377F" w:rsidP="005E2B23">
      <w:pPr>
        <w:pStyle w:val="afe"/>
        <w:ind w:firstLine="420"/>
      </w:pPr>
      <w:r w:rsidRPr="005F2F11">
        <w:rPr>
          <w:rFonts w:hint="eastAsia"/>
        </w:rPr>
        <w:t>当前研究在风场不确定性表达、多因素耦合机制建模与结构系统效应识别方面仍</w:t>
      </w:r>
      <w:r>
        <w:rPr>
          <w:rFonts w:hint="eastAsia"/>
        </w:rPr>
        <w:t>有待深入。</w:t>
      </w:r>
      <w:r w:rsidRPr="005F2F11">
        <w:rPr>
          <w:rFonts w:hint="eastAsia"/>
        </w:rPr>
        <w:t>仅基于单一荷载因子构建失效模型，</w:t>
      </w:r>
      <w:r>
        <w:rPr>
          <w:rFonts w:hint="eastAsia"/>
        </w:rPr>
        <w:t>不</w:t>
      </w:r>
      <w:r w:rsidRPr="005F2F11">
        <w:rPr>
          <w:rFonts w:hint="eastAsia"/>
        </w:rPr>
        <w:t>系统考虑风速、风向及其时间演化之间的统计相关性，</w:t>
      </w:r>
      <w:r>
        <w:rPr>
          <w:rFonts w:hint="eastAsia"/>
        </w:rPr>
        <w:t>将</w:t>
      </w:r>
      <w:r w:rsidRPr="005F2F11">
        <w:rPr>
          <w:rFonts w:hint="eastAsia"/>
        </w:rPr>
        <w:t>导致</w:t>
      </w:r>
      <w:r>
        <w:rPr>
          <w:rFonts w:hint="eastAsia"/>
        </w:rPr>
        <w:t>易损性</w:t>
      </w:r>
      <w:r w:rsidRPr="005F2F11">
        <w:rPr>
          <w:rFonts w:hint="eastAsia"/>
        </w:rPr>
        <w:t>评估结果</w:t>
      </w:r>
      <w:r>
        <w:rPr>
          <w:rFonts w:hint="eastAsia"/>
        </w:rPr>
        <w:t>在</w:t>
      </w:r>
      <w:r w:rsidRPr="005F2F11">
        <w:rPr>
          <w:rFonts w:hint="eastAsia"/>
        </w:rPr>
        <w:t>全面性与稳定性方面</w:t>
      </w:r>
      <w:r>
        <w:rPr>
          <w:rFonts w:hint="eastAsia"/>
        </w:rPr>
        <w:t>不足</w:t>
      </w:r>
      <w:r w:rsidRPr="005F2F11">
        <w:rPr>
          <w:rFonts w:hint="eastAsia"/>
        </w:rPr>
        <w:t>。</w:t>
      </w:r>
      <w:r w:rsidR="00E36738">
        <w:rPr>
          <w:rFonts w:hint="eastAsia"/>
        </w:rPr>
        <w:t>Kim</w:t>
      </w:r>
      <w:r w:rsidR="00E36738" w:rsidRPr="00E36738">
        <w:t>等</w:t>
      </w:r>
      <w:r w:rsidR="00E36738" w:rsidRPr="00E36738">
        <w:rPr>
          <w:rFonts w:hint="eastAsia"/>
          <w:vertAlign w:val="superscript"/>
        </w:rPr>
        <w:t>[16]</w:t>
      </w:r>
      <w:r w:rsidR="00E36738" w:rsidRPr="00E36738">
        <w:t>指出</w:t>
      </w:r>
      <w:r w:rsidR="00630CFD" w:rsidRPr="00630CFD">
        <w:rPr>
          <w:rFonts w:hint="eastAsia"/>
        </w:rPr>
        <w:t>在台风引发的输电塔多点失效背景下，若忽视因结构设计相近与风场特性相似而导致的故障相关性，将难以准确评估实际风灾风险</w:t>
      </w:r>
      <w:r w:rsidR="00E36738" w:rsidRPr="00E36738">
        <w:t>。</w:t>
      </w:r>
      <w:r w:rsidRPr="005F2F11">
        <w:rPr>
          <w:rFonts w:hint="eastAsia"/>
        </w:rPr>
        <w:t>Bi</w:t>
      </w:r>
      <w:r w:rsidRPr="005F2F11">
        <w:rPr>
          <w:rFonts w:hint="eastAsia"/>
        </w:rPr>
        <w:t>等</w:t>
      </w:r>
      <w:r w:rsidRPr="00254B08">
        <w:rPr>
          <w:rFonts w:hint="eastAsia"/>
          <w:vertAlign w:val="superscript"/>
        </w:rPr>
        <w:t>[</w:t>
      </w:r>
      <w:r w:rsidR="00423ED2" w:rsidRPr="00254B08">
        <w:rPr>
          <w:rFonts w:hint="eastAsia"/>
          <w:vertAlign w:val="superscript"/>
        </w:rPr>
        <w:t>1</w:t>
      </w:r>
      <w:r w:rsidR="00E36738">
        <w:rPr>
          <w:rFonts w:hint="eastAsia"/>
          <w:vertAlign w:val="superscript"/>
        </w:rPr>
        <w:t>7</w:t>
      </w:r>
      <w:r w:rsidRPr="00254B08">
        <w:rPr>
          <w:rFonts w:hint="eastAsia"/>
          <w:vertAlign w:val="superscript"/>
        </w:rPr>
        <w:t>]</w:t>
      </w:r>
      <w:r w:rsidRPr="005F2F11">
        <w:rPr>
          <w:rFonts w:hint="eastAsia"/>
        </w:rPr>
        <w:t>指出在缺乏多变量联合建模的情况下，结构失效概率容易被高估或低估，进而影响灾害风险控制的科学性与有效性。</w:t>
      </w:r>
      <w:r w:rsidRPr="005F2F11">
        <w:rPr>
          <w:rFonts w:hint="eastAsia"/>
        </w:rPr>
        <w:t>Li</w:t>
      </w:r>
      <w:r w:rsidRPr="005F2F11">
        <w:rPr>
          <w:rFonts w:hint="eastAsia"/>
        </w:rPr>
        <w:t>等</w:t>
      </w:r>
      <w:r w:rsidRPr="00254B08">
        <w:rPr>
          <w:rFonts w:hint="eastAsia"/>
          <w:vertAlign w:val="superscript"/>
        </w:rPr>
        <w:t>[</w:t>
      </w:r>
      <w:r w:rsidR="00423ED2" w:rsidRPr="00254B08">
        <w:rPr>
          <w:rFonts w:hint="eastAsia"/>
          <w:vertAlign w:val="superscript"/>
        </w:rPr>
        <w:t>1</w:t>
      </w:r>
      <w:r w:rsidR="00E36738">
        <w:rPr>
          <w:rFonts w:hint="eastAsia"/>
          <w:vertAlign w:val="superscript"/>
        </w:rPr>
        <w:t>8</w:t>
      </w:r>
      <w:r w:rsidRPr="00254B08">
        <w:rPr>
          <w:rFonts w:hint="eastAsia"/>
          <w:vertAlign w:val="superscript"/>
        </w:rPr>
        <w:t>]</w:t>
      </w:r>
      <w:r w:rsidRPr="005F2F11">
        <w:rPr>
          <w:rFonts w:hint="eastAsia"/>
        </w:rPr>
        <w:t>强调若未将风致疲劳效应与服役期内的累积损伤纳入评估体系，结构</w:t>
      </w:r>
      <w:r w:rsidR="00504600">
        <w:rPr>
          <w:rFonts w:hint="eastAsia"/>
        </w:rPr>
        <w:t>易损</w:t>
      </w:r>
      <w:r w:rsidRPr="005F2F11">
        <w:rPr>
          <w:rFonts w:hint="eastAsia"/>
        </w:rPr>
        <w:t>性将被系统性低估。</w:t>
      </w:r>
      <w:r w:rsidR="00DD6852" w:rsidRPr="00DD6852">
        <w:t>Dikshit</w:t>
      </w:r>
      <w:r w:rsidRPr="005F2F11">
        <w:rPr>
          <w:rFonts w:hint="eastAsia"/>
        </w:rPr>
        <w:t>等</w:t>
      </w:r>
      <w:r w:rsidRPr="00254B08">
        <w:rPr>
          <w:rFonts w:hint="eastAsia"/>
          <w:vertAlign w:val="superscript"/>
        </w:rPr>
        <w:t>[</w:t>
      </w:r>
      <w:r w:rsidR="00423ED2" w:rsidRPr="00254B08">
        <w:rPr>
          <w:rFonts w:hint="eastAsia"/>
          <w:vertAlign w:val="superscript"/>
        </w:rPr>
        <w:t>1</w:t>
      </w:r>
      <w:r w:rsidR="00E36738">
        <w:rPr>
          <w:rFonts w:hint="eastAsia"/>
          <w:vertAlign w:val="superscript"/>
        </w:rPr>
        <w:t>9</w:t>
      </w:r>
      <w:r w:rsidRPr="00254B08">
        <w:rPr>
          <w:rFonts w:hint="eastAsia"/>
          <w:vertAlign w:val="superscript"/>
        </w:rPr>
        <w:t>]</w:t>
      </w:r>
      <w:r w:rsidR="00630CFD">
        <w:rPr>
          <w:rFonts w:hint="eastAsia"/>
        </w:rPr>
        <w:t>指出</w:t>
      </w:r>
      <w:r w:rsidR="00630CFD" w:rsidRPr="00630CFD">
        <w:rPr>
          <w:rFonts w:hint="eastAsia"/>
        </w:rPr>
        <w:t>为提升电力系统在复杂灾害情境下的响应能力与模型适应性，有必要构建面向多灾种情景的耦合建模与评估框架</w:t>
      </w:r>
      <w:r>
        <w:rPr>
          <w:rFonts w:hint="eastAsia"/>
        </w:rPr>
        <w:t>。这</w:t>
      </w:r>
      <w:r w:rsidRPr="005F2F11">
        <w:rPr>
          <w:rFonts w:hint="eastAsia"/>
        </w:rPr>
        <w:t>对输电线路台风易损性建模具有重要启示与借鉴价值。</w:t>
      </w:r>
      <w:bookmarkStart w:id="10" w:name="正文段落_6"/>
      <w:bookmarkEnd w:id="9"/>
    </w:p>
    <w:p w14:paraId="72DD9390" w14:textId="3C7E1B53" w:rsidR="00504600" w:rsidRDefault="00504600">
      <w:pPr>
        <w:pStyle w:val="afe"/>
        <w:ind w:firstLine="420"/>
      </w:pPr>
      <w:r w:rsidRPr="00504600">
        <w:rPr>
          <w:rFonts w:hint="eastAsia"/>
        </w:rPr>
        <w:t>综上，风速与风向的联合概率特性在台风灾害下输电线路结构易损性评估中具有关键作用，凸显了多变量联合建模在风灾风险分析中的必要性。当前亟需建立一种融合台风全过程演化、结构响应动态特征与失效机制概率建模的综合评估方法，以突</w:t>
      </w:r>
      <w:r w:rsidRPr="00504600">
        <w:rPr>
          <w:rFonts w:hint="eastAsia"/>
        </w:rPr>
        <w:lastRenderedPageBreak/>
        <w:t>破传统方法在不确定性刻画与失效概率识别方面的局限，实现对输电线路在极端台风作用</w:t>
      </w:r>
      <w:proofErr w:type="gramStart"/>
      <w:r w:rsidRPr="00504600">
        <w:rPr>
          <w:rFonts w:hint="eastAsia"/>
        </w:rPr>
        <w:t>下风险</w:t>
      </w:r>
      <w:proofErr w:type="gramEnd"/>
      <w:r w:rsidRPr="00504600">
        <w:rPr>
          <w:rFonts w:hint="eastAsia"/>
        </w:rPr>
        <w:t>水平的精确表征。</w:t>
      </w:r>
      <w:bookmarkStart w:id="11" w:name="正文段落_8"/>
      <w:bookmarkEnd w:id="10"/>
    </w:p>
    <w:p w14:paraId="575CBB8B" w14:textId="0372707A" w:rsidR="0032210F" w:rsidRDefault="00000000">
      <w:pPr>
        <w:pStyle w:val="afe"/>
        <w:ind w:firstLine="420"/>
      </w:pPr>
      <w:r>
        <w:t>针对上述问题，本文提出一种基于台风全过程的输电线路易损性评估方法。该方法融合台风路径演化过程建模、近地表台风风场</w:t>
      </w:r>
      <w:r w:rsidR="00630CFD">
        <w:rPr>
          <w:rFonts w:hint="eastAsia"/>
        </w:rPr>
        <w:t>变换</w:t>
      </w:r>
      <w:r>
        <w:t>、风速</w:t>
      </w:r>
      <w:r>
        <w:t>-</w:t>
      </w:r>
      <w:r>
        <w:t>风向联合概率生成与基于线路空间分布特征的区段差异化</w:t>
      </w:r>
      <w:r w:rsidR="00630CFD">
        <w:rPr>
          <w:rFonts w:hint="eastAsia"/>
        </w:rPr>
        <w:t>失效评估</w:t>
      </w:r>
      <w:r>
        <w:t>，系统捕捉风场时空随机性对输电系统安全性的影响，为台风灾害下的电网风险识别、防御策略制定及结构加固设计提供更具实效性的理论支持与数据依据。</w:t>
      </w:r>
      <w:bookmarkEnd w:id="11"/>
    </w:p>
    <w:p w14:paraId="1B939685" w14:textId="77777777" w:rsidR="0032210F" w:rsidRDefault="00000000">
      <w:pPr>
        <w:pStyle w:val="aff0"/>
        <w:keepNext/>
        <w:spacing w:before="156" w:after="156"/>
      </w:pPr>
      <w:bookmarkStart w:id="12" w:name="一级标题序号_2"/>
      <w:bookmarkStart w:id="13" w:name="一级标题_4"/>
      <w:r>
        <w:rPr>
          <w:rStyle w:val="afffb"/>
          <w:b/>
          <w:kern w:val="0"/>
          <w:szCs w:val="20"/>
        </w:rPr>
        <w:t xml:space="preserve">2  </w:t>
      </w:r>
      <w:bookmarkEnd w:id="12"/>
      <w:r>
        <w:t>基于台风全过程的输电线路易损性评估框架</w:t>
      </w:r>
      <w:bookmarkEnd w:id="13"/>
    </w:p>
    <w:p w14:paraId="080229B0" w14:textId="57CC39ED" w:rsidR="002D1EB9" w:rsidRDefault="00000000" w:rsidP="002D1EB9">
      <w:pPr>
        <w:pStyle w:val="afe"/>
        <w:ind w:firstLine="420"/>
      </w:pPr>
      <w:bookmarkStart w:id="14" w:name="正文段落_10"/>
      <w:r>
        <w:t>本文构建了一种面向台风全过程的输电线路易损性评估框架。该框架以区域历史台风实测资料为基础，采用随机模拟方法生成大量具有代表性的虚拟台风事件，以扩展样本空间并增强统计稳健性。随后，通过近地</w:t>
      </w:r>
      <w:r w:rsidR="008807CF">
        <w:rPr>
          <w:rFonts w:hint="eastAsia"/>
        </w:rPr>
        <w:t>表</w:t>
      </w:r>
      <w:r>
        <w:t>风场解析模型提取目标区域在各台风事件下的风速极值与风向样本，建立考虑风速</w:t>
      </w:r>
      <w:r>
        <w:t>-</w:t>
      </w:r>
      <w:r>
        <w:t>风向联合分布特征的区域风场概率模型。在此基础</w:t>
      </w:r>
      <w:r>
        <w:t>上，结合多维易损性函数与概率卷积方法，量化不同输电塔位在台风作用下的结构失效概率，形成风荷载</w:t>
      </w:r>
      <w:r>
        <w:t>-</w:t>
      </w:r>
      <w:r>
        <w:t>结构响应</w:t>
      </w:r>
      <w:r>
        <w:t>-</w:t>
      </w:r>
      <w:r>
        <w:t>失效概率的系统性耦合分析链。通过</w:t>
      </w:r>
      <w:proofErr w:type="gramStart"/>
      <w:r>
        <w:t>多事件</w:t>
      </w:r>
      <w:proofErr w:type="gramEnd"/>
      <w:r>
        <w:t>模拟与统计汇总，评估线路不同区段在</w:t>
      </w:r>
      <w:proofErr w:type="gramStart"/>
      <w:r>
        <w:t>多事件</w:t>
      </w:r>
      <w:proofErr w:type="gramEnd"/>
      <w:r>
        <w:t>累计下的年均易损性，从而实现对输电线路在长期服役期内的台风风险定量识别与空间分布特征刻画。</w:t>
      </w:r>
      <w:bookmarkStart w:id="15" w:name="正文段落_12"/>
      <w:bookmarkEnd w:id="14"/>
    </w:p>
    <w:p w14:paraId="3C8B8A94" w14:textId="50D72B83" w:rsidR="002D1EB9" w:rsidRDefault="002D1EB9" w:rsidP="002D1EB9">
      <w:pPr>
        <w:pStyle w:val="afe"/>
        <w:ind w:firstLine="420"/>
      </w:pPr>
      <w:r>
        <w:rPr>
          <w:rFonts w:hint="eastAsia"/>
        </w:rPr>
        <w:t>如</w:t>
      </w:r>
      <w:r>
        <w:t>图</w:t>
      </w:r>
      <w:r>
        <w:t>1</w:t>
      </w:r>
      <w:r>
        <w:t>所示，该评估框架包含四大模块：</w:t>
      </w:r>
      <w:r>
        <w:rPr>
          <w:rFonts w:ascii="宋体" w:hAnsi="宋体" w:cs="宋体"/>
        </w:rPr>
        <w:t>①</w:t>
      </w:r>
      <w:r>
        <w:t>基于区域历史数据的台风路径随机模拟；</w:t>
      </w:r>
      <w:r>
        <w:rPr>
          <w:rFonts w:ascii="宋体" w:hAnsi="宋体" w:cs="宋体"/>
        </w:rPr>
        <w:t>②</w:t>
      </w:r>
      <w:proofErr w:type="gramStart"/>
      <w:r>
        <w:t>基于近</w:t>
      </w:r>
      <w:proofErr w:type="gramEnd"/>
      <w:r>
        <w:t>地表风场特性的风速</w:t>
      </w:r>
      <w:r>
        <w:t>-</w:t>
      </w:r>
      <w:r>
        <w:t>风向联合概率建模；</w:t>
      </w:r>
      <w:r>
        <w:rPr>
          <w:rFonts w:ascii="宋体" w:hAnsi="宋体" w:cs="宋体"/>
        </w:rPr>
        <w:t>③</w:t>
      </w:r>
      <w:r>
        <w:t>面向输电</w:t>
      </w:r>
      <w:proofErr w:type="gramStart"/>
      <w:r>
        <w:t>塔结构</w:t>
      </w:r>
      <w:proofErr w:type="gramEnd"/>
      <w:r>
        <w:t>失效的线路易损性函数构建与求解；</w:t>
      </w:r>
      <w:r>
        <w:rPr>
          <w:rFonts w:eastAsiaTheme="minorEastAsia"/>
          <w:bCs/>
          <w:szCs w:val="21"/>
        </w:rPr>
        <w:fldChar w:fldCharType="begin"/>
      </w:r>
      <w:r>
        <w:instrText xml:space="preserve"> = 4 \* GB3 </w:instrText>
      </w:r>
      <w:r>
        <w:rPr>
          <w:rFonts w:eastAsiaTheme="minorEastAsia"/>
          <w:bCs/>
          <w:szCs w:val="21"/>
        </w:rPr>
        <w:fldChar w:fldCharType="separate"/>
      </w:r>
      <w:r w:rsidR="002E387E">
        <w:rPr>
          <w:rFonts w:hint="eastAsia"/>
          <w:noProof/>
        </w:rPr>
        <w:t>④</w:t>
      </w:r>
      <w:r>
        <w:rPr>
          <w:rFonts w:eastAsiaTheme="minorEastAsia"/>
          <w:bCs/>
          <w:szCs w:val="21"/>
        </w:rPr>
        <w:fldChar w:fldCharType="end"/>
      </w:r>
      <w:r>
        <w:t>考虑年</w:t>
      </w:r>
      <w:proofErr w:type="gramStart"/>
      <w:r>
        <w:t>概率级</w:t>
      </w:r>
      <w:proofErr w:type="gramEnd"/>
      <w:r>
        <w:t>的输电线路区间易损性差异化分析。该框架在风场建模阶段引入了台风路径、风速和风向的联合不确定性表达，在结构响应阶段构建考虑</w:t>
      </w:r>
      <w:proofErr w:type="gramStart"/>
      <w:r>
        <w:t>多事件</w:t>
      </w:r>
      <w:proofErr w:type="gramEnd"/>
      <w:r>
        <w:t>累积作用的年</w:t>
      </w:r>
      <w:proofErr w:type="gramStart"/>
      <w:r>
        <w:t>概率级风险</w:t>
      </w:r>
      <w:proofErr w:type="gramEnd"/>
      <w:r>
        <w:t>评估路径，在空间识别阶段实现线路区段易损性分级与对比分析，克服了传统评估中对台风演化过程表征不足与结构易损性静态分析的局限，提升了多情景下的评估适应性与灾害风险识别能力。接下来，将结合案例对上述各模块进行阐述和验证分</w:t>
      </w:r>
      <w:r w:rsidR="00941C23">
        <w:rPr>
          <w:rFonts w:hint="eastAsia"/>
        </w:rPr>
        <w:t>析。</w:t>
      </w:r>
    </w:p>
    <w:p w14:paraId="50502735" w14:textId="77777777" w:rsidR="002D1EB9" w:rsidRDefault="002D1EB9" w:rsidP="002D1EB9">
      <w:pPr>
        <w:pStyle w:val="affff0"/>
        <w:keepLines/>
        <w:sectPr w:rsidR="002D1EB9" w:rsidSect="002D1EB9">
          <w:endnotePr>
            <w:numFmt w:val="decimal"/>
          </w:endnotePr>
          <w:type w:val="continuous"/>
          <w:pgSz w:w="11906" w:h="16838" w:code="9"/>
          <w:pgMar w:top="1701" w:right="1134" w:bottom="1134" w:left="1134" w:header="992" w:footer="992" w:gutter="0"/>
          <w:cols w:num="2" w:space="420"/>
          <w:docGrid w:type="lines" w:linePitch="312"/>
        </w:sectPr>
      </w:pPr>
    </w:p>
    <w:p w14:paraId="2DFCF51F" w14:textId="5FFF06BC" w:rsidR="002D1EB9" w:rsidRDefault="00AB60C3" w:rsidP="002D1EB9">
      <w:pPr>
        <w:pStyle w:val="affff0"/>
        <w:keepLines/>
      </w:pPr>
      <w:r>
        <w:rPr>
          <w:noProof/>
        </w:rPr>
        <w:drawing>
          <wp:inline distT="0" distB="0" distL="0" distR="0" wp14:anchorId="55B24598" wp14:editId="0FCDEE15">
            <wp:extent cx="6126834" cy="3295650"/>
            <wp:effectExtent l="0" t="0" r="7620" b="0"/>
            <wp:docPr id="106441133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411339" name="图片 1064411339"/>
                    <pic:cNvPicPr/>
                  </pic:nvPicPr>
                  <pic:blipFill>
                    <a:blip r:embed="rId13"/>
                    <a:stretch>
                      <a:fillRect/>
                    </a:stretch>
                  </pic:blipFill>
                  <pic:spPr>
                    <a:xfrm>
                      <a:off x="0" y="0"/>
                      <a:ext cx="6126834" cy="3295650"/>
                    </a:xfrm>
                    <a:prstGeom prst="rect">
                      <a:avLst/>
                    </a:prstGeom>
                  </pic:spPr>
                </pic:pic>
              </a:graphicData>
            </a:graphic>
          </wp:inline>
        </w:drawing>
      </w:r>
    </w:p>
    <w:p w14:paraId="5C546A12" w14:textId="2EFB3E13" w:rsidR="002D1EB9" w:rsidRPr="00C07A28" w:rsidRDefault="002D1EB9" w:rsidP="002D1EB9">
      <w:pPr>
        <w:pStyle w:val="affff0"/>
        <w:keepLines/>
      </w:pPr>
      <w:r>
        <w:t>图</w:t>
      </w:r>
      <w:r>
        <w:t xml:space="preserve">1 </w:t>
      </w:r>
      <w:r>
        <w:t>基于台风全过程的输电线路</w:t>
      </w:r>
      <w:r>
        <w:rPr>
          <w:rFonts w:hint="eastAsia"/>
        </w:rPr>
        <w:t>区段</w:t>
      </w:r>
      <w:r>
        <w:t>差异化易损性评估框架</w:t>
      </w:r>
    </w:p>
    <w:p w14:paraId="2D761D24" w14:textId="77777777" w:rsidR="002D1EB9" w:rsidRDefault="002D1EB9" w:rsidP="002D1EB9">
      <w:pPr>
        <w:pStyle w:val="afe"/>
        <w:ind w:firstLineChars="0" w:firstLine="0"/>
        <w:sectPr w:rsidR="002D1EB9" w:rsidSect="002D1EB9">
          <w:endnotePr>
            <w:numFmt w:val="decimal"/>
          </w:endnotePr>
          <w:type w:val="continuous"/>
          <w:pgSz w:w="11906" w:h="16838" w:code="9"/>
          <w:pgMar w:top="1701" w:right="1134" w:bottom="1134" w:left="1134" w:header="992" w:footer="992" w:gutter="0"/>
          <w:cols w:space="420"/>
          <w:docGrid w:type="lines" w:linePitch="312"/>
        </w:sectPr>
      </w:pPr>
    </w:p>
    <w:p w14:paraId="22BB1C71" w14:textId="1B8BC5CB" w:rsidR="00941C23" w:rsidRDefault="00941C23" w:rsidP="00C01E85">
      <w:pPr>
        <w:pStyle w:val="aff0"/>
        <w:keepNext/>
        <w:spacing w:before="156" w:after="156"/>
      </w:pPr>
      <w:bookmarkStart w:id="16" w:name="二级标题序号_4"/>
      <w:bookmarkStart w:id="17" w:name="二级标题_2"/>
      <w:bookmarkEnd w:id="15"/>
      <w:r>
        <w:rPr>
          <w:rStyle w:val="afffb"/>
          <w:b/>
          <w:kern w:val="0"/>
          <w:szCs w:val="20"/>
        </w:rPr>
        <w:t xml:space="preserve">3  </w:t>
      </w:r>
      <w:r w:rsidRPr="00C01E85">
        <w:rPr>
          <w:rStyle w:val="afffb"/>
          <w:b/>
          <w:kern w:val="0"/>
          <w:szCs w:val="20"/>
        </w:rPr>
        <w:t>台风路径随机模拟</w:t>
      </w:r>
    </w:p>
    <w:p w14:paraId="5260F796" w14:textId="00F8AB1B" w:rsidR="0032210F" w:rsidRDefault="00000000">
      <w:pPr>
        <w:pStyle w:val="aff1"/>
        <w:keepNext/>
      </w:pPr>
      <w:r>
        <w:rPr>
          <w:rStyle w:val="affff3"/>
          <w:b/>
          <w:szCs w:val="20"/>
        </w:rPr>
        <w:t xml:space="preserve">3.1  </w:t>
      </w:r>
      <w:bookmarkEnd w:id="16"/>
      <w:r>
        <w:t>全过程概率建模</w:t>
      </w:r>
      <w:bookmarkEnd w:id="17"/>
    </w:p>
    <w:p w14:paraId="6D072775" w14:textId="3EE04FFB" w:rsidR="0032210F" w:rsidRDefault="00000000">
      <w:pPr>
        <w:pStyle w:val="afe"/>
        <w:ind w:firstLine="420"/>
      </w:pPr>
      <w:bookmarkStart w:id="18" w:name="正文段落_14"/>
      <w:r>
        <w:t>台风路径模拟的本质在于全过程关键参数的概率建模，其中</w:t>
      </w:r>
      <w:r>
        <w:t>“</w:t>
      </w:r>
      <w:r>
        <w:t>全过程</w:t>
      </w:r>
      <w:r>
        <w:t>”</w:t>
      </w:r>
      <w:r>
        <w:t>指台风从生成、移动、发</w:t>
      </w:r>
      <w:r>
        <w:t>展到终止的完整生命周期。基于中国气象局热带气旋资料中心提供的西北太平洋地区台风最佳路径数据（</w:t>
      </w:r>
      <w:r>
        <w:t>1949</w:t>
      </w:r>
      <w:r w:rsidR="007D0931" w:rsidRPr="002B2739">
        <w:t>~</w:t>
      </w:r>
      <w:r>
        <w:t>2024</w:t>
      </w:r>
      <w:r>
        <w:t>年）与台风尺度数据（</w:t>
      </w:r>
      <w:r>
        <w:t>1981</w:t>
      </w:r>
      <w:r w:rsidR="007D0931" w:rsidRPr="002B2739">
        <w:t>~</w:t>
      </w:r>
      <w:r>
        <w:t>2020</w:t>
      </w:r>
      <w:r>
        <w:t>年），本文选取五项代表性参数进行建模</w:t>
      </w:r>
      <w:r w:rsidR="007A70E4">
        <w:rPr>
          <w:rFonts w:hint="eastAsia"/>
        </w:rPr>
        <w:t>，即</w:t>
      </w:r>
      <w:r>
        <w:t>最大风速</w:t>
      </w:r>
      <w:proofErr w:type="spellStart"/>
      <w:r>
        <w:rPr>
          <w:i/>
        </w:rPr>
        <w:t>V</w:t>
      </w:r>
      <w:r>
        <w:rPr>
          <w:i/>
          <w:vertAlign w:val="subscript"/>
        </w:rPr>
        <w:t>m</w:t>
      </w:r>
      <w:proofErr w:type="spellEnd"/>
      <w:r>
        <w:t>、相关尺度</w:t>
      </w:r>
      <w:r>
        <w:rPr>
          <w:i/>
        </w:rPr>
        <w:t>r</w:t>
      </w:r>
      <w:r>
        <w:rPr>
          <w:rFonts w:ascii="Cambria Math" w:eastAsia="Cambria Math" w:hAnsi="Cambria Math" w:cs="Cambria Math"/>
        </w:rPr>
        <w:t>∗</w:t>
      </w:r>
      <w:r>
        <w:t>（</w:t>
      </w:r>
      <w:r>
        <w:t>34</w:t>
      </w:r>
      <w:r>
        <w:t>海里</w:t>
      </w:r>
      <w:r>
        <w:t>/</w:t>
      </w:r>
      <w:r>
        <w:t>小时风圈半径为准）、</w:t>
      </w:r>
      <w:r>
        <w:lastRenderedPageBreak/>
        <w:t>科氏系数</w:t>
      </w:r>
      <w:r>
        <w:rPr>
          <w:i/>
        </w:rPr>
        <w:t>f</w:t>
      </w:r>
      <w:r>
        <w:t>、移动速度</w:t>
      </w:r>
      <w:r>
        <w:rPr>
          <w:i/>
        </w:rPr>
        <w:t>V</w:t>
      </w:r>
      <w:r>
        <w:rPr>
          <w:i/>
          <w:vertAlign w:val="subscript"/>
        </w:rPr>
        <w:t>t</w:t>
      </w:r>
      <w:r>
        <w:t>及其方向角</w:t>
      </w:r>
      <w:r>
        <w:rPr>
          <w:i/>
        </w:rPr>
        <w:t>θ</w:t>
      </w:r>
      <w:r>
        <w:t>，分别表征台风的强度、尺度、位置与行进趋势。采用非参数核密度估计法，针对起始、行进与终止三阶段，对上述参数开展全过程概率建模与随机模拟，</w:t>
      </w:r>
      <w:r w:rsidR="000002B3">
        <w:rPr>
          <w:rFonts w:hint="eastAsia"/>
        </w:rPr>
        <w:t>进而</w:t>
      </w:r>
      <w:r>
        <w:t>构建具有代表性的虚拟台风事件集。</w:t>
      </w:r>
      <w:bookmarkEnd w:id="18"/>
    </w:p>
    <w:p w14:paraId="468197E8" w14:textId="77777777" w:rsidR="0032210F" w:rsidRDefault="00000000">
      <w:pPr>
        <w:pStyle w:val="afe"/>
        <w:ind w:firstLine="420"/>
      </w:pPr>
      <w:bookmarkStart w:id="19" w:name="正文段落_16"/>
      <w:r>
        <w:t>年发生频次是台风起始模拟的前提要素。对此，本文依据历史数据，采用负二项分布对年发生频次进行拟合。起始强度、尺度、位置和行进趋势均采用公式（</w:t>
      </w:r>
      <w:r>
        <w:t>1</w:t>
      </w:r>
      <w:r>
        <w:t>）所示的非参数核密度估计法（</w:t>
      </w:r>
      <w:r>
        <w:t>KDE</w:t>
      </w:r>
      <w:r>
        <w:t>）进行概率分布拟合。</w:t>
      </w:r>
      <w:bookmarkEnd w:id="19"/>
    </w:p>
    <w:p w14:paraId="74AD8867" w14:textId="1C8FEC29" w:rsidR="0032210F" w:rsidRDefault="00000000" w:rsidP="00826DC3">
      <w:pPr>
        <w:pStyle w:val="new1"/>
        <w:tabs>
          <w:tab w:val="center" w:pos="2264"/>
          <w:tab w:val="right" w:pos="4529"/>
        </w:tabs>
        <w:jc w:val="right"/>
      </w:pPr>
      <w:r>
        <w:tab/>
      </w:r>
      <w:bookmarkStart w:id="20" w:name="公式_2"/>
      <w:r w:rsidR="00E676DA" w:rsidRPr="000903AE">
        <w:rPr>
          <w:position w:val="-30"/>
        </w:rPr>
        <w:object w:dxaOrig="2160" w:dyaOrig="720" w14:anchorId="0035F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36pt" o:ole="">
            <v:imagedata r:id="rId14" o:title=""/>
          </v:shape>
          <o:OLEObject Type="Embed" ProgID="Equation.DSMT4" ShapeID="_x0000_i1025" DrawAspect="Content" ObjectID="_1845024717" r:id="rId15"/>
        </w:object>
      </w:r>
      <w:r>
        <w:rPr>
          <w:sz w:val="21"/>
        </w:rPr>
        <w:tab/>
      </w:r>
      <w:r>
        <w:rPr>
          <w:sz w:val="21"/>
        </w:rPr>
        <w:t>（</w:t>
      </w:r>
      <w:r>
        <w:rPr>
          <w:sz w:val="21"/>
        </w:rPr>
        <w:t>1</w:t>
      </w:r>
      <w:r>
        <w:rPr>
          <w:sz w:val="21"/>
        </w:rPr>
        <w:t>）</w:t>
      </w:r>
      <w:bookmarkEnd w:id="20"/>
    </w:p>
    <w:p w14:paraId="2203FE8D" w14:textId="713144FE" w:rsidR="0009632B" w:rsidRDefault="00000000" w:rsidP="00B80AB0">
      <w:pPr>
        <w:pStyle w:val="afe"/>
        <w:ind w:firstLineChars="0" w:firstLine="0"/>
      </w:pPr>
      <w:bookmarkStart w:id="21" w:name="正文段落_18"/>
      <w:r>
        <w:t>其中，</w:t>
      </w:r>
      <w:r>
        <w:t>X=[</w:t>
      </w:r>
      <w:r>
        <w:rPr>
          <w:i/>
        </w:rPr>
        <w:t>x</w:t>
      </w:r>
      <w:r>
        <w:rPr>
          <w:vertAlign w:val="subscript"/>
        </w:rPr>
        <w:t>1</w:t>
      </w:r>
      <w:r>
        <w:t>,</w:t>
      </w:r>
      <w:r w:rsidR="00A06497">
        <w:rPr>
          <w:rFonts w:hint="eastAsia"/>
        </w:rPr>
        <w:t xml:space="preserve"> </w:t>
      </w:r>
      <w:r w:rsidRPr="00AD21C8">
        <w:rPr>
          <w:i/>
          <w:iCs/>
        </w:rPr>
        <w:t>x</w:t>
      </w:r>
      <w:r>
        <w:rPr>
          <w:vertAlign w:val="subscript"/>
        </w:rPr>
        <w:t>2</w:t>
      </w:r>
      <w:r>
        <w:t xml:space="preserve">, ... </w:t>
      </w:r>
      <w:r w:rsidRPr="00AD21C8">
        <w:rPr>
          <w:i/>
          <w:iCs/>
        </w:rPr>
        <w:t>x</w:t>
      </w:r>
      <w:r>
        <w:rPr>
          <w:vertAlign w:val="subscript"/>
        </w:rPr>
        <w:t>i</w:t>
      </w:r>
      <w:r>
        <w:t xml:space="preserve">, ..., </w:t>
      </w:r>
      <w:proofErr w:type="spellStart"/>
      <w:r w:rsidRPr="00AD21C8">
        <w:rPr>
          <w:i/>
          <w:iCs/>
        </w:rPr>
        <w:t>x</w:t>
      </w:r>
      <w:r>
        <w:rPr>
          <w:vertAlign w:val="subscript"/>
        </w:rPr>
        <w:t>n</w:t>
      </w:r>
      <w:proofErr w:type="spellEnd"/>
      <w:r>
        <w:t>]</w:t>
      </w:r>
      <w:r>
        <w:t>构成随机样本集；</w:t>
      </w:r>
      <w:r>
        <w:rPr>
          <w:i/>
        </w:rPr>
        <w:t>K</w:t>
      </w:r>
      <w:r>
        <w:t>(</w:t>
      </w:r>
      <w:r>
        <w:rPr>
          <w:i/>
        </w:rPr>
        <w:t>x</w:t>
      </w:r>
      <w:r>
        <w:t>)</w:t>
      </w:r>
      <w:r>
        <w:t>为核函数，</w:t>
      </w:r>
      <w:r w:rsidR="00B80AB0">
        <w:rPr>
          <w:rFonts w:hint="eastAsia"/>
        </w:rPr>
        <w:t>本文采用</w:t>
      </w:r>
      <w:r>
        <w:t>高斯核；</w:t>
      </w:r>
      <w:r>
        <w:rPr>
          <w:i/>
        </w:rPr>
        <w:t>h</w:t>
      </w:r>
      <w:r>
        <w:t>为带宽，决定估计的平滑程度。</w:t>
      </w:r>
      <w:r>
        <w:t>KDE</w:t>
      </w:r>
      <w:r>
        <w:t>方法不依赖先验分布假设，能够准确刻画台风强度、方向等复杂分布的实际特征。经</w:t>
      </w:r>
      <w:proofErr w:type="gramStart"/>
      <w:r>
        <w:t>二维非参数</w:t>
      </w:r>
      <w:proofErr w:type="gramEnd"/>
      <w:r>
        <w:t>核密度估计，图</w:t>
      </w:r>
      <w:r w:rsidR="0009632B">
        <w:rPr>
          <w:rFonts w:hint="eastAsia"/>
        </w:rPr>
        <w:t>2</w:t>
      </w:r>
      <w:r>
        <w:t>绘制了西北太平洋区域台风起始位置分布情况。可见，该海域存在两个主要台风生成中心，</w:t>
      </w:r>
      <w:r w:rsidR="00B33311">
        <w:rPr>
          <w:rFonts w:hint="eastAsia"/>
        </w:rPr>
        <w:t>即</w:t>
      </w:r>
      <w:r>
        <w:t>（</w:t>
      </w:r>
      <w:r>
        <w:t>16.5°N, 117°E</w:t>
      </w:r>
      <w:r>
        <w:t>）和（</w:t>
      </w:r>
      <w:r>
        <w:t>9°N, 142°E</w:t>
      </w:r>
      <w:r>
        <w:t>）。</w:t>
      </w:r>
      <w:bookmarkEnd w:id="21"/>
    </w:p>
    <w:p w14:paraId="389B0683" w14:textId="22ABE431" w:rsidR="00790A58" w:rsidRPr="0009632B" w:rsidRDefault="0009632B" w:rsidP="00A06497">
      <w:pPr>
        <w:pStyle w:val="afe"/>
        <w:ind w:firstLineChars="0" w:firstLine="0"/>
        <w:jc w:val="center"/>
        <w:rPr>
          <w:rFonts w:asciiTheme="minorEastAsia" w:eastAsiaTheme="minorEastAsia" w:hAnsiTheme="minorEastAsia" w:hint="eastAsia"/>
          <w:sz w:val="15"/>
          <w:szCs w:val="15"/>
        </w:rPr>
      </w:pPr>
      <w:r w:rsidRPr="00D0503D">
        <w:rPr>
          <w:rFonts w:asciiTheme="minorEastAsia" w:eastAsiaTheme="minorEastAsia" w:hAnsiTheme="minorEastAsia"/>
          <w:noProof/>
          <w:sz w:val="20"/>
          <w:szCs w:val="20"/>
        </w:rPr>
        <w:drawing>
          <wp:inline distT="0" distB="0" distL="0" distR="0" wp14:anchorId="19E76A91" wp14:editId="6D8D7465">
            <wp:extent cx="1447200" cy="1080000"/>
            <wp:effectExtent l="0" t="0" r="635" b="6350"/>
            <wp:docPr id="1753068560" name="图片 35" descr="图片包含 地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4109240" name="图片 35" descr="图片包含 地图&#10;&#10;AI 生成的内容可能不正确。"/>
                    <pic:cNvPicPr>
                      <a:picLocks noChangeAspect="1" noChangeArrowheads="1"/>
                    </pic:cNvPicPr>
                  </pic:nvPicPr>
                  <pic:blipFill>
                    <a:blip r:embed="rId16" cstate="print">
                      <a:extLst>
                        <a:ext uri="{28A0092B-C50C-407E-A947-70E740481C1C}">
                          <a14:useLocalDpi xmlns:a14="http://schemas.microsoft.com/office/drawing/2010/main" val="0"/>
                        </a:ext>
                      </a:extLst>
                    </a:blip>
                    <a:srcRect l="11128" t="3329" r="7751" b="5173"/>
                    <a:stretch>
                      <a:fillRect/>
                    </a:stretch>
                  </pic:blipFill>
                  <pic:spPr bwMode="auto">
                    <a:xfrm>
                      <a:off x="0" y="0"/>
                      <a:ext cx="1447200" cy="1080000"/>
                    </a:xfrm>
                    <a:prstGeom prst="rect">
                      <a:avLst/>
                    </a:prstGeom>
                    <a:noFill/>
                    <a:ln>
                      <a:noFill/>
                    </a:ln>
                  </pic:spPr>
                </pic:pic>
              </a:graphicData>
            </a:graphic>
          </wp:inline>
        </w:drawing>
      </w:r>
      <w:r w:rsidR="00790A58" w:rsidRPr="00D0503D">
        <w:rPr>
          <w:rFonts w:asciiTheme="minorEastAsia" w:eastAsiaTheme="minorEastAsia" w:hAnsiTheme="minorEastAsia"/>
          <w:noProof/>
          <w:sz w:val="20"/>
          <w:szCs w:val="20"/>
        </w:rPr>
        <w:drawing>
          <wp:inline distT="0" distB="0" distL="0" distR="0" wp14:anchorId="13583F7D" wp14:editId="44403065">
            <wp:extent cx="1447200" cy="1080000"/>
            <wp:effectExtent l="0" t="0" r="635" b="6350"/>
            <wp:docPr id="975250182" name="图片 34"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653693" name="图片 34" descr="图示&#10;&#10;AI 生成的内容可能不正确。"/>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1447200" cy="1080000"/>
                    </a:xfrm>
                    <a:prstGeom prst="rect">
                      <a:avLst/>
                    </a:prstGeom>
                    <a:noFill/>
                    <a:ln>
                      <a:noFill/>
                    </a:ln>
                  </pic:spPr>
                </pic:pic>
              </a:graphicData>
            </a:graphic>
          </wp:inline>
        </w:drawing>
      </w:r>
      <w:r w:rsidR="007215D5" w:rsidRPr="007215D5">
        <w:rPr>
          <w:sz w:val="15"/>
          <w:szCs w:val="15"/>
        </w:rPr>
        <w:t>(a)</w:t>
      </w:r>
      <w:r w:rsidR="007215D5">
        <w:rPr>
          <w:rFonts w:hint="eastAsia"/>
          <w:sz w:val="15"/>
          <w:szCs w:val="15"/>
        </w:rPr>
        <w:t xml:space="preserve"> </w:t>
      </w:r>
      <w:r w:rsidRPr="007215D5">
        <w:rPr>
          <w:sz w:val="15"/>
          <w:szCs w:val="15"/>
        </w:rPr>
        <w:t>起始位置统计</w:t>
      </w:r>
      <w:r w:rsidR="00790A58" w:rsidRPr="007215D5">
        <w:rPr>
          <w:rFonts w:hint="eastAsia"/>
          <w:sz w:val="15"/>
          <w:szCs w:val="15"/>
        </w:rPr>
        <w:t xml:space="preserve">     </w:t>
      </w:r>
      <w:r w:rsidR="007D0931">
        <w:rPr>
          <w:rFonts w:hint="eastAsia"/>
          <w:sz w:val="15"/>
          <w:szCs w:val="15"/>
        </w:rPr>
        <w:t xml:space="preserve">        </w:t>
      </w:r>
      <w:r w:rsidR="00790A58" w:rsidRPr="007215D5">
        <w:rPr>
          <w:rFonts w:hint="eastAsia"/>
          <w:sz w:val="15"/>
          <w:szCs w:val="15"/>
        </w:rPr>
        <w:t xml:space="preserve">   </w:t>
      </w:r>
      <w:r w:rsidR="007215D5" w:rsidRPr="007215D5">
        <w:rPr>
          <w:sz w:val="15"/>
          <w:szCs w:val="15"/>
        </w:rPr>
        <w:t>(b)</w:t>
      </w:r>
      <w:r w:rsidR="007215D5">
        <w:rPr>
          <w:rFonts w:hint="eastAsia"/>
          <w:sz w:val="15"/>
          <w:szCs w:val="15"/>
        </w:rPr>
        <w:t xml:space="preserve"> </w:t>
      </w:r>
      <w:r w:rsidR="00790A58" w:rsidRPr="007215D5">
        <w:rPr>
          <w:rFonts w:asciiTheme="minorEastAsia" w:eastAsiaTheme="minorEastAsia" w:hAnsiTheme="minorEastAsia"/>
          <w:sz w:val="15"/>
          <w:szCs w:val="15"/>
        </w:rPr>
        <w:t>位置</w:t>
      </w:r>
      <w:r w:rsidR="00790A58" w:rsidRPr="0009632B">
        <w:rPr>
          <w:rFonts w:asciiTheme="minorEastAsia" w:eastAsiaTheme="minorEastAsia" w:hAnsiTheme="minorEastAsia"/>
          <w:sz w:val="15"/>
          <w:szCs w:val="15"/>
        </w:rPr>
        <w:t>分布拟合</w:t>
      </w:r>
    </w:p>
    <w:p w14:paraId="7DC9A2F2" w14:textId="4F037E46" w:rsidR="0009632B" w:rsidRPr="00790A58" w:rsidRDefault="005E2B23" w:rsidP="005E2B23">
      <w:pPr>
        <w:pStyle w:val="afe"/>
        <w:ind w:firstLineChars="0" w:firstLine="0"/>
        <w:jc w:val="center"/>
        <w:rPr>
          <w:sz w:val="15"/>
          <w:szCs w:val="15"/>
        </w:rPr>
      </w:pPr>
      <w:r w:rsidRPr="0009632B">
        <w:rPr>
          <w:rFonts w:asciiTheme="minorEastAsia" w:eastAsiaTheme="minorEastAsia" w:hAnsiTheme="minorEastAsia" w:hint="eastAsia"/>
          <w:b/>
          <w:bCs/>
          <w:sz w:val="18"/>
          <w:szCs w:val="18"/>
        </w:rPr>
        <w:t>图2 台风起始位置分布</w:t>
      </w:r>
    </w:p>
    <w:p w14:paraId="38E1F37F" w14:textId="73F8D776" w:rsidR="007508C2" w:rsidRDefault="00076509" w:rsidP="00166C2E">
      <w:pPr>
        <w:ind w:firstLineChars="200" w:firstLine="420"/>
      </w:pPr>
      <w:bookmarkStart w:id="22" w:name="正文段落_20"/>
      <w:r w:rsidRPr="00076509">
        <w:t>台风行进模拟是路径预测的关键环节。</w:t>
      </w:r>
      <w:r w:rsidR="000002B3" w:rsidRPr="000002B3">
        <w:rPr>
          <w:rFonts w:hint="eastAsia"/>
        </w:rPr>
        <w:t>本文采用基于马尔可夫链的蒙特卡洛方法对台风路径进行随机模拟，利用台风关键参数的变化率定义状态转移，并据此构建状态转移矩阵。该矩阵作为马尔可夫链的核心，用于刻画台风在不同状态间转换时各参数变化率的概率分布。</w:t>
      </w:r>
    </w:p>
    <w:p w14:paraId="142B5384" w14:textId="07AE7567" w:rsidR="00076509" w:rsidRDefault="00076509" w:rsidP="00166C2E">
      <w:pPr>
        <w:ind w:firstLineChars="200" w:firstLine="420"/>
      </w:pPr>
      <w:r w:rsidRPr="00076509">
        <w:t>以台风强度</w:t>
      </w:r>
      <w:proofErr w:type="spellStart"/>
      <w:r>
        <w:rPr>
          <w:i/>
        </w:rPr>
        <w:t>V</w:t>
      </w:r>
      <w:r>
        <w:rPr>
          <w:i/>
          <w:vertAlign w:val="subscript"/>
        </w:rPr>
        <w:t>m</w:t>
      </w:r>
      <w:proofErr w:type="spellEnd"/>
      <w:r w:rsidRPr="00076509">
        <w:t>为例，其状态转移概率</w:t>
      </w:r>
      <m:oMath>
        <m:r>
          <w:rPr>
            <w:rFonts w:ascii="Cambria Math" w:hAnsi="Cambria Math"/>
          </w:rPr>
          <m:t>P</m:t>
        </m:r>
        <m:d>
          <m:dPr>
            <m:ctrlPr>
              <w:rPr>
                <w:rFonts w:ascii="Cambria Math" w:hAnsi="Cambria Math"/>
                <w:i/>
              </w:rPr>
            </m:ctrlPr>
          </m:dPr>
          <m:e>
            <m:sSub>
              <m:sSubPr>
                <m:ctrlPr>
                  <w:rPr>
                    <w:rFonts w:ascii="Cambria Math" w:eastAsiaTheme="minorEastAsia" w:hAnsi="Cambria Math"/>
                    <w:bCs/>
                    <w:szCs w:val="21"/>
                  </w:rPr>
                </m:ctrlPr>
              </m:sSubPr>
              <m:e>
                <m:acc>
                  <m:accPr>
                    <m:chr m:val="̇"/>
                    <m:ctrlPr>
                      <w:rPr>
                        <w:rFonts w:ascii="Cambria Math" w:eastAsiaTheme="minorEastAsia" w:hAnsi="Cambria Math"/>
                        <w:bCs/>
                        <w:szCs w:val="21"/>
                      </w:rPr>
                    </m:ctrlPr>
                  </m:accPr>
                  <m:e>
                    <m:r>
                      <w:rPr>
                        <w:rFonts w:ascii="Cambria Math" w:eastAsiaTheme="minorEastAsia" w:hAnsi="Cambria Math" w:hint="eastAsia"/>
                        <w:szCs w:val="21"/>
                      </w:rPr>
                      <m:t>V</m:t>
                    </m:r>
                  </m:e>
                </m:acc>
              </m:e>
              <m:sub>
                <m:r>
                  <w:rPr>
                    <w:rFonts w:ascii="Cambria Math" w:eastAsiaTheme="minorEastAsia" w:hAnsi="Cambria Math"/>
                    <w:szCs w:val="21"/>
                  </w:rPr>
                  <m:t>m</m:t>
                </m:r>
              </m:sub>
            </m:sSub>
          </m:e>
          <m:e>
            <m:sSub>
              <m:sSubPr>
                <m:ctrlPr>
                  <w:rPr>
                    <w:rFonts w:ascii="Cambria Math" w:hAnsi="Cambria Math"/>
                    <w:i/>
                  </w:rPr>
                </m:ctrlPr>
              </m:sSubPr>
              <m:e>
                <m:r>
                  <w:rPr>
                    <w:rFonts w:ascii="Cambria Math" w:hAnsi="Cambria Math"/>
                  </w:rPr>
                  <m:t>V</m:t>
                </m:r>
              </m:e>
              <m:sub>
                <m:r>
                  <w:rPr>
                    <w:rFonts w:ascii="Cambria Math" w:hAnsi="Cambria Math"/>
                  </w:rPr>
                  <m:t>m</m:t>
                </m:r>
              </m:sub>
            </m:sSub>
          </m:e>
        </m:d>
      </m:oMath>
      <w:r w:rsidRPr="00076509">
        <w:t>表示当前台风强度</w:t>
      </w:r>
      <w:r w:rsidR="00F13892">
        <w:rPr>
          <w:rFonts w:hint="eastAsia"/>
        </w:rPr>
        <w:t>为</w:t>
      </w:r>
      <w:proofErr w:type="spellStart"/>
      <w:r w:rsidR="00F13892">
        <w:rPr>
          <w:i/>
        </w:rPr>
        <w:t>V</w:t>
      </w:r>
      <w:r w:rsidR="00F13892">
        <w:rPr>
          <w:i/>
          <w:vertAlign w:val="subscript"/>
        </w:rPr>
        <w:t>m</w:t>
      </w:r>
      <w:proofErr w:type="spellEnd"/>
      <w:r w:rsidRPr="00076509">
        <w:t>时，下一时间步强度变化率为</w:t>
      </w:r>
      <m:oMath>
        <m:sSub>
          <m:sSubPr>
            <m:ctrlPr>
              <w:rPr>
                <w:rFonts w:ascii="Cambria Math" w:eastAsiaTheme="minorEastAsia" w:hAnsi="Cambria Math"/>
                <w:bCs/>
                <w:szCs w:val="21"/>
              </w:rPr>
            </m:ctrlPr>
          </m:sSubPr>
          <m:e>
            <m:acc>
              <m:accPr>
                <m:chr m:val="̇"/>
                <m:ctrlPr>
                  <w:rPr>
                    <w:rFonts w:ascii="Cambria Math" w:eastAsiaTheme="minorEastAsia" w:hAnsi="Cambria Math"/>
                    <w:bCs/>
                    <w:szCs w:val="21"/>
                  </w:rPr>
                </m:ctrlPr>
              </m:accPr>
              <m:e>
                <m:r>
                  <w:rPr>
                    <w:rFonts w:ascii="Cambria Math" w:eastAsiaTheme="minorEastAsia" w:hAnsi="Cambria Math" w:hint="eastAsia"/>
                    <w:szCs w:val="21"/>
                  </w:rPr>
                  <m:t>V</m:t>
                </m:r>
              </m:e>
            </m:acc>
          </m:e>
          <m:sub>
            <m:r>
              <w:rPr>
                <w:rFonts w:ascii="Cambria Math" w:eastAsiaTheme="minorEastAsia" w:hAnsi="Cambria Math"/>
                <w:szCs w:val="21"/>
              </w:rPr>
              <m:t>m</m:t>
            </m:r>
          </m:sub>
        </m:sSub>
      </m:oMath>
      <w:r w:rsidRPr="00076509">
        <w:t>的条件概率。区别于传统马尔可夫链的三元组结构</w:t>
      </w:r>
      <w:r w:rsidRPr="00432090">
        <w:rPr>
          <w:noProof/>
          <w:sz w:val="24"/>
        </w:rPr>
        <w:t>(</w:t>
      </w:r>
      <w:r w:rsidRPr="00432090">
        <w:rPr>
          <w:i/>
          <w:noProof/>
          <w:sz w:val="24"/>
        </w:rPr>
        <w:t>S</w:t>
      </w:r>
      <w:r w:rsidRPr="00432090">
        <w:rPr>
          <w:noProof/>
          <w:sz w:val="24"/>
        </w:rPr>
        <w:t xml:space="preserve">, </w:t>
      </w:r>
      <w:r w:rsidRPr="00432090">
        <w:rPr>
          <w:i/>
          <w:noProof/>
          <w:sz w:val="24"/>
        </w:rPr>
        <w:t>P</w:t>
      </w:r>
      <w:r w:rsidRPr="00432090">
        <w:rPr>
          <w:noProof/>
          <w:sz w:val="24"/>
        </w:rPr>
        <w:t xml:space="preserve">, </w:t>
      </w:r>
      <w:r w:rsidRPr="00432090">
        <w:rPr>
          <w:i/>
          <w:noProof/>
          <w:sz w:val="24"/>
        </w:rPr>
        <w:t xml:space="preserve">Y </w:t>
      </w:r>
      <w:r w:rsidRPr="00432090">
        <w:rPr>
          <w:noProof/>
          <w:sz w:val="24"/>
          <w:vertAlign w:val="superscript"/>
        </w:rPr>
        <w:t>0</w:t>
      </w:r>
      <w:r w:rsidRPr="00432090">
        <w:rPr>
          <w:noProof/>
          <w:sz w:val="24"/>
        </w:rPr>
        <w:t>)</w:t>
      </w:r>
      <w:r w:rsidRPr="00076509">
        <w:t>，本文引入了状态变化</w:t>
      </w:r>
      <w:proofErr w:type="gramStart"/>
      <w:r w:rsidRPr="00076509">
        <w:t>率空间</w:t>
      </w:r>
      <w:proofErr w:type="gramEnd"/>
      <w:r w:rsidR="007508C2" w:rsidRPr="006A04D5">
        <w:rPr>
          <w:i/>
          <w:iCs/>
        </w:rPr>
        <w:t>R</w:t>
      </w:r>
      <w:r w:rsidRPr="00076509">
        <w:t>，构建四元组模型</w:t>
      </w:r>
      <w:r w:rsidR="007508C2" w:rsidRPr="00432090">
        <w:rPr>
          <w:noProof/>
          <w:sz w:val="24"/>
        </w:rPr>
        <w:t>(</w:t>
      </w:r>
      <w:r w:rsidR="007508C2" w:rsidRPr="00432090">
        <w:rPr>
          <w:i/>
          <w:noProof/>
          <w:sz w:val="24"/>
        </w:rPr>
        <w:t>S</w:t>
      </w:r>
      <w:r w:rsidR="007508C2" w:rsidRPr="00432090">
        <w:rPr>
          <w:noProof/>
          <w:sz w:val="24"/>
        </w:rPr>
        <w:t xml:space="preserve">, </w:t>
      </w:r>
      <w:r w:rsidR="007508C2" w:rsidRPr="00432090">
        <w:rPr>
          <w:i/>
          <w:noProof/>
          <w:sz w:val="24"/>
        </w:rPr>
        <w:t>R</w:t>
      </w:r>
      <w:r w:rsidR="007508C2" w:rsidRPr="00432090">
        <w:rPr>
          <w:noProof/>
          <w:sz w:val="24"/>
        </w:rPr>
        <w:t xml:space="preserve">, </w:t>
      </w:r>
      <w:r w:rsidR="007508C2" w:rsidRPr="00432090">
        <w:rPr>
          <w:i/>
          <w:noProof/>
          <w:sz w:val="24"/>
        </w:rPr>
        <w:t>P</w:t>
      </w:r>
      <w:r w:rsidR="007508C2" w:rsidRPr="00432090">
        <w:rPr>
          <w:noProof/>
          <w:sz w:val="24"/>
        </w:rPr>
        <w:t xml:space="preserve">, </w:t>
      </w:r>
      <w:r w:rsidR="007508C2" w:rsidRPr="00432090">
        <w:rPr>
          <w:i/>
          <w:noProof/>
          <w:sz w:val="24"/>
        </w:rPr>
        <w:t xml:space="preserve">Y </w:t>
      </w:r>
      <w:r w:rsidR="007508C2" w:rsidRPr="00432090">
        <w:rPr>
          <w:noProof/>
          <w:sz w:val="24"/>
          <w:vertAlign w:val="superscript"/>
        </w:rPr>
        <w:t>0</w:t>
      </w:r>
      <w:r w:rsidR="007508C2" w:rsidRPr="00432090">
        <w:rPr>
          <w:noProof/>
          <w:sz w:val="24"/>
        </w:rPr>
        <w:t>)</w:t>
      </w:r>
      <w:r w:rsidRPr="00076509">
        <w:t>，以更准确地描述台</w:t>
      </w:r>
      <w:r w:rsidRPr="00076509">
        <w:t>风状态演化过程。其中，初始状态概率分布</w:t>
      </w:r>
      <w:r w:rsidR="007508C2" w:rsidRPr="006A04D5">
        <w:rPr>
          <w:i/>
          <w:iCs/>
          <w:color w:val="000000" w:themeColor="text1"/>
        </w:rPr>
        <w:t>Y</w:t>
      </w:r>
      <w:r w:rsidR="007508C2" w:rsidRPr="006A04D5">
        <w:rPr>
          <w:i/>
          <w:iCs/>
          <w:color w:val="000000" w:themeColor="text1"/>
          <w:vertAlign w:val="superscript"/>
        </w:rPr>
        <w:t>0</w:t>
      </w:r>
      <w:r w:rsidRPr="00076509">
        <w:t>由台风起始模拟获得；状态空间</w:t>
      </w:r>
      <w:r w:rsidR="007508C2" w:rsidRPr="006A04D5">
        <w:rPr>
          <w:rFonts w:hint="eastAsia"/>
          <w:i/>
          <w:iCs/>
        </w:rPr>
        <w:t>S</w:t>
      </w:r>
      <w:r w:rsidRPr="00076509">
        <w:t>和变化</w:t>
      </w:r>
      <w:proofErr w:type="gramStart"/>
      <w:r w:rsidRPr="00076509">
        <w:t>率空间</w:t>
      </w:r>
      <w:proofErr w:type="gramEnd"/>
      <w:r w:rsidR="007508C2" w:rsidRPr="006A04D5">
        <w:rPr>
          <w:rFonts w:hint="eastAsia"/>
          <w:i/>
          <w:iCs/>
        </w:rPr>
        <w:t>R</w:t>
      </w:r>
      <w:r w:rsidRPr="00076509">
        <w:t>均</w:t>
      </w:r>
      <w:r w:rsidR="00B33311">
        <w:rPr>
          <w:rFonts w:hint="eastAsia"/>
        </w:rPr>
        <w:t>通过</w:t>
      </w:r>
      <w:r w:rsidRPr="00076509">
        <w:t>历史台风路径数据</w:t>
      </w:r>
      <w:r w:rsidR="00B33311">
        <w:rPr>
          <w:rFonts w:hint="eastAsia"/>
        </w:rPr>
        <w:t>统计获得；台风状态的转移由当前状态与其变化</w:t>
      </w:r>
      <w:proofErr w:type="gramStart"/>
      <w:r w:rsidR="00B33311">
        <w:rPr>
          <w:rFonts w:hint="eastAsia"/>
        </w:rPr>
        <w:t>率共同</w:t>
      </w:r>
      <w:proofErr w:type="gramEnd"/>
      <w:r w:rsidR="00B33311">
        <w:rPr>
          <w:rFonts w:hint="eastAsia"/>
        </w:rPr>
        <w:t>决定，</w:t>
      </w:r>
      <w:r w:rsidRPr="00076509">
        <w:t>状态转移概率</w:t>
      </w:r>
      <w:r w:rsidR="007508C2" w:rsidRPr="006A04D5">
        <w:rPr>
          <w:i/>
          <w:iCs/>
        </w:rPr>
        <w:t>P</w:t>
      </w:r>
      <w:r w:rsidR="00B33311">
        <w:rPr>
          <w:rFonts w:hint="eastAsia"/>
        </w:rPr>
        <w:t>是</w:t>
      </w:r>
      <w:r w:rsidRPr="00076509">
        <w:t>以历史数据为基础，对状态</w:t>
      </w:r>
      <w:r w:rsidR="001D0567">
        <w:rPr>
          <w:rFonts w:hint="eastAsia"/>
        </w:rPr>
        <w:t>参数及其</w:t>
      </w:r>
      <w:r w:rsidRPr="00076509">
        <w:t>变化率的联合分布进行</w:t>
      </w:r>
      <w:proofErr w:type="gramStart"/>
      <w:r w:rsidRPr="00076509">
        <w:t>二维非参数</w:t>
      </w:r>
      <w:proofErr w:type="gramEnd"/>
      <w:r w:rsidRPr="00076509">
        <w:t>核密度估计，并根据</w:t>
      </w:r>
      <w:r w:rsidR="0060286C">
        <w:rPr>
          <w:rFonts w:hint="eastAsia"/>
        </w:rPr>
        <w:t>公式（</w:t>
      </w:r>
      <w:r w:rsidR="0060286C">
        <w:rPr>
          <w:rFonts w:hint="eastAsia"/>
        </w:rPr>
        <w:t>2</w:t>
      </w:r>
      <w:r w:rsidR="0060286C">
        <w:rPr>
          <w:rFonts w:hint="eastAsia"/>
        </w:rPr>
        <w:t>）所示的</w:t>
      </w:r>
      <w:r w:rsidRPr="00076509">
        <w:t>条件概率</w:t>
      </w:r>
      <w:r w:rsidR="00B33311">
        <w:rPr>
          <w:rFonts w:hint="eastAsia"/>
        </w:rPr>
        <w:t>拟合获得</w:t>
      </w:r>
      <w:r w:rsidRPr="00076509">
        <w:t>。</w:t>
      </w:r>
    </w:p>
    <w:bookmarkEnd w:id="22"/>
    <w:p w14:paraId="7F655348" w14:textId="05DB9775" w:rsidR="00B708FB" w:rsidRDefault="00B708FB">
      <w:pPr>
        <w:pStyle w:val="afff5"/>
        <w:tabs>
          <w:tab w:val="center" w:pos="2274"/>
          <w:tab w:val="right" w:pos="4549"/>
        </w:tabs>
        <w:ind w:left="0"/>
        <w:jc w:val="right"/>
      </w:pPr>
      <w:r>
        <w:tab/>
      </w:r>
      <w:bookmarkStart w:id="23" w:name="公式_6"/>
      <w:r w:rsidR="0060286C" w:rsidRPr="000903AE">
        <w:rPr>
          <w:position w:val="-30"/>
        </w:rPr>
        <w:object w:dxaOrig="2020" w:dyaOrig="680" w14:anchorId="2CF1E870">
          <v:shape id="_x0000_i1026" type="#_x0000_t75" style="width:101.25pt;height:34.5pt" o:ole="">
            <v:imagedata r:id="rId18" o:title=""/>
          </v:shape>
          <o:OLEObject Type="Embed" ProgID="Equation.DSMT4" ShapeID="_x0000_i1026" DrawAspect="Content" ObjectID="_1845024718" r:id="rId19"/>
        </w:object>
      </w:r>
      <w:r>
        <w:tab/>
      </w:r>
      <w:r>
        <w:t>（</w:t>
      </w:r>
      <w:r>
        <w:t>2</w:t>
      </w:r>
      <w:r>
        <w:t>）</w:t>
      </w:r>
      <w:bookmarkEnd w:id="23"/>
    </w:p>
    <w:p w14:paraId="5EB86F02" w14:textId="69263AC3" w:rsidR="00A06497" w:rsidRPr="007215D5" w:rsidRDefault="00B33311" w:rsidP="00A06497">
      <w:pPr>
        <w:pStyle w:val="afe"/>
        <w:ind w:firstLineChars="0" w:firstLine="0"/>
        <w:textAlignment w:val="center"/>
      </w:pPr>
      <w:bookmarkStart w:id="24" w:name="正文段落_22"/>
      <w:r>
        <w:rPr>
          <w:rFonts w:hint="eastAsia"/>
        </w:rPr>
        <w:t>其中</w:t>
      </w:r>
      <w:r w:rsidR="007C5815">
        <w:rPr>
          <w:rFonts w:hint="eastAsia"/>
        </w:rPr>
        <w:t>，</w:t>
      </w:r>
      <m:oMath>
        <m:sSub>
          <m:sSubPr>
            <m:ctrlPr>
              <w:rPr>
                <w:rFonts w:ascii="Cambria Math" w:eastAsiaTheme="minorEastAsia" w:hAnsi="Cambria Math"/>
                <w:bCs/>
                <w:i/>
                <w:szCs w:val="21"/>
              </w:rPr>
            </m:ctrlPr>
          </m:sSubPr>
          <m:e>
            <m:acc>
              <m:accPr>
                <m:chr m:val="̇"/>
                <m:ctrlPr>
                  <w:rPr>
                    <w:rFonts w:ascii="Cambria Math" w:eastAsiaTheme="minorEastAsia" w:hAnsi="Cambria Math"/>
                    <w:bCs/>
                    <w:i/>
                    <w:szCs w:val="21"/>
                  </w:rPr>
                </m:ctrlPr>
              </m:accPr>
              <m:e>
                <m:r>
                  <w:rPr>
                    <w:rFonts w:ascii="Cambria Math" w:eastAsiaTheme="minorEastAsia" w:hAnsi="Cambria Math"/>
                    <w:szCs w:val="21"/>
                  </w:rPr>
                  <m:t>V</m:t>
                </m:r>
              </m:e>
            </m:acc>
          </m:e>
          <m:sub>
            <m:r>
              <w:rPr>
                <w:rFonts w:ascii="Cambria Math" w:eastAsiaTheme="minorEastAsia" w:hAnsi="Cambria Math"/>
                <w:szCs w:val="21"/>
              </w:rPr>
              <m:t>m</m:t>
            </m:r>
          </m:sub>
        </m:sSub>
      </m:oMath>
      <w:r w:rsidRPr="007508C2">
        <w:t>与</w:t>
      </w:r>
      <w:proofErr w:type="spellStart"/>
      <w:r>
        <w:rPr>
          <w:i/>
        </w:rPr>
        <w:t>V</w:t>
      </w:r>
      <w:r>
        <w:rPr>
          <w:i/>
          <w:vertAlign w:val="subscript"/>
        </w:rPr>
        <w:t>m</w:t>
      </w:r>
      <w:proofErr w:type="spellEnd"/>
      <w:r w:rsidRPr="007508C2">
        <w:t>为连续变量</w:t>
      </w:r>
      <w:r w:rsidR="0060286C">
        <w:rPr>
          <w:rFonts w:hint="eastAsia"/>
        </w:rPr>
        <w:t>，</w:t>
      </w:r>
      <w:r w:rsidRPr="007508C2">
        <w:t>联合概率密度</w:t>
      </w:r>
      <w:r w:rsidR="0060286C">
        <w:rPr>
          <w:rFonts w:hint="eastAsia"/>
        </w:rPr>
        <w:t>和</w:t>
      </w:r>
      <w:r w:rsidRPr="007508C2">
        <w:t>边缘概率密度</w:t>
      </w:r>
      <w:r w:rsidR="00904E8A">
        <w:rPr>
          <w:rFonts w:hint="eastAsia"/>
        </w:rPr>
        <w:t>分别</w:t>
      </w:r>
      <w:r w:rsidRPr="007508C2">
        <w:t>采用二维</w:t>
      </w:r>
      <w:r w:rsidR="00904E8A">
        <w:rPr>
          <w:rFonts w:hint="eastAsia"/>
        </w:rPr>
        <w:t>和一维</w:t>
      </w:r>
      <w:r w:rsidRPr="007508C2">
        <w:t>核密度估计进行拟合。</w:t>
      </w:r>
      <w:r w:rsidRPr="00A06497">
        <w:t>考虑台风在</w:t>
      </w:r>
      <w:r w:rsidR="00904E8A" w:rsidRPr="00A06497">
        <w:rPr>
          <w:rFonts w:hint="eastAsia"/>
        </w:rPr>
        <w:t>海洋和陆地区域</w:t>
      </w:r>
      <w:r w:rsidRPr="00A06497">
        <w:t>的演化差异，本文将历史台风行进数据划分为海洋组与陆地组，分别进行统计分析与概率建模。图</w:t>
      </w:r>
      <w:r w:rsidRPr="00A06497">
        <w:t>3</w:t>
      </w:r>
      <w:r w:rsidR="00904E8A" w:rsidRPr="00A06497">
        <w:rPr>
          <w:rFonts w:hint="eastAsia"/>
        </w:rPr>
        <w:t>依次</w:t>
      </w:r>
      <w:r w:rsidR="0060286C">
        <w:rPr>
          <w:rFonts w:hint="eastAsia"/>
        </w:rPr>
        <w:t>给出</w:t>
      </w:r>
      <w:r w:rsidRPr="00A06497">
        <w:t>了台风尺度与移动速度的状态转移概率</w:t>
      </w:r>
      <w:r w:rsidR="00904E8A" w:rsidRPr="00A06497">
        <w:rPr>
          <w:rFonts w:hint="eastAsia"/>
        </w:rPr>
        <w:t>联合</w:t>
      </w:r>
      <w:r w:rsidRPr="00A06497">
        <w:t>分布</w:t>
      </w:r>
      <w:r w:rsidR="0060286C">
        <w:rPr>
          <w:rFonts w:hint="eastAsia"/>
        </w:rPr>
        <w:t>拟合结果</w:t>
      </w:r>
      <w:r w:rsidRPr="00A06497">
        <w:t>。</w:t>
      </w:r>
    </w:p>
    <w:p w14:paraId="0B4AA289" w14:textId="0F8F2FE0" w:rsidR="00A06497" w:rsidRDefault="00A06497" w:rsidP="00A06497">
      <w:pPr>
        <w:pStyle w:val="afe"/>
        <w:ind w:firstLine="420"/>
      </w:pPr>
      <w:r>
        <w:t>台风终止模拟</w:t>
      </w:r>
      <w:r w:rsidR="0060286C">
        <w:rPr>
          <w:rFonts w:hint="eastAsia"/>
        </w:rPr>
        <w:t>是</w:t>
      </w:r>
      <w:r w:rsidR="001D0567">
        <w:rPr>
          <w:rFonts w:hint="eastAsia"/>
        </w:rPr>
        <w:t>依据</w:t>
      </w:r>
      <w:r>
        <w:t>台风当前的位置信息或状态信息来判断其终止</w:t>
      </w:r>
      <w:r>
        <w:rPr>
          <w:rFonts w:hint="eastAsia"/>
        </w:rPr>
        <w:t>与否</w:t>
      </w:r>
      <w:r>
        <w:t>。本文采用公式（</w:t>
      </w:r>
      <w:r>
        <w:t>3</w:t>
      </w:r>
      <w:r>
        <w:t>）</w:t>
      </w:r>
      <w:r>
        <w:rPr>
          <w:rFonts w:hint="eastAsia"/>
        </w:rPr>
        <w:t>所示的条件终止概率模型</w:t>
      </w:r>
      <w:r>
        <w:t>。</w:t>
      </w:r>
    </w:p>
    <w:p w14:paraId="494A267B" w14:textId="77777777" w:rsidR="00A06497" w:rsidRDefault="00A06497" w:rsidP="00A06497">
      <w:pPr>
        <w:pStyle w:val="afff5"/>
        <w:tabs>
          <w:tab w:val="center" w:pos="2274"/>
          <w:tab w:val="right" w:pos="4549"/>
        </w:tabs>
        <w:ind w:left="0"/>
        <w:jc w:val="right"/>
      </w:pPr>
      <w:r>
        <w:tab/>
      </w:r>
      <w:r>
        <w:rPr>
          <w:rFonts w:hint="eastAsia"/>
          <w:position w:val="-12"/>
        </w:rPr>
        <w:object w:dxaOrig="2760" w:dyaOrig="360" w14:anchorId="187CEADB">
          <v:shape id="Name 38" o:spid="_x0000_i1027" type="#_x0000_t75" style="width:138pt;height:18pt" o:ole="">
            <v:imagedata r:id="rId20" o:title=""/>
          </v:shape>
          <o:OLEObject Type="Embed" ProgID="Equation.DSMT4" ShapeID="Name 38" DrawAspect="Content" ObjectID="_1845024719" r:id="rId21"/>
        </w:object>
      </w:r>
      <w:r>
        <w:tab/>
      </w:r>
      <w:r>
        <w:t>（</w:t>
      </w:r>
      <w:r>
        <w:t>3</w:t>
      </w:r>
      <w:r>
        <w:t>）</w:t>
      </w:r>
    </w:p>
    <w:p w14:paraId="45DD6035" w14:textId="13987E47" w:rsidR="002B589A" w:rsidRPr="006A032F" w:rsidRDefault="00A06497" w:rsidP="002B589A">
      <w:pPr>
        <w:pStyle w:val="afe"/>
        <w:ind w:firstLineChars="0" w:firstLine="0"/>
        <w:textAlignment w:val="center"/>
      </w:pPr>
      <w:r>
        <w:t>其中，</w:t>
      </w:r>
      <w:r>
        <w:rPr>
          <w:i/>
        </w:rPr>
        <w:t>x</w:t>
      </w:r>
      <w:r>
        <w:t>代表台风中心纬度；</w:t>
      </w:r>
      <w:r>
        <w:rPr>
          <w:i/>
        </w:rPr>
        <w:t>y</w:t>
      </w:r>
      <w:r>
        <w:t>代表台风中心经度；</w:t>
      </w:r>
      <w:r w:rsidRPr="006110E8">
        <w:rPr>
          <w:i/>
          <w:iCs/>
        </w:rPr>
        <w:t>E</w:t>
      </w:r>
      <w:r>
        <w:t>=0</w:t>
      </w:r>
      <w:r>
        <w:t>表示台风终止；</w:t>
      </w:r>
      <w:r w:rsidRPr="006110E8">
        <w:rPr>
          <w:i/>
          <w:iCs/>
        </w:rPr>
        <w:t>E</w:t>
      </w:r>
      <w:r>
        <w:t>=1</w:t>
      </w:r>
      <w:r>
        <w:t>表示台风继续行进。</w:t>
      </w:r>
      <w:r>
        <w:rPr>
          <w:rFonts w:hint="eastAsia"/>
        </w:rPr>
        <w:t>进一步</w:t>
      </w:r>
      <w:r w:rsidR="002B589A">
        <w:t>采用分区统计法，</w:t>
      </w:r>
      <w:r w:rsidR="002B589A">
        <w:rPr>
          <w:rFonts w:hint="eastAsia"/>
        </w:rPr>
        <w:t>实现</w:t>
      </w:r>
      <w:r w:rsidR="002B589A">
        <w:t>空间离散的台风终止</w:t>
      </w:r>
      <w:r w:rsidR="002B589A">
        <w:rPr>
          <w:rFonts w:hint="eastAsia"/>
        </w:rPr>
        <w:t>判定，</w:t>
      </w:r>
      <w:r w:rsidR="002B589A">
        <w:t>其</w:t>
      </w:r>
      <w:r w:rsidR="002B589A">
        <w:rPr>
          <w:rFonts w:hint="eastAsia"/>
        </w:rPr>
        <w:t>步骤为</w:t>
      </w:r>
      <w:r w:rsidR="002B589A">
        <w:t>：</w:t>
      </w:r>
      <w:r w:rsidR="002B589A" w:rsidRPr="00D0503D">
        <w:rPr>
          <w:rFonts w:eastAsiaTheme="minorEastAsia"/>
          <w:bCs/>
          <w:szCs w:val="21"/>
        </w:rPr>
        <w:fldChar w:fldCharType="begin"/>
      </w:r>
      <w:r w:rsidR="002B589A">
        <w:instrText xml:space="preserve"> = 1 \* GB3 </w:instrText>
      </w:r>
      <w:r w:rsidR="002B589A" w:rsidRPr="00D0503D">
        <w:rPr>
          <w:rFonts w:eastAsiaTheme="minorEastAsia"/>
          <w:bCs/>
          <w:szCs w:val="21"/>
        </w:rPr>
        <w:fldChar w:fldCharType="separate"/>
      </w:r>
      <w:r w:rsidR="002B589A">
        <w:rPr>
          <w:rFonts w:hint="eastAsia"/>
          <w:noProof/>
        </w:rPr>
        <w:t>①</w:t>
      </w:r>
      <w:r w:rsidR="002B589A" w:rsidRPr="00D0503D">
        <w:rPr>
          <w:rFonts w:eastAsiaTheme="minorEastAsia"/>
          <w:bCs/>
          <w:szCs w:val="21"/>
        </w:rPr>
        <w:fldChar w:fldCharType="end"/>
      </w:r>
      <w:r w:rsidR="002B589A" w:rsidRPr="00EA2D94">
        <w:rPr>
          <w:rFonts w:eastAsiaTheme="minorEastAsia"/>
          <w:bCs/>
          <w:szCs w:val="21"/>
        </w:rPr>
        <w:t>在台风活动区域内划定终止判定范围，并划分</w:t>
      </w:r>
      <w:r w:rsidR="001D0567">
        <w:rPr>
          <w:rFonts w:eastAsiaTheme="minorEastAsia" w:hint="eastAsia"/>
          <w:bCs/>
          <w:szCs w:val="21"/>
        </w:rPr>
        <w:t>区域</w:t>
      </w:r>
      <w:r w:rsidR="002B589A" w:rsidRPr="00EA2D94">
        <w:rPr>
          <w:rFonts w:eastAsiaTheme="minorEastAsia"/>
          <w:bCs/>
          <w:szCs w:val="21"/>
        </w:rPr>
        <w:t>网格，网格分辨率设为</w:t>
      </w:r>
      <w:r w:rsidR="002B589A" w:rsidRPr="00EA2D94">
        <w:rPr>
          <w:rFonts w:eastAsiaTheme="minorEastAsia"/>
          <w:bCs/>
          <w:szCs w:val="21"/>
        </w:rPr>
        <w:t>2°×2°</w:t>
      </w:r>
      <w:r w:rsidR="002B589A" w:rsidRPr="00EA2D94">
        <w:rPr>
          <w:rFonts w:eastAsiaTheme="minorEastAsia"/>
          <w:bCs/>
          <w:szCs w:val="21"/>
        </w:rPr>
        <w:t>；</w:t>
      </w:r>
      <w:r w:rsidR="002B589A" w:rsidRPr="00D0503D">
        <w:rPr>
          <w:rFonts w:eastAsiaTheme="minorEastAsia"/>
          <w:bCs/>
          <w:szCs w:val="21"/>
        </w:rPr>
        <w:fldChar w:fldCharType="begin"/>
      </w:r>
      <w:r w:rsidR="002B589A">
        <w:instrText xml:space="preserve"> = 2 \* GB3 </w:instrText>
      </w:r>
      <w:r w:rsidR="002B589A" w:rsidRPr="00D0503D">
        <w:rPr>
          <w:rFonts w:eastAsiaTheme="minorEastAsia"/>
          <w:bCs/>
          <w:szCs w:val="21"/>
        </w:rPr>
        <w:fldChar w:fldCharType="separate"/>
      </w:r>
      <w:r w:rsidR="002B589A">
        <w:rPr>
          <w:rFonts w:hint="eastAsia"/>
          <w:noProof/>
        </w:rPr>
        <w:t>②</w:t>
      </w:r>
      <w:r w:rsidR="002B589A" w:rsidRPr="00D0503D">
        <w:rPr>
          <w:rFonts w:eastAsiaTheme="minorEastAsia"/>
          <w:bCs/>
          <w:szCs w:val="21"/>
        </w:rPr>
        <w:fldChar w:fldCharType="end"/>
      </w:r>
      <w:r w:rsidR="002B589A" w:rsidRPr="00EA2D94">
        <w:rPr>
          <w:rFonts w:eastAsiaTheme="minorEastAsia"/>
          <w:bCs/>
          <w:szCs w:val="21"/>
        </w:rPr>
        <w:t>将历史终止点样本分为海面终止点和陆地终止点，分别构建概率模型；</w:t>
      </w:r>
      <w:r w:rsidR="002B589A" w:rsidRPr="00D0503D">
        <w:rPr>
          <w:rFonts w:eastAsiaTheme="minorEastAsia"/>
          <w:bCs/>
          <w:szCs w:val="21"/>
        </w:rPr>
        <w:fldChar w:fldCharType="begin"/>
      </w:r>
      <w:r w:rsidR="002B589A">
        <w:instrText xml:space="preserve"> = 3 \* GB3 </w:instrText>
      </w:r>
      <w:r w:rsidR="002B589A" w:rsidRPr="00D0503D">
        <w:rPr>
          <w:rFonts w:eastAsiaTheme="minorEastAsia"/>
          <w:bCs/>
          <w:szCs w:val="21"/>
        </w:rPr>
        <w:fldChar w:fldCharType="separate"/>
      </w:r>
      <w:r w:rsidR="002B589A">
        <w:rPr>
          <w:rFonts w:hint="eastAsia"/>
          <w:noProof/>
        </w:rPr>
        <w:t>③</w:t>
      </w:r>
      <w:r w:rsidR="002B589A" w:rsidRPr="00D0503D">
        <w:rPr>
          <w:rFonts w:eastAsiaTheme="minorEastAsia"/>
          <w:bCs/>
          <w:szCs w:val="21"/>
        </w:rPr>
        <w:fldChar w:fldCharType="end"/>
      </w:r>
      <w:r w:rsidR="002B589A" w:rsidRPr="00EA2D94">
        <w:rPr>
          <w:rFonts w:eastAsiaTheme="minorEastAsia"/>
          <w:bCs/>
          <w:szCs w:val="21"/>
        </w:rPr>
        <w:t>对每个网格，分别统计历史路径点数量与终止点数量；</w:t>
      </w:r>
      <w:r w:rsidR="002B589A" w:rsidRPr="00D0503D">
        <w:rPr>
          <w:rFonts w:eastAsiaTheme="minorEastAsia"/>
          <w:bCs/>
          <w:szCs w:val="21"/>
        </w:rPr>
        <w:fldChar w:fldCharType="begin"/>
      </w:r>
      <w:r w:rsidR="002B589A">
        <w:instrText xml:space="preserve"> = 4 \* GB3 </w:instrText>
      </w:r>
      <w:r w:rsidR="002B589A" w:rsidRPr="00D0503D">
        <w:rPr>
          <w:rFonts w:eastAsiaTheme="minorEastAsia"/>
          <w:bCs/>
          <w:szCs w:val="21"/>
        </w:rPr>
        <w:fldChar w:fldCharType="separate"/>
      </w:r>
      <w:r w:rsidR="002B589A">
        <w:rPr>
          <w:rFonts w:hint="eastAsia"/>
          <w:noProof/>
        </w:rPr>
        <w:t>④</w:t>
      </w:r>
      <w:r w:rsidR="002B589A" w:rsidRPr="00D0503D">
        <w:rPr>
          <w:rFonts w:eastAsiaTheme="minorEastAsia"/>
          <w:bCs/>
          <w:szCs w:val="21"/>
        </w:rPr>
        <w:fldChar w:fldCharType="end"/>
      </w:r>
      <w:r w:rsidR="002B589A" w:rsidRPr="00EA2D94">
        <w:rPr>
          <w:rFonts w:eastAsiaTheme="minorEastAsia"/>
          <w:bCs/>
          <w:szCs w:val="21"/>
        </w:rPr>
        <w:t>计算各网格的终止概率，定义为终止点数量与路径点数量之比；若网格</w:t>
      </w:r>
      <w:r w:rsidR="001D0567">
        <w:rPr>
          <w:rFonts w:eastAsiaTheme="minorEastAsia" w:hint="eastAsia"/>
          <w:bCs/>
          <w:szCs w:val="21"/>
        </w:rPr>
        <w:t>内</w:t>
      </w:r>
      <w:r w:rsidR="002B589A" w:rsidRPr="00EA2D94">
        <w:rPr>
          <w:rFonts w:eastAsiaTheme="minorEastAsia"/>
          <w:bCs/>
          <w:szCs w:val="21"/>
        </w:rPr>
        <w:t>无路径点，则终止概率设为</w:t>
      </w:r>
      <w:r w:rsidR="002B589A" w:rsidRPr="00EA2D94">
        <w:rPr>
          <w:rFonts w:eastAsiaTheme="minorEastAsia"/>
          <w:bCs/>
          <w:szCs w:val="21"/>
        </w:rPr>
        <w:t>1</w:t>
      </w:r>
      <w:r w:rsidR="002B589A" w:rsidRPr="00EA2D94">
        <w:rPr>
          <w:rFonts w:eastAsiaTheme="minorEastAsia"/>
          <w:bCs/>
          <w:szCs w:val="21"/>
        </w:rPr>
        <w:t>；若路径点存在而无终止点，则终止概率设为</w:t>
      </w:r>
      <w:r w:rsidR="002B589A" w:rsidRPr="00EA2D94">
        <w:rPr>
          <w:rFonts w:eastAsiaTheme="minorEastAsia"/>
          <w:bCs/>
          <w:szCs w:val="21"/>
        </w:rPr>
        <w:t>0</w:t>
      </w:r>
      <w:r w:rsidR="002B589A" w:rsidRPr="00EA2D94">
        <w:rPr>
          <w:rFonts w:eastAsiaTheme="minorEastAsia"/>
          <w:bCs/>
          <w:szCs w:val="21"/>
        </w:rPr>
        <w:t>。</w:t>
      </w:r>
    </w:p>
    <w:p w14:paraId="630C14A0" w14:textId="77777777" w:rsidR="002B589A" w:rsidRDefault="002B589A" w:rsidP="002B589A">
      <w:pPr>
        <w:pStyle w:val="aff1"/>
        <w:keepNext/>
      </w:pPr>
      <w:r>
        <w:rPr>
          <w:rStyle w:val="affff3"/>
          <w:b/>
          <w:szCs w:val="20"/>
        </w:rPr>
        <w:t xml:space="preserve">3.2  </w:t>
      </w:r>
      <w:r>
        <w:t>西北太平洋海域台风随机模拟结果</w:t>
      </w:r>
    </w:p>
    <w:p w14:paraId="63E5D001" w14:textId="5A8BCA1E" w:rsidR="002B589A" w:rsidRDefault="002B589A" w:rsidP="002B589A">
      <w:pPr>
        <w:pStyle w:val="afe"/>
        <w:ind w:firstLine="420"/>
        <w:textAlignment w:val="center"/>
      </w:pPr>
      <w:r>
        <w:rPr>
          <w:rFonts w:hint="eastAsia"/>
        </w:rPr>
        <w:t>本</w:t>
      </w:r>
      <w:r w:rsidRPr="00A93AC2">
        <w:t>小节以西北太平洋区域</w:t>
      </w:r>
      <w:r w:rsidRPr="00A93AC2">
        <w:t>1</w:t>
      </w:r>
      <w:r>
        <w:rPr>
          <w:rFonts w:hint="eastAsia"/>
        </w:rPr>
        <w:t>0000</w:t>
      </w:r>
      <w:r w:rsidRPr="00A93AC2">
        <w:t>年台风模拟为目标，采用前述全过程随机模拟方法开展台风路径的生成与分析。</w:t>
      </w:r>
      <w:r>
        <w:rPr>
          <w:rFonts w:hint="eastAsia"/>
        </w:rPr>
        <w:t>如图</w:t>
      </w:r>
      <w:r>
        <w:rPr>
          <w:rFonts w:hint="eastAsia"/>
        </w:rPr>
        <w:t>4</w:t>
      </w:r>
      <w:r>
        <w:rPr>
          <w:rFonts w:hint="eastAsia"/>
        </w:rPr>
        <w:t>所示，</w:t>
      </w:r>
      <w:r w:rsidRPr="00A93AC2">
        <w:t>模拟以系统初始化为起点，</w:t>
      </w:r>
      <w:r>
        <w:rPr>
          <w:rFonts w:hint="eastAsia"/>
        </w:rPr>
        <w:t>抽取</w:t>
      </w:r>
      <w:r w:rsidRPr="00A93AC2">
        <w:t>年台风数量，并为每个台风随机生成</w:t>
      </w:r>
      <w:r w:rsidR="0068622F">
        <w:rPr>
          <w:rFonts w:hint="eastAsia"/>
        </w:rPr>
        <w:t>起</w:t>
      </w:r>
      <w:r w:rsidRPr="00A93AC2">
        <w:t>始位置、强度、移动速度和方向等关键属性。在年度循环中，台风状态按设定时间步</w:t>
      </w:r>
      <w:r w:rsidR="0068622F">
        <w:rPr>
          <w:rFonts w:hint="eastAsia"/>
        </w:rPr>
        <w:t>逐次</w:t>
      </w:r>
      <w:r w:rsidRPr="00A93AC2">
        <w:t>推进</w:t>
      </w:r>
      <w:r w:rsidR="0068622F">
        <w:rPr>
          <w:rFonts w:hint="eastAsia"/>
        </w:rPr>
        <w:t>。依据</w:t>
      </w:r>
      <w:r w:rsidRPr="00A93AC2">
        <w:t>状</w:t>
      </w:r>
    </w:p>
    <w:p w14:paraId="038CAEB7" w14:textId="61802E71" w:rsidR="002B589A" w:rsidRPr="00A06497" w:rsidRDefault="002B589A" w:rsidP="002B589A">
      <w:pPr>
        <w:pStyle w:val="afe"/>
        <w:ind w:firstLineChars="0" w:firstLine="0"/>
        <w:textAlignment w:val="center"/>
        <w:sectPr w:rsidR="002B589A" w:rsidRPr="00A06497" w:rsidSect="007D0931">
          <w:endnotePr>
            <w:numFmt w:val="decimal"/>
          </w:endnotePr>
          <w:type w:val="continuous"/>
          <w:pgSz w:w="11906" w:h="16838" w:code="9"/>
          <w:pgMar w:top="1701" w:right="1134" w:bottom="1134" w:left="1134" w:header="992" w:footer="992" w:gutter="0"/>
          <w:cols w:num="2" w:space="420"/>
          <w:docGrid w:type="lines" w:linePitch="312"/>
        </w:sect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5"/>
        <w:gridCol w:w="2415"/>
        <w:gridCol w:w="2415"/>
        <w:gridCol w:w="2393"/>
      </w:tblGrid>
      <w:tr w:rsidR="007D0931" w14:paraId="470A484B" w14:textId="77777777" w:rsidTr="0033488D">
        <w:tc>
          <w:tcPr>
            <w:tcW w:w="2414" w:type="dxa"/>
          </w:tcPr>
          <w:p w14:paraId="47176312" w14:textId="77777777" w:rsidR="007D0931" w:rsidRDefault="007D0931" w:rsidP="0033488D">
            <w:pPr>
              <w:pStyle w:val="afe"/>
              <w:ind w:firstLineChars="0" w:firstLine="0"/>
              <w:textAlignment w:val="center"/>
            </w:pPr>
            <w:r w:rsidRPr="00432090">
              <w:rPr>
                <w:noProof/>
                <w:sz w:val="20"/>
                <w:szCs w:val="20"/>
              </w:rPr>
              <w:drawing>
                <wp:inline distT="0" distB="0" distL="0" distR="0" wp14:anchorId="5B51C5BE" wp14:editId="15E0E251">
                  <wp:extent cx="1425275" cy="848783"/>
                  <wp:effectExtent l="0" t="0" r="3810" b="8890"/>
                  <wp:docPr id="1024985263" name="图片 2" descr="图片包含 徽标&#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416792" name="图片 2" descr="图片包含 徽标&#10;&#10;AI 生成的内容可能不正确。"/>
                          <pic:cNvPicPr>
                            <a:picLocks noChangeAspect="1" noChangeArrowheads="1"/>
                          </pic:cNvPicPr>
                        </pic:nvPicPr>
                        <pic:blipFill rotWithShape="1">
                          <a:blip r:embed="rId22">
                            <a:extLst>
                              <a:ext uri="{28A0092B-C50C-407E-A947-70E740481C1C}">
                                <a14:useLocalDpi xmlns:a14="http://schemas.microsoft.com/office/drawing/2010/main" val="0"/>
                              </a:ext>
                            </a:extLst>
                          </a:blip>
                          <a:srcRect l="2942" r="5882" b="5669"/>
                          <a:stretch>
                            <a:fillRect/>
                          </a:stretch>
                        </pic:blipFill>
                        <pic:spPr bwMode="auto">
                          <a:xfrm>
                            <a:off x="0" y="0"/>
                            <a:ext cx="1425275" cy="84878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14" w:type="dxa"/>
          </w:tcPr>
          <w:p w14:paraId="6740730B" w14:textId="77777777" w:rsidR="007D0931" w:rsidRDefault="007D0931" w:rsidP="0033488D">
            <w:pPr>
              <w:pStyle w:val="afe"/>
              <w:ind w:firstLineChars="0" w:firstLine="0"/>
              <w:textAlignment w:val="center"/>
            </w:pPr>
            <w:r w:rsidRPr="00432090">
              <w:rPr>
                <w:noProof/>
                <w:sz w:val="20"/>
                <w:szCs w:val="20"/>
              </w:rPr>
              <w:drawing>
                <wp:inline distT="0" distB="0" distL="0" distR="0" wp14:anchorId="27FE8717" wp14:editId="6A913493">
                  <wp:extent cx="1428750" cy="850900"/>
                  <wp:effectExtent l="0" t="0" r="0" b="6350"/>
                  <wp:docPr id="628777831" name="图片 4" descr="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010434" name="图片 4" descr="图表&#10;&#10;AI 生成的内容可能不正确。"/>
                          <pic:cNvPicPr>
                            <a:picLocks noChangeAspect="1" noChangeArrowheads="1"/>
                          </pic:cNvPicPr>
                        </pic:nvPicPr>
                        <pic:blipFill rotWithShape="1">
                          <a:blip r:embed="rId23">
                            <a:extLst>
                              <a:ext uri="{28A0092B-C50C-407E-A947-70E740481C1C}">
                                <a14:useLocalDpi xmlns:a14="http://schemas.microsoft.com/office/drawing/2010/main" val="0"/>
                              </a:ext>
                            </a:extLst>
                          </a:blip>
                          <a:srcRect l="2715" r="5869" b="5425"/>
                          <a:stretch>
                            <a:fillRect/>
                          </a:stretch>
                        </pic:blipFill>
                        <pic:spPr bwMode="auto">
                          <a:xfrm>
                            <a:off x="0" y="0"/>
                            <a:ext cx="1429200" cy="85116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14" w:type="dxa"/>
          </w:tcPr>
          <w:p w14:paraId="2E8A4E1B" w14:textId="77777777" w:rsidR="007D0931" w:rsidRDefault="007D0931" w:rsidP="0033488D">
            <w:pPr>
              <w:pStyle w:val="afe"/>
              <w:ind w:firstLineChars="0" w:firstLine="0"/>
              <w:textAlignment w:val="center"/>
            </w:pPr>
            <w:r w:rsidRPr="00432090">
              <w:rPr>
                <w:noProof/>
                <w:sz w:val="20"/>
                <w:szCs w:val="20"/>
              </w:rPr>
              <w:drawing>
                <wp:inline distT="0" distB="0" distL="0" distR="0" wp14:anchorId="5F9AE695" wp14:editId="548CD3A5">
                  <wp:extent cx="1421676" cy="850900"/>
                  <wp:effectExtent l="0" t="0" r="7620" b="6350"/>
                  <wp:docPr id="1304301311" name="图片 3" descr="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117642" name="图片 3" descr="图表&#10;&#10;AI 生成的内容可能不正确。"/>
                          <pic:cNvPicPr>
                            <a:picLocks noChangeAspect="1" noChangeArrowheads="1"/>
                          </pic:cNvPicPr>
                        </pic:nvPicPr>
                        <pic:blipFill rotWithShape="1">
                          <a:blip r:embed="rId24">
                            <a:extLst>
                              <a:ext uri="{28A0092B-C50C-407E-A947-70E740481C1C}">
                                <a14:useLocalDpi xmlns:a14="http://schemas.microsoft.com/office/drawing/2010/main" val="0"/>
                              </a:ext>
                            </a:extLst>
                          </a:blip>
                          <a:srcRect l="2942" r="5882" b="5434"/>
                          <a:stretch>
                            <a:fillRect/>
                          </a:stretch>
                        </pic:blipFill>
                        <pic:spPr bwMode="auto">
                          <a:xfrm>
                            <a:off x="0" y="0"/>
                            <a:ext cx="1422000" cy="85109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1" w:type="dxa"/>
          </w:tcPr>
          <w:p w14:paraId="0AE324DF" w14:textId="77777777" w:rsidR="007D0931" w:rsidRDefault="007D0931" w:rsidP="0033488D">
            <w:pPr>
              <w:pStyle w:val="afe"/>
              <w:ind w:firstLineChars="0" w:firstLine="0"/>
              <w:textAlignment w:val="center"/>
            </w:pPr>
            <w:r w:rsidRPr="00432090">
              <w:rPr>
                <w:noProof/>
                <w:sz w:val="20"/>
                <w:szCs w:val="20"/>
              </w:rPr>
              <w:drawing>
                <wp:inline distT="0" distB="0" distL="0" distR="0" wp14:anchorId="39A041E6" wp14:editId="540CF00B">
                  <wp:extent cx="1414478" cy="850900"/>
                  <wp:effectExtent l="0" t="0" r="0" b="6350"/>
                  <wp:docPr id="1244465310" name="图片 5" descr="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788004" name="图片 5" descr="图表&#10;&#10;AI 生成的内容可能不正确。"/>
                          <pic:cNvPicPr>
                            <a:picLocks noChangeAspect="1" noChangeArrowheads="1"/>
                          </pic:cNvPicPr>
                        </pic:nvPicPr>
                        <pic:blipFill rotWithShape="1">
                          <a:blip r:embed="rId25">
                            <a:extLst>
                              <a:ext uri="{28A0092B-C50C-407E-A947-70E740481C1C}">
                                <a14:useLocalDpi xmlns:a14="http://schemas.microsoft.com/office/drawing/2010/main" val="0"/>
                              </a:ext>
                            </a:extLst>
                          </a:blip>
                          <a:srcRect l="3394" r="5882" b="5434"/>
                          <a:stretch>
                            <a:fillRect/>
                          </a:stretch>
                        </pic:blipFill>
                        <pic:spPr bwMode="auto">
                          <a:xfrm>
                            <a:off x="0" y="0"/>
                            <a:ext cx="1414800" cy="85109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D0931" w14:paraId="79148C80" w14:textId="77777777" w:rsidTr="0033488D">
        <w:tc>
          <w:tcPr>
            <w:tcW w:w="2414" w:type="dxa"/>
          </w:tcPr>
          <w:p w14:paraId="70843172" w14:textId="17A1FFF1" w:rsidR="007D0931" w:rsidRPr="007215D5" w:rsidRDefault="007D0931" w:rsidP="00A469E8">
            <w:pPr>
              <w:pStyle w:val="afe"/>
              <w:spacing w:line="200" w:lineRule="exact"/>
              <w:ind w:firstLineChars="0" w:firstLine="0"/>
              <w:jc w:val="center"/>
              <w:textAlignment w:val="center"/>
              <w:rPr>
                <w:sz w:val="15"/>
                <w:szCs w:val="15"/>
              </w:rPr>
            </w:pPr>
            <w:r w:rsidRPr="007215D5">
              <w:rPr>
                <w:sz w:val="15"/>
                <w:szCs w:val="15"/>
              </w:rPr>
              <w:t>台风尺度（</w:t>
            </w:r>
            <w:r w:rsidRPr="007215D5">
              <w:rPr>
                <w:sz w:val="15"/>
                <w:szCs w:val="15"/>
              </w:rPr>
              <w:t>km</w:t>
            </w:r>
            <w:r w:rsidRPr="007215D5">
              <w:rPr>
                <w:sz w:val="15"/>
                <w:szCs w:val="15"/>
              </w:rPr>
              <w:t>）</w:t>
            </w:r>
          </w:p>
        </w:tc>
        <w:tc>
          <w:tcPr>
            <w:tcW w:w="2414" w:type="dxa"/>
          </w:tcPr>
          <w:p w14:paraId="1A69D834" w14:textId="77777777" w:rsidR="007D0931" w:rsidRPr="007215D5" w:rsidRDefault="007D0931" w:rsidP="00A469E8">
            <w:pPr>
              <w:pStyle w:val="afe"/>
              <w:spacing w:line="200" w:lineRule="exact"/>
              <w:ind w:firstLineChars="0" w:firstLine="0"/>
              <w:jc w:val="center"/>
              <w:textAlignment w:val="center"/>
              <w:rPr>
                <w:sz w:val="15"/>
                <w:szCs w:val="15"/>
              </w:rPr>
            </w:pPr>
            <w:r w:rsidRPr="007215D5">
              <w:rPr>
                <w:sz w:val="15"/>
                <w:szCs w:val="15"/>
              </w:rPr>
              <w:t>台风移动速度（</w:t>
            </w:r>
            <w:r w:rsidRPr="007215D5">
              <w:rPr>
                <w:sz w:val="15"/>
                <w:szCs w:val="15"/>
              </w:rPr>
              <w:t>m/s</w:t>
            </w:r>
            <w:r w:rsidRPr="007215D5">
              <w:rPr>
                <w:sz w:val="15"/>
                <w:szCs w:val="15"/>
              </w:rPr>
              <w:t>）</w:t>
            </w:r>
          </w:p>
        </w:tc>
        <w:tc>
          <w:tcPr>
            <w:tcW w:w="2414" w:type="dxa"/>
          </w:tcPr>
          <w:p w14:paraId="69980B0B" w14:textId="3CE48ABB" w:rsidR="007D0931" w:rsidRDefault="007D0931" w:rsidP="00A469E8">
            <w:pPr>
              <w:pStyle w:val="afe"/>
              <w:spacing w:line="200" w:lineRule="exact"/>
              <w:ind w:firstLineChars="0" w:firstLine="0"/>
              <w:jc w:val="center"/>
              <w:textAlignment w:val="center"/>
            </w:pPr>
            <w:r w:rsidRPr="000903AE">
              <w:rPr>
                <w:sz w:val="15"/>
                <w:szCs w:val="15"/>
              </w:rPr>
              <w:t>台风尺度（</w:t>
            </w:r>
            <w:r w:rsidRPr="000903AE">
              <w:rPr>
                <w:sz w:val="15"/>
                <w:szCs w:val="15"/>
              </w:rPr>
              <w:t>km</w:t>
            </w:r>
            <w:r w:rsidRPr="000903AE">
              <w:rPr>
                <w:sz w:val="15"/>
                <w:szCs w:val="15"/>
              </w:rPr>
              <w:t>）</w:t>
            </w:r>
          </w:p>
        </w:tc>
        <w:tc>
          <w:tcPr>
            <w:tcW w:w="2391" w:type="dxa"/>
          </w:tcPr>
          <w:p w14:paraId="08ECA221" w14:textId="77777777" w:rsidR="007D0931" w:rsidRDefault="007D0931" w:rsidP="00A469E8">
            <w:pPr>
              <w:pStyle w:val="afe"/>
              <w:spacing w:line="200" w:lineRule="exact"/>
              <w:ind w:firstLineChars="0" w:firstLine="0"/>
              <w:jc w:val="center"/>
              <w:textAlignment w:val="center"/>
            </w:pPr>
            <w:r w:rsidRPr="000903AE">
              <w:rPr>
                <w:sz w:val="15"/>
                <w:szCs w:val="15"/>
              </w:rPr>
              <w:t>台风移动速度（</w:t>
            </w:r>
            <w:r w:rsidRPr="000903AE">
              <w:rPr>
                <w:sz w:val="15"/>
                <w:szCs w:val="15"/>
              </w:rPr>
              <w:t>m/s</w:t>
            </w:r>
            <w:r w:rsidRPr="000903AE">
              <w:rPr>
                <w:sz w:val="15"/>
                <w:szCs w:val="15"/>
              </w:rPr>
              <w:t>）</w:t>
            </w:r>
          </w:p>
        </w:tc>
      </w:tr>
      <w:tr w:rsidR="007D0931" w14:paraId="181C3435" w14:textId="77777777" w:rsidTr="0033488D">
        <w:tc>
          <w:tcPr>
            <w:tcW w:w="4828" w:type="dxa"/>
            <w:gridSpan w:val="2"/>
          </w:tcPr>
          <w:p w14:paraId="245EF367" w14:textId="77777777" w:rsidR="007D0931" w:rsidRPr="007215D5" w:rsidRDefault="007D0931" w:rsidP="00A469E8">
            <w:pPr>
              <w:pStyle w:val="afff1"/>
              <w:spacing w:line="200" w:lineRule="exact"/>
              <w:rPr>
                <w:rFonts w:hAnsi="Times New Roman"/>
              </w:rPr>
            </w:pPr>
            <w:r w:rsidRPr="006110E8">
              <w:rPr>
                <w:rFonts w:hAnsi="Times New Roman"/>
              </w:rPr>
              <w:lastRenderedPageBreak/>
              <w:t xml:space="preserve">(a) </w:t>
            </w:r>
            <w:r>
              <w:rPr>
                <w:rFonts w:hAnsi="Times New Roman"/>
              </w:rPr>
              <w:t>海洋台风</w:t>
            </w:r>
          </w:p>
        </w:tc>
        <w:tc>
          <w:tcPr>
            <w:tcW w:w="4805" w:type="dxa"/>
            <w:gridSpan w:val="2"/>
          </w:tcPr>
          <w:p w14:paraId="69AC7548" w14:textId="77777777" w:rsidR="007D0931" w:rsidRPr="007215D5" w:rsidRDefault="007D0931" w:rsidP="00A469E8">
            <w:pPr>
              <w:pStyle w:val="afff1"/>
              <w:spacing w:line="200" w:lineRule="exact"/>
              <w:rPr>
                <w:rFonts w:hAnsi="Times New Roman"/>
              </w:rPr>
            </w:pPr>
            <w:r>
              <w:rPr>
                <w:rFonts w:hAnsi="Times New Roman"/>
              </w:rPr>
              <w:t xml:space="preserve">(b) </w:t>
            </w:r>
            <w:r>
              <w:rPr>
                <w:rFonts w:hAnsi="Times New Roman"/>
              </w:rPr>
              <w:t>陆地台风</w:t>
            </w:r>
          </w:p>
        </w:tc>
      </w:tr>
    </w:tbl>
    <w:p w14:paraId="0D0BA20F" w14:textId="77777777" w:rsidR="007D0931" w:rsidRDefault="007D0931" w:rsidP="007D0931">
      <w:pPr>
        <w:pStyle w:val="afff1"/>
        <w:rPr>
          <w:rFonts w:hAnsi="Times New Roman"/>
          <w:b/>
          <w:sz w:val="18"/>
          <w:szCs w:val="18"/>
        </w:rPr>
      </w:pPr>
      <w:r w:rsidRPr="006110E8">
        <w:rPr>
          <w:rFonts w:hAnsi="Times New Roman" w:hint="eastAsia"/>
          <w:b/>
          <w:sz w:val="18"/>
          <w:szCs w:val="18"/>
        </w:rPr>
        <w:t>图</w:t>
      </w:r>
      <w:r w:rsidRPr="006110E8">
        <w:rPr>
          <w:rFonts w:hAnsi="Times New Roman"/>
          <w:b/>
          <w:sz w:val="18"/>
          <w:szCs w:val="18"/>
        </w:rPr>
        <w:t xml:space="preserve">3 </w:t>
      </w:r>
      <w:r w:rsidRPr="006110E8">
        <w:rPr>
          <w:rFonts w:hAnsi="Times New Roman" w:hint="eastAsia"/>
          <w:b/>
          <w:sz w:val="18"/>
          <w:szCs w:val="18"/>
        </w:rPr>
        <w:t>台风</w:t>
      </w:r>
      <w:r>
        <w:rPr>
          <w:rFonts w:hAnsi="Times New Roman" w:hint="eastAsia"/>
          <w:b/>
          <w:sz w:val="18"/>
          <w:szCs w:val="18"/>
        </w:rPr>
        <w:t>尺度</w:t>
      </w:r>
      <w:r w:rsidRPr="006110E8">
        <w:rPr>
          <w:rFonts w:hAnsi="Times New Roman" w:hint="eastAsia"/>
          <w:b/>
          <w:sz w:val="18"/>
          <w:szCs w:val="18"/>
        </w:rPr>
        <w:t>和</w:t>
      </w:r>
      <w:r>
        <w:rPr>
          <w:rFonts w:hAnsi="Times New Roman" w:hint="eastAsia"/>
          <w:b/>
          <w:sz w:val="18"/>
          <w:szCs w:val="18"/>
        </w:rPr>
        <w:t>移动速度的状态转移</w:t>
      </w:r>
      <w:r w:rsidRPr="006110E8">
        <w:rPr>
          <w:rFonts w:hAnsi="Times New Roman" w:hint="eastAsia"/>
          <w:b/>
          <w:sz w:val="18"/>
          <w:szCs w:val="18"/>
        </w:rPr>
        <w:t>联合概率密度</w:t>
      </w:r>
    </w:p>
    <w:p w14:paraId="70C097A2" w14:textId="51D97D27" w:rsidR="007D0931" w:rsidRDefault="007D0931" w:rsidP="00A06497">
      <w:pPr>
        <w:pStyle w:val="afe"/>
        <w:ind w:firstLineChars="0" w:firstLine="0"/>
        <w:sectPr w:rsidR="007D0931" w:rsidSect="00A469E8">
          <w:endnotePr>
            <w:numFmt w:val="decimal"/>
          </w:endnotePr>
          <w:type w:val="continuous"/>
          <w:pgSz w:w="11906" w:h="16838" w:code="9"/>
          <w:pgMar w:top="1701" w:right="1134" w:bottom="1134" w:left="1134" w:header="992" w:footer="992" w:gutter="0"/>
          <w:cols w:space="420"/>
          <w:docGrid w:type="lines" w:linePitch="312"/>
        </w:sectPr>
      </w:pPr>
    </w:p>
    <w:bookmarkEnd w:id="24"/>
    <w:p w14:paraId="487F9A79" w14:textId="79019150" w:rsidR="00A469E8" w:rsidRDefault="0068622F" w:rsidP="002B589A">
      <w:pPr>
        <w:pStyle w:val="afe"/>
        <w:ind w:firstLineChars="0" w:firstLine="0"/>
      </w:pPr>
      <w:r w:rsidRPr="00A93AC2">
        <w:t>态</w:t>
      </w:r>
      <w:r w:rsidR="00A469E8" w:rsidRPr="00A93AC2">
        <w:t>变化率模型更新强度、</w:t>
      </w:r>
      <w:r>
        <w:rPr>
          <w:rFonts w:hint="eastAsia"/>
        </w:rPr>
        <w:t>行进</w:t>
      </w:r>
      <w:r w:rsidR="00A469E8" w:rsidRPr="00A93AC2">
        <w:t>速度等信息，并通过位置推进函数（如</w:t>
      </w:r>
      <w:r w:rsidR="00A469E8" w:rsidRPr="00A93AC2">
        <w:t> </w:t>
      </w:r>
      <w:r w:rsidR="00A469E8" w:rsidRPr="00A93AC2">
        <w:rPr>
          <w:i/>
          <w:iCs/>
        </w:rPr>
        <w:t>reckon</w:t>
      </w:r>
      <w:r w:rsidR="00A469E8" w:rsidRPr="00A93AC2">
        <w:t>）</w:t>
      </w:r>
      <w:r>
        <w:rPr>
          <w:rFonts w:hint="eastAsia"/>
        </w:rPr>
        <w:t>模拟</w:t>
      </w:r>
      <w:r w:rsidR="00A469E8" w:rsidRPr="00A93AC2">
        <w:t>台风移动路径，直至满足终止条件。全过程融合了基于历史数据构建的起始概率模型、状态转移模型与终止判断模型</w:t>
      </w:r>
      <w:r w:rsidR="00A469E8" w:rsidRPr="007215D5">
        <w:t>。</w:t>
      </w:r>
    </w:p>
    <w:bookmarkStart w:id="25" w:name="正文段落_26"/>
    <w:p w14:paraId="4FAD5457" w14:textId="6A22B4A9" w:rsidR="00A469E8" w:rsidRDefault="005955B0" w:rsidP="005955B0">
      <w:pPr>
        <w:pStyle w:val="afe"/>
        <w:ind w:firstLineChars="0" w:firstLine="0"/>
        <w:textAlignment w:val="center"/>
      </w:pPr>
      <w:r>
        <w:rPr>
          <w:noProof/>
        </w:rPr>
        <w:object w:dxaOrig="5368" w:dyaOrig="9150" w14:anchorId="6D3970E8">
          <v:shape id="Name 2" o:spid="_x0000_i1028" type="#_x0000_t75" style="width:226.5pt;height:390.75pt" o:ole="">
            <v:imagedata r:id="rId26" o:title=""/>
          </v:shape>
          <o:OLEObject Type="Embed" ProgID="Visio.Drawing.15" ShapeID="Name 2" DrawAspect="Content" ObjectID="_1845024720" r:id="rId27"/>
        </w:object>
      </w:r>
    </w:p>
    <w:p w14:paraId="27CC9CDD" w14:textId="501135F0" w:rsidR="00A469E8" w:rsidRPr="006110E8" w:rsidRDefault="00A469E8" w:rsidP="00A469E8">
      <w:pPr>
        <w:pStyle w:val="afffe"/>
        <w:rPr>
          <w:rStyle w:val="afffb"/>
          <w:b/>
          <w:kern w:val="0"/>
          <w:szCs w:val="20"/>
        </w:rPr>
      </w:pPr>
      <w:r>
        <w:t>图</w:t>
      </w:r>
      <w:r>
        <w:rPr>
          <w:rFonts w:hint="eastAsia"/>
        </w:rPr>
        <w:t>4</w:t>
      </w:r>
      <w:r>
        <w:t xml:space="preserve"> 10000</w:t>
      </w:r>
      <w:r>
        <w:t>年台风随机模拟流程图</w:t>
      </w:r>
      <w:bookmarkStart w:id="26" w:name="正文段落_32"/>
      <w:bookmarkEnd w:id="25"/>
    </w:p>
    <w:p w14:paraId="598DDA6E" w14:textId="2463DF17" w:rsidR="00A93AC2" w:rsidRDefault="00A93AC2" w:rsidP="00790A58">
      <w:pPr>
        <w:pStyle w:val="afe"/>
        <w:ind w:firstLine="420"/>
      </w:pPr>
      <w:r w:rsidRPr="00A93AC2">
        <w:t>为验证该模拟方法的有效性，本文从参数特征与空间分布两个方面对模拟结果与历史统计数据进行了系统比较。</w:t>
      </w:r>
      <w:r w:rsidR="002B144B" w:rsidRPr="002B144B">
        <w:rPr>
          <w:rFonts w:asciiTheme="minorEastAsia" w:eastAsiaTheme="minorEastAsia" w:hAnsiTheme="minorEastAsia" w:hint="eastAsia"/>
          <w:szCs w:val="21"/>
        </w:rPr>
        <w:t>图5</w:t>
      </w:r>
      <w:r w:rsidR="00AF1A6E">
        <w:rPr>
          <w:rFonts w:asciiTheme="minorEastAsia" w:eastAsiaTheme="minorEastAsia" w:hAnsiTheme="minorEastAsia" w:hint="eastAsia"/>
          <w:szCs w:val="21"/>
        </w:rPr>
        <w:t>给出</w:t>
      </w:r>
      <w:r w:rsidR="00260DC2">
        <w:rPr>
          <w:rFonts w:asciiTheme="minorEastAsia" w:eastAsiaTheme="minorEastAsia" w:hAnsiTheme="minorEastAsia" w:hint="eastAsia"/>
          <w:szCs w:val="21"/>
        </w:rPr>
        <w:t>了</w:t>
      </w:r>
      <w:r w:rsidR="002B144B" w:rsidRPr="002B144B">
        <w:rPr>
          <w:rFonts w:asciiTheme="minorEastAsia" w:eastAsiaTheme="minorEastAsia" w:hAnsiTheme="minorEastAsia"/>
          <w:szCs w:val="21"/>
        </w:rPr>
        <w:t>台风</w:t>
      </w:r>
      <w:r w:rsidR="002B144B" w:rsidRPr="002B144B">
        <w:rPr>
          <w:rFonts w:asciiTheme="minorEastAsia" w:eastAsiaTheme="minorEastAsia" w:hAnsiTheme="minorEastAsia" w:hint="eastAsia"/>
          <w:szCs w:val="21"/>
        </w:rPr>
        <w:t>移动速度和台风绝对尺度的</w:t>
      </w:r>
      <w:r w:rsidR="00AF1A6E">
        <w:rPr>
          <w:rFonts w:asciiTheme="minorEastAsia" w:eastAsiaTheme="minorEastAsia" w:hAnsiTheme="minorEastAsia" w:hint="eastAsia"/>
          <w:szCs w:val="21"/>
        </w:rPr>
        <w:t>统计</w:t>
      </w:r>
      <w:r w:rsidR="002B144B" w:rsidRPr="002B144B">
        <w:rPr>
          <w:rFonts w:asciiTheme="minorEastAsia" w:eastAsiaTheme="minorEastAsia" w:hAnsiTheme="minorEastAsia"/>
          <w:szCs w:val="21"/>
        </w:rPr>
        <w:t>分布情况</w:t>
      </w:r>
      <w:r w:rsidR="002B144B" w:rsidRPr="002B144B">
        <w:rPr>
          <w:rFonts w:asciiTheme="minorEastAsia" w:eastAsiaTheme="minorEastAsia" w:hAnsiTheme="minorEastAsia" w:hint="eastAsia"/>
          <w:szCs w:val="21"/>
        </w:rPr>
        <w:t>，</w:t>
      </w:r>
      <w:r w:rsidRPr="002B144B">
        <w:rPr>
          <w:rFonts w:asciiTheme="minorEastAsia" w:eastAsiaTheme="minorEastAsia" w:hAnsiTheme="minorEastAsia"/>
          <w:szCs w:val="21"/>
        </w:rPr>
        <w:t>模拟结果在总体分布形态上与历史数据</w:t>
      </w:r>
      <w:r w:rsidRPr="00A93AC2">
        <w:t>呈现</w:t>
      </w:r>
      <w:r w:rsidR="0068622F">
        <w:rPr>
          <w:rFonts w:hint="eastAsia"/>
        </w:rPr>
        <w:t>高度</w:t>
      </w:r>
      <w:r w:rsidRPr="00A93AC2">
        <w:t>相</w:t>
      </w:r>
      <w:r w:rsidR="005955B0">
        <w:rPr>
          <w:rFonts w:hint="eastAsia"/>
        </w:rPr>
        <w:t>近</w:t>
      </w:r>
      <w:r w:rsidRPr="00A93AC2">
        <w:t>的</w:t>
      </w:r>
      <w:r w:rsidR="005955B0">
        <w:rPr>
          <w:rFonts w:hint="eastAsia"/>
        </w:rPr>
        <w:t>分布特征</w:t>
      </w:r>
      <w:r w:rsidRPr="00A93AC2">
        <w:t>。</w:t>
      </w:r>
      <w:r w:rsidR="005955B0">
        <w:rPr>
          <w:rFonts w:hint="eastAsia"/>
        </w:rPr>
        <w:t>此外，</w:t>
      </w:r>
      <w:r w:rsidRPr="00A93AC2">
        <w:t>起始</w:t>
      </w:r>
      <w:r w:rsidR="00E42B8B">
        <w:rPr>
          <w:rFonts w:hint="eastAsia"/>
        </w:rPr>
        <w:t>和终止模拟结果与</w:t>
      </w:r>
      <w:r w:rsidRPr="00A93AC2">
        <w:t>历史台风</w:t>
      </w:r>
      <w:r w:rsidR="00E42B8B">
        <w:rPr>
          <w:rFonts w:hint="eastAsia"/>
        </w:rPr>
        <w:t>统计结果吻合度较高</w:t>
      </w:r>
      <w:r w:rsidRPr="00A93AC2">
        <w:t>。在参数统计特征与空间分布</w:t>
      </w:r>
      <w:r w:rsidR="005955B0">
        <w:rPr>
          <w:rFonts w:hint="eastAsia"/>
        </w:rPr>
        <w:t>方面，</w:t>
      </w:r>
      <w:r w:rsidR="005955B0" w:rsidRPr="00A93AC2">
        <w:t>模拟结果</w:t>
      </w:r>
      <w:r w:rsidRPr="00A93AC2">
        <w:t>与历史数据表现出良好一致性，</w:t>
      </w:r>
      <w:r w:rsidR="00790A58">
        <w:rPr>
          <w:rFonts w:hint="eastAsia"/>
        </w:rPr>
        <w:t>验证了</w:t>
      </w:r>
      <w:r w:rsidRPr="00A93AC2">
        <w:t>台风</w:t>
      </w:r>
      <w:r w:rsidR="00790A58">
        <w:rPr>
          <w:rFonts w:hint="eastAsia"/>
        </w:rPr>
        <w:t>路径随机</w:t>
      </w:r>
      <w:r w:rsidRPr="00A93AC2">
        <w:t>模拟</w:t>
      </w:r>
      <w:r w:rsidR="00790A58">
        <w:rPr>
          <w:rFonts w:hint="eastAsia"/>
        </w:rPr>
        <w:t>的有效性</w:t>
      </w:r>
      <w:r w:rsidRPr="00A93AC2">
        <w:t>。</w:t>
      </w:r>
    </w:p>
    <w:p w14:paraId="09EB5848" w14:textId="629D1D3A" w:rsidR="002B144B" w:rsidRDefault="00872435" w:rsidP="002B144B">
      <w:pPr>
        <w:pStyle w:val="afe"/>
        <w:ind w:firstLineChars="0" w:firstLine="0"/>
      </w:pPr>
      <w:r>
        <w:rPr>
          <w:rFonts w:hint="eastAsia"/>
          <w:sz w:val="18"/>
          <w:szCs w:val="18"/>
        </w:rPr>
        <w:t>(a)</w:t>
      </w:r>
      <w:r w:rsidR="002B144B" w:rsidRPr="00432090">
        <w:rPr>
          <w:noProof/>
          <w:sz w:val="20"/>
          <w:szCs w:val="20"/>
        </w:rPr>
        <w:drawing>
          <wp:inline distT="0" distB="0" distL="0" distR="0" wp14:anchorId="1B7FFE50" wp14:editId="4E31683B">
            <wp:extent cx="2640430" cy="1060938"/>
            <wp:effectExtent l="0" t="0" r="7620" b="6350"/>
            <wp:docPr id="1789645984" name="图片 6" descr="图表, 直方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645984" name="图片 6" descr="图表, 直方图&#10;&#10;AI 生成的内容可能不正确。"/>
                    <pic:cNvPicPr>
                      <a:picLocks noChangeAspect="1" noChangeArrowheads="1"/>
                    </pic:cNvPicPr>
                  </pic:nvPicPr>
                  <pic:blipFill rotWithShape="1">
                    <a:blip r:embed="rId28">
                      <a:extLst>
                        <a:ext uri="{28A0092B-C50C-407E-A947-70E740481C1C}">
                          <a14:useLocalDpi xmlns:a14="http://schemas.microsoft.com/office/drawing/2010/main" val="0"/>
                        </a:ext>
                      </a:extLst>
                    </a:blip>
                    <a:srcRect l="5208" r="6944"/>
                    <a:stretch>
                      <a:fillRect/>
                    </a:stretch>
                  </pic:blipFill>
                  <pic:spPr bwMode="auto">
                    <a:xfrm>
                      <a:off x="0" y="0"/>
                      <a:ext cx="2658298" cy="1068117"/>
                    </a:xfrm>
                    <a:prstGeom prst="rect">
                      <a:avLst/>
                    </a:prstGeom>
                    <a:noFill/>
                    <a:ln>
                      <a:noFill/>
                    </a:ln>
                    <a:extLst>
                      <a:ext uri="{53640926-AAD7-44D8-BBD7-CCE9431645EC}">
                        <a14:shadowObscured xmlns:a14="http://schemas.microsoft.com/office/drawing/2010/main"/>
                      </a:ext>
                    </a:extLst>
                  </pic:spPr>
                </pic:pic>
              </a:graphicData>
            </a:graphic>
          </wp:inline>
        </w:drawing>
      </w:r>
    </w:p>
    <w:p w14:paraId="10537C59" w14:textId="5D0CCC7F" w:rsidR="002B144B" w:rsidRDefault="00872435" w:rsidP="00A57FFD">
      <w:pPr>
        <w:pStyle w:val="afe"/>
        <w:ind w:firstLineChars="0" w:firstLine="0"/>
      </w:pPr>
      <w:r>
        <w:rPr>
          <w:rFonts w:hint="eastAsia"/>
          <w:sz w:val="18"/>
          <w:szCs w:val="18"/>
        </w:rPr>
        <w:t>(b)</w:t>
      </w:r>
      <w:r w:rsidR="002B144B" w:rsidRPr="00432090">
        <w:rPr>
          <w:noProof/>
          <w:sz w:val="20"/>
          <w:szCs w:val="20"/>
        </w:rPr>
        <w:drawing>
          <wp:inline distT="0" distB="0" distL="0" distR="0" wp14:anchorId="362341A1" wp14:editId="403800D8">
            <wp:extent cx="2634468" cy="1056047"/>
            <wp:effectExtent l="0" t="0" r="0" b="0"/>
            <wp:docPr id="651297148" name="图片 7" descr="图表, 条形图, 直方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297148" name="图片 7" descr="图表, 条形图, 直方图&#10;&#10;AI 生成的内容可能不正确。"/>
                    <pic:cNvPicPr>
                      <a:picLocks noChangeAspect="1" noChangeArrowheads="1"/>
                    </pic:cNvPicPr>
                  </pic:nvPicPr>
                  <pic:blipFill rotWithShape="1">
                    <a:blip r:embed="rId29">
                      <a:extLst>
                        <a:ext uri="{28A0092B-C50C-407E-A947-70E740481C1C}">
                          <a14:useLocalDpi xmlns:a14="http://schemas.microsoft.com/office/drawing/2010/main" val="0"/>
                        </a:ext>
                      </a:extLst>
                    </a:blip>
                    <a:srcRect l="3098" r="8067"/>
                    <a:stretch>
                      <a:fillRect/>
                    </a:stretch>
                  </pic:blipFill>
                  <pic:spPr bwMode="auto">
                    <a:xfrm>
                      <a:off x="0" y="0"/>
                      <a:ext cx="2658940" cy="1065857"/>
                    </a:xfrm>
                    <a:prstGeom prst="rect">
                      <a:avLst/>
                    </a:prstGeom>
                    <a:noFill/>
                    <a:ln>
                      <a:noFill/>
                    </a:ln>
                    <a:extLst>
                      <a:ext uri="{53640926-AAD7-44D8-BBD7-CCE9431645EC}">
                        <a14:shadowObscured xmlns:a14="http://schemas.microsoft.com/office/drawing/2010/main"/>
                      </a:ext>
                    </a:extLst>
                  </pic:spPr>
                </pic:pic>
              </a:graphicData>
            </a:graphic>
          </wp:inline>
        </w:drawing>
      </w:r>
    </w:p>
    <w:p w14:paraId="57F7F93D" w14:textId="2BB71A2F" w:rsidR="002B144B" w:rsidRPr="00A93AC2" w:rsidRDefault="002B144B" w:rsidP="002B144B">
      <w:pPr>
        <w:pStyle w:val="afe"/>
        <w:ind w:firstLineChars="0" w:firstLine="0"/>
        <w:jc w:val="center"/>
      </w:pPr>
      <w:r w:rsidRPr="002B144B">
        <w:rPr>
          <w:rFonts w:hint="eastAsia"/>
          <w:b/>
          <w:sz w:val="18"/>
          <w:szCs w:val="18"/>
        </w:rPr>
        <w:t>图</w:t>
      </w:r>
      <w:r w:rsidRPr="002B144B">
        <w:rPr>
          <w:rFonts w:hint="eastAsia"/>
          <w:b/>
          <w:sz w:val="18"/>
          <w:szCs w:val="18"/>
        </w:rPr>
        <w:t>5</w:t>
      </w:r>
      <w:r>
        <w:rPr>
          <w:rFonts w:hint="eastAsia"/>
          <w:b/>
          <w:sz w:val="18"/>
          <w:szCs w:val="18"/>
        </w:rPr>
        <w:t xml:space="preserve"> </w:t>
      </w:r>
      <w:r w:rsidRPr="002B144B">
        <w:rPr>
          <w:b/>
          <w:sz w:val="18"/>
          <w:szCs w:val="18"/>
        </w:rPr>
        <w:t>台风</w:t>
      </w:r>
      <w:r w:rsidR="00A57FFD">
        <w:rPr>
          <w:rFonts w:hint="eastAsia"/>
          <w:b/>
          <w:sz w:val="18"/>
          <w:szCs w:val="18"/>
        </w:rPr>
        <w:t>参数</w:t>
      </w:r>
      <w:r w:rsidR="005955B0">
        <w:rPr>
          <w:rFonts w:hint="eastAsia"/>
          <w:b/>
          <w:sz w:val="18"/>
          <w:szCs w:val="18"/>
        </w:rPr>
        <w:t>概率</w:t>
      </w:r>
      <w:r w:rsidRPr="002B144B">
        <w:rPr>
          <w:b/>
          <w:sz w:val="18"/>
          <w:szCs w:val="18"/>
        </w:rPr>
        <w:t>分布</w:t>
      </w:r>
      <w:r w:rsidR="00A57FFD">
        <w:rPr>
          <w:rFonts w:hint="eastAsia"/>
          <w:b/>
          <w:sz w:val="18"/>
          <w:szCs w:val="18"/>
        </w:rPr>
        <w:t>模拟结果与历史统计结果对比（</w:t>
      </w:r>
      <w:r w:rsidR="00A57FFD">
        <w:rPr>
          <w:rFonts w:hint="eastAsia"/>
          <w:b/>
          <w:sz w:val="18"/>
          <w:szCs w:val="18"/>
        </w:rPr>
        <w:t>a</w:t>
      </w:r>
      <w:r w:rsidR="00A57FFD">
        <w:rPr>
          <w:rFonts w:hint="eastAsia"/>
          <w:b/>
          <w:sz w:val="18"/>
          <w:szCs w:val="18"/>
        </w:rPr>
        <w:t>）移动速度；（</w:t>
      </w:r>
      <w:r w:rsidR="00A57FFD">
        <w:rPr>
          <w:rFonts w:hint="eastAsia"/>
          <w:b/>
          <w:sz w:val="18"/>
          <w:szCs w:val="18"/>
        </w:rPr>
        <w:t>b</w:t>
      </w:r>
      <w:r w:rsidR="00A57FFD">
        <w:rPr>
          <w:rFonts w:hint="eastAsia"/>
          <w:b/>
          <w:sz w:val="18"/>
          <w:szCs w:val="18"/>
        </w:rPr>
        <w:t>）台风漩涡尺度</w:t>
      </w:r>
    </w:p>
    <w:p w14:paraId="4EBD2243" w14:textId="31DFB1BE" w:rsidR="006A032F" w:rsidRPr="00C01E85" w:rsidRDefault="006A032F" w:rsidP="006110E8">
      <w:pPr>
        <w:pStyle w:val="aff0"/>
        <w:keepNext/>
        <w:spacing w:before="156" w:after="156"/>
        <w:rPr>
          <w:rStyle w:val="afffb"/>
          <w:b/>
          <w:kern w:val="0"/>
          <w:szCs w:val="20"/>
        </w:rPr>
      </w:pPr>
      <w:bookmarkStart w:id="27" w:name="正文段落_38"/>
      <w:bookmarkEnd w:id="26"/>
      <w:r w:rsidRPr="00C01E85">
        <w:rPr>
          <w:rStyle w:val="afffb"/>
          <w:b/>
          <w:kern w:val="0"/>
          <w:szCs w:val="20"/>
        </w:rPr>
        <w:t xml:space="preserve">4  </w:t>
      </w:r>
      <w:r w:rsidRPr="00C01E85">
        <w:rPr>
          <w:rStyle w:val="afffb"/>
          <w:rFonts w:hint="eastAsia"/>
          <w:b/>
          <w:kern w:val="0"/>
          <w:szCs w:val="20"/>
        </w:rPr>
        <w:t>风速极值</w:t>
      </w:r>
      <w:r w:rsidR="009076CD">
        <w:rPr>
          <w:rStyle w:val="afffb"/>
          <w:rFonts w:hint="eastAsia"/>
          <w:b/>
          <w:kern w:val="0"/>
          <w:szCs w:val="20"/>
        </w:rPr>
        <w:t>-</w:t>
      </w:r>
      <w:r w:rsidRPr="00C01E85">
        <w:rPr>
          <w:rStyle w:val="afffb"/>
          <w:rFonts w:hint="eastAsia"/>
          <w:b/>
          <w:kern w:val="0"/>
          <w:szCs w:val="20"/>
        </w:rPr>
        <w:t>风向联合概率建模</w:t>
      </w:r>
    </w:p>
    <w:p w14:paraId="58243CE5" w14:textId="5FFE9D33" w:rsidR="0032210F" w:rsidRDefault="00000000">
      <w:pPr>
        <w:pStyle w:val="afe"/>
        <w:ind w:firstLine="420"/>
      </w:pPr>
      <w:r>
        <w:t>基于西北太平洋区域</w:t>
      </w:r>
      <w:r>
        <w:t>10000</w:t>
      </w:r>
      <w:r>
        <w:t>年台风路径模拟结果，可统计获得目标考查区域内台风事件年发生次数及其具体路径信息，包括台风中心位置、强度、尺度及移动趋势等关键参数。进而，</w:t>
      </w:r>
      <w:r w:rsidR="0068622F">
        <w:rPr>
          <w:rFonts w:hint="eastAsia"/>
        </w:rPr>
        <w:t>结合</w:t>
      </w:r>
      <w:r>
        <w:t>台风漩涡</w:t>
      </w:r>
      <w:r>
        <w:t>Emanual</w:t>
      </w:r>
      <w:r>
        <w:t>径向剖面模型与近地表台风风场空间关系，可计算得到统计周期内台风事件集对目标地理位置造成的风速及其风向信息。</w:t>
      </w:r>
      <w:bookmarkEnd w:id="27"/>
    </w:p>
    <w:p w14:paraId="0140F337" w14:textId="77777777" w:rsidR="0032210F" w:rsidRDefault="00000000">
      <w:pPr>
        <w:pStyle w:val="aff1"/>
        <w:keepNext/>
      </w:pPr>
      <w:bookmarkStart w:id="28" w:name="二级标题序号_7"/>
      <w:bookmarkStart w:id="29" w:name="二级标题_6"/>
      <w:r>
        <w:rPr>
          <w:rStyle w:val="affff3"/>
          <w:b/>
          <w:szCs w:val="20"/>
        </w:rPr>
        <w:t xml:space="preserve">4.1  </w:t>
      </w:r>
      <w:bookmarkEnd w:id="28"/>
      <w:r>
        <w:t>台风漩涡物理参数模型</w:t>
      </w:r>
      <w:bookmarkEnd w:id="29"/>
    </w:p>
    <w:p w14:paraId="33BF262D" w14:textId="733AB898" w:rsidR="0032210F" w:rsidRDefault="00000000">
      <w:pPr>
        <w:pStyle w:val="afe"/>
        <w:ind w:firstLine="420"/>
      </w:pPr>
      <w:bookmarkStart w:id="30" w:name="正文段落_40"/>
      <w:r>
        <w:t>Emanuel</w:t>
      </w:r>
      <w:r>
        <w:t>模型将台风旋涡沿径向分成内、外两个区域（</w:t>
      </w:r>
      <w:r w:rsidR="00641DBF">
        <w:rPr>
          <w:rFonts w:hint="eastAsia"/>
        </w:rPr>
        <w:t>如</w:t>
      </w:r>
      <w:r>
        <w:t>公式</w:t>
      </w:r>
      <w:r>
        <w:t>4ab</w:t>
      </w:r>
      <w:r>
        <w:t>）：在外部区域，空气不存在明显的竖向对流情况，边界层内空气的平均运动可通过</w:t>
      </w:r>
      <w:r>
        <w:t>Ekman</w:t>
      </w:r>
      <w:r>
        <w:t>动力</w:t>
      </w:r>
      <w:proofErr w:type="gramStart"/>
      <w:r>
        <w:t>平衡理论</w:t>
      </w:r>
      <w:proofErr w:type="gramEnd"/>
      <w:r>
        <w:t>和气流的连续性来描述；在内部区域，空气存在较强的竖向对流情况，气团间产生</w:t>
      </w:r>
      <w:proofErr w:type="gramStart"/>
      <w:r>
        <w:t>的峰生效应</w:t>
      </w:r>
      <w:proofErr w:type="gramEnd"/>
      <w:r>
        <w:t>不可忽视，而且气团角动量的竖向湍流通量会引起边界层顶部以上空气的下行，对此采用边界层角动量平衡和热</w:t>
      </w:r>
      <w:proofErr w:type="gramStart"/>
      <w:r>
        <w:t>熵准平衡</w:t>
      </w:r>
      <w:proofErr w:type="gramEnd"/>
      <w:r>
        <w:t>原理来构建台风径向模型。</w:t>
      </w:r>
      <w:bookmarkEnd w:id="30"/>
    </w:p>
    <w:p w14:paraId="472851BB" w14:textId="2D77A068" w:rsidR="0032210F" w:rsidRDefault="00000000">
      <w:pPr>
        <w:pStyle w:val="afff5"/>
        <w:tabs>
          <w:tab w:val="center" w:pos="2274"/>
          <w:tab w:val="right" w:pos="4549"/>
        </w:tabs>
        <w:ind w:left="0"/>
        <w:jc w:val="right"/>
      </w:pPr>
      <w:r>
        <w:tab/>
      </w:r>
      <w:bookmarkStart w:id="31" w:name="公式_10"/>
      <w:r w:rsidR="00E676DA" w:rsidRPr="002E387E">
        <w:rPr>
          <w:rFonts w:hint="eastAsia"/>
          <w:position w:val="-30"/>
        </w:rPr>
        <w:object w:dxaOrig="2100" w:dyaOrig="720" w14:anchorId="0AE0F90C">
          <v:shape id="_x0000_i1029" type="#_x0000_t75" style="width:105pt;height:36pt" o:ole="">
            <v:imagedata r:id="rId30" o:title=""/>
          </v:shape>
          <o:OLEObject Type="Embed" ProgID="Equation.DSMT4" ShapeID="_x0000_i1029" DrawAspect="Content" ObjectID="_1845024721" r:id="rId31"/>
        </w:object>
      </w:r>
      <w:r>
        <w:tab/>
      </w:r>
      <w:r>
        <w:t>（</w:t>
      </w:r>
      <w:r>
        <w:t>4a</w:t>
      </w:r>
      <w:r>
        <w:t>）</w:t>
      </w:r>
      <w:bookmarkEnd w:id="31"/>
    </w:p>
    <w:p w14:paraId="70D45FEA" w14:textId="6919C5E3" w:rsidR="0032210F" w:rsidRDefault="00000000">
      <w:pPr>
        <w:pStyle w:val="afff5"/>
        <w:tabs>
          <w:tab w:val="center" w:pos="2274"/>
          <w:tab w:val="right" w:pos="4549"/>
        </w:tabs>
        <w:ind w:left="0"/>
        <w:jc w:val="right"/>
      </w:pPr>
      <w:r>
        <w:tab/>
      </w:r>
      <w:bookmarkStart w:id="32" w:name="公式_12"/>
      <w:r w:rsidR="00E676DA" w:rsidRPr="00E676DA">
        <w:rPr>
          <w:rFonts w:hint="eastAsia"/>
          <w:position w:val="-34"/>
        </w:rPr>
        <w:object w:dxaOrig="2840" w:dyaOrig="859" w14:anchorId="73BEEA91">
          <v:shape id="_x0000_i1030" type="#_x0000_t75" style="width:143.25pt;height:42.75pt" o:ole="">
            <v:imagedata r:id="rId32" o:title=""/>
          </v:shape>
          <o:OLEObject Type="Embed" ProgID="Equation.DSMT4" ShapeID="_x0000_i1030" DrawAspect="Content" ObjectID="_1845024722" r:id="rId33"/>
        </w:object>
      </w:r>
      <w:r>
        <w:tab/>
      </w:r>
      <w:r>
        <w:t>（</w:t>
      </w:r>
      <w:r>
        <w:t>4b</w:t>
      </w:r>
      <w:r>
        <w:t>）</w:t>
      </w:r>
      <w:bookmarkEnd w:id="32"/>
    </w:p>
    <w:p w14:paraId="1E708899" w14:textId="69DA62AF" w:rsidR="0032210F" w:rsidRDefault="00000000" w:rsidP="00641DBF">
      <w:pPr>
        <w:pStyle w:val="afe"/>
        <w:ind w:firstLineChars="0" w:firstLine="0"/>
      </w:pPr>
      <w:bookmarkStart w:id="33" w:name="正文段落_42"/>
      <w:r>
        <w:t>其中，</w:t>
      </w:r>
      <w:r>
        <w:rPr>
          <w:i/>
        </w:rPr>
        <w:t>M</w:t>
      </w:r>
      <w:r>
        <w:t>=</w:t>
      </w:r>
      <w:r>
        <w:rPr>
          <w:i/>
        </w:rPr>
        <w:t>rV</w:t>
      </w:r>
      <w:r>
        <w:t>+0.5</w:t>
      </w:r>
      <w:r>
        <w:rPr>
          <w:i/>
        </w:rPr>
        <w:t>fr</w:t>
      </w:r>
      <w:r>
        <w:rPr>
          <w:vertAlign w:val="superscript"/>
        </w:rPr>
        <w:t>2</w:t>
      </w:r>
      <w:r>
        <w:t>为单位气团关于台风中心的角动量；</w:t>
      </w:r>
      <w:r>
        <w:rPr>
          <w:i/>
        </w:rPr>
        <w:t>r</w:t>
      </w:r>
      <w:r>
        <w:t>表示台风旋涡半径，</w:t>
      </w:r>
      <w:r>
        <w:rPr>
          <w:i/>
        </w:rPr>
        <w:t>V</w:t>
      </w:r>
      <w:r>
        <w:t>为台风旋涡风速；</w:t>
      </w:r>
      <w:r>
        <w:rPr>
          <w:i/>
        </w:rPr>
        <w:t>r</w:t>
      </w:r>
      <w:r>
        <w:rPr>
          <w:vertAlign w:val="subscript"/>
        </w:rPr>
        <w:t>0</w:t>
      </w:r>
      <w:r>
        <w:t>为台风绝对尺度，即</w:t>
      </w:r>
      <w:r>
        <w:rPr>
          <w:i/>
        </w:rPr>
        <w:t>V</w:t>
      </w:r>
      <w:r>
        <w:t>(</w:t>
      </w:r>
      <w:r>
        <w:rPr>
          <w:i/>
        </w:rPr>
        <w:t>r</w:t>
      </w:r>
      <w:r>
        <w:rPr>
          <w:vertAlign w:val="subscript"/>
        </w:rPr>
        <w:t>0</w:t>
      </w:r>
      <w:r>
        <w:t>)=0</w:t>
      </w:r>
      <w:r>
        <w:t>，其值可依据相关尺度</w:t>
      </w:r>
      <w:r>
        <w:rPr>
          <w:i/>
        </w:rPr>
        <w:t>r</w:t>
      </w:r>
      <w:r>
        <w:rPr>
          <w:rFonts w:ascii="Cambria Math" w:eastAsia="Cambria Math" w:hAnsi="Cambria Math" w:cs="Cambria Math"/>
        </w:rPr>
        <w:t>∗迭代求得</w:t>
      </w:r>
      <w:r>
        <w:t>；</w:t>
      </w:r>
      <w:r>
        <w:rPr>
          <w:i/>
        </w:rPr>
        <w:t>r</w:t>
      </w:r>
      <w:r>
        <w:rPr>
          <w:i/>
          <w:vertAlign w:val="subscript"/>
        </w:rPr>
        <w:t>m</w:t>
      </w:r>
      <w:r>
        <w:t>为最大风速</w:t>
      </w:r>
      <w:proofErr w:type="spellStart"/>
      <w:r>
        <w:rPr>
          <w:i/>
        </w:rPr>
        <w:t>V</w:t>
      </w:r>
      <w:r>
        <w:rPr>
          <w:i/>
          <w:vertAlign w:val="subscript"/>
        </w:rPr>
        <w:t>m</w:t>
      </w:r>
      <w:proofErr w:type="spellEnd"/>
      <w:r>
        <w:t>所对应的旋涡半径，</w:t>
      </w:r>
      <w:r>
        <w:rPr>
          <w:i/>
        </w:rPr>
        <w:t>M</w:t>
      </w:r>
      <w:r>
        <w:rPr>
          <w:i/>
          <w:vertAlign w:val="subscript"/>
        </w:rPr>
        <w:t>m</w:t>
      </w:r>
      <w:r>
        <w:t>为</w:t>
      </w:r>
      <w:r>
        <w:lastRenderedPageBreak/>
        <w:t>台风最大风速处角动量值，两者可依据内、外区域连续性条件求解；</w:t>
      </w:r>
      <w:r>
        <w:rPr>
          <w:i/>
        </w:rPr>
        <w:t>C</w:t>
      </w:r>
      <w:r>
        <w:rPr>
          <w:i/>
          <w:vertAlign w:val="subscript"/>
        </w:rPr>
        <w:t>D</w:t>
      </w:r>
      <w:r>
        <w:t>为海面或地表阻力系数</w:t>
      </w:r>
      <w:r w:rsidR="00641DBF" w:rsidRPr="006110E8">
        <w:rPr>
          <w:noProof/>
          <w:szCs w:val="21"/>
          <w:vertAlign w:val="superscript"/>
        </w:rPr>
        <w:t>[</w:t>
      </w:r>
      <w:r w:rsidR="007338F1">
        <w:rPr>
          <w:rFonts w:hint="eastAsia"/>
          <w:noProof/>
          <w:szCs w:val="21"/>
          <w:vertAlign w:val="superscript"/>
        </w:rPr>
        <w:t>9</w:t>
      </w:r>
      <w:r w:rsidR="00641DBF" w:rsidRPr="006110E8">
        <w:rPr>
          <w:noProof/>
          <w:szCs w:val="21"/>
          <w:vertAlign w:val="superscript"/>
        </w:rPr>
        <w:t>]</w:t>
      </w:r>
      <w:r>
        <w:t>；</w:t>
      </w:r>
      <w:r>
        <w:rPr>
          <w:i/>
        </w:rPr>
        <w:t>w</w:t>
      </w:r>
      <w:r>
        <w:t>为自由对流层空气的下沉速率，取</w:t>
      </w:r>
      <w:r>
        <w:t>2mm/s</w:t>
      </w:r>
      <w:r>
        <w:t>；</w:t>
      </w:r>
      <w:r>
        <w:rPr>
          <w:i/>
        </w:rPr>
        <w:t>ξ</w:t>
      </w:r>
      <w:r>
        <w:t>=</w:t>
      </w:r>
      <w:r>
        <w:rPr>
          <w:i/>
        </w:rPr>
        <w:t>C</w:t>
      </w:r>
      <w:r>
        <w:rPr>
          <w:i/>
          <w:vertAlign w:val="subscript"/>
        </w:rPr>
        <w:t>k</w:t>
      </w:r>
      <w:r>
        <w:t>/</w:t>
      </w:r>
      <w:r>
        <w:rPr>
          <w:i/>
        </w:rPr>
        <w:t>C</w:t>
      </w:r>
      <w:r>
        <w:rPr>
          <w:i/>
          <w:vertAlign w:val="subscript"/>
        </w:rPr>
        <w:t>D</w:t>
      </w:r>
      <w:r>
        <w:t>，为表面热熵交换系数与表面阻力系数的比值，可依据台风强度估计获得</w:t>
      </w:r>
      <w:r w:rsidR="00641DBF" w:rsidRPr="006110E8">
        <w:rPr>
          <w:noProof/>
          <w:szCs w:val="21"/>
          <w:vertAlign w:val="superscript"/>
        </w:rPr>
        <w:t>[</w:t>
      </w:r>
      <w:r w:rsidR="007338F1">
        <w:rPr>
          <w:rFonts w:hint="eastAsia"/>
          <w:noProof/>
          <w:szCs w:val="21"/>
          <w:vertAlign w:val="superscript"/>
        </w:rPr>
        <w:t>9</w:t>
      </w:r>
      <w:r w:rsidR="00641DBF" w:rsidRPr="006110E8">
        <w:rPr>
          <w:noProof/>
          <w:szCs w:val="21"/>
          <w:vertAlign w:val="superscript"/>
        </w:rPr>
        <w:t>]</w:t>
      </w:r>
      <w:r>
        <w:t>。</w:t>
      </w:r>
      <w:bookmarkEnd w:id="33"/>
    </w:p>
    <w:p w14:paraId="5399D5CD" w14:textId="5C3160EC" w:rsidR="00A93AC2" w:rsidRDefault="00A57FFD" w:rsidP="00A57FFD">
      <w:pPr>
        <w:pStyle w:val="afffe"/>
      </w:pPr>
      <w:r>
        <w:rPr>
          <w:rFonts w:hint="eastAsia"/>
        </w:rPr>
        <w:object w:dxaOrig="4755" w:dyaOrig="3030" w14:anchorId="4E595189">
          <v:shape id="Name 3" o:spid="_x0000_i1031" type="#_x0000_t75" style="width:171.75pt;height:109.5pt" o:ole="">
            <v:imagedata r:id="rId34" o:title=""/>
          </v:shape>
          <o:OLEObject Type="Embed" ProgID="Visio.Drawing.15" ShapeID="Name 3" DrawAspect="Content" ObjectID="_1845024723" r:id="rId35"/>
        </w:object>
      </w:r>
    </w:p>
    <w:p w14:paraId="4FABFBEE" w14:textId="44036865" w:rsidR="00A93AC2" w:rsidRDefault="00A93AC2" w:rsidP="00A93AC2">
      <w:pPr>
        <w:pStyle w:val="afffe"/>
        <w:rPr>
          <w:rStyle w:val="affff3"/>
          <w:b/>
          <w:szCs w:val="20"/>
        </w:rPr>
      </w:pPr>
      <w:r>
        <w:t>图</w:t>
      </w:r>
      <w:r w:rsidR="005C6FCC">
        <w:rPr>
          <w:rFonts w:hint="eastAsia"/>
        </w:rPr>
        <w:t>6</w:t>
      </w:r>
      <w:r w:rsidR="007C5815">
        <w:t xml:space="preserve"> </w:t>
      </w:r>
      <w:r>
        <w:t>台风近地表</w:t>
      </w:r>
      <w:proofErr w:type="gramStart"/>
      <w:r>
        <w:t>风空间</w:t>
      </w:r>
      <w:proofErr w:type="gramEnd"/>
      <w:r>
        <w:t>示意图</w:t>
      </w:r>
    </w:p>
    <w:p w14:paraId="5E352155" w14:textId="77777777" w:rsidR="0032210F" w:rsidRDefault="00000000">
      <w:pPr>
        <w:pStyle w:val="afe"/>
        <w:ind w:firstLine="420"/>
      </w:pPr>
      <w:bookmarkStart w:id="34" w:name="正文段落_44"/>
      <w:r>
        <w:t>Emanuel</w:t>
      </w:r>
      <w:r>
        <w:t>台风径向剖面模型假定台风旋涡是稳态的且具有对称性。然而，在实际情况中，由于台风的移动和环境影响，台风旋涡往往具有非对称性。将</w:t>
      </w:r>
      <w:r>
        <w:t>Emanuel</w:t>
      </w:r>
      <w:r>
        <w:t>模型计算获得的台风风速直接作为近地表风速不够准确。此处，将表面风分成两个部分（如图</w:t>
      </w:r>
      <w:r>
        <w:t>6</w:t>
      </w:r>
      <w:r>
        <w:t>）：一是与台风旋涡相关的轴对称旋涡风</w:t>
      </w:r>
      <m:oMath>
        <m:acc>
          <m:accPr>
            <m:chr m:val="⃗"/>
            <m:ctrlPr>
              <w:rPr>
                <w:rFonts w:ascii="Cambria Math" w:hAnsi="Cambria Math"/>
                <w:szCs w:val="21"/>
              </w:rPr>
            </m:ctrlPr>
          </m:accPr>
          <m:e>
            <m:sSub>
              <m:sSubPr>
                <m:ctrlPr>
                  <w:rPr>
                    <w:rFonts w:ascii="Cambria Math" w:hAnsi="Cambria Math"/>
                    <w:szCs w:val="21"/>
                  </w:rPr>
                </m:ctrlPr>
              </m:sSubPr>
              <m:e>
                <m:r>
                  <w:rPr>
                    <w:rFonts w:ascii="Cambria Math" w:hAnsi="Cambria Math"/>
                    <w:szCs w:val="21"/>
                  </w:rPr>
                  <m:t>V</m:t>
                </m:r>
              </m:e>
              <m:sub>
                <m:r>
                  <w:rPr>
                    <w:rFonts w:ascii="Cambria Math" w:hAnsi="Cambria Math"/>
                    <w:szCs w:val="21"/>
                  </w:rPr>
                  <m:t>r</m:t>
                </m:r>
              </m:sub>
            </m:sSub>
          </m:e>
        </m:acc>
      </m:oMath>
      <w:r>
        <w:t>；二是与局部环境相关的表面背景风</w:t>
      </w:r>
      <m:oMath>
        <m:acc>
          <m:accPr>
            <m:chr m:val="⃗"/>
            <m:ctrlPr>
              <w:rPr>
                <w:rFonts w:ascii="Cambria Math" w:hAnsi="Cambria Math"/>
                <w:szCs w:val="21"/>
              </w:rPr>
            </m:ctrlPr>
          </m:accPr>
          <m:e>
            <m:sSub>
              <m:sSubPr>
                <m:ctrlPr>
                  <w:rPr>
                    <w:rFonts w:ascii="Cambria Math" w:hAnsi="Cambria Math"/>
                    <w:szCs w:val="21"/>
                  </w:rPr>
                </m:ctrlPr>
              </m:sSubPr>
              <m:e>
                <m:r>
                  <w:rPr>
                    <w:rFonts w:ascii="Cambria Math" w:hAnsi="Cambria Math"/>
                    <w:szCs w:val="21"/>
                  </w:rPr>
                  <m:t>V</m:t>
                </m:r>
              </m:e>
              <m:sub>
                <m:r>
                  <w:rPr>
                    <w:rFonts w:ascii="Cambria Math" w:hAnsi="Cambria Math"/>
                    <w:szCs w:val="21"/>
                  </w:rPr>
                  <m:t>t</m:t>
                </m:r>
              </m:sub>
            </m:sSub>
          </m:e>
        </m:acc>
      </m:oMath>
      <w:r>
        <w:t>。表面风</w:t>
      </w:r>
      <m:oMath>
        <m:acc>
          <m:accPr>
            <m:chr m:val="⃗"/>
            <m:ctrlPr>
              <w:rPr>
                <w:rFonts w:ascii="Cambria Math" w:hAnsi="Cambria Math"/>
                <w:szCs w:val="21"/>
              </w:rPr>
            </m:ctrlPr>
          </m:accPr>
          <m:e>
            <m:r>
              <w:rPr>
                <w:rFonts w:ascii="Cambria Math" w:hAnsi="Cambria Math"/>
                <w:szCs w:val="21"/>
              </w:rPr>
              <m:t>U</m:t>
            </m:r>
          </m:e>
        </m:acc>
      </m:oMath>
      <w:r>
        <w:t>则可表示为两个成分的有权加和，如公式（</w:t>
      </w:r>
      <w:r>
        <w:t>5</w:t>
      </w:r>
      <w:r>
        <w:t>）。</w:t>
      </w:r>
      <w:bookmarkEnd w:id="34"/>
    </w:p>
    <w:p w14:paraId="374CAC38" w14:textId="5287550A" w:rsidR="0032210F" w:rsidRDefault="00000000">
      <w:pPr>
        <w:pStyle w:val="afff5"/>
        <w:tabs>
          <w:tab w:val="center" w:pos="2274"/>
          <w:tab w:val="right" w:pos="4549"/>
        </w:tabs>
        <w:ind w:left="0"/>
        <w:jc w:val="right"/>
      </w:pPr>
      <w:r>
        <w:tab/>
      </w:r>
      <w:bookmarkStart w:id="35" w:name="公式_14"/>
      <w:r w:rsidR="00E676DA" w:rsidRPr="002E387E">
        <w:rPr>
          <w:rFonts w:hint="eastAsia"/>
          <w:position w:val="-12"/>
        </w:rPr>
        <w:object w:dxaOrig="1359" w:dyaOrig="360" w14:anchorId="7E39B921">
          <v:shape id="_x0000_i1032" type="#_x0000_t75" style="width:67.5pt;height:18pt" o:ole="">
            <v:imagedata r:id="rId36" o:title=""/>
          </v:shape>
          <o:OLEObject Type="Embed" ProgID="Equation.DSMT4" ShapeID="_x0000_i1032" DrawAspect="Content" ObjectID="_1845024724" r:id="rId37"/>
        </w:object>
      </w:r>
      <w:r>
        <w:tab/>
      </w:r>
      <w:r>
        <w:t>（</w:t>
      </w:r>
      <w:r>
        <w:t>5</w:t>
      </w:r>
      <w:r>
        <w:t>）</w:t>
      </w:r>
      <w:bookmarkEnd w:id="35"/>
    </w:p>
    <w:p w14:paraId="743CA296" w14:textId="44C8CD5A" w:rsidR="0032210F" w:rsidRDefault="00000000" w:rsidP="00C01E85">
      <w:pPr>
        <w:pStyle w:val="afe"/>
        <w:ind w:firstLineChars="0" w:firstLine="0"/>
      </w:pPr>
      <w:bookmarkStart w:id="36" w:name="正文段落_怀疑_88"/>
      <w:r>
        <w:t>其中</w:t>
      </w:r>
      <w:r w:rsidR="005F6352">
        <w:rPr>
          <w:rFonts w:hint="eastAsia"/>
        </w:rPr>
        <w:t>，</w:t>
      </w:r>
      <w:r>
        <w:rPr>
          <w:i/>
        </w:rPr>
        <w:t>α</w:t>
      </w:r>
      <w:r>
        <w:rPr>
          <w:i/>
          <w:vertAlign w:val="subscript"/>
        </w:rPr>
        <w:t>r</w:t>
      </w:r>
      <w:r>
        <w:t>为旋涡风</w:t>
      </w:r>
      <w:proofErr w:type="gramStart"/>
      <w:r>
        <w:t>的折减系数</w:t>
      </w:r>
      <w:proofErr w:type="gramEnd"/>
      <w:r>
        <w:t>，取</w:t>
      </w:r>
      <w:r>
        <w:t>0.85</w:t>
      </w:r>
      <w:r>
        <w:t>；</w:t>
      </w:r>
      <w:r>
        <w:rPr>
          <w:i/>
        </w:rPr>
        <w:t>α</w:t>
      </w:r>
      <w:r>
        <w:rPr>
          <w:i/>
          <w:vertAlign w:val="subscript"/>
        </w:rPr>
        <w:t>b</w:t>
      </w:r>
      <w:r>
        <w:t>为背景风的参与系数，取</w:t>
      </w:r>
      <w:r>
        <w:t>0.55</w:t>
      </w:r>
      <w:r w:rsidR="00641DBF" w:rsidRPr="006110E8">
        <w:rPr>
          <w:noProof/>
          <w:szCs w:val="21"/>
          <w:vertAlign w:val="superscript"/>
        </w:rPr>
        <w:t>[</w:t>
      </w:r>
      <w:r w:rsidR="007338F1">
        <w:rPr>
          <w:rFonts w:hint="eastAsia"/>
          <w:noProof/>
          <w:szCs w:val="21"/>
          <w:vertAlign w:val="superscript"/>
        </w:rPr>
        <w:t>9</w:t>
      </w:r>
      <w:r w:rsidR="00641DBF" w:rsidRPr="006110E8">
        <w:rPr>
          <w:noProof/>
          <w:szCs w:val="21"/>
          <w:vertAlign w:val="superscript"/>
        </w:rPr>
        <w:t>]</w:t>
      </w:r>
      <w:r>
        <w:t>。旋涡风</w:t>
      </w:r>
      <m:oMath>
        <m:acc>
          <m:accPr>
            <m:chr m:val="⃗"/>
            <m:ctrlPr>
              <w:rPr>
                <w:rFonts w:ascii="Cambria Math" w:hAnsi="Cambria Math"/>
                <w:szCs w:val="21"/>
              </w:rPr>
            </m:ctrlPr>
          </m:accPr>
          <m:e>
            <m:sSub>
              <m:sSubPr>
                <m:ctrlPr>
                  <w:rPr>
                    <w:rFonts w:ascii="Cambria Math" w:hAnsi="Cambria Math"/>
                    <w:szCs w:val="21"/>
                  </w:rPr>
                </m:ctrlPr>
              </m:sSubPr>
              <m:e>
                <m:r>
                  <w:rPr>
                    <w:rFonts w:ascii="Cambria Math" w:hAnsi="Cambria Math"/>
                    <w:szCs w:val="21"/>
                  </w:rPr>
                  <m:t>V</m:t>
                </m:r>
              </m:e>
              <m:sub>
                <m:r>
                  <w:rPr>
                    <w:rFonts w:ascii="Cambria Math" w:hAnsi="Cambria Math"/>
                    <w:szCs w:val="21"/>
                  </w:rPr>
                  <m:t>r</m:t>
                </m:r>
              </m:sub>
            </m:sSub>
          </m:e>
        </m:acc>
      </m:oMath>
      <w:r>
        <w:t>的大小由</w:t>
      </w:r>
      <w:r>
        <w:t>Emanuel</w:t>
      </w:r>
      <w:r>
        <w:t>台风径向剖面模型计算获得，并且引入流入角</w:t>
      </w:r>
      <w:r>
        <w:rPr>
          <w:i/>
        </w:rPr>
        <w:t>α</w:t>
      </w:r>
      <w:r>
        <w:t>对其方向进行修正；背景风</w:t>
      </w:r>
      <m:oMath>
        <m:acc>
          <m:accPr>
            <m:chr m:val="⃗"/>
            <m:ctrlPr>
              <w:rPr>
                <w:rFonts w:ascii="Cambria Math" w:hAnsi="Cambria Math"/>
                <w:szCs w:val="21"/>
              </w:rPr>
            </m:ctrlPr>
          </m:accPr>
          <m:e>
            <m:sSub>
              <m:sSubPr>
                <m:ctrlPr>
                  <w:rPr>
                    <w:rFonts w:ascii="Cambria Math" w:hAnsi="Cambria Math"/>
                    <w:szCs w:val="21"/>
                  </w:rPr>
                </m:ctrlPr>
              </m:sSubPr>
              <m:e>
                <m:r>
                  <w:rPr>
                    <w:rFonts w:ascii="Cambria Math" w:hAnsi="Cambria Math"/>
                    <w:szCs w:val="21"/>
                  </w:rPr>
                  <m:t>V</m:t>
                </m:r>
              </m:e>
              <m:sub>
                <m:r>
                  <w:rPr>
                    <w:rFonts w:ascii="Cambria Math" w:hAnsi="Cambria Math"/>
                    <w:szCs w:val="21"/>
                  </w:rPr>
                  <m:t>t</m:t>
                </m:r>
              </m:sub>
            </m:sSub>
          </m:e>
        </m:acc>
      </m:oMath>
      <w:r>
        <w:t>的大小等于台风的移动速度</w:t>
      </w:r>
      <w:r>
        <w:rPr>
          <w:i/>
        </w:rPr>
        <w:t>V</w:t>
      </w:r>
      <w:r>
        <w:rPr>
          <w:i/>
          <w:vertAlign w:val="subscript"/>
        </w:rPr>
        <w:t>t</w:t>
      </w:r>
      <w:r>
        <w:t>，并引入旋转角</w:t>
      </w:r>
      <w:r>
        <w:rPr>
          <w:i/>
        </w:rPr>
        <w:t>β</w:t>
      </w:r>
      <w:r>
        <w:t>对其方向进行修正。在对</w:t>
      </w:r>
      <w:r>
        <w:rPr>
          <w:i/>
        </w:rPr>
        <w:t>T</w:t>
      </w:r>
      <w:r>
        <w:t>位置进行表面</w:t>
      </w:r>
      <w:proofErr w:type="gramStart"/>
      <w:r>
        <w:t>风计算</w:t>
      </w:r>
      <w:proofErr w:type="gramEnd"/>
      <w:r>
        <w:t>时，需要先对距离</w:t>
      </w:r>
      <w:r>
        <w:rPr>
          <w:i/>
        </w:rPr>
        <w:t>r</w:t>
      </w:r>
      <w:r>
        <w:t>进行判断：当</w:t>
      </w:r>
      <w:r>
        <w:rPr>
          <w:i/>
        </w:rPr>
        <w:t xml:space="preserve">r </w:t>
      </w:r>
      <w:r>
        <w:t>≥</w:t>
      </w:r>
      <w:r>
        <w:rPr>
          <w:i/>
        </w:rPr>
        <w:t xml:space="preserve"> </w:t>
      </w:r>
      <w:proofErr w:type="spellStart"/>
      <w:r>
        <w:rPr>
          <w:i/>
        </w:rPr>
        <w:t>r</w:t>
      </w:r>
      <w:r>
        <w:rPr>
          <w:i/>
          <w:vertAlign w:val="subscript"/>
        </w:rPr>
        <w:t>a</w:t>
      </w:r>
      <w:proofErr w:type="spellEnd"/>
      <w:r>
        <w:t>，采用台风外部径向剖面模型计算台风旋涡风速</w:t>
      </w:r>
      <w:proofErr w:type="spellStart"/>
      <w:r>
        <w:rPr>
          <w:i/>
        </w:rPr>
        <w:t>V</w:t>
      </w:r>
      <w:r>
        <w:rPr>
          <w:i/>
          <w:vertAlign w:val="subscript"/>
        </w:rPr>
        <w:t>r</w:t>
      </w:r>
      <w:proofErr w:type="spellEnd"/>
      <w:r>
        <w:t>；当</w:t>
      </w:r>
      <w:r>
        <w:rPr>
          <w:i/>
        </w:rPr>
        <w:t xml:space="preserve">r </w:t>
      </w:r>
      <w:r>
        <w:t>&lt;</w:t>
      </w:r>
      <w:r>
        <w:rPr>
          <w:i/>
        </w:rPr>
        <w:t xml:space="preserve"> </w:t>
      </w:r>
      <w:proofErr w:type="spellStart"/>
      <w:r>
        <w:rPr>
          <w:i/>
        </w:rPr>
        <w:t>r</w:t>
      </w:r>
      <w:r>
        <w:rPr>
          <w:i/>
          <w:vertAlign w:val="subscript"/>
        </w:rPr>
        <w:t>a</w:t>
      </w:r>
      <w:proofErr w:type="spellEnd"/>
      <w:r>
        <w:t>，采用台风内部径向剖面模型计算台风旋涡风速</w:t>
      </w:r>
      <w:proofErr w:type="spellStart"/>
      <w:r>
        <w:rPr>
          <w:i/>
        </w:rPr>
        <w:t>V</w:t>
      </w:r>
      <w:r>
        <w:rPr>
          <w:i/>
          <w:vertAlign w:val="subscript"/>
        </w:rPr>
        <w:t>r</w:t>
      </w:r>
      <w:proofErr w:type="spellEnd"/>
      <w:r>
        <w:t>。</w:t>
      </w:r>
      <w:bookmarkEnd w:id="36"/>
    </w:p>
    <w:p w14:paraId="1FBB09A8" w14:textId="7432CF99" w:rsidR="0032210F" w:rsidRPr="006110E8" w:rsidRDefault="00000000" w:rsidP="006A032F">
      <w:pPr>
        <w:pStyle w:val="aff1"/>
        <w:keepNext/>
        <w:rPr>
          <w:rStyle w:val="affff3"/>
          <w:b/>
          <w:szCs w:val="20"/>
        </w:rPr>
      </w:pPr>
      <w:bookmarkStart w:id="37" w:name="二级标题序号_8"/>
      <w:bookmarkStart w:id="38" w:name="二级标题_8"/>
      <w:r>
        <w:rPr>
          <w:rStyle w:val="affff3"/>
          <w:b/>
          <w:szCs w:val="20"/>
        </w:rPr>
        <w:t xml:space="preserve">4.2  </w:t>
      </w:r>
      <w:bookmarkEnd w:id="37"/>
      <w:r w:rsidRPr="006110E8">
        <w:rPr>
          <w:rStyle w:val="affff3"/>
          <w:rFonts w:hint="eastAsia"/>
          <w:b/>
          <w:szCs w:val="20"/>
        </w:rPr>
        <w:t>目标位置年风速极值与风向概率分布</w:t>
      </w:r>
      <w:bookmarkEnd w:id="38"/>
    </w:p>
    <w:p w14:paraId="1894CCAD" w14:textId="5516B3AB" w:rsidR="002B2739" w:rsidRDefault="00000000" w:rsidP="00E37B6A">
      <w:pPr>
        <w:pStyle w:val="afe"/>
        <w:ind w:firstLine="420"/>
      </w:pPr>
      <w:bookmarkStart w:id="39" w:name="正文段落_48"/>
      <w:r>
        <w:t>本文选取我国大陆最南端且台风登陆最为频繁的湛江市</w:t>
      </w:r>
      <w:r w:rsidR="00F03FFC" w:rsidRPr="00F03FFC">
        <w:rPr>
          <w:rFonts w:hint="eastAsia"/>
          <w:noProof/>
          <w:szCs w:val="21"/>
        </w:rPr>
        <w:t>(</w:t>
      </w:r>
      <w:r w:rsidR="00F03FFC" w:rsidRPr="00F03FFC">
        <w:rPr>
          <w:noProof/>
          <w:szCs w:val="21"/>
        </w:rPr>
        <w:t>21</w:t>
      </w:r>
      <w:r w:rsidR="005E2B23">
        <w:rPr>
          <w:rFonts w:hint="eastAsia"/>
          <w:noProof/>
          <w:szCs w:val="21"/>
        </w:rPr>
        <w:t>.67</w:t>
      </w:r>
      <w:r w:rsidR="005E2B23">
        <w:t>°</w:t>
      </w:r>
      <w:r w:rsidR="00F03FFC" w:rsidRPr="00F03FFC">
        <w:rPr>
          <w:noProof/>
          <w:szCs w:val="21"/>
        </w:rPr>
        <w:t>N</w:t>
      </w:r>
      <w:r w:rsidR="00F03FFC" w:rsidRPr="00F03FFC">
        <w:rPr>
          <w:noProof/>
          <w:szCs w:val="21"/>
        </w:rPr>
        <w:t>，</w:t>
      </w:r>
      <w:r w:rsidR="00F03FFC" w:rsidRPr="00F03FFC">
        <w:rPr>
          <w:noProof/>
          <w:szCs w:val="21"/>
        </w:rPr>
        <w:t>110</w:t>
      </w:r>
      <w:r w:rsidR="005E2B23">
        <w:rPr>
          <w:rFonts w:hint="eastAsia"/>
          <w:noProof/>
          <w:szCs w:val="21"/>
        </w:rPr>
        <w:t>.35</w:t>
      </w:r>
      <w:r w:rsidR="005E2B23">
        <w:t>°</w:t>
      </w:r>
      <w:r w:rsidR="00F03FFC" w:rsidRPr="00F03FFC">
        <w:rPr>
          <w:noProof/>
          <w:szCs w:val="21"/>
        </w:rPr>
        <w:t>E</w:t>
      </w:r>
      <w:r w:rsidR="00F03FFC" w:rsidRPr="00F03FFC">
        <w:rPr>
          <w:rFonts w:hint="eastAsia"/>
          <w:noProof/>
          <w:szCs w:val="21"/>
        </w:rPr>
        <w:t>)</w:t>
      </w:r>
      <w:r>
        <w:t>为目标考查</w:t>
      </w:r>
      <w:r w:rsidR="00641DBF">
        <w:rPr>
          <w:rFonts w:hint="eastAsia"/>
        </w:rPr>
        <w:t>地点</w:t>
      </w:r>
      <w:r>
        <w:t>，依据西北太平洋区域</w:t>
      </w:r>
      <w:r>
        <w:t>10000</w:t>
      </w:r>
      <w:r>
        <w:t>年台风路径模拟结果，查找出台风中心点到湛江市距离不超过相应台风绝对尺度的台风路径点及其对应的台风序号和发生年序号。进而，通过近地表风场计算和比较得到各台风过境造成的湛江市最大风速及其风向，并以年为时间尺度，统计获得湛江市台风年风速极值及其风向的分布情况。</w:t>
      </w:r>
      <w:bookmarkEnd w:id="39"/>
    </w:p>
    <w:p w14:paraId="4FF2EB41" w14:textId="207B7B22" w:rsidR="00872435" w:rsidRPr="00066C8F" w:rsidRDefault="002B2739" w:rsidP="00872435">
      <w:pPr>
        <w:pStyle w:val="afe"/>
        <w:ind w:firstLine="420"/>
      </w:pPr>
      <w:r w:rsidRPr="002B2739">
        <w:t>根据模拟结果，</w:t>
      </w:r>
      <w:r w:rsidR="005955B0">
        <w:rPr>
          <w:rFonts w:hint="eastAsia"/>
        </w:rPr>
        <w:t>目标地区</w:t>
      </w:r>
      <w:r w:rsidRPr="002B2739">
        <w:t>年风速极值在统计上表现出明显规律性。如图</w:t>
      </w:r>
      <w:r w:rsidR="005C6FCC">
        <w:rPr>
          <w:rFonts w:hint="eastAsia"/>
        </w:rPr>
        <w:t>7</w:t>
      </w:r>
      <w:r>
        <w:rPr>
          <w:rFonts w:hint="eastAsia"/>
        </w:rPr>
        <w:t>a</w:t>
      </w:r>
      <w:r w:rsidRPr="002B2739">
        <w:t>所示，极值风速主要集中于</w:t>
      </w:r>
      <w:r w:rsidRPr="002B2739">
        <w:t>15 m/s</w:t>
      </w:r>
      <w:r w:rsidRPr="002B2739">
        <w:t>附近，在</w:t>
      </w:r>
      <w:r w:rsidRPr="002B2739">
        <w:t>10~20 m/s</w:t>
      </w:r>
      <w:r w:rsidRPr="002B2739">
        <w:t>的中低风速区间内具有最高的概率密度</w:t>
      </w:r>
      <w:r w:rsidR="00872435">
        <w:rPr>
          <w:rFonts w:hint="eastAsia"/>
        </w:rPr>
        <w:t>，</w:t>
      </w:r>
      <w:r w:rsidRPr="002B2739">
        <w:t>大于</w:t>
      </w:r>
      <w:r w:rsidRPr="002B2739">
        <w:t>40 m/s</w:t>
      </w:r>
      <w:r w:rsidRPr="002B2739">
        <w:t>的高风速事件概率较低，但其尾部风险不可忽视。由于结构易损性评估往往受尾部低概率事件主导，本文采用核密度估计方法对年风速极值进行拟合。图</w:t>
      </w:r>
      <w:r w:rsidR="005C6FCC">
        <w:rPr>
          <w:rFonts w:hint="eastAsia"/>
        </w:rPr>
        <w:t>7</w:t>
      </w:r>
      <w:r w:rsidR="00A469E8">
        <w:rPr>
          <w:rFonts w:hint="eastAsia"/>
        </w:rPr>
        <w:t>b</w:t>
      </w:r>
      <w:r w:rsidR="0068622F">
        <w:rPr>
          <w:rFonts w:hint="eastAsia"/>
        </w:rPr>
        <w:t>进一步</w:t>
      </w:r>
      <w:r w:rsidR="005955B0">
        <w:rPr>
          <w:rFonts w:hint="eastAsia"/>
        </w:rPr>
        <w:t>给出</w:t>
      </w:r>
      <w:r w:rsidRPr="002B2739">
        <w:t>了</w:t>
      </w:r>
      <w:r w:rsidRPr="002B2739">
        <w:t>10</w:t>
      </w:r>
      <w:r w:rsidRPr="002B2739">
        <w:t>年、</w:t>
      </w:r>
      <w:r w:rsidRPr="002B2739">
        <w:t>50</w:t>
      </w:r>
      <w:r w:rsidRPr="002B2739">
        <w:t>年、</w:t>
      </w:r>
      <w:r w:rsidRPr="002B2739">
        <w:t>100</w:t>
      </w:r>
      <w:r w:rsidRPr="002B2739">
        <w:t>年和</w:t>
      </w:r>
      <w:r w:rsidRPr="002B2739">
        <w:t>500</w:t>
      </w:r>
      <w:r w:rsidRPr="002B2739">
        <w:t>年重现期对应的最大风速</w:t>
      </w:r>
      <w:r w:rsidR="0068622F">
        <w:rPr>
          <w:rFonts w:hint="eastAsia"/>
        </w:rPr>
        <w:t>，</w:t>
      </w:r>
      <w:r w:rsidRPr="002B2739">
        <w:t>分别为</w:t>
      </w:r>
      <w:r w:rsidRPr="002B2739">
        <w:t>27.72 m/s</w:t>
      </w:r>
      <w:r w:rsidRPr="002B2739">
        <w:t>、</w:t>
      </w:r>
      <w:r w:rsidRPr="002B2739">
        <w:t>38.23 m/s</w:t>
      </w:r>
      <w:r w:rsidRPr="002B2739">
        <w:t>、</w:t>
      </w:r>
      <w:r w:rsidRPr="002B2739">
        <w:t>42.43 m/s</w:t>
      </w:r>
      <w:r w:rsidRPr="002B2739">
        <w:t>和</w:t>
      </w:r>
      <w:r w:rsidRPr="002B2739">
        <w:t>52.36 m/s</w:t>
      </w:r>
      <w:r w:rsidRPr="002B2739">
        <w:t>。</w:t>
      </w:r>
      <w:r w:rsidR="00D43103" w:rsidRPr="00D43103">
        <w:rPr>
          <w:rFonts w:hint="eastAsia"/>
        </w:rPr>
        <w:t>各重现期对应的基本风压值分别为</w:t>
      </w:r>
      <w:r w:rsidR="00D43103" w:rsidRPr="00D43103">
        <w:t xml:space="preserve"> 0.48</w:t>
      </w:r>
      <w:r w:rsidR="00D43103" w:rsidRPr="00D43103">
        <w:rPr>
          <w:rFonts w:hint="eastAsia"/>
        </w:rPr>
        <w:t>、</w:t>
      </w:r>
      <w:r w:rsidR="00D43103" w:rsidRPr="00D43103">
        <w:t>0.91</w:t>
      </w:r>
      <w:r w:rsidR="00D43103" w:rsidRPr="00D43103">
        <w:rPr>
          <w:rFonts w:hint="eastAsia"/>
        </w:rPr>
        <w:t>、</w:t>
      </w:r>
      <w:r w:rsidR="00D43103" w:rsidRPr="00D43103">
        <w:t xml:space="preserve">1.12 </w:t>
      </w:r>
      <w:r w:rsidR="00D43103" w:rsidRPr="00D43103">
        <w:rPr>
          <w:rFonts w:hint="eastAsia"/>
        </w:rPr>
        <w:t>和</w:t>
      </w:r>
      <w:r w:rsidR="00D43103" w:rsidRPr="00D43103">
        <w:t>1.71 </w:t>
      </w:r>
      <w:proofErr w:type="spellStart"/>
      <w:r w:rsidR="00D43103" w:rsidRPr="00D43103">
        <w:t>kN</w:t>
      </w:r>
      <w:proofErr w:type="spellEnd"/>
      <w:r w:rsidR="00D43103" w:rsidRPr="00D43103">
        <w:t>/m²</w:t>
      </w:r>
      <w:r w:rsidR="00D43103" w:rsidRPr="00D43103">
        <w:rPr>
          <w:rFonts w:hint="eastAsia"/>
        </w:rPr>
        <w:t>，与现行规范推荐值（</w:t>
      </w:r>
      <w:r w:rsidR="00D43103" w:rsidRPr="00D43103">
        <w:t>10</w:t>
      </w:r>
      <w:r w:rsidR="00D43103" w:rsidRPr="00D43103">
        <w:rPr>
          <w:rFonts w:hint="eastAsia"/>
        </w:rPr>
        <w:t>年：</w:t>
      </w:r>
      <w:r w:rsidR="00D43103" w:rsidRPr="00D43103">
        <w:t>0.5</w:t>
      </w:r>
      <w:r w:rsidR="00D43103" w:rsidRPr="00D43103">
        <w:rPr>
          <w:rFonts w:hint="eastAsia"/>
        </w:rPr>
        <w:t>，</w:t>
      </w:r>
      <w:r w:rsidR="00D43103" w:rsidRPr="00D43103">
        <w:t>50</w:t>
      </w:r>
      <w:r w:rsidR="00D43103" w:rsidRPr="00D43103">
        <w:rPr>
          <w:rFonts w:hint="eastAsia"/>
        </w:rPr>
        <w:t>年：</w:t>
      </w:r>
      <w:r w:rsidR="00D43103" w:rsidRPr="00D43103">
        <w:t>0.8</w:t>
      </w:r>
      <w:r w:rsidR="00D43103" w:rsidRPr="00D43103">
        <w:rPr>
          <w:rFonts w:hint="eastAsia"/>
        </w:rPr>
        <w:t>，</w:t>
      </w:r>
      <w:r w:rsidR="00D43103" w:rsidRPr="00D43103">
        <w:t>100</w:t>
      </w:r>
      <w:r w:rsidR="00D43103" w:rsidRPr="00D43103">
        <w:rPr>
          <w:rFonts w:hint="eastAsia"/>
        </w:rPr>
        <w:t>年：</w:t>
      </w:r>
      <w:r w:rsidR="00D43103" w:rsidRPr="00D43103">
        <w:t>0.95 </w:t>
      </w:r>
      <w:proofErr w:type="spellStart"/>
      <w:r w:rsidR="00D43103" w:rsidRPr="00D43103">
        <w:t>kN</w:t>
      </w:r>
      <w:proofErr w:type="spellEnd"/>
      <w:r w:rsidR="00D43103" w:rsidRPr="00D43103">
        <w:t>/m²</w:t>
      </w:r>
      <w:r w:rsidR="00D43103" w:rsidRPr="00D43103">
        <w:rPr>
          <w:rFonts w:hint="eastAsia"/>
        </w:rPr>
        <w:t>）相比，偏差范围为</w:t>
      </w:r>
      <w:r w:rsidR="00D43103" w:rsidRPr="00D43103">
        <w:t>−4%</w:t>
      </w:r>
      <w:r w:rsidR="00D43103">
        <w:rPr>
          <w:rFonts w:hint="eastAsia"/>
        </w:rPr>
        <w:t>~</w:t>
      </w:r>
      <w:r w:rsidR="00D43103" w:rsidRPr="00D43103">
        <w:t>+18%</w:t>
      </w:r>
      <w:r w:rsidR="00D43103" w:rsidRPr="00D43103">
        <w:rPr>
          <w:rFonts w:hint="eastAsia"/>
        </w:rPr>
        <w:t>。其中，</w:t>
      </w:r>
      <w:r w:rsidR="00D43103" w:rsidRPr="00D43103">
        <w:t>10</w:t>
      </w:r>
      <w:r w:rsidR="00D43103" w:rsidRPr="00D43103">
        <w:rPr>
          <w:rFonts w:hint="eastAsia"/>
        </w:rPr>
        <w:t>年一遇风压略低；</w:t>
      </w:r>
      <w:r w:rsidR="00D43103" w:rsidRPr="00D43103">
        <w:t>50</w:t>
      </w:r>
      <w:r w:rsidR="00D43103" w:rsidRPr="00D43103">
        <w:rPr>
          <w:rFonts w:hint="eastAsia"/>
        </w:rPr>
        <w:t>年和</w:t>
      </w:r>
      <w:r w:rsidR="00D43103" w:rsidRPr="00D43103">
        <w:t>100</w:t>
      </w:r>
      <w:r w:rsidR="00D43103" w:rsidRPr="00D43103">
        <w:rPr>
          <w:rFonts w:hint="eastAsia"/>
        </w:rPr>
        <w:t>年一遇风压分别偏高约</w:t>
      </w:r>
      <w:r w:rsidR="00D43103" w:rsidRPr="00D43103">
        <w:t>14%</w:t>
      </w:r>
      <w:r w:rsidR="00D43103" w:rsidRPr="00D43103">
        <w:rPr>
          <w:rFonts w:hint="eastAsia"/>
        </w:rPr>
        <w:t>和</w:t>
      </w:r>
      <w:r w:rsidR="00D43103" w:rsidRPr="00D43103">
        <w:t>18%</w:t>
      </w:r>
      <w:r w:rsidR="00D43103" w:rsidRPr="00D43103">
        <w:rPr>
          <w:rFonts w:hint="eastAsia"/>
        </w:rPr>
        <w:t>。</w:t>
      </w:r>
    </w:p>
    <w:p w14:paraId="3537EDFD" w14:textId="77777777" w:rsidR="00872435" w:rsidRPr="00D43103" w:rsidRDefault="00872435" w:rsidP="00872435">
      <w:pPr>
        <w:pStyle w:val="affff0"/>
        <w:keepLines/>
        <w:jc w:val="both"/>
        <w:sectPr w:rsidR="00872435" w:rsidRPr="00D43103" w:rsidSect="00872435">
          <w:endnotePr>
            <w:numFmt w:val="decimal"/>
          </w:endnotePr>
          <w:type w:val="continuous"/>
          <w:pgSz w:w="11906" w:h="16838" w:code="9"/>
          <w:pgMar w:top="1701" w:right="1134" w:bottom="1134" w:left="1134" w:header="992" w:footer="992" w:gutter="0"/>
          <w:cols w:num="2" w:space="420"/>
          <w:docGrid w:type="lines" w:linePitch="312"/>
        </w:sectPr>
      </w:pPr>
    </w:p>
    <w:tbl>
      <w:tblPr>
        <w:tblStyle w:val="af1"/>
        <w:tblW w:w="0" w:type="auto"/>
        <w:tblLook w:val="04A0" w:firstRow="1" w:lastRow="0" w:firstColumn="1" w:lastColumn="0" w:noHBand="0" w:noVBand="1"/>
      </w:tblPr>
      <w:tblGrid>
        <w:gridCol w:w="4356"/>
        <w:gridCol w:w="2869"/>
        <w:gridCol w:w="2346"/>
      </w:tblGrid>
      <w:tr w:rsidR="00872435" w14:paraId="12AE1EB5" w14:textId="77777777" w:rsidTr="008B6E99">
        <w:tc>
          <w:tcPr>
            <w:tcW w:w="4356" w:type="dxa"/>
            <w:tcBorders>
              <w:top w:val="nil"/>
              <w:left w:val="nil"/>
              <w:bottom w:val="nil"/>
              <w:right w:val="nil"/>
            </w:tcBorders>
          </w:tcPr>
          <w:p w14:paraId="3DB1C06D" w14:textId="77777777" w:rsidR="00872435" w:rsidRDefault="00872435" w:rsidP="008B6E99">
            <w:pPr>
              <w:pStyle w:val="afe"/>
              <w:spacing w:beforeLines="50" w:before="156"/>
              <w:ind w:firstLineChars="0" w:firstLine="0"/>
              <w:textAlignment w:val="center"/>
            </w:pPr>
            <w:r w:rsidRPr="00432090">
              <w:rPr>
                <w:noProof/>
                <w:sz w:val="20"/>
                <w:szCs w:val="20"/>
              </w:rPr>
              <w:drawing>
                <wp:inline distT="0" distB="0" distL="0" distR="0" wp14:anchorId="71BEE724" wp14:editId="43B63754">
                  <wp:extent cx="2622893" cy="1047115"/>
                  <wp:effectExtent l="0" t="0" r="6350" b="635"/>
                  <wp:docPr id="782226431" name="图片 7" descr="直方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557224" name="图片 7" descr="直方图&#10;&#10;AI 生成的内容可能不正确。"/>
                          <pic:cNvPicPr>
                            <a:picLocks noChangeAspect="1" noChangeArrowheads="1"/>
                          </pic:cNvPicPr>
                        </pic:nvPicPr>
                        <pic:blipFill rotWithShape="1">
                          <a:blip r:embed="rId38">
                            <a:extLst>
                              <a:ext uri="{28A0092B-C50C-407E-A947-70E740481C1C}">
                                <a14:useLocalDpi xmlns:a14="http://schemas.microsoft.com/office/drawing/2010/main" val="0"/>
                              </a:ext>
                            </a:extLst>
                          </a:blip>
                          <a:srcRect l="4171" r="7454"/>
                          <a:stretch>
                            <a:fillRect/>
                          </a:stretch>
                        </pic:blipFill>
                        <pic:spPr bwMode="auto">
                          <a:xfrm>
                            <a:off x="0" y="0"/>
                            <a:ext cx="2624484" cy="104775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869" w:type="dxa"/>
            <w:tcBorders>
              <w:top w:val="nil"/>
              <w:left w:val="nil"/>
              <w:bottom w:val="nil"/>
              <w:right w:val="nil"/>
            </w:tcBorders>
          </w:tcPr>
          <w:p w14:paraId="672FF44E" w14:textId="77777777" w:rsidR="00872435" w:rsidRDefault="00872435" w:rsidP="008B6E99">
            <w:pPr>
              <w:pStyle w:val="afe"/>
              <w:ind w:firstLineChars="0" w:firstLine="0"/>
              <w:textAlignment w:val="center"/>
            </w:pPr>
            <w:r w:rsidRPr="00432090">
              <w:rPr>
                <w:noProof/>
                <w:sz w:val="20"/>
                <w:szCs w:val="20"/>
              </w:rPr>
              <w:drawing>
                <wp:inline distT="0" distB="0" distL="0" distR="0" wp14:anchorId="4075770B" wp14:editId="7564BF8D">
                  <wp:extent cx="1684800" cy="1260000"/>
                  <wp:effectExtent l="0" t="0" r="0" b="0"/>
                  <wp:docPr id="852014093" name="图片 3" descr="图表, 折线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735435" name="图片 3" descr="图表, 折线图&#10;&#10;AI 生成的内容可能不正确。"/>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1684800" cy="1260000"/>
                          </a:xfrm>
                          <a:prstGeom prst="rect">
                            <a:avLst/>
                          </a:prstGeom>
                          <a:noFill/>
                          <a:ln>
                            <a:noFill/>
                          </a:ln>
                        </pic:spPr>
                      </pic:pic>
                    </a:graphicData>
                  </a:graphic>
                </wp:inline>
              </w:drawing>
            </w:r>
          </w:p>
        </w:tc>
        <w:tc>
          <w:tcPr>
            <w:tcW w:w="2346" w:type="dxa"/>
            <w:tcBorders>
              <w:top w:val="nil"/>
              <w:left w:val="nil"/>
              <w:bottom w:val="nil"/>
              <w:right w:val="nil"/>
            </w:tcBorders>
          </w:tcPr>
          <w:p w14:paraId="35BC44F4" w14:textId="77777777" w:rsidR="00872435" w:rsidRDefault="00872435" w:rsidP="008B6E99">
            <w:pPr>
              <w:pStyle w:val="afe"/>
              <w:ind w:firstLineChars="0" w:firstLine="0"/>
              <w:textAlignment w:val="center"/>
            </w:pPr>
            <w:r w:rsidRPr="00432090">
              <w:rPr>
                <w:noProof/>
                <w:sz w:val="20"/>
                <w:szCs w:val="20"/>
              </w:rPr>
              <w:drawing>
                <wp:inline distT="0" distB="0" distL="0" distR="0" wp14:anchorId="35158D44" wp14:editId="16D94C16">
                  <wp:extent cx="1350000" cy="1260000"/>
                  <wp:effectExtent l="0" t="0" r="3175" b="0"/>
                  <wp:docPr id="173464418" name="图片 6" descr="图表, 雷达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672233" name="图片 6" descr="图表, 雷达图&#10;&#10;AI 生成的内容可能不正确。"/>
                          <pic:cNvPicPr>
                            <a:picLocks noChangeAspect="1" noChangeArrowheads="1"/>
                          </pic:cNvPicPr>
                        </pic:nvPicPr>
                        <pic:blipFill>
                          <a:blip r:embed="rId40">
                            <a:extLst>
                              <a:ext uri="{28A0092B-C50C-407E-A947-70E740481C1C}">
                                <a14:useLocalDpi xmlns:a14="http://schemas.microsoft.com/office/drawing/2010/main" val="0"/>
                              </a:ext>
                            </a:extLst>
                          </a:blip>
                          <a:srcRect l="10463" r="9167"/>
                          <a:stretch>
                            <a:fillRect/>
                          </a:stretch>
                        </pic:blipFill>
                        <pic:spPr bwMode="auto">
                          <a:xfrm>
                            <a:off x="0" y="0"/>
                            <a:ext cx="1350000" cy="1260000"/>
                          </a:xfrm>
                          <a:prstGeom prst="rect">
                            <a:avLst/>
                          </a:prstGeom>
                          <a:noFill/>
                          <a:ln>
                            <a:noFill/>
                          </a:ln>
                        </pic:spPr>
                      </pic:pic>
                    </a:graphicData>
                  </a:graphic>
                </wp:inline>
              </w:drawing>
            </w:r>
          </w:p>
        </w:tc>
      </w:tr>
      <w:tr w:rsidR="00872435" w14:paraId="1781344D" w14:textId="77777777" w:rsidTr="008B6E99">
        <w:tc>
          <w:tcPr>
            <w:tcW w:w="4356" w:type="dxa"/>
            <w:tcBorders>
              <w:top w:val="nil"/>
              <w:left w:val="nil"/>
              <w:bottom w:val="nil"/>
              <w:right w:val="nil"/>
            </w:tcBorders>
          </w:tcPr>
          <w:p w14:paraId="3CDCC5F8" w14:textId="77777777" w:rsidR="00872435" w:rsidRPr="002B2739" w:rsidRDefault="00872435" w:rsidP="008B6E99">
            <w:pPr>
              <w:pStyle w:val="afe"/>
              <w:ind w:firstLineChars="0" w:firstLine="0"/>
              <w:jc w:val="center"/>
              <w:textAlignment w:val="center"/>
              <w:rPr>
                <w:rFonts w:eastAsiaTheme="minorEastAsia"/>
                <w:sz w:val="15"/>
                <w:szCs w:val="15"/>
              </w:rPr>
            </w:pPr>
            <w:r w:rsidRPr="000903AE">
              <w:rPr>
                <w:rFonts w:eastAsiaTheme="minorEastAsia"/>
                <w:sz w:val="15"/>
                <w:szCs w:val="15"/>
              </w:rPr>
              <w:t>(</w:t>
            </w:r>
            <w:r>
              <w:rPr>
                <w:rFonts w:eastAsiaTheme="minorEastAsia" w:hint="eastAsia"/>
                <w:sz w:val="15"/>
                <w:szCs w:val="15"/>
              </w:rPr>
              <w:t>a</w:t>
            </w:r>
            <w:r w:rsidRPr="000903AE">
              <w:rPr>
                <w:rFonts w:eastAsiaTheme="minorEastAsia"/>
                <w:sz w:val="15"/>
                <w:szCs w:val="15"/>
              </w:rPr>
              <w:t>)</w:t>
            </w:r>
            <w:r w:rsidRPr="002B2739">
              <w:rPr>
                <w:rFonts w:eastAsiaTheme="minorEastAsia"/>
                <w:sz w:val="15"/>
                <w:szCs w:val="15"/>
              </w:rPr>
              <w:t xml:space="preserve"> </w:t>
            </w:r>
            <w:r w:rsidRPr="002B2739">
              <w:rPr>
                <w:rFonts w:eastAsiaTheme="minorEastAsia"/>
                <w:sz w:val="15"/>
                <w:szCs w:val="15"/>
              </w:rPr>
              <w:t>年风速极值</w:t>
            </w:r>
            <w:r>
              <w:rPr>
                <w:rFonts w:eastAsiaTheme="minorEastAsia" w:hint="eastAsia"/>
                <w:sz w:val="15"/>
                <w:szCs w:val="15"/>
              </w:rPr>
              <w:t>概率密度</w:t>
            </w:r>
          </w:p>
        </w:tc>
        <w:tc>
          <w:tcPr>
            <w:tcW w:w="2869" w:type="dxa"/>
            <w:tcBorders>
              <w:top w:val="nil"/>
              <w:left w:val="nil"/>
              <w:bottom w:val="nil"/>
              <w:right w:val="nil"/>
            </w:tcBorders>
          </w:tcPr>
          <w:p w14:paraId="7CA3881E" w14:textId="77777777" w:rsidR="00872435" w:rsidRPr="002B2739" w:rsidRDefault="00872435" w:rsidP="008B6E99">
            <w:pPr>
              <w:pStyle w:val="afe"/>
              <w:ind w:firstLineChars="0" w:firstLine="0"/>
              <w:jc w:val="center"/>
              <w:rPr>
                <w:rFonts w:eastAsiaTheme="minorEastAsia"/>
                <w:b/>
                <w:sz w:val="15"/>
                <w:szCs w:val="15"/>
              </w:rPr>
            </w:pPr>
            <w:r w:rsidRPr="002B2739">
              <w:rPr>
                <w:rFonts w:eastAsiaTheme="minorEastAsia"/>
                <w:sz w:val="15"/>
                <w:szCs w:val="15"/>
              </w:rPr>
              <w:t xml:space="preserve">(b) </w:t>
            </w:r>
            <w:r w:rsidRPr="002B2739">
              <w:rPr>
                <w:rFonts w:eastAsiaTheme="minorEastAsia"/>
                <w:sz w:val="15"/>
                <w:szCs w:val="15"/>
              </w:rPr>
              <w:t>年风速极值</w:t>
            </w:r>
            <w:r>
              <w:rPr>
                <w:rFonts w:eastAsiaTheme="minorEastAsia" w:hint="eastAsia"/>
                <w:sz w:val="15"/>
                <w:szCs w:val="15"/>
              </w:rPr>
              <w:t>累积</w:t>
            </w:r>
            <w:r w:rsidRPr="002B2739">
              <w:rPr>
                <w:rFonts w:eastAsiaTheme="minorEastAsia"/>
                <w:sz w:val="15"/>
                <w:szCs w:val="15"/>
              </w:rPr>
              <w:t>概率分布</w:t>
            </w:r>
          </w:p>
        </w:tc>
        <w:tc>
          <w:tcPr>
            <w:tcW w:w="2346" w:type="dxa"/>
            <w:tcBorders>
              <w:top w:val="nil"/>
              <w:left w:val="nil"/>
              <w:bottom w:val="nil"/>
              <w:right w:val="nil"/>
            </w:tcBorders>
          </w:tcPr>
          <w:p w14:paraId="28A9DC9D" w14:textId="77777777" w:rsidR="00872435" w:rsidRPr="002B2739" w:rsidRDefault="00872435" w:rsidP="008B6E99">
            <w:pPr>
              <w:pStyle w:val="afe"/>
              <w:ind w:firstLineChars="0" w:firstLine="0"/>
              <w:jc w:val="center"/>
              <w:rPr>
                <w:rFonts w:eastAsiaTheme="minorEastAsia"/>
                <w:sz w:val="15"/>
                <w:szCs w:val="15"/>
              </w:rPr>
            </w:pPr>
            <w:r w:rsidRPr="002B2739">
              <w:rPr>
                <w:rFonts w:eastAsiaTheme="minorEastAsia"/>
                <w:sz w:val="15"/>
                <w:szCs w:val="15"/>
              </w:rPr>
              <w:t xml:space="preserve">(c) </w:t>
            </w:r>
            <w:r w:rsidRPr="002B2739">
              <w:rPr>
                <w:rFonts w:eastAsiaTheme="minorEastAsia"/>
                <w:sz w:val="15"/>
                <w:szCs w:val="15"/>
              </w:rPr>
              <w:t>风向概率密度</w:t>
            </w:r>
          </w:p>
        </w:tc>
      </w:tr>
      <w:tr w:rsidR="00872435" w14:paraId="31039C9D" w14:textId="77777777" w:rsidTr="008B6E99">
        <w:tc>
          <w:tcPr>
            <w:tcW w:w="9571" w:type="dxa"/>
            <w:gridSpan w:val="3"/>
            <w:tcBorders>
              <w:top w:val="nil"/>
              <w:left w:val="nil"/>
              <w:bottom w:val="nil"/>
              <w:right w:val="nil"/>
            </w:tcBorders>
          </w:tcPr>
          <w:p w14:paraId="52C02977" w14:textId="5AC8BC75" w:rsidR="00872435" w:rsidRPr="002B2739" w:rsidRDefault="00872435" w:rsidP="008B6E99">
            <w:pPr>
              <w:jc w:val="center"/>
              <w:rPr>
                <w:b/>
                <w:sz w:val="18"/>
                <w:szCs w:val="18"/>
              </w:rPr>
            </w:pPr>
            <w:r w:rsidRPr="002B2739">
              <w:rPr>
                <w:rFonts w:hint="eastAsia"/>
                <w:b/>
                <w:sz w:val="18"/>
                <w:szCs w:val="18"/>
              </w:rPr>
              <w:t>图</w:t>
            </w:r>
            <w:r>
              <w:rPr>
                <w:rFonts w:hint="eastAsia"/>
                <w:b/>
                <w:sz w:val="18"/>
                <w:szCs w:val="18"/>
              </w:rPr>
              <w:t>7</w:t>
            </w:r>
            <w:r w:rsidRPr="002B2739">
              <w:rPr>
                <w:b/>
                <w:sz w:val="18"/>
                <w:szCs w:val="18"/>
              </w:rPr>
              <w:t xml:space="preserve"> </w:t>
            </w:r>
            <w:r>
              <w:rPr>
                <w:rFonts w:hint="eastAsia"/>
                <w:b/>
                <w:sz w:val="18"/>
                <w:szCs w:val="18"/>
              </w:rPr>
              <w:t>目标考查</w:t>
            </w:r>
            <w:r w:rsidRPr="00795FD3">
              <w:rPr>
                <w:b/>
                <w:sz w:val="18"/>
                <w:szCs w:val="18"/>
              </w:rPr>
              <w:t>地区台风年风速极值</w:t>
            </w:r>
            <w:r w:rsidR="00D43103">
              <w:rPr>
                <w:rFonts w:hint="eastAsia"/>
                <w:b/>
                <w:sz w:val="18"/>
                <w:szCs w:val="18"/>
              </w:rPr>
              <w:t>及风向</w:t>
            </w:r>
            <w:r>
              <w:rPr>
                <w:rFonts w:hint="eastAsia"/>
                <w:b/>
                <w:sz w:val="18"/>
                <w:szCs w:val="18"/>
              </w:rPr>
              <w:t>概率分布</w:t>
            </w:r>
          </w:p>
        </w:tc>
      </w:tr>
    </w:tbl>
    <w:p w14:paraId="729BF977" w14:textId="77777777" w:rsidR="00872435" w:rsidRDefault="00872435" w:rsidP="00872435">
      <w:pPr>
        <w:pStyle w:val="afe"/>
        <w:ind w:firstLineChars="0" w:firstLine="0"/>
        <w:textAlignment w:val="center"/>
        <w:sectPr w:rsidR="00872435" w:rsidSect="00872435">
          <w:endnotePr>
            <w:numFmt w:val="decimal"/>
          </w:endnotePr>
          <w:type w:val="continuous"/>
          <w:pgSz w:w="11906" w:h="16838" w:code="9"/>
          <w:pgMar w:top="1701" w:right="1134" w:bottom="1134" w:left="1134" w:header="992" w:footer="992" w:gutter="0"/>
          <w:cols w:space="420"/>
          <w:docGrid w:type="lines" w:linePitch="312"/>
        </w:sectPr>
      </w:pPr>
    </w:p>
    <w:p w14:paraId="21324644" w14:textId="210B3396" w:rsidR="006E2B0C" w:rsidRDefault="006E2B0C" w:rsidP="00872435">
      <w:pPr>
        <w:pStyle w:val="afe"/>
        <w:ind w:firstLine="420"/>
      </w:pPr>
      <w:r w:rsidRPr="002B2739">
        <w:t>年风速极值对应的风向分布呈现明显的方向</w:t>
      </w:r>
      <w:r w:rsidRPr="006E2B0C">
        <w:t>集中趋势</w:t>
      </w:r>
      <w:r w:rsidRPr="002B2739">
        <w:t>。如图</w:t>
      </w:r>
      <w:r>
        <w:rPr>
          <w:rFonts w:hint="eastAsia"/>
        </w:rPr>
        <w:t>7c</w:t>
      </w:r>
      <w:r w:rsidRPr="002B2739">
        <w:t>所示，极值风速</w:t>
      </w:r>
      <w:r>
        <w:rPr>
          <w:rFonts w:hint="eastAsia"/>
        </w:rPr>
        <w:t>的风向集中于</w:t>
      </w:r>
      <w:r w:rsidRPr="002B2739">
        <w:t>30°</w:t>
      </w:r>
      <w:r w:rsidR="00066C8F" w:rsidRPr="002B2739">
        <w:t>（东北偏东方向）和</w:t>
      </w:r>
      <w:r w:rsidR="00066C8F" w:rsidRPr="002B2739">
        <w:t>330°</w:t>
      </w:r>
      <w:r w:rsidR="00066C8F" w:rsidRPr="002B2739">
        <w:t>（西北偏西方向</w:t>
      </w:r>
      <w:r w:rsidR="00066C8F">
        <w:rPr>
          <w:rFonts w:hint="eastAsia"/>
        </w:rPr>
        <w:t>）</w:t>
      </w:r>
      <w:r w:rsidR="00066C8F" w:rsidRPr="002B2739">
        <w:t>。</w:t>
      </w:r>
      <w:r w:rsidR="00066C8F">
        <w:rPr>
          <w:rFonts w:hint="eastAsia"/>
        </w:rPr>
        <w:t>鉴于</w:t>
      </w:r>
      <w:r w:rsidR="00066C8F" w:rsidRPr="00240FF3">
        <w:t>风速极值与风向是互相关联的随机变量</w:t>
      </w:r>
      <w:r w:rsidR="00066C8F">
        <w:rPr>
          <w:rFonts w:hint="eastAsia"/>
        </w:rPr>
        <w:t>，</w:t>
      </w:r>
      <w:r w:rsidR="00066C8F" w:rsidRPr="00240FF3">
        <w:t>本文</w:t>
      </w:r>
      <w:r w:rsidR="00C033B9">
        <w:rPr>
          <w:rFonts w:hint="eastAsia"/>
        </w:rPr>
        <w:t>依据</w:t>
      </w:r>
      <w:r w:rsidR="00066C8F" w:rsidRPr="00240FF3">
        <w:t>台风模拟结果，</w:t>
      </w:r>
      <w:r w:rsidR="00066C8F">
        <w:rPr>
          <w:rFonts w:hint="eastAsia"/>
        </w:rPr>
        <w:t>通过</w:t>
      </w:r>
      <w:r w:rsidR="00066C8F" w:rsidRPr="00240FF3">
        <w:t>二维高斯非参数核密度估计，</w:t>
      </w:r>
      <w:proofErr w:type="gramStart"/>
      <w:r w:rsidR="00066C8F" w:rsidRPr="00240FF3">
        <w:t>构建年</w:t>
      </w:r>
      <w:proofErr w:type="gramEnd"/>
      <w:r w:rsidR="00066C8F" w:rsidRPr="00240FF3">
        <w:t>风速极值与</w:t>
      </w:r>
      <w:r w:rsidR="00066C8F">
        <w:rPr>
          <w:rFonts w:hint="eastAsia"/>
        </w:rPr>
        <w:t>其</w:t>
      </w:r>
      <w:r w:rsidR="00066C8F" w:rsidRPr="00240FF3">
        <w:t>风向的联合概率模型</w:t>
      </w:r>
      <w:r w:rsidR="00066C8F">
        <w:rPr>
          <w:rFonts w:hint="eastAsia"/>
        </w:rPr>
        <w:t>（如图</w:t>
      </w:r>
      <w:r w:rsidR="00066C8F">
        <w:rPr>
          <w:rFonts w:hint="eastAsia"/>
        </w:rPr>
        <w:t>8</w:t>
      </w:r>
      <w:r w:rsidR="00066C8F">
        <w:rPr>
          <w:rFonts w:hint="eastAsia"/>
        </w:rPr>
        <w:t>）</w:t>
      </w:r>
      <w:r w:rsidR="00066C8F" w:rsidRPr="00240FF3">
        <w:t>。</w:t>
      </w:r>
      <w:bookmarkStart w:id="40" w:name="正文段落_54"/>
      <w:r w:rsidRPr="0002768E">
        <w:rPr>
          <w:noProof/>
        </w:rPr>
        <w:lastRenderedPageBreak/>
        <w:drawing>
          <wp:inline distT="0" distB="0" distL="0" distR="0" wp14:anchorId="57F37FB7" wp14:editId="5B3654DB">
            <wp:extent cx="2926715" cy="1448435"/>
            <wp:effectExtent l="0" t="0" r="6985" b="0"/>
            <wp:docPr id="22190004" name="Name 4" descr="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68234" name="图片 1" descr="图表&#10;&#10;AI 生成的内容可能不正确。"/>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2926715" cy="1448435"/>
                    </a:xfrm>
                    <a:prstGeom prst="rect">
                      <a:avLst/>
                    </a:prstGeom>
                    <a:noFill/>
                    <a:ln>
                      <a:noFill/>
                    </a:ln>
                  </pic:spPr>
                </pic:pic>
              </a:graphicData>
            </a:graphic>
          </wp:inline>
        </w:drawing>
      </w:r>
    </w:p>
    <w:p w14:paraId="5B0A02B6" w14:textId="613F1952" w:rsidR="0032210F" w:rsidRDefault="00000000" w:rsidP="00240FF3">
      <w:pPr>
        <w:pStyle w:val="afffe"/>
      </w:pPr>
      <w:bookmarkStart w:id="41" w:name="中文图序_8"/>
      <w:bookmarkStart w:id="42" w:name="中文图题_8"/>
      <w:bookmarkEnd w:id="40"/>
      <w:r>
        <w:t>图</w:t>
      </w:r>
      <w:bookmarkEnd w:id="41"/>
      <w:r w:rsidR="005C6FCC">
        <w:rPr>
          <w:rFonts w:hint="eastAsia"/>
        </w:rPr>
        <w:t>8</w:t>
      </w:r>
      <w:r w:rsidR="00B336DC">
        <w:t xml:space="preserve"> </w:t>
      </w:r>
      <w:r w:rsidR="00A57FFD">
        <w:rPr>
          <w:rFonts w:hint="eastAsia"/>
        </w:rPr>
        <w:t>目标</w:t>
      </w:r>
      <w:r>
        <w:t>地区台风年风速极值与其风向的联合概率密度</w:t>
      </w:r>
      <w:bookmarkEnd w:id="42"/>
    </w:p>
    <w:p w14:paraId="3EB61305" w14:textId="210001BE" w:rsidR="008F0B5A" w:rsidRPr="00C01E85" w:rsidRDefault="008F0B5A" w:rsidP="006110E8">
      <w:pPr>
        <w:pStyle w:val="aff0"/>
        <w:keepNext/>
        <w:spacing w:before="156" w:after="156"/>
        <w:rPr>
          <w:rStyle w:val="afffb"/>
          <w:b/>
          <w:kern w:val="0"/>
          <w:szCs w:val="20"/>
        </w:rPr>
      </w:pPr>
      <w:bookmarkStart w:id="43" w:name="正文段落_56"/>
      <w:r w:rsidRPr="00C01E85">
        <w:rPr>
          <w:rStyle w:val="afffb"/>
          <w:b/>
          <w:kern w:val="0"/>
          <w:szCs w:val="20"/>
        </w:rPr>
        <w:t xml:space="preserve">5  </w:t>
      </w:r>
      <w:r w:rsidRPr="00C01E85">
        <w:rPr>
          <w:rStyle w:val="afffb"/>
          <w:rFonts w:hint="eastAsia"/>
          <w:b/>
          <w:kern w:val="0"/>
          <w:szCs w:val="20"/>
        </w:rPr>
        <w:t>基于塔体失效的线路区段易损性评估</w:t>
      </w:r>
    </w:p>
    <w:p w14:paraId="2A16E100" w14:textId="0356A4EE" w:rsidR="0032210F" w:rsidRDefault="00974A9E">
      <w:pPr>
        <w:pStyle w:val="afe"/>
        <w:ind w:firstLine="420"/>
      </w:pPr>
      <w:r w:rsidRPr="00974A9E">
        <w:rPr>
          <w:rFonts w:hint="eastAsia"/>
        </w:rPr>
        <w:t>在台风作用下，线路中不同位置输电塔的结构安全性是衡量线路整体抗风能力及评估其台风易损性的关键因素。</w:t>
      </w:r>
      <w:r>
        <w:t>为了准确反映风速极值与风向对塔体结构性能的联合影响，本文</w:t>
      </w:r>
      <w:r w:rsidR="00AF14F7">
        <w:rPr>
          <w:rFonts w:hint="eastAsia"/>
        </w:rPr>
        <w:t>结合输电塔</w:t>
      </w:r>
      <w:r>
        <w:t>风致易损性函数与台风</w:t>
      </w:r>
      <w:r w:rsidR="00AF14F7">
        <w:rPr>
          <w:rFonts w:hint="eastAsia"/>
        </w:rPr>
        <w:t>风速</w:t>
      </w:r>
      <w:r w:rsidR="00AF14F7">
        <w:rPr>
          <w:rFonts w:hint="eastAsia"/>
        </w:rPr>
        <w:t>-</w:t>
      </w:r>
      <w:r w:rsidR="00AF14F7">
        <w:rPr>
          <w:rFonts w:hint="eastAsia"/>
        </w:rPr>
        <w:t>风向</w:t>
      </w:r>
      <w:r>
        <w:t>联合概率模型，提出了</w:t>
      </w:r>
      <w:r w:rsidR="00AF14F7">
        <w:rPr>
          <w:rFonts w:hint="eastAsia"/>
        </w:rPr>
        <w:t>基于塔体失效的</w:t>
      </w:r>
      <w:r>
        <w:t>输电线路</w:t>
      </w:r>
      <w:r w:rsidR="00A57FFD">
        <w:rPr>
          <w:rFonts w:hint="eastAsia"/>
        </w:rPr>
        <w:t>区段</w:t>
      </w:r>
      <w:r>
        <w:t>风险分析方法。</w:t>
      </w:r>
      <w:bookmarkEnd w:id="43"/>
    </w:p>
    <w:p w14:paraId="4AC29185" w14:textId="77777777" w:rsidR="0032210F" w:rsidRDefault="00000000">
      <w:pPr>
        <w:pStyle w:val="aff1"/>
        <w:keepNext/>
      </w:pPr>
      <w:bookmarkStart w:id="44" w:name="二级标题序号_10"/>
      <w:bookmarkStart w:id="45" w:name="二级标题_10"/>
      <w:r>
        <w:rPr>
          <w:rStyle w:val="affff3"/>
          <w:b/>
          <w:szCs w:val="20"/>
        </w:rPr>
        <w:t xml:space="preserve">5.1  </w:t>
      </w:r>
      <w:bookmarkEnd w:id="44"/>
      <w:r>
        <w:t>输电塔风致易损性多维模型</w:t>
      </w:r>
      <w:bookmarkEnd w:id="45"/>
    </w:p>
    <w:p w14:paraId="255570F6" w14:textId="675200DB" w:rsidR="0032210F" w:rsidRDefault="00000000">
      <w:pPr>
        <w:pStyle w:val="afe"/>
        <w:ind w:firstLine="420"/>
      </w:pPr>
      <w:bookmarkStart w:id="46" w:name="正文段落_58"/>
      <w:r>
        <w:t>依据输电塔风荷载计算理论，风向角（即风向与线路走向的夹角）和水平档距（即塔体相邻水平跨度的均值）是决定塔体所受风效应的两项关键参数。本文考虑风场环境（即风速和风向）和线路空间</w:t>
      </w:r>
      <w:r w:rsidR="00974A9E">
        <w:rPr>
          <w:rFonts w:hint="eastAsia"/>
        </w:rPr>
        <w:t>特征</w:t>
      </w:r>
      <w:r>
        <w:t>（即线路走向和水平档距）的影响，引入基于多参变量的输电</w:t>
      </w:r>
      <w:proofErr w:type="gramStart"/>
      <w:r>
        <w:t>塔抗风能力表达</w:t>
      </w:r>
      <w:proofErr w:type="gramEnd"/>
      <w:r w:rsidR="00B84138" w:rsidRPr="006110E8">
        <w:rPr>
          <w:vertAlign w:val="superscript"/>
        </w:rPr>
        <w:t>[</w:t>
      </w:r>
      <w:r w:rsidR="0038133E" w:rsidRPr="006110E8">
        <w:rPr>
          <w:vertAlign w:val="superscript"/>
        </w:rPr>
        <w:t>2</w:t>
      </w:r>
      <w:r w:rsidR="00E36738">
        <w:rPr>
          <w:rFonts w:hint="eastAsia"/>
          <w:vertAlign w:val="superscript"/>
        </w:rPr>
        <w:t>0</w:t>
      </w:r>
      <w:r w:rsidR="00B84138" w:rsidRPr="006110E8">
        <w:rPr>
          <w:vertAlign w:val="superscript"/>
        </w:rPr>
        <w:t>]</w:t>
      </w:r>
      <w:r>
        <w:t>，生成如公式（</w:t>
      </w:r>
      <w:r>
        <w:t>6</w:t>
      </w:r>
      <w:r>
        <w:t>）所示的塔体结构极限状态方程，进而应用于线路风致易损性评估。</w:t>
      </w:r>
      <w:bookmarkEnd w:id="46"/>
    </w:p>
    <w:p w14:paraId="59DB5872" w14:textId="163F5D57" w:rsidR="0032210F" w:rsidRDefault="00000000">
      <w:pPr>
        <w:pStyle w:val="afff5"/>
        <w:tabs>
          <w:tab w:val="center" w:pos="2274"/>
          <w:tab w:val="right" w:pos="4549"/>
        </w:tabs>
        <w:ind w:left="0"/>
        <w:jc w:val="right"/>
      </w:pPr>
      <w:r>
        <w:tab/>
      </w:r>
      <w:bookmarkStart w:id="47" w:name="公式_16"/>
      <w:r w:rsidR="00AD21C8">
        <w:rPr>
          <w:rFonts w:hint="eastAsia"/>
          <w:position w:val="-16"/>
        </w:rPr>
        <w:object w:dxaOrig="1500" w:dyaOrig="440" w14:anchorId="783D4150">
          <v:shape id="_x0000_i1033" type="#_x0000_t75" style="width:75pt;height:22.5pt" o:ole="">
            <v:imagedata r:id="rId42" o:title=""/>
          </v:shape>
          <o:OLEObject Type="Embed" ProgID="Equation.DSMT4" ShapeID="_x0000_i1033" DrawAspect="Content" ObjectID="_1845024725" r:id="rId43"/>
        </w:object>
      </w:r>
      <w:r>
        <w:tab/>
      </w:r>
      <w:r>
        <w:t>（</w:t>
      </w:r>
      <w:r>
        <w:t>6</w:t>
      </w:r>
      <w:r>
        <w:t>）</w:t>
      </w:r>
      <w:bookmarkEnd w:id="47"/>
    </w:p>
    <w:p w14:paraId="4EDCE767" w14:textId="77777777" w:rsidR="0032210F" w:rsidRDefault="00000000" w:rsidP="00B84138">
      <w:pPr>
        <w:pStyle w:val="afe"/>
        <w:ind w:firstLineChars="0" w:firstLine="0"/>
      </w:pPr>
      <w:bookmarkStart w:id="48" w:name="正文段落_60"/>
      <w:r>
        <w:t>其中，</w:t>
      </w:r>
      <w:r>
        <w:rPr>
          <w:i/>
        </w:rPr>
        <w:t>f</w:t>
      </w:r>
      <w:r>
        <w:t>为塔体极限状态方程；</w:t>
      </w:r>
      <w:r>
        <w:rPr>
          <w:i/>
        </w:rPr>
        <w:t>U</w:t>
      </w:r>
      <w:r>
        <w:t>、</w:t>
      </w:r>
      <w:r>
        <w:rPr>
          <w:i/>
        </w:rPr>
        <w:t>φ</w:t>
      </w:r>
      <w:r>
        <w:t>和</w:t>
      </w:r>
      <w:proofErr w:type="spellStart"/>
      <w:r>
        <w:rPr>
          <w:i/>
        </w:rPr>
        <w:t>L</w:t>
      </w:r>
      <w:r>
        <w:rPr>
          <w:i/>
          <w:vertAlign w:val="subscript"/>
        </w:rPr>
        <w:t>h</w:t>
      </w:r>
      <w:proofErr w:type="spellEnd"/>
      <w:r>
        <w:t>分别为风速、风向角和水平档距参变量。</w:t>
      </w:r>
      <w:r>
        <w:rPr>
          <w:i/>
        </w:rPr>
        <w:t xml:space="preserve">f </w:t>
      </w:r>
      <w:r>
        <w:t>= 0</w:t>
      </w:r>
      <w:r>
        <w:t>代表了塔体抗风能力；当</w:t>
      </w:r>
      <w:r>
        <w:rPr>
          <w:i/>
        </w:rPr>
        <w:t>f</w:t>
      </w:r>
      <w:r>
        <w:t xml:space="preserve"> &lt; 0</w:t>
      </w:r>
      <w:r>
        <w:t>，结构安全；当</w:t>
      </w:r>
      <w:r>
        <w:rPr>
          <w:i/>
        </w:rPr>
        <w:t>f</w:t>
      </w:r>
      <w:r>
        <w:t xml:space="preserve"> &gt; 0</w:t>
      </w:r>
      <w:r>
        <w:t>，结构失效。</w:t>
      </w:r>
      <w:bookmarkEnd w:id="48"/>
    </w:p>
    <w:p w14:paraId="0BA63A08" w14:textId="3D87D873" w:rsidR="0032210F" w:rsidRDefault="00000000">
      <w:pPr>
        <w:pStyle w:val="afe"/>
        <w:ind w:firstLine="420"/>
      </w:pPr>
      <w:bookmarkStart w:id="49" w:name="正文段落_62"/>
      <w:r>
        <w:t>进一步考虑结构参数的不确定性，</w:t>
      </w:r>
      <w:proofErr w:type="gramStart"/>
      <w:r>
        <w:t>输电塔抗风能</w:t>
      </w:r>
      <w:proofErr w:type="gramEnd"/>
      <w:r>
        <w:t>力函数</w:t>
      </w:r>
      <w:r>
        <w:rPr>
          <w:i/>
        </w:rPr>
        <w:t xml:space="preserve">f </w:t>
      </w:r>
      <w:r>
        <w:t>= 0</w:t>
      </w:r>
      <w:r>
        <w:t>由于同时涉及风场信息（即风速和风向）与线路参数（即走向和</w:t>
      </w:r>
      <w:proofErr w:type="gramStart"/>
      <w:r>
        <w:t>档距</w:t>
      </w:r>
      <w:proofErr w:type="gramEnd"/>
      <w:r>
        <w:t>）具有高维特征。对此，可结合机器学习技术与数值模拟方法，对塔体结构抗风能力及其概率分布进行拟合趋近</w:t>
      </w:r>
      <w:r w:rsidR="00B84138" w:rsidRPr="006110E8">
        <w:rPr>
          <w:rFonts w:eastAsiaTheme="minorEastAsia"/>
          <w:bCs/>
          <w:szCs w:val="21"/>
          <w:vertAlign w:val="superscript"/>
        </w:rPr>
        <w:t>[</w:t>
      </w:r>
      <w:r w:rsidR="00270A89">
        <w:rPr>
          <w:rFonts w:eastAsiaTheme="minorEastAsia" w:hint="eastAsia"/>
          <w:bCs/>
          <w:szCs w:val="21"/>
          <w:vertAlign w:val="superscript"/>
        </w:rPr>
        <w:t>11</w:t>
      </w:r>
      <w:r w:rsidR="00B84138" w:rsidRPr="006110E8">
        <w:rPr>
          <w:rFonts w:eastAsiaTheme="minorEastAsia"/>
          <w:bCs/>
          <w:szCs w:val="21"/>
          <w:vertAlign w:val="superscript"/>
        </w:rPr>
        <w:t>]</w:t>
      </w:r>
      <w:r>
        <w:t>。在此基础上，采用蒙特卡洛模拟，可实现线路中</w:t>
      </w:r>
      <w:proofErr w:type="gramStart"/>
      <w:r>
        <w:t>塔结构</w:t>
      </w:r>
      <w:proofErr w:type="gramEnd"/>
      <w:r>
        <w:t>易损性的多参数联合分析。</w:t>
      </w:r>
      <w:bookmarkEnd w:id="49"/>
    </w:p>
    <w:p w14:paraId="030CEFB2" w14:textId="77777777" w:rsidR="0032210F" w:rsidRDefault="00000000">
      <w:pPr>
        <w:pStyle w:val="aff1"/>
        <w:keepNext/>
      </w:pPr>
      <w:bookmarkStart w:id="50" w:name="二级标题序号_11"/>
      <w:bookmarkStart w:id="51" w:name="二级标题_12"/>
      <w:r>
        <w:rPr>
          <w:rStyle w:val="affff3"/>
          <w:b/>
          <w:szCs w:val="20"/>
        </w:rPr>
        <w:t xml:space="preserve">5.2  </w:t>
      </w:r>
      <w:bookmarkEnd w:id="50"/>
      <w:r>
        <w:t>基于塔体失效的线路易损性计算</w:t>
      </w:r>
      <w:bookmarkEnd w:id="51"/>
    </w:p>
    <w:p w14:paraId="59AC64FF" w14:textId="5B364E46" w:rsidR="0032210F" w:rsidRDefault="00000000" w:rsidP="008F0B5A">
      <w:pPr>
        <w:pStyle w:val="afe"/>
        <w:ind w:firstLine="420"/>
      </w:pPr>
      <w:bookmarkStart w:id="52" w:name="正文段落_64"/>
      <w:r>
        <w:t>依据以上输电塔多维易损性模型，进一步引入</w:t>
      </w:r>
      <w:r w:rsidR="00DE645D">
        <w:t>台风风场随机性</w:t>
      </w:r>
      <w:r>
        <w:t>，可得到公式（</w:t>
      </w:r>
      <w:r>
        <w:t>7</w:t>
      </w:r>
      <w:r>
        <w:t>）所示的塔体年失效概率计算式。</w:t>
      </w:r>
      <w:bookmarkStart w:id="53" w:name="正文段落_66"/>
      <w:bookmarkEnd w:id="52"/>
      <w:r>
        <w:t>其中，</w:t>
      </w:r>
      <w:proofErr w:type="spellStart"/>
      <w:r>
        <w:rPr>
          <w:i/>
        </w:rPr>
        <w:t>P</w:t>
      </w:r>
      <w:r>
        <w:rPr>
          <w:i/>
          <w:vertAlign w:val="subscript"/>
        </w:rPr>
        <w:t>f</w:t>
      </w:r>
      <w:proofErr w:type="spellEnd"/>
      <w:r>
        <w:rPr>
          <w:i/>
          <w:vertAlign w:val="subscript"/>
        </w:rPr>
        <w:t xml:space="preserve"> </w:t>
      </w:r>
      <w:r>
        <w:t>(</w:t>
      </w:r>
      <w:proofErr w:type="spellStart"/>
      <w:r>
        <w:rPr>
          <w:i/>
        </w:rPr>
        <w:t>T</w:t>
      </w:r>
      <w:r>
        <w:rPr>
          <w:i/>
          <w:vertAlign w:val="subscript"/>
        </w:rPr>
        <w:t>j</w:t>
      </w:r>
      <w:proofErr w:type="spellEnd"/>
      <w:r>
        <w:t>)</w:t>
      </w:r>
      <w:r>
        <w:t>表示线路中</w:t>
      </w:r>
      <w:r>
        <w:rPr>
          <w:i/>
        </w:rPr>
        <w:t>j</w:t>
      </w:r>
      <w:proofErr w:type="gramStart"/>
      <w:r>
        <w:t>号塔的</w:t>
      </w:r>
      <w:proofErr w:type="gramEnd"/>
      <w:r>
        <w:t>年失效概率；</w:t>
      </w:r>
      <w:proofErr w:type="spellStart"/>
      <w:r>
        <w:rPr>
          <w:i/>
        </w:rPr>
        <w:t>F</w:t>
      </w:r>
      <w:r>
        <w:rPr>
          <w:i/>
          <w:vertAlign w:val="subscript"/>
        </w:rPr>
        <w:t>Tj</w:t>
      </w:r>
      <w:proofErr w:type="spellEnd"/>
      <w:r>
        <w:t>表示塔体所在线路水平档距为</w:t>
      </w:r>
      <w:proofErr w:type="spellStart"/>
      <w:r>
        <w:rPr>
          <w:i/>
        </w:rPr>
        <w:t>L</w:t>
      </w:r>
      <w:r>
        <w:rPr>
          <w:i/>
          <w:vertAlign w:val="subscript"/>
        </w:rPr>
        <w:t>h</w:t>
      </w:r>
      <w:proofErr w:type="spellEnd"/>
      <w:r>
        <w:t>和线路走向为</w:t>
      </w:r>
      <w:r>
        <w:rPr>
          <w:i/>
        </w:rPr>
        <w:t>α</w:t>
      </w:r>
      <w:r>
        <w:t>时，结构的累积</w:t>
      </w:r>
      <w:r w:rsidR="00974A9E">
        <w:rPr>
          <w:rFonts w:hint="eastAsia"/>
        </w:rPr>
        <w:t>失效</w:t>
      </w:r>
      <w:r>
        <w:t>概率，是关于年风速</w:t>
      </w:r>
      <w:r w:rsidR="00974A9E">
        <w:t>极</w:t>
      </w:r>
      <w:r w:rsidR="00974A9E">
        <w:t>值</w:t>
      </w:r>
      <w:r>
        <w:rPr>
          <w:i/>
        </w:rPr>
        <w:t>v</w:t>
      </w:r>
      <w:r w:rsidR="00AF14F7">
        <w:rPr>
          <w:rFonts w:hint="eastAsia"/>
        </w:rPr>
        <w:t>、</w:t>
      </w:r>
      <w:r>
        <w:t>风向角</w:t>
      </w:r>
      <w:r>
        <w:rPr>
          <w:i/>
        </w:rPr>
        <w:t>φ</w:t>
      </w:r>
      <w:r w:rsidR="00AF14F7">
        <w:rPr>
          <w:rFonts w:hint="eastAsia"/>
          <w:iCs/>
        </w:rPr>
        <w:t>和水平档距</w:t>
      </w:r>
      <w:proofErr w:type="spellStart"/>
      <w:r w:rsidR="00AF14F7" w:rsidRPr="00AF14F7">
        <w:rPr>
          <w:rFonts w:hint="eastAsia"/>
          <w:i/>
        </w:rPr>
        <w:t>L</w:t>
      </w:r>
      <w:r w:rsidR="00AF14F7" w:rsidRPr="00AF14F7">
        <w:rPr>
          <w:rFonts w:hint="eastAsia"/>
          <w:i/>
          <w:vertAlign w:val="subscript"/>
        </w:rPr>
        <w:t>h</w:t>
      </w:r>
      <w:proofErr w:type="spellEnd"/>
      <w:r>
        <w:t>的</w:t>
      </w:r>
      <w:r w:rsidR="00AF14F7">
        <w:rPr>
          <w:rFonts w:hint="eastAsia"/>
        </w:rPr>
        <w:t>高维</w:t>
      </w:r>
      <w:r>
        <w:t>函数；风向角</w:t>
      </w:r>
      <w:r>
        <w:rPr>
          <w:i/>
        </w:rPr>
        <w:t>φ</w:t>
      </w:r>
      <w:r>
        <w:t>由风向</w:t>
      </w:r>
      <w:r>
        <w:rPr>
          <w:i/>
        </w:rPr>
        <w:t>θ</w:t>
      </w:r>
      <w:r>
        <w:t>和线路走向</w:t>
      </w:r>
      <w:r>
        <w:rPr>
          <w:i/>
        </w:rPr>
        <w:t>α</w:t>
      </w:r>
      <w:r>
        <w:t>决定；</w:t>
      </w:r>
      <w:proofErr w:type="spellStart"/>
      <w:r>
        <w:rPr>
          <w:i/>
        </w:rPr>
        <w:t>f</w:t>
      </w:r>
      <w:r>
        <w:rPr>
          <w:i/>
          <w:vertAlign w:val="subscript"/>
        </w:rPr>
        <w:t>v,θ</w:t>
      </w:r>
      <w:proofErr w:type="spellEnd"/>
      <w:r>
        <w:t>表示目标考查地区台风年风速极值</w:t>
      </w:r>
      <w:r>
        <w:rPr>
          <w:i/>
        </w:rPr>
        <w:t>v</w:t>
      </w:r>
      <w:r>
        <w:t>与其风向</w:t>
      </w:r>
      <w:r>
        <w:rPr>
          <w:i/>
        </w:rPr>
        <w:t>θ</w:t>
      </w:r>
      <w:r>
        <w:t>的联合概率密度，其中风向的变化范围为</w:t>
      </w:r>
      <w:r>
        <w:t>0°~360°</w:t>
      </w:r>
      <w:r>
        <w:t>，年风速</w:t>
      </w:r>
      <w:r w:rsidR="00974A9E">
        <w:t>极值</w:t>
      </w:r>
      <w:r>
        <w:t>的变化范围为</w:t>
      </w:r>
      <w:r>
        <w:t>0~</w:t>
      </w:r>
      <w:r>
        <w:rPr>
          <w:i/>
        </w:rPr>
        <w:t>v</w:t>
      </w:r>
      <w:r>
        <w:rPr>
          <w:vertAlign w:val="subscript"/>
        </w:rPr>
        <w:t>max</w:t>
      </w:r>
      <w:r>
        <w:t>。由公式（</w:t>
      </w:r>
      <w:r>
        <w:t>7</w:t>
      </w:r>
      <w:r>
        <w:t>）可见，</w:t>
      </w:r>
      <w:proofErr w:type="gramStart"/>
      <w:r>
        <w:t>输电塔年失效</w:t>
      </w:r>
      <w:proofErr w:type="gramEnd"/>
      <w:r>
        <w:t>概率是关于</w:t>
      </w:r>
      <w:r w:rsidR="00AF14F7">
        <w:rPr>
          <w:rFonts w:hint="eastAsia"/>
        </w:rPr>
        <w:t>风场强度与方向</w:t>
      </w:r>
      <w:r>
        <w:t>的二维卷积。其中，塔</w:t>
      </w:r>
      <w:r w:rsidR="00AF14F7">
        <w:rPr>
          <w:rFonts w:hint="eastAsia"/>
        </w:rPr>
        <w:t>体</w:t>
      </w:r>
      <w:r>
        <w:t>累积</w:t>
      </w:r>
      <w:r w:rsidR="00974A9E">
        <w:rPr>
          <w:rFonts w:hint="eastAsia"/>
        </w:rPr>
        <w:t>失效</w:t>
      </w:r>
      <w:r>
        <w:t>概率可由输电塔风</w:t>
      </w:r>
      <w:r w:rsidR="00AF14F7">
        <w:rPr>
          <w:rFonts w:hint="eastAsia"/>
        </w:rPr>
        <w:t>致</w:t>
      </w:r>
      <w:r>
        <w:t>多维易损模型求得；年</w:t>
      </w:r>
      <w:r w:rsidR="00AF14F7">
        <w:rPr>
          <w:rFonts w:hint="eastAsia"/>
        </w:rPr>
        <w:t>风速</w:t>
      </w:r>
      <w:r w:rsidR="00974A9E">
        <w:t>极值</w:t>
      </w:r>
      <w:r>
        <w:t>及其风向联合概率密度</w:t>
      </w:r>
      <w:r w:rsidR="00AF14F7">
        <w:rPr>
          <w:rFonts w:hint="eastAsia"/>
        </w:rPr>
        <w:t>可依据</w:t>
      </w:r>
      <w:r>
        <w:t>台风路径模拟结果，</w:t>
      </w:r>
      <w:r w:rsidR="00AF14F7">
        <w:rPr>
          <w:rFonts w:hint="eastAsia"/>
        </w:rPr>
        <w:t>采用</w:t>
      </w:r>
      <w:proofErr w:type="gramStart"/>
      <w:r>
        <w:t>二维非参数</w:t>
      </w:r>
      <w:proofErr w:type="gramEnd"/>
      <w:r>
        <w:t>核密度估计获得。</w:t>
      </w:r>
      <w:bookmarkEnd w:id="53"/>
    </w:p>
    <w:p w14:paraId="6AD3533F" w14:textId="0E61BF02" w:rsidR="008F0B5A" w:rsidRDefault="00AF14F7" w:rsidP="00062439">
      <w:pPr>
        <w:pStyle w:val="afff5"/>
        <w:tabs>
          <w:tab w:val="center" w:pos="2274"/>
          <w:tab w:val="right" w:pos="4549"/>
        </w:tabs>
        <w:ind w:left="0" w:right="73" w:firstLineChars="0" w:firstLine="0"/>
        <w:jc w:val="right"/>
      </w:pPr>
      <w:r w:rsidRPr="00062439">
        <w:rPr>
          <w:rFonts w:hint="eastAsia"/>
          <w:position w:val="-18"/>
        </w:rPr>
        <w:object w:dxaOrig="4239" w:dyaOrig="520" w14:anchorId="5DFE5832">
          <v:shape id="_x0000_i1034" type="#_x0000_t75" style="width:210.75pt;height:25.5pt" o:ole="">
            <v:imagedata r:id="rId44" o:title=""/>
          </v:shape>
          <o:OLEObject Type="Embed" ProgID="Equation.DSMT4" ShapeID="_x0000_i1034" DrawAspect="Content" ObjectID="_1845024726" r:id="rId45"/>
        </w:object>
      </w:r>
      <w:r w:rsidR="008F0B5A">
        <w:t>（</w:t>
      </w:r>
      <w:r w:rsidR="006110E8">
        <w:rPr>
          <w:rFonts w:hint="eastAsia"/>
        </w:rPr>
        <w:t>7</w:t>
      </w:r>
      <w:r w:rsidR="008F0B5A">
        <w:t>）</w:t>
      </w:r>
    </w:p>
    <w:p w14:paraId="45AB6633" w14:textId="2DC7FAC2" w:rsidR="0032210F" w:rsidRDefault="00000000">
      <w:pPr>
        <w:pStyle w:val="afe"/>
        <w:ind w:firstLine="420"/>
      </w:pPr>
      <w:bookmarkStart w:id="54" w:name="正文段落_68"/>
      <w:r>
        <w:t>关注塔体失效引起的线路损坏这一风灾破坏</w:t>
      </w:r>
      <w:r w:rsidR="008B6408">
        <w:rPr>
          <w:rFonts w:hint="eastAsia"/>
        </w:rPr>
        <w:t>模式</w:t>
      </w:r>
      <w:r>
        <w:t>，假设线路</w:t>
      </w:r>
      <w:proofErr w:type="gramStart"/>
      <w:r>
        <w:t>中每基塔</w:t>
      </w:r>
      <w:proofErr w:type="gramEnd"/>
      <w:r>
        <w:t>的失效完全独立（即任意</w:t>
      </w:r>
      <w:proofErr w:type="gramStart"/>
      <w:r>
        <w:t>一</w:t>
      </w:r>
      <w:proofErr w:type="gramEnd"/>
      <w:r>
        <w:t>基塔失效则线路失效），可得到线路失效概率下界计算式；假设线路中塔体失效是完全相互依赖的（即所有塔均不失效则线路安全，否则线路失效），可获得线路失效概率上界计算式</w:t>
      </w:r>
      <w:r w:rsidR="00B84138">
        <w:rPr>
          <w:rFonts w:hint="eastAsia"/>
        </w:rPr>
        <w:t>。</w:t>
      </w:r>
      <w:r>
        <w:t>如公式（</w:t>
      </w:r>
      <w:r>
        <w:t>8</w:t>
      </w:r>
      <w:r>
        <w:t>），其中</w:t>
      </w:r>
      <w:r>
        <w:rPr>
          <w:i/>
        </w:rPr>
        <w:t>m</w:t>
      </w:r>
      <w:r>
        <w:t>表示线路中输电塔总数。</w:t>
      </w:r>
      <w:bookmarkEnd w:id="54"/>
    </w:p>
    <w:p w14:paraId="5B7C8B04" w14:textId="36CCAD83" w:rsidR="0032210F" w:rsidRDefault="00000000">
      <w:pPr>
        <w:pStyle w:val="afff5"/>
        <w:tabs>
          <w:tab w:val="center" w:pos="2274"/>
          <w:tab w:val="right" w:pos="4549"/>
        </w:tabs>
        <w:ind w:left="0"/>
        <w:jc w:val="right"/>
      </w:pPr>
      <w:r>
        <w:tab/>
      </w:r>
      <w:bookmarkStart w:id="55" w:name="公式_20"/>
      <w:r w:rsidR="00E676DA" w:rsidRPr="00C06D94">
        <w:rPr>
          <w:rFonts w:hint="eastAsia"/>
          <w:position w:val="-24"/>
        </w:rPr>
        <w:object w:dxaOrig="3420" w:dyaOrig="560" w14:anchorId="49CAE912">
          <v:shape id="_x0000_i1035" type="#_x0000_t75" style="width:171pt;height:28.5pt" o:ole="">
            <v:imagedata r:id="rId46" o:title=""/>
          </v:shape>
          <o:OLEObject Type="Embed" ProgID="Equation.DSMT4" ShapeID="_x0000_i1035" DrawAspect="Content" ObjectID="_1845024727" r:id="rId47"/>
        </w:object>
      </w:r>
      <w:r>
        <w:tab/>
      </w:r>
      <w:r>
        <w:t>（</w:t>
      </w:r>
      <w:r w:rsidR="00C06D94">
        <w:rPr>
          <w:rFonts w:hint="eastAsia"/>
        </w:rPr>
        <w:t>8</w:t>
      </w:r>
      <w:r>
        <w:t>）</w:t>
      </w:r>
      <w:bookmarkEnd w:id="55"/>
    </w:p>
    <w:p w14:paraId="53EE0626" w14:textId="67E0FB0F" w:rsidR="0032210F" w:rsidRDefault="00000000">
      <w:pPr>
        <w:pStyle w:val="afe"/>
        <w:ind w:firstLine="420"/>
      </w:pPr>
      <w:bookmarkStart w:id="56" w:name="正文段落_70"/>
      <w:r>
        <w:t>由此，依据线路</w:t>
      </w:r>
      <w:proofErr w:type="gramStart"/>
      <w:r>
        <w:t>中各基塔</w:t>
      </w:r>
      <w:proofErr w:type="gramEnd"/>
      <w:r>
        <w:t>失效概率的计算结果，可最终评估出线路各区段及整条线路台风灾害易损区间。该评估流程不仅可</w:t>
      </w:r>
      <w:proofErr w:type="gramStart"/>
      <w:r>
        <w:t>提供单基塔</w:t>
      </w:r>
      <w:proofErr w:type="gramEnd"/>
      <w:r>
        <w:t>的风险指标，还可导出</w:t>
      </w:r>
      <w:proofErr w:type="gramStart"/>
      <w:r>
        <w:t>各耐张</w:t>
      </w:r>
      <w:proofErr w:type="gramEnd"/>
      <w:r>
        <w:t>段及整条线路的年失效概率区间。</w:t>
      </w:r>
      <w:bookmarkEnd w:id="56"/>
    </w:p>
    <w:p w14:paraId="6D6EB6A5" w14:textId="77777777" w:rsidR="0032210F" w:rsidRDefault="00000000">
      <w:pPr>
        <w:pStyle w:val="aff1"/>
        <w:keepNext/>
      </w:pPr>
      <w:bookmarkStart w:id="57" w:name="二级标题序号_12"/>
      <w:bookmarkStart w:id="58" w:name="二级标题_14"/>
      <w:r>
        <w:rPr>
          <w:rStyle w:val="affff3"/>
          <w:b/>
          <w:szCs w:val="20"/>
        </w:rPr>
        <w:t xml:space="preserve">5.3  </w:t>
      </w:r>
      <w:bookmarkEnd w:id="57"/>
      <w:r>
        <w:t>案例分析</w:t>
      </w:r>
      <w:bookmarkEnd w:id="58"/>
    </w:p>
    <w:p w14:paraId="4B61C5C9" w14:textId="4E2FC60D" w:rsidR="0032210F" w:rsidRDefault="00000000">
      <w:pPr>
        <w:pStyle w:val="afe"/>
        <w:ind w:firstLine="420"/>
      </w:pPr>
      <w:bookmarkStart w:id="59" w:name="正文段落_72"/>
      <w:r>
        <w:t>以湛江市某</w:t>
      </w:r>
      <w:r>
        <w:t>220 kV</w:t>
      </w:r>
      <w:r>
        <w:t>双回路输电线路为考查对象，采用本文所构建的概率评估框架，计算分析目标线路的台风灾害易损性，以验证基于塔体失效的线路区段差异化易损性评估方法的可行性和有效性。所考查的目标线路位于城市外围郊区的空旷地带，全长</w:t>
      </w:r>
      <w:r>
        <w:t>31.119</w:t>
      </w:r>
      <w:r>
        <w:t>公里，共</w:t>
      </w:r>
      <w:r>
        <w:t>109</w:t>
      </w:r>
      <w:r>
        <w:t>基输电塔（含直线塔、</w:t>
      </w:r>
      <w:proofErr w:type="gramStart"/>
      <w:r>
        <w:t>耐张塔</w:t>
      </w:r>
      <w:proofErr w:type="gramEnd"/>
      <w:r>
        <w:t>和终端塔）。其中，直线塔结构设计由风载控制，在线路中占比最大，是抗台风灾害的重点关注对象；</w:t>
      </w:r>
      <w:proofErr w:type="gramStart"/>
      <w:r>
        <w:t>耐张塔</w:t>
      </w:r>
      <w:proofErr w:type="gramEnd"/>
      <w:r>
        <w:t>和终端塔</w:t>
      </w:r>
      <w:r w:rsidR="007C0251">
        <w:rPr>
          <w:rFonts w:hint="eastAsia"/>
        </w:rPr>
        <w:t>的</w:t>
      </w:r>
      <w:r>
        <w:t>设计则由导线张力控制，此处将其风致</w:t>
      </w:r>
      <w:r w:rsidR="008B6408">
        <w:rPr>
          <w:rFonts w:hint="eastAsia"/>
        </w:rPr>
        <w:t>失</w:t>
      </w:r>
      <w:r>
        <w:t>效概率设置为</w:t>
      </w:r>
      <w:r>
        <w:t>0</w:t>
      </w:r>
      <w:r>
        <w:t>。依据地形特征，线路可分为普通段和跨越段（如图</w:t>
      </w:r>
      <w:r w:rsidR="002B589A">
        <w:rPr>
          <w:rFonts w:hint="eastAsia"/>
        </w:rPr>
        <w:t>9</w:t>
      </w:r>
      <w:r>
        <w:t>）：普通段长度长且直线</w:t>
      </w:r>
      <w:proofErr w:type="gramStart"/>
      <w:r>
        <w:t>塔数量</w:t>
      </w:r>
      <w:proofErr w:type="gramEnd"/>
      <w:r>
        <w:t>众多；跨域</w:t>
      </w:r>
      <w:proofErr w:type="gramStart"/>
      <w:r>
        <w:t>段途径</w:t>
      </w:r>
      <w:proofErr w:type="gramEnd"/>
      <w:r>
        <w:t>河网地带，长度较短且直线</w:t>
      </w:r>
      <w:proofErr w:type="gramStart"/>
      <w:r>
        <w:t>塔数量</w:t>
      </w:r>
      <w:proofErr w:type="gramEnd"/>
      <w:r>
        <w:t>少。本文以线路的普通段为研究对象，开展台风风灾易损性案例分析。</w:t>
      </w:r>
      <w:bookmarkEnd w:id="59"/>
    </w:p>
    <w:p w14:paraId="0CE96211" w14:textId="0DDCD610" w:rsidR="006B21EE" w:rsidRDefault="006B21EE" w:rsidP="008A70E6">
      <w:pPr>
        <w:pStyle w:val="afe"/>
        <w:ind w:firstLine="420"/>
      </w:pPr>
      <w:bookmarkStart w:id="60" w:name="正文段落_74"/>
      <w:r w:rsidRPr="006B21EE">
        <w:rPr>
          <w:rFonts w:hint="eastAsia"/>
        </w:rPr>
        <w:t>依据线路</w:t>
      </w:r>
      <w:r w:rsidR="008B6408">
        <w:rPr>
          <w:rFonts w:hint="eastAsia"/>
        </w:rPr>
        <w:t>空间分布</w:t>
      </w:r>
      <w:r w:rsidR="007C0251">
        <w:rPr>
          <w:rFonts w:hint="eastAsia"/>
        </w:rPr>
        <w:t>特征</w:t>
      </w:r>
      <w:r w:rsidRPr="006B21EE">
        <w:rPr>
          <w:rFonts w:hint="eastAsia"/>
        </w:rPr>
        <w:t>，对</w:t>
      </w:r>
      <w:r w:rsidR="008B6408">
        <w:rPr>
          <w:rFonts w:hint="eastAsia"/>
        </w:rPr>
        <w:t>所考查</w:t>
      </w:r>
      <w:r w:rsidR="007C0251">
        <w:rPr>
          <w:rFonts w:hint="eastAsia"/>
        </w:rPr>
        <w:t>普通</w:t>
      </w:r>
      <w:r w:rsidR="008B6408">
        <w:rPr>
          <w:rFonts w:hint="eastAsia"/>
        </w:rPr>
        <w:t>段的</w:t>
      </w:r>
      <w:r w:rsidRPr="006B21EE">
        <w:rPr>
          <w:rFonts w:hint="eastAsia"/>
        </w:rPr>
        <w:t>直线塔进行聚类分析（见图</w:t>
      </w:r>
      <w:r w:rsidRPr="006B21EE">
        <w:t>1</w:t>
      </w:r>
      <w:r w:rsidR="002B589A">
        <w:rPr>
          <w:rFonts w:hint="eastAsia"/>
        </w:rPr>
        <w:t>0</w:t>
      </w:r>
      <w:r w:rsidRPr="006B21EE">
        <w:rPr>
          <w:rFonts w:hint="eastAsia"/>
        </w:rPr>
        <w:t>）</w:t>
      </w:r>
      <w:r w:rsidR="008B6408">
        <w:rPr>
          <w:rFonts w:hint="eastAsia"/>
        </w:rPr>
        <w:t>。</w:t>
      </w:r>
      <w:r w:rsidRPr="006B21EE">
        <w:rPr>
          <w:rFonts w:hint="eastAsia"/>
        </w:rPr>
        <w:t>结果表明，</w:t>
      </w:r>
      <w:r w:rsidR="007C0251">
        <w:rPr>
          <w:rFonts w:hint="eastAsia"/>
        </w:rPr>
        <w:t>输电塔</w:t>
      </w:r>
      <w:r w:rsidRPr="006B21EE">
        <w:rPr>
          <w:rFonts w:hint="eastAsia"/>
        </w:rPr>
        <w:t>可分为三类，分别对应约</w:t>
      </w:r>
      <w:r w:rsidRPr="006B21EE">
        <w:t>126°/269 m</w:t>
      </w:r>
      <w:r w:rsidRPr="006B21EE">
        <w:rPr>
          <w:rFonts w:hint="eastAsia"/>
        </w:rPr>
        <w:t>、</w:t>
      </w:r>
      <w:r w:rsidRPr="006B21EE">
        <w:t>193°/277 m</w:t>
      </w:r>
      <w:r w:rsidRPr="006B21EE">
        <w:rPr>
          <w:rFonts w:hint="eastAsia"/>
        </w:rPr>
        <w:t>和</w:t>
      </w:r>
      <w:r w:rsidRPr="006B21EE">
        <w:t>254°/247 m</w:t>
      </w:r>
      <w:r w:rsidRPr="006B21EE">
        <w:rPr>
          <w:rFonts w:hint="eastAsia"/>
        </w:rPr>
        <w:t>的典型走向与档距组合，聚类数量依次</w:t>
      </w:r>
      <w:r w:rsidRPr="006B21EE">
        <w:rPr>
          <w:rFonts w:hint="eastAsia"/>
        </w:rPr>
        <w:lastRenderedPageBreak/>
        <w:t>为</w:t>
      </w:r>
      <w:r w:rsidRPr="006B21EE">
        <w:t>29</w:t>
      </w:r>
      <w:r w:rsidRPr="006B21EE">
        <w:rPr>
          <w:rFonts w:hint="eastAsia"/>
        </w:rPr>
        <w:t>、</w:t>
      </w:r>
      <w:r w:rsidRPr="006B21EE">
        <w:t>32</w:t>
      </w:r>
      <w:r w:rsidRPr="006B21EE">
        <w:rPr>
          <w:rFonts w:hint="eastAsia"/>
        </w:rPr>
        <w:t>和</w:t>
      </w:r>
      <w:r w:rsidRPr="006B21EE">
        <w:t>10</w:t>
      </w:r>
      <w:r w:rsidRPr="006B21EE">
        <w:rPr>
          <w:rFonts w:hint="eastAsia"/>
        </w:rPr>
        <w:t>基。三</w:t>
      </w:r>
      <w:r w:rsidR="008B6408">
        <w:rPr>
          <w:rFonts w:hint="eastAsia"/>
        </w:rPr>
        <w:t>组塔</w:t>
      </w:r>
      <w:r w:rsidR="004143F0">
        <w:rPr>
          <w:rFonts w:hint="eastAsia"/>
        </w:rPr>
        <w:t>所对应的线路走向</w:t>
      </w:r>
      <w:r w:rsidRPr="006B21EE">
        <w:rPr>
          <w:rFonts w:hint="eastAsia"/>
        </w:rPr>
        <w:t>分别呈偏东</w:t>
      </w:r>
      <w:r w:rsidR="004143F0">
        <w:rPr>
          <w:rFonts w:hint="eastAsia"/>
        </w:rPr>
        <w:t>向</w:t>
      </w:r>
      <w:r w:rsidRPr="006B21EE">
        <w:rPr>
          <w:rFonts w:hint="eastAsia"/>
        </w:rPr>
        <w:t>、南向和西南向，</w:t>
      </w:r>
      <w:r w:rsidR="004143F0">
        <w:rPr>
          <w:rFonts w:hint="eastAsia"/>
        </w:rPr>
        <w:t>且各组水平</w:t>
      </w:r>
      <w:r w:rsidRPr="006B21EE">
        <w:rPr>
          <w:rFonts w:hint="eastAsia"/>
        </w:rPr>
        <w:t>档距</w:t>
      </w:r>
      <w:r w:rsidR="004143F0">
        <w:rPr>
          <w:rFonts w:hint="eastAsia"/>
        </w:rPr>
        <w:t>的波动</w:t>
      </w:r>
      <w:r w:rsidRPr="006B21EE">
        <w:rPr>
          <w:rFonts w:hint="eastAsia"/>
        </w:rPr>
        <w:t>存在差异。</w:t>
      </w:r>
    </w:p>
    <w:p w14:paraId="48E480A5" w14:textId="77777777" w:rsidR="002B589A" w:rsidRDefault="002B589A" w:rsidP="002B589A">
      <w:pPr>
        <w:pStyle w:val="affff0"/>
        <w:keepLines/>
      </w:pPr>
      <w:bookmarkStart w:id="61" w:name="嵌入式图形_7"/>
      <w:r w:rsidRPr="00432090">
        <w:rPr>
          <w:noProof/>
        </w:rPr>
        <w:drawing>
          <wp:inline distT="0" distB="0" distL="0" distR="0" wp14:anchorId="796932E0" wp14:editId="31AE27B0">
            <wp:extent cx="1783229" cy="1529443"/>
            <wp:effectExtent l="0" t="0" r="7620" b="0"/>
            <wp:docPr id="2107615911" name="Name 5" descr="地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615911" name="Name 5" descr="地图&#10;&#10;AI 生成的内容可能不正确。"/>
                    <pic:cNvPicPr>
                      <a:picLocks noChangeAspect="1" noChangeArrowheads="1"/>
                    </pic:cNvPicPr>
                  </pic:nvPicPr>
                  <pic:blipFill>
                    <a:blip r:embed="rId48" cstate="hqprint">
                      <a:extLst>
                        <a:ext uri="{28A0092B-C50C-407E-A947-70E740481C1C}">
                          <a14:useLocalDpi xmlns:a14="http://schemas.microsoft.com/office/drawing/2010/main" val="0"/>
                        </a:ext>
                      </a:extLst>
                    </a:blip>
                    <a:stretch>
                      <a:fillRect/>
                    </a:stretch>
                  </pic:blipFill>
                  <pic:spPr bwMode="auto">
                    <a:xfrm>
                      <a:off x="0" y="0"/>
                      <a:ext cx="1787160" cy="1532815"/>
                    </a:xfrm>
                    <a:prstGeom prst="rect">
                      <a:avLst/>
                    </a:prstGeom>
                    <a:noFill/>
                    <a:ln>
                      <a:noFill/>
                    </a:ln>
                  </pic:spPr>
                </pic:pic>
              </a:graphicData>
            </a:graphic>
          </wp:inline>
        </w:drawing>
      </w:r>
      <w:bookmarkEnd w:id="61"/>
    </w:p>
    <w:p w14:paraId="012812E3" w14:textId="050BF446" w:rsidR="002B589A" w:rsidRDefault="002B589A" w:rsidP="002B589A">
      <w:pPr>
        <w:pStyle w:val="afffe"/>
      </w:pPr>
      <w:bookmarkStart w:id="62" w:name="中文图序_9"/>
      <w:bookmarkStart w:id="63" w:name="中文图题_9"/>
      <w:r>
        <w:t>图</w:t>
      </w:r>
      <w:bookmarkEnd w:id="62"/>
      <w:r>
        <w:rPr>
          <w:rFonts w:hint="eastAsia"/>
        </w:rPr>
        <w:t>9</w:t>
      </w:r>
      <w:r>
        <w:t xml:space="preserve"> </w:t>
      </w:r>
      <w:r>
        <w:t>目标输电线路</w:t>
      </w:r>
      <w:bookmarkEnd w:id="63"/>
      <w:r w:rsidR="00E06400">
        <w:rPr>
          <w:rFonts w:hint="eastAsia"/>
        </w:rPr>
        <w:t>总</w:t>
      </w:r>
      <w:proofErr w:type="gramStart"/>
      <w:r w:rsidR="00E06400">
        <w:rPr>
          <w:rFonts w:hint="eastAsia"/>
        </w:rPr>
        <w:t>览</w:t>
      </w:r>
      <w:proofErr w:type="gramEnd"/>
      <w:r w:rsidR="00E06400">
        <w:rPr>
          <w:rFonts w:hint="eastAsia"/>
        </w:rPr>
        <w:t>图</w:t>
      </w:r>
    </w:p>
    <w:p w14:paraId="39F2D8DC" w14:textId="77777777" w:rsidR="002B589A" w:rsidRDefault="002B589A" w:rsidP="002B589A">
      <w:pPr>
        <w:pStyle w:val="afffe"/>
      </w:pPr>
      <w:r w:rsidRPr="00432090">
        <w:rPr>
          <w:noProof/>
          <w:sz w:val="24"/>
        </w:rPr>
        <w:drawing>
          <wp:inline distT="0" distB="0" distL="0" distR="0" wp14:anchorId="37D07CD5" wp14:editId="5451D33D">
            <wp:extent cx="2247423" cy="1556657"/>
            <wp:effectExtent l="0" t="0" r="635" b="5715"/>
            <wp:docPr id="183241281" name="图片 8" descr="图示, 维恩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266618" name="图片 8" descr="图示, 维恩图&#10;&#10;AI 生成的内容可能不正确。"/>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bwMode="auto">
                    <a:xfrm>
                      <a:off x="0" y="0"/>
                      <a:ext cx="2255567" cy="1562298"/>
                    </a:xfrm>
                    <a:prstGeom prst="rect">
                      <a:avLst/>
                    </a:prstGeom>
                    <a:noFill/>
                    <a:ln>
                      <a:noFill/>
                    </a:ln>
                  </pic:spPr>
                </pic:pic>
              </a:graphicData>
            </a:graphic>
          </wp:inline>
        </w:drawing>
      </w:r>
    </w:p>
    <w:p w14:paraId="3476420B" w14:textId="5092F9D0" w:rsidR="002B589A" w:rsidRDefault="002B589A" w:rsidP="002B589A">
      <w:pPr>
        <w:pStyle w:val="afffe"/>
      </w:pPr>
      <w:r>
        <w:t>图</w:t>
      </w:r>
      <w:r>
        <w:rPr>
          <w:rFonts w:hint="eastAsia"/>
        </w:rPr>
        <w:t>10</w:t>
      </w:r>
      <w:r>
        <w:t xml:space="preserve"> </w:t>
      </w:r>
      <w:r w:rsidR="00E06400">
        <w:rPr>
          <w:rFonts w:hint="eastAsia"/>
        </w:rPr>
        <w:t>基于线路空间分布信息的输电塔</w:t>
      </w:r>
      <w:r w:rsidRPr="00017E5C">
        <w:t>聚类</w:t>
      </w:r>
      <w:r w:rsidR="00E06400">
        <w:rPr>
          <w:rFonts w:hint="eastAsia"/>
        </w:rPr>
        <w:t>分组</w:t>
      </w:r>
    </w:p>
    <w:p w14:paraId="56737B1B" w14:textId="77777777" w:rsidR="005B5F22" w:rsidRDefault="005B5F22" w:rsidP="005B5F22">
      <w:pPr>
        <w:pStyle w:val="afffe"/>
      </w:pPr>
      <w:r w:rsidRPr="00432090">
        <w:rPr>
          <w:noProof/>
          <w:sz w:val="24"/>
        </w:rPr>
        <w:drawing>
          <wp:inline distT="0" distB="0" distL="0" distR="0" wp14:anchorId="5A73ADF5" wp14:editId="22E5766F">
            <wp:extent cx="2231571" cy="1541229"/>
            <wp:effectExtent l="0" t="0" r="0" b="1905"/>
            <wp:docPr id="1314151089" name="图片 7" descr="图表, 散点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845618" name="图片 7" descr="图表, 散点图&#10;&#10;AI 生成的内容可能不正确。"/>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2244716" cy="1550308"/>
                    </a:xfrm>
                    <a:prstGeom prst="rect">
                      <a:avLst/>
                    </a:prstGeom>
                    <a:noFill/>
                    <a:ln>
                      <a:noFill/>
                    </a:ln>
                  </pic:spPr>
                </pic:pic>
              </a:graphicData>
            </a:graphic>
          </wp:inline>
        </w:drawing>
      </w:r>
    </w:p>
    <w:p w14:paraId="2746994C" w14:textId="716506A5" w:rsidR="005B5F22" w:rsidRPr="006110E8" w:rsidRDefault="005B5F22" w:rsidP="005B5F22">
      <w:pPr>
        <w:pStyle w:val="afffe"/>
      </w:pPr>
      <w:r>
        <w:t>图</w:t>
      </w:r>
      <w:r>
        <w:rPr>
          <w:rFonts w:hint="eastAsia"/>
        </w:rPr>
        <w:t>11</w:t>
      </w:r>
      <w:r>
        <w:t xml:space="preserve"> </w:t>
      </w:r>
      <w:r>
        <w:rPr>
          <w:rFonts w:hint="eastAsia"/>
        </w:rPr>
        <w:t>输电塔</w:t>
      </w:r>
      <w:r>
        <w:t>失效概率</w:t>
      </w:r>
      <w:r w:rsidR="00E06400">
        <w:rPr>
          <w:rFonts w:hint="eastAsia"/>
        </w:rPr>
        <w:t>及其风险等</w:t>
      </w:r>
      <w:r>
        <w:t>级</w:t>
      </w:r>
    </w:p>
    <w:p w14:paraId="2D130F67" w14:textId="2C1D24BB" w:rsidR="00A15D7B" w:rsidRPr="00A15D7B" w:rsidRDefault="00A15D7B" w:rsidP="00A15D7B">
      <w:pPr>
        <w:pStyle w:val="afe"/>
        <w:ind w:firstLine="420"/>
      </w:pPr>
      <w:r w:rsidRPr="00A15D7B">
        <w:t>基于聚类分组，本文</w:t>
      </w:r>
      <w:r w:rsidR="00E06400">
        <w:rPr>
          <w:rFonts w:hint="eastAsia"/>
        </w:rPr>
        <w:t>结合</w:t>
      </w:r>
      <w:r w:rsidRPr="00A15D7B">
        <w:t>图</w:t>
      </w:r>
      <w:r w:rsidR="005B5F22">
        <w:rPr>
          <w:rFonts w:hint="eastAsia"/>
        </w:rPr>
        <w:t>8</w:t>
      </w:r>
      <w:r w:rsidRPr="00A15D7B">
        <w:t>所示的台风年风速极值</w:t>
      </w:r>
      <w:r w:rsidRPr="00A15D7B">
        <w:t>–</w:t>
      </w:r>
      <w:r w:rsidRPr="00A15D7B">
        <w:t>风向联合概率密度与输电塔风致易损性多维模型，通过公式（</w:t>
      </w:r>
      <w:r w:rsidRPr="00A15D7B">
        <w:t>7</w:t>
      </w:r>
      <w:r w:rsidRPr="00A15D7B">
        <w:t>）计算</w:t>
      </w:r>
      <w:proofErr w:type="gramStart"/>
      <w:r w:rsidR="00E06400">
        <w:rPr>
          <w:rFonts w:hint="eastAsia"/>
        </w:rPr>
        <w:t>获得</w:t>
      </w:r>
      <w:r w:rsidRPr="00A15D7B">
        <w:t>各基塔</w:t>
      </w:r>
      <w:proofErr w:type="gramEnd"/>
      <w:r w:rsidRPr="00A15D7B">
        <w:t>的年失效概率，并划分为五个风险等级（见图</w:t>
      </w:r>
      <w:r w:rsidR="002B589A">
        <w:rPr>
          <w:rFonts w:hint="eastAsia"/>
        </w:rPr>
        <w:t>11</w:t>
      </w:r>
      <w:r w:rsidRPr="00A15D7B">
        <w:t>）。结果显示：第一组塔（蓝色组）年失效概率显著偏高，集中在最高两个风险等级（</w:t>
      </w:r>
      <w:proofErr w:type="spellStart"/>
      <w:r w:rsidR="00B15BCD" w:rsidRPr="00B15BCD">
        <w:rPr>
          <w:i/>
          <w:iCs/>
        </w:rPr>
        <w:t>P</w:t>
      </w:r>
      <w:r w:rsidR="00B15BCD" w:rsidRPr="00B15BCD">
        <w:rPr>
          <w:i/>
          <w:iCs/>
          <w:vertAlign w:val="subscript"/>
        </w:rPr>
        <w:t>f</w:t>
      </w:r>
      <w:r w:rsidR="00B15BCD" w:rsidRPr="00B15BCD">
        <w:rPr>
          <w:vertAlign w:val="subscript"/>
        </w:rPr>
        <w:t>,</w:t>
      </w:r>
      <w:r w:rsidR="00B15BCD" w:rsidRPr="00B15BCD">
        <w:rPr>
          <w:i/>
          <w:iCs/>
          <w:vertAlign w:val="subscript"/>
        </w:rPr>
        <w:t>T</w:t>
      </w:r>
      <w:proofErr w:type="spellEnd"/>
      <w:r w:rsidR="00B15BCD" w:rsidRPr="00A15D7B">
        <w:t> </w:t>
      </w:r>
      <w:r w:rsidRPr="00A15D7B">
        <w:t xml:space="preserve"> &gt; 0.0005 </w:t>
      </w:r>
      <w:r w:rsidRPr="00A15D7B">
        <w:t>和</w:t>
      </w:r>
      <w:r w:rsidRPr="00A15D7B">
        <w:t xml:space="preserve"> 0.0004 &lt; </w:t>
      </w:r>
      <w:proofErr w:type="spellStart"/>
      <w:r w:rsidR="00B15BCD" w:rsidRPr="00B15BCD">
        <w:rPr>
          <w:i/>
          <w:iCs/>
        </w:rPr>
        <w:t>P</w:t>
      </w:r>
      <w:r w:rsidR="00B15BCD" w:rsidRPr="00B15BCD">
        <w:rPr>
          <w:i/>
          <w:iCs/>
          <w:vertAlign w:val="subscript"/>
        </w:rPr>
        <w:t>f</w:t>
      </w:r>
      <w:r w:rsidR="00B15BCD" w:rsidRPr="00B15BCD">
        <w:rPr>
          <w:vertAlign w:val="subscript"/>
        </w:rPr>
        <w:t>,</w:t>
      </w:r>
      <w:r w:rsidR="00B15BCD" w:rsidRPr="00B15BCD">
        <w:rPr>
          <w:i/>
          <w:iCs/>
          <w:vertAlign w:val="subscript"/>
        </w:rPr>
        <w:t>T</w:t>
      </w:r>
      <w:proofErr w:type="spellEnd"/>
      <w:r w:rsidR="00B15BCD" w:rsidRPr="00A15D7B">
        <w:t> </w:t>
      </w:r>
      <w:r w:rsidRPr="00A15D7B">
        <w:t xml:space="preserve"> ≤ 0.0005</w:t>
      </w:r>
      <w:r w:rsidRPr="00A15D7B">
        <w:t>），</w:t>
      </w:r>
      <w:r>
        <w:rPr>
          <w:rFonts w:hint="eastAsia"/>
        </w:rPr>
        <w:t>表明</w:t>
      </w:r>
      <w:r w:rsidRPr="00A15D7B">
        <w:t>该组</w:t>
      </w:r>
      <w:proofErr w:type="gramStart"/>
      <w:r w:rsidRPr="00A15D7B">
        <w:t>塔具有</w:t>
      </w:r>
      <w:proofErr w:type="gramEnd"/>
      <w:r w:rsidRPr="00A15D7B">
        <w:t>最高的台风易损风险；第二组塔（红色组）</w:t>
      </w:r>
      <w:proofErr w:type="gramStart"/>
      <w:r w:rsidRPr="00A15D7B">
        <w:t>虽走向</w:t>
      </w:r>
      <w:proofErr w:type="gramEnd"/>
      <w:r w:rsidRPr="00A15D7B">
        <w:t>与档距</w:t>
      </w:r>
      <w:r w:rsidR="007C0251">
        <w:rPr>
          <w:rFonts w:hint="eastAsia"/>
        </w:rPr>
        <w:t>波动</w:t>
      </w:r>
      <w:r w:rsidRPr="00A15D7B">
        <w:t>较大，但大多数塔</w:t>
      </w:r>
      <w:r w:rsidR="004143F0">
        <w:rPr>
          <w:rFonts w:hint="eastAsia"/>
        </w:rPr>
        <w:t>的</w:t>
      </w:r>
      <w:r w:rsidRPr="00A15D7B">
        <w:t> </w:t>
      </w:r>
      <w:proofErr w:type="spellStart"/>
      <w:r w:rsidR="00B15BCD" w:rsidRPr="00B15BCD">
        <w:rPr>
          <w:i/>
          <w:iCs/>
        </w:rPr>
        <w:t>P</w:t>
      </w:r>
      <w:r w:rsidR="00B15BCD" w:rsidRPr="00B15BCD">
        <w:rPr>
          <w:i/>
          <w:iCs/>
          <w:vertAlign w:val="subscript"/>
        </w:rPr>
        <w:t>f</w:t>
      </w:r>
      <w:r w:rsidR="00B15BCD" w:rsidRPr="00B15BCD">
        <w:rPr>
          <w:vertAlign w:val="subscript"/>
        </w:rPr>
        <w:t>,</w:t>
      </w:r>
      <w:r w:rsidR="00B15BCD" w:rsidRPr="00B15BCD">
        <w:rPr>
          <w:i/>
          <w:iCs/>
          <w:vertAlign w:val="subscript"/>
        </w:rPr>
        <w:t>T</w:t>
      </w:r>
      <w:proofErr w:type="spellEnd"/>
      <w:r w:rsidR="00B15BCD" w:rsidRPr="00A15D7B">
        <w:t> </w:t>
      </w:r>
      <w:r w:rsidRPr="00A15D7B">
        <w:t>≤ 0.0003</w:t>
      </w:r>
      <w:r w:rsidRPr="00A15D7B">
        <w:t>，主要分布在最低两个风险等级，抗台风安全性较好；第三组塔（</w:t>
      </w:r>
      <w:r w:rsidR="0005479E">
        <w:rPr>
          <w:rFonts w:hint="eastAsia"/>
        </w:rPr>
        <w:t>黑</w:t>
      </w:r>
      <w:r w:rsidRPr="00A15D7B">
        <w:t>色组）数量最少，但多数塔体失效概率较高，部分超过</w:t>
      </w:r>
      <w:r w:rsidRPr="00A15D7B">
        <w:t>0.0004</w:t>
      </w:r>
      <w:r w:rsidRPr="00A15D7B">
        <w:t>，风险不可忽视。</w:t>
      </w:r>
    </w:p>
    <w:p w14:paraId="603D3029" w14:textId="7EE1CBFC" w:rsidR="0032210F" w:rsidRDefault="00CB51B4" w:rsidP="005103B2">
      <w:pPr>
        <w:pStyle w:val="afe"/>
        <w:ind w:firstLine="420"/>
      </w:pPr>
      <w:bookmarkStart w:id="64" w:name="正文段落_84"/>
      <w:bookmarkEnd w:id="60"/>
      <w:r>
        <w:rPr>
          <w:rFonts w:hint="eastAsia"/>
        </w:rPr>
        <w:t>接下</w:t>
      </w:r>
      <w:r w:rsidR="00166C2E">
        <w:rPr>
          <w:rFonts w:hint="eastAsia"/>
        </w:rPr>
        <w:t>来</w:t>
      </w:r>
      <w:r>
        <w:rPr>
          <w:rFonts w:hint="eastAsia"/>
        </w:rPr>
        <w:t>，以</w:t>
      </w:r>
      <w:r>
        <w:t>线路</w:t>
      </w:r>
      <w:proofErr w:type="gramStart"/>
      <w:r>
        <w:rPr>
          <w:rFonts w:hint="eastAsia"/>
        </w:rPr>
        <w:t>各</w:t>
      </w:r>
      <w:r>
        <w:t>耐张</w:t>
      </w:r>
      <w:proofErr w:type="gramEnd"/>
      <w:r>
        <w:t>段</w:t>
      </w:r>
      <w:r>
        <w:rPr>
          <w:rFonts w:hint="eastAsia"/>
        </w:rPr>
        <w:t>为评估对象，结合</w:t>
      </w:r>
      <w:proofErr w:type="gramStart"/>
      <w:r>
        <w:rPr>
          <w:rFonts w:hint="eastAsia"/>
        </w:rPr>
        <w:t>各基塔年</w:t>
      </w:r>
      <w:proofErr w:type="gramEnd"/>
      <w:r>
        <w:rPr>
          <w:rFonts w:hint="eastAsia"/>
        </w:rPr>
        <w:t>失效概率计算结果，采用公式（</w:t>
      </w:r>
      <w:r>
        <w:rPr>
          <w:rFonts w:hint="eastAsia"/>
        </w:rPr>
        <w:t>8</w:t>
      </w:r>
      <w:r>
        <w:rPr>
          <w:rFonts w:hint="eastAsia"/>
        </w:rPr>
        <w:t>）可估计得</w:t>
      </w:r>
      <w:r>
        <w:rPr>
          <w:rFonts w:hint="eastAsia"/>
        </w:rPr>
        <w:t>到</w:t>
      </w:r>
      <w:proofErr w:type="gramStart"/>
      <w:r>
        <w:rPr>
          <w:rFonts w:hint="eastAsia"/>
        </w:rPr>
        <w:t>各耐张</w:t>
      </w:r>
      <w:proofErr w:type="gramEnd"/>
      <w:r>
        <w:rPr>
          <w:rFonts w:hint="eastAsia"/>
        </w:rPr>
        <w:t>段台风风致年失效概率上、下界（如图</w:t>
      </w:r>
      <w:r w:rsidR="00770323">
        <w:rPr>
          <w:rFonts w:hint="eastAsia"/>
        </w:rPr>
        <w:t>1</w:t>
      </w:r>
      <w:r w:rsidR="002B589A">
        <w:rPr>
          <w:rFonts w:hint="eastAsia"/>
        </w:rPr>
        <w:t>2</w:t>
      </w:r>
      <w:r>
        <w:rPr>
          <w:rFonts w:hint="eastAsia"/>
        </w:rPr>
        <w:t>）</w:t>
      </w:r>
      <w:r>
        <w:t>。</w:t>
      </w:r>
      <w:r w:rsidRPr="00CB51B4">
        <w:rPr>
          <w:rFonts w:hint="eastAsia"/>
        </w:rPr>
        <w:t>从下界情况来看，线路后半段</w:t>
      </w:r>
      <w:r w:rsidR="004A1023">
        <w:rPr>
          <w:rFonts w:hint="eastAsia"/>
        </w:rPr>
        <w:t>失效风险更高</w:t>
      </w:r>
      <w:r w:rsidRPr="00CB51B4">
        <w:rPr>
          <w:rFonts w:hint="eastAsia"/>
        </w:rPr>
        <w:t>。</w:t>
      </w:r>
      <w:r w:rsidR="00044656">
        <w:rPr>
          <w:rFonts w:hint="eastAsia"/>
        </w:rPr>
        <w:t>从</w:t>
      </w:r>
      <w:r w:rsidRPr="00CB51B4">
        <w:rPr>
          <w:rFonts w:hint="eastAsia"/>
        </w:rPr>
        <w:t>上界情况来看，</w:t>
      </w:r>
      <w:proofErr w:type="gramStart"/>
      <w:r w:rsidRPr="00CB51B4">
        <w:rPr>
          <w:rFonts w:hint="eastAsia"/>
        </w:rPr>
        <w:t>耐张段</w:t>
      </w:r>
      <w:proofErr w:type="gramEnd"/>
      <w:r w:rsidRPr="00CB51B4">
        <w:rPr>
          <w:rFonts w:hint="eastAsia"/>
        </w:rPr>
        <w:t>的失效概率值</w:t>
      </w:r>
      <w:r w:rsidR="00044656">
        <w:rPr>
          <w:rFonts w:hint="eastAsia"/>
        </w:rPr>
        <w:t>波动显著，其中第</w:t>
      </w:r>
      <w:r w:rsidRPr="00CB51B4">
        <w:rPr>
          <w:rFonts w:hint="eastAsia"/>
        </w:rPr>
        <w:t>9</w:t>
      </w:r>
      <w:r w:rsidR="00044656">
        <w:rPr>
          <w:rFonts w:hint="eastAsia"/>
        </w:rPr>
        <w:t>个</w:t>
      </w:r>
      <w:proofErr w:type="gramStart"/>
      <w:r w:rsidRPr="00CB51B4">
        <w:rPr>
          <w:rFonts w:hint="eastAsia"/>
        </w:rPr>
        <w:t>耐张段年</w:t>
      </w:r>
      <w:proofErr w:type="gramEnd"/>
      <w:r w:rsidRPr="00CB51B4">
        <w:rPr>
          <w:rFonts w:hint="eastAsia"/>
        </w:rPr>
        <w:t>失效概率值达到</w:t>
      </w:r>
      <w:r w:rsidRPr="00CB51B4">
        <w:rPr>
          <w:rFonts w:hint="eastAsia"/>
        </w:rPr>
        <w:t>0.007</w:t>
      </w:r>
      <w:r w:rsidR="00044656">
        <w:rPr>
          <w:rFonts w:hint="eastAsia"/>
        </w:rPr>
        <w:t>。</w:t>
      </w:r>
      <w:r w:rsidR="004143F0">
        <w:rPr>
          <w:rFonts w:hint="eastAsia"/>
        </w:rPr>
        <w:t>可见</w:t>
      </w:r>
      <w:proofErr w:type="gramStart"/>
      <w:r w:rsidR="00044656" w:rsidRPr="00044656">
        <w:rPr>
          <w:rFonts w:hint="eastAsia"/>
        </w:rPr>
        <w:t>9</w:t>
      </w:r>
      <w:r w:rsidR="00044656" w:rsidRPr="00044656">
        <w:rPr>
          <w:rFonts w:hint="eastAsia"/>
        </w:rPr>
        <w:t>号耐张段</w:t>
      </w:r>
      <w:proofErr w:type="gramEnd"/>
      <w:r w:rsidR="00044656" w:rsidRPr="00044656">
        <w:rPr>
          <w:rFonts w:hint="eastAsia"/>
        </w:rPr>
        <w:t>是</w:t>
      </w:r>
      <w:r w:rsidR="00044656">
        <w:rPr>
          <w:rFonts w:hint="eastAsia"/>
        </w:rPr>
        <w:t>台风灾害</w:t>
      </w:r>
      <w:r w:rsidR="00044656" w:rsidRPr="00044656">
        <w:rPr>
          <w:rFonts w:hint="eastAsia"/>
        </w:rPr>
        <w:t>风险最高的区段</w:t>
      </w:r>
      <w:r w:rsidR="00044656">
        <w:rPr>
          <w:rFonts w:hint="eastAsia"/>
        </w:rPr>
        <w:t>，是线路加固的重点</w:t>
      </w:r>
      <w:r w:rsidR="004A1023">
        <w:rPr>
          <w:rFonts w:hint="eastAsia"/>
        </w:rPr>
        <w:t>关注区段</w:t>
      </w:r>
      <w:r w:rsidRPr="00CB51B4">
        <w:rPr>
          <w:rFonts w:hint="eastAsia"/>
        </w:rPr>
        <w:t>。</w:t>
      </w:r>
      <w:bookmarkEnd w:id="64"/>
    </w:p>
    <w:p w14:paraId="1C3BBC77" w14:textId="0464F02E" w:rsidR="0032210F" w:rsidRDefault="00044656" w:rsidP="005103B2">
      <w:pPr>
        <w:pStyle w:val="afe"/>
        <w:ind w:firstLine="420"/>
      </w:pPr>
      <w:bookmarkStart w:id="65" w:name="正文段落_86"/>
      <w:r>
        <w:rPr>
          <w:rFonts w:hint="eastAsia"/>
        </w:rPr>
        <w:t>以线路整个普通段为评估对象，</w:t>
      </w:r>
      <w:r w:rsidRPr="00044656">
        <w:rPr>
          <w:rFonts w:hint="eastAsia"/>
        </w:rPr>
        <w:t>结合</w:t>
      </w:r>
      <w:r>
        <w:rPr>
          <w:rFonts w:hint="eastAsia"/>
        </w:rPr>
        <w:t>所有</w:t>
      </w:r>
      <w:r w:rsidRPr="00044656">
        <w:rPr>
          <w:rFonts w:hint="eastAsia"/>
        </w:rPr>
        <w:t>基塔</w:t>
      </w:r>
      <w:r>
        <w:rPr>
          <w:rFonts w:hint="eastAsia"/>
        </w:rPr>
        <w:t>的</w:t>
      </w:r>
      <w:r w:rsidRPr="00044656">
        <w:rPr>
          <w:rFonts w:hint="eastAsia"/>
        </w:rPr>
        <w:t>年失效概率</w:t>
      </w:r>
      <w:r>
        <w:rPr>
          <w:rFonts w:hint="eastAsia"/>
        </w:rPr>
        <w:t>，可进一步获得</w:t>
      </w:r>
      <w:proofErr w:type="gramStart"/>
      <w:r>
        <w:rPr>
          <w:rFonts w:hint="eastAsia"/>
        </w:rPr>
        <w:t>全普通段</w:t>
      </w:r>
      <w:proofErr w:type="gramEnd"/>
      <w:r>
        <w:rPr>
          <w:rFonts w:hint="eastAsia"/>
        </w:rPr>
        <w:t>的失效概率上、下界，即</w:t>
      </w:r>
      <w:r w:rsidRPr="00044656">
        <w:t>0.00071</w:t>
      </w:r>
      <w:r w:rsidR="005E2B23">
        <w:rPr>
          <w:rFonts w:hint="eastAsia"/>
        </w:rPr>
        <w:t>~</w:t>
      </w:r>
      <w:r w:rsidRPr="00044656">
        <w:t>0.0297</w:t>
      </w:r>
      <w:r>
        <w:rPr>
          <w:rFonts w:hint="eastAsia"/>
        </w:rPr>
        <w:t>。</w:t>
      </w:r>
      <w:r w:rsidR="004A1023">
        <w:rPr>
          <w:rFonts w:hint="eastAsia"/>
        </w:rPr>
        <w:t>根据</w:t>
      </w:r>
      <w:r>
        <w:t>50</w:t>
      </w:r>
      <w:r>
        <w:t>年设计期</w:t>
      </w:r>
      <w:r w:rsidR="004A1023">
        <w:rPr>
          <w:rFonts w:hint="eastAsia"/>
        </w:rPr>
        <w:t>输电线路</w:t>
      </w:r>
      <w:r>
        <w:t>最优年失效概率</w:t>
      </w:r>
      <w:r w:rsidR="004A1023">
        <w:rPr>
          <w:rFonts w:hint="eastAsia"/>
        </w:rPr>
        <w:t>建议区间</w:t>
      </w:r>
      <w:r>
        <w:t>0.001</w:t>
      </w:r>
      <w:r w:rsidR="005E2B23">
        <w:rPr>
          <w:rFonts w:hint="eastAsia"/>
        </w:rPr>
        <w:t>~</w:t>
      </w:r>
      <w:r>
        <w:t>0.01</w:t>
      </w:r>
      <w:r w:rsidRPr="006110E8">
        <w:rPr>
          <w:vertAlign w:val="superscript"/>
        </w:rPr>
        <w:t>[</w:t>
      </w:r>
      <w:r w:rsidR="0038133E" w:rsidRPr="006110E8">
        <w:rPr>
          <w:vertAlign w:val="superscript"/>
        </w:rPr>
        <w:t>2</w:t>
      </w:r>
      <w:r w:rsidR="00E36738">
        <w:rPr>
          <w:rFonts w:hint="eastAsia"/>
          <w:vertAlign w:val="superscript"/>
        </w:rPr>
        <w:t>1</w:t>
      </w:r>
      <w:r w:rsidRPr="006110E8">
        <w:rPr>
          <w:vertAlign w:val="superscript"/>
        </w:rPr>
        <w:t>]</w:t>
      </w:r>
      <w:r>
        <w:t>，</w:t>
      </w:r>
      <w:r w:rsidR="004143F0">
        <w:rPr>
          <w:rFonts w:hint="eastAsia"/>
        </w:rPr>
        <w:t>所</w:t>
      </w:r>
      <w:r>
        <w:rPr>
          <w:rFonts w:hint="eastAsia"/>
        </w:rPr>
        <w:t>考查</w:t>
      </w:r>
      <w:r>
        <w:t>线路</w:t>
      </w:r>
      <w:r>
        <w:rPr>
          <w:rFonts w:hint="eastAsia"/>
        </w:rPr>
        <w:t>段</w:t>
      </w:r>
      <w:r>
        <w:t>的</w:t>
      </w:r>
      <w:r w:rsidR="004A1023">
        <w:rPr>
          <w:rFonts w:hint="eastAsia"/>
        </w:rPr>
        <w:t>台风所致</w:t>
      </w:r>
      <w:r>
        <w:t>年失效概率上界</w:t>
      </w:r>
      <w:r w:rsidR="004A1023">
        <w:rPr>
          <w:rFonts w:hint="eastAsia"/>
        </w:rPr>
        <w:t>明显</w:t>
      </w:r>
      <w:r>
        <w:t>偏高</w:t>
      </w:r>
      <w:r w:rsidR="004A1023">
        <w:rPr>
          <w:rFonts w:hint="eastAsia"/>
        </w:rPr>
        <w:t>。因此，有必要采取有效措施提升该线路抗台风能力，进一步保障其安全可靠性。</w:t>
      </w:r>
      <w:bookmarkEnd w:id="65"/>
    </w:p>
    <w:p w14:paraId="36B2CC5C" w14:textId="2FF03D44" w:rsidR="00770323" w:rsidRDefault="00770323" w:rsidP="00770323">
      <w:pPr>
        <w:pStyle w:val="afe"/>
        <w:ind w:firstLineChars="0" w:firstLine="0"/>
      </w:pPr>
      <w:r w:rsidRPr="00432090">
        <w:rPr>
          <w:noProof/>
          <w:sz w:val="20"/>
          <w:szCs w:val="20"/>
        </w:rPr>
        <w:drawing>
          <wp:inline distT="0" distB="0" distL="0" distR="0" wp14:anchorId="2E6B2A8E" wp14:editId="514A1FA0">
            <wp:extent cx="3139200" cy="1080000"/>
            <wp:effectExtent l="0" t="0" r="4445" b="6350"/>
            <wp:docPr id="1788180621" name="图片 3" descr="图表, 条形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443720" name="图片 3" descr="图表, 条形图&#10;&#10;AI 生成的内容可能不正确。"/>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139200" cy="1080000"/>
                    </a:xfrm>
                    <a:prstGeom prst="rect">
                      <a:avLst/>
                    </a:prstGeom>
                    <a:noFill/>
                    <a:ln>
                      <a:noFill/>
                    </a:ln>
                  </pic:spPr>
                </pic:pic>
              </a:graphicData>
            </a:graphic>
          </wp:inline>
        </w:drawing>
      </w:r>
    </w:p>
    <w:p w14:paraId="40EE6959" w14:textId="1DB4AA0B" w:rsidR="00770323" w:rsidRDefault="00770323" w:rsidP="00770323">
      <w:pPr>
        <w:pStyle w:val="afe"/>
        <w:ind w:firstLineChars="0" w:firstLine="0"/>
        <w:jc w:val="center"/>
        <w:rPr>
          <w:sz w:val="15"/>
          <w:szCs w:val="15"/>
        </w:rPr>
      </w:pPr>
      <w:r w:rsidRPr="006110E8">
        <w:rPr>
          <w:sz w:val="15"/>
          <w:szCs w:val="15"/>
        </w:rPr>
        <w:t>(a)</w:t>
      </w:r>
    </w:p>
    <w:p w14:paraId="69D7B670" w14:textId="6B1BF932" w:rsidR="00770323" w:rsidRPr="00770323" w:rsidRDefault="00770323" w:rsidP="00770323">
      <w:pPr>
        <w:pStyle w:val="afe"/>
        <w:ind w:firstLineChars="0" w:firstLine="0"/>
        <w:jc w:val="center"/>
        <w:rPr>
          <w:sz w:val="15"/>
          <w:szCs w:val="15"/>
        </w:rPr>
      </w:pPr>
      <w:r w:rsidRPr="00432090">
        <w:rPr>
          <w:noProof/>
          <w:sz w:val="20"/>
          <w:szCs w:val="20"/>
        </w:rPr>
        <w:drawing>
          <wp:inline distT="0" distB="0" distL="0" distR="0" wp14:anchorId="58C669CF" wp14:editId="4614F0EB">
            <wp:extent cx="3121200" cy="1080000"/>
            <wp:effectExtent l="0" t="0" r="3175" b="6350"/>
            <wp:docPr id="870566576" name="图片 2" descr="图表, 直方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565556" name="图片 2" descr="图表, 直方图&#10;&#10;AI 生成的内容可能不正确。"/>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121200" cy="1080000"/>
                    </a:xfrm>
                    <a:prstGeom prst="rect">
                      <a:avLst/>
                    </a:prstGeom>
                    <a:noFill/>
                    <a:ln>
                      <a:noFill/>
                    </a:ln>
                  </pic:spPr>
                </pic:pic>
              </a:graphicData>
            </a:graphic>
          </wp:inline>
        </w:drawing>
      </w:r>
      <w:bookmarkStart w:id="66" w:name="正文段落_89"/>
      <w:r w:rsidRPr="006110E8">
        <w:rPr>
          <w:sz w:val="15"/>
          <w:szCs w:val="15"/>
        </w:rPr>
        <w:t>(</w:t>
      </w:r>
      <w:r>
        <w:rPr>
          <w:rFonts w:hint="eastAsia"/>
          <w:sz w:val="15"/>
          <w:szCs w:val="15"/>
        </w:rPr>
        <w:t>b</w:t>
      </w:r>
      <w:r w:rsidRPr="006110E8">
        <w:rPr>
          <w:sz w:val="15"/>
          <w:szCs w:val="15"/>
        </w:rPr>
        <w:t>)</w:t>
      </w:r>
    </w:p>
    <w:p w14:paraId="14DF4816" w14:textId="2F33985D" w:rsidR="005103B2" w:rsidRPr="00770323" w:rsidRDefault="005103B2">
      <w:pPr>
        <w:pStyle w:val="afe"/>
        <w:ind w:firstLine="361"/>
        <w:rPr>
          <w:b/>
          <w:sz w:val="18"/>
          <w:szCs w:val="18"/>
        </w:rPr>
      </w:pPr>
      <w:r w:rsidRPr="00C01E85">
        <w:rPr>
          <w:rFonts w:asciiTheme="minorEastAsia" w:eastAsiaTheme="minorEastAsia" w:hAnsiTheme="minorEastAsia" w:hint="eastAsia"/>
          <w:b/>
          <w:bCs/>
          <w:sz w:val="18"/>
          <w:szCs w:val="18"/>
        </w:rPr>
        <w:t>图</w:t>
      </w:r>
      <w:r w:rsidR="005C6FCC">
        <w:rPr>
          <w:rFonts w:asciiTheme="minorEastAsia" w:eastAsiaTheme="minorEastAsia" w:hAnsiTheme="minorEastAsia" w:hint="eastAsia"/>
          <w:b/>
          <w:bCs/>
          <w:sz w:val="18"/>
          <w:szCs w:val="18"/>
        </w:rPr>
        <w:t>12</w:t>
      </w:r>
      <w:r w:rsidR="00B336DC" w:rsidRPr="00C01E85">
        <w:rPr>
          <w:rFonts w:asciiTheme="minorEastAsia" w:eastAsiaTheme="minorEastAsia" w:hAnsiTheme="minorEastAsia" w:hint="eastAsia"/>
          <w:b/>
          <w:bCs/>
          <w:sz w:val="18"/>
          <w:szCs w:val="18"/>
        </w:rPr>
        <w:t xml:space="preserve"> </w:t>
      </w:r>
      <w:proofErr w:type="gramStart"/>
      <w:r w:rsidR="00770323" w:rsidRPr="00770323">
        <w:rPr>
          <w:b/>
          <w:sz w:val="18"/>
          <w:szCs w:val="18"/>
        </w:rPr>
        <w:t>各耐张</w:t>
      </w:r>
      <w:proofErr w:type="gramEnd"/>
      <w:r w:rsidR="00770323" w:rsidRPr="00770323">
        <w:rPr>
          <w:b/>
          <w:sz w:val="18"/>
          <w:szCs w:val="18"/>
        </w:rPr>
        <w:t>段失效概率区间</w:t>
      </w:r>
      <w:r w:rsidR="00770323" w:rsidRPr="00770323">
        <w:rPr>
          <w:b/>
          <w:sz w:val="18"/>
          <w:szCs w:val="18"/>
        </w:rPr>
        <w:t xml:space="preserve"> (a) </w:t>
      </w:r>
      <w:proofErr w:type="gramStart"/>
      <w:r w:rsidR="00770323" w:rsidRPr="00770323">
        <w:rPr>
          <w:b/>
          <w:sz w:val="18"/>
          <w:szCs w:val="18"/>
        </w:rPr>
        <w:t>下界值</w:t>
      </w:r>
      <w:proofErr w:type="gramEnd"/>
      <w:r w:rsidR="00770323" w:rsidRPr="00770323">
        <w:rPr>
          <w:b/>
          <w:sz w:val="18"/>
          <w:szCs w:val="18"/>
        </w:rPr>
        <w:t xml:space="preserve"> (b) </w:t>
      </w:r>
      <w:r w:rsidR="00770323" w:rsidRPr="00770323">
        <w:rPr>
          <w:b/>
          <w:sz w:val="18"/>
          <w:szCs w:val="18"/>
        </w:rPr>
        <w:t>上界值</w:t>
      </w:r>
    </w:p>
    <w:p w14:paraId="57E52A73" w14:textId="0E25E0EF" w:rsidR="005103B2" w:rsidRPr="00C01E85" w:rsidRDefault="005103B2" w:rsidP="00C01E85">
      <w:pPr>
        <w:pStyle w:val="aff0"/>
        <w:keepNext/>
        <w:spacing w:before="156" w:after="156"/>
        <w:rPr>
          <w:rStyle w:val="afffb"/>
          <w:b/>
          <w:kern w:val="0"/>
          <w:szCs w:val="20"/>
        </w:rPr>
      </w:pPr>
      <w:r w:rsidRPr="00C01E85">
        <w:rPr>
          <w:rStyle w:val="afffb"/>
          <w:rFonts w:hint="eastAsia"/>
          <w:b/>
          <w:kern w:val="0"/>
          <w:szCs w:val="20"/>
        </w:rPr>
        <w:t xml:space="preserve">6  </w:t>
      </w:r>
      <w:r w:rsidRPr="00C01E85">
        <w:rPr>
          <w:rStyle w:val="afffb"/>
          <w:rFonts w:hint="eastAsia"/>
          <w:b/>
          <w:kern w:val="0"/>
          <w:szCs w:val="20"/>
        </w:rPr>
        <w:t>结论</w:t>
      </w:r>
    </w:p>
    <w:p w14:paraId="08A90A88" w14:textId="0D692C2D" w:rsidR="0032210F" w:rsidRDefault="00000000">
      <w:pPr>
        <w:pStyle w:val="afe"/>
        <w:ind w:firstLine="420"/>
      </w:pPr>
      <w:r>
        <w:t>本文基于台风全过程随机模拟，提出了输电线路区段差异化易损性评估框架，并</w:t>
      </w:r>
      <w:r w:rsidR="00E06400">
        <w:rPr>
          <w:rFonts w:hint="eastAsia"/>
        </w:rPr>
        <w:t>通过</w:t>
      </w:r>
      <w:r w:rsidR="00C664E5">
        <w:rPr>
          <w:rFonts w:hint="eastAsia"/>
        </w:rPr>
        <w:t>对</w:t>
      </w:r>
      <w:r>
        <w:t>某</w:t>
      </w:r>
      <w:r>
        <w:t>220kV</w:t>
      </w:r>
      <w:r>
        <w:t>双回路输电线路</w:t>
      </w:r>
      <w:r w:rsidR="00C664E5">
        <w:rPr>
          <w:rFonts w:hint="eastAsia"/>
        </w:rPr>
        <w:t>开展</w:t>
      </w:r>
      <w:r>
        <w:t>案例</w:t>
      </w:r>
      <w:r w:rsidR="00C664E5">
        <w:rPr>
          <w:rFonts w:hint="eastAsia"/>
        </w:rPr>
        <w:t>测试与</w:t>
      </w:r>
      <w:r w:rsidR="00E06400">
        <w:rPr>
          <w:rFonts w:hint="eastAsia"/>
        </w:rPr>
        <w:t>分析</w:t>
      </w:r>
      <w:r>
        <w:t>，验证了该方法的有效性与</w:t>
      </w:r>
      <w:r w:rsidR="00C664E5">
        <w:rPr>
          <w:rFonts w:hint="eastAsia"/>
        </w:rPr>
        <w:t>可行</w:t>
      </w:r>
      <w:r>
        <w:t>性。具体的</w:t>
      </w:r>
      <w:r w:rsidR="00C664E5">
        <w:rPr>
          <w:rFonts w:hint="eastAsia"/>
        </w:rPr>
        <w:t>方法要点</w:t>
      </w:r>
      <w:r>
        <w:t>和关键结论如下：</w:t>
      </w:r>
      <w:bookmarkEnd w:id="66"/>
    </w:p>
    <w:p w14:paraId="53A382CC" w14:textId="38642FF6" w:rsidR="00B336DC" w:rsidRDefault="00000000">
      <w:pPr>
        <w:pStyle w:val="afe"/>
        <w:ind w:firstLine="420"/>
      </w:pPr>
      <w:bookmarkStart w:id="67" w:name="正文段落_91"/>
      <w:r>
        <w:t>1</w:t>
      </w:r>
      <w:r w:rsidR="00A85730">
        <w:rPr>
          <w:rFonts w:hint="eastAsia"/>
        </w:rPr>
        <w:t>）</w:t>
      </w:r>
      <w:r w:rsidR="00C664E5" w:rsidRPr="00C664E5">
        <w:rPr>
          <w:rFonts w:hint="eastAsia"/>
        </w:rPr>
        <w:t>本文构建了一种面向全过程的台风路径随机模拟方法，提出基于状态变化率的马尔可夫链四元组模型，以刻画台风过程中的状态转移机制。同时，结合非参数核密度估计技术，有效捕捉台风强度、尺度与移动趋势等关键参数的演化特征。</w:t>
      </w:r>
    </w:p>
    <w:p w14:paraId="20CB3A38" w14:textId="6A4FE44A" w:rsidR="00B336DC" w:rsidRPr="00B336DC" w:rsidRDefault="00000000" w:rsidP="00B336DC">
      <w:pPr>
        <w:pStyle w:val="afe"/>
        <w:ind w:firstLine="420"/>
      </w:pPr>
      <w:bookmarkStart w:id="68" w:name="正文段落_93"/>
      <w:bookmarkEnd w:id="67"/>
      <w:r>
        <w:t>2</w:t>
      </w:r>
      <w:r w:rsidR="00A85730">
        <w:rPr>
          <w:rFonts w:hint="eastAsia"/>
        </w:rPr>
        <w:t>）</w:t>
      </w:r>
      <w:r w:rsidR="00C664E5" w:rsidRPr="00C664E5">
        <w:rPr>
          <w:rFonts w:hint="eastAsia"/>
        </w:rPr>
        <w:t>基于西北太平洋区域</w:t>
      </w:r>
      <w:r w:rsidR="00C664E5" w:rsidRPr="00C664E5">
        <w:rPr>
          <w:rFonts w:hint="eastAsia"/>
        </w:rPr>
        <w:t>1</w:t>
      </w:r>
      <w:r w:rsidR="00C664E5" w:rsidRPr="00C664E5">
        <w:rPr>
          <w:rFonts w:hint="eastAsia"/>
        </w:rPr>
        <w:t>万年重现的台风路径模拟数据，本文结合</w:t>
      </w:r>
      <w:r w:rsidR="00C664E5" w:rsidRPr="00C664E5">
        <w:rPr>
          <w:rFonts w:hint="eastAsia"/>
        </w:rPr>
        <w:t>Emanuel</w:t>
      </w:r>
      <w:r w:rsidR="00C664E5" w:rsidRPr="00C664E5">
        <w:rPr>
          <w:rFonts w:hint="eastAsia"/>
        </w:rPr>
        <w:t>台风径向剖面模型与风场叠加方法，构建了近地表风速极值与风向的联合概率模型。以典型地点为例，分析了年最大台风</w:t>
      </w:r>
      <w:r w:rsidR="00C664E5" w:rsidRPr="00C664E5">
        <w:rPr>
          <w:rFonts w:hint="eastAsia"/>
        </w:rPr>
        <w:lastRenderedPageBreak/>
        <w:t>风速及其对应风向的统计分布特征，揭示了两者之间存在显著的统计依赖性，为台风风险的联合建模提供了依据。</w:t>
      </w:r>
    </w:p>
    <w:p w14:paraId="497A0A8C" w14:textId="52AF4D68" w:rsidR="00D70637" w:rsidRDefault="00000000" w:rsidP="00D70637">
      <w:pPr>
        <w:pStyle w:val="afe"/>
        <w:ind w:firstLine="420"/>
      </w:pPr>
      <w:bookmarkStart w:id="69" w:name="正文段落_95"/>
      <w:bookmarkEnd w:id="68"/>
      <w:r>
        <w:t>3</w:t>
      </w:r>
      <w:r w:rsidR="00A85730">
        <w:rPr>
          <w:rFonts w:hint="eastAsia"/>
        </w:rPr>
        <w:t>）</w:t>
      </w:r>
      <w:bookmarkEnd w:id="69"/>
      <w:r w:rsidR="00C664E5" w:rsidRPr="00C664E5">
        <w:rPr>
          <w:rFonts w:hint="eastAsia"/>
        </w:rPr>
        <w:t>本文融合了台风风场不确定性与输电线路空间分布特征，结合输电塔多维易损性分析模型，提出了一种输电线路区段差异化风险识别方法。以</w:t>
      </w:r>
      <w:proofErr w:type="gramStart"/>
      <w:r w:rsidR="00C664E5" w:rsidRPr="00C664E5">
        <w:rPr>
          <w:rFonts w:hint="eastAsia"/>
        </w:rPr>
        <w:t>某实际</w:t>
      </w:r>
      <w:proofErr w:type="gramEnd"/>
      <w:r w:rsidR="00C664E5" w:rsidRPr="00C664E5">
        <w:rPr>
          <w:rFonts w:hint="eastAsia"/>
        </w:rPr>
        <w:t>输电线路为例，分析结果表明，台风作用下线路失效风险与线路</w:t>
      </w:r>
      <w:proofErr w:type="gramStart"/>
      <w:r w:rsidR="00C664E5" w:rsidRPr="00C664E5">
        <w:rPr>
          <w:rFonts w:hint="eastAsia"/>
        </w:rPr>
        <w:t>走向及档距</w:t>
      </w:r>
      <w:proofErr w:type="gramEnd"/>
      <w:r w:rsidR="00C664E5" w:rsidRPr="00C664E5">
        <w:rPr>
          <w:rFonts w:hint="eastAsia"/>
        </w:rPr>
        <w:t>密切相关。基于风险分区的评估方法能够有效</w:t>
      </w:r>
      <w:proofErr w:type="gramStart"/>
      <w:r w:rsidR="00C664E5" w:rsidRPr="00C664E5">
        <w:rPr>
          <w:rFonts w:hint="eastAsia"/>
        </w:rPr>
        <w:t>识别高</w:t>
      </w:r>
      <w:proofErr w:type="gramEnd"/>
      <w:r w:rsidR="00C664E5" w:rsidRPr="00C664E5">
        <w:rPr>
          <w:rFonts w:hint="eastAsia"/>
        </w:rPr>
        <w:t>风险区段，为线路加固优先级划分及防灾资源配置提供科学依据。</w:t>
      </w:r>
    </w:p>
    <w:p w14:paraId="0B4D5794" w14:textId="77777777" w:rsidR="00152BDF" w:rsidRPr="00D70637" w:rsidRDefault="00000000" w:rsidP="00D70637">
      <w:pPr>
        <w:pStyle w:val="afe"/>
        <w:ind w:firstLine="420"/>
        <w:jc w:val="center"/>
        <w:rPr>
          <w:rFonts w:ascii="黑体" w:eastAsia="黑体" w:hAnsi="黑体" w:hint="eastAsia"/>
        </w:rPr>
      </w:pPr>
      <w:bookmarkStart w:id="70" w:name="参考文献_0"/>
      <w:r w:rsidRPr="00D70637">
        <w:rPr>
          <w:rFonts w:ascii="黑体" w:eastAsia="黑体" w:hAnsi="黑体"/>
        </w:rPr>
        <w:t>参考文献（References）</w:t>
      </w:r>
      <w:bookmarkEnd w:id="70"/>
    </w:p>
    <w:p w14:paraId="36BD7609" w14:textId="390E43AB" w:rsidR="00CE7043" w:rsidRDefault="00CE7043">
      <w:pPr>
        <w:pStyle w:val="a"/>
        <w:ind w:left="300" w:hanging="300"/>
      </w:pPr>
      <w:r w:rsidRPr="00CE7043">
        <w:rPr>
          <w:rFonts w:hint="eastAsia"/>
        </w:rPr>
        <w:t>安利强</w:t>
      </w:r>
      <w:r w:rsidRPr="00CE7043">
        <w:rPr>
          <w:rFonts w:hint="eastAsia"/>
        </w:rPr>
        <w:t>,</w:t>
      </w:r>
      <w:r w:rsidRPr="00CE7043">
        <w:rPr>
          <w:rFonts w:hint="eastAsia"/>
        </w:rPr>
        <w:t>张志强</w:t>
      </w:r>
      <w:r w:rsidRPr="00CE7043">
        <w:rPr>
          <w:rFonts w:hint="eastAsia"/>
        </w:rPr>
        <w:t>,</w:t>
      </w:r>
      <w:r w:rsidRPr="00CE7043">
        <w:rPr>
          <w:rFonts w:hint="eastAsia"/>
        </w:rPr>
        <w:t>黄仁谋</w:t>
      </w:r>
      <w:r w:rsidRPr="00CE7043">
        <w:rPr>
          <w:rFonts w:hint="eastAsia"/>
        </w:rPr>
        <w:t>,</w:t>
      </w:r>
      <w:r w:rsidRPr="00CE7043">
        <w:rPr>
          <w:rFonts w:hint="eastAsia"/>
        </w:rPr>
        <w:t>等</w:t>
      </w:r>
      <w:r w:rsidRPr="00CE7043">
        <w:rPr>
          <w:rFonts w:hint="eastAsia"/>
        </w:rPr>
        <w:t>.</w:t>
      </w:r>
      <w:r w:rsidRPr="00CE7043">
        <w:rPr>
          <w:rFonts w:hint="eastAsia"/>
        </w:rPr>
        <w:t>台风作用下输电塔线体系动力响应分析</w:t>
      </w:r>
      <w:r w:rsidRPr="00CE7043">
        <w:rPr>
          <w:rFonts w:hint="eastAsia"/>
        </w:rPr>
        <w:t>[J].</w:t>
      </w:r>
      <w:r w:rsidRPr="00CE7043">
        <w:rPr>
          <w:rFonts w:hint="eastAsia"/>
        </w:rPr>
        <w:t>振动与冲击</w:t>
      </w:r>
      <w:r w:rsidRPr="00CE7043">
        <w:rPr>
          <w:rFonts w:hint="eastAsia"/>
        </w:rPr>
        <w:t>,2017,36(23):255-262.</w:t>
      </w:r>
    </w:p>
    <w:p w14:paraId="5625431A" w14:textId="77777777" w:rsidR="00864058" w:rsidRDefault="00864058" w:rsidP="00423ED2">
      <w:pPr>
        <w:pStyle w:val="a"/>
        <w:ind w:left="300" w:hanging="300"/>
      </w:pPr>
      <w:proofErr w:type="spellStart"/>
      <w:r w:rsidRPr="00864058">
        <w:t>Meregillano</w:t>
      </w:r>
      <w:proofErr w:type="spellEnd"/>
      <w:r w:rsidRPr="00864058">
        <w:t xml:space="preserve"> E O, Delina L </w:t>
      </w:r>
      <w:proofErr w:type="spellStart"/>
      <w:r w:rsidRPr="00864058">
        <w:t>L</w:t>
      </w:r>
      <w:proofErr w:type="spellEnd"/>
      <w:r w:rsidRPr="00864058">
        <w:t xml:space="preserve">. Powering through the storm: Assessing the resilience of electricity sociotechnical systems in typhoon-impacted coastal communities[J]. Energy Research &amp; Social Science, 2025, 126: 104172. </w:t>
      </w:r>
    </w:p>
    <w:p w14:paraId="156E7DFE" w14:textId="36B4EE43" w:rsidR="00423ED2" w:rsidRDefault="00423ED2" w:rsidP="00423ED2">
      <w:pPr>
        <w:pStyle w:val="a"/>
        <w:ind w:left="300" w:hanging="300"/>
      </w:pPr>
      <w:r w:rsidRPr="007E0779">
        <w:t xml:space="preserve">Chen Y, Cai Y, </w:t>
      </w:r>
      <w:r>
        <w:rPr>
          <w:rFonts w:hint="eastAsia"/>
        </w:rPr>
        <w:t>Xi</w:t>
      </w:r>
      <w:r w:rsidRPr="007E0779">
        <w:t>e Q, et al. Combined effects of icing and wind on transmission lines in mountainous areas[J]. Journal of Constructional Steel Research, 2024, 223: 109042.</w:t>
      </w:r>
    </w:p>
    <w:p w14:paraId="432F9DB3" w14:textId="77777777" w:rsidR="00864058" w:rsidRDefault="00864058" w:rsidP="00423ED2">
      <w:pPr>
        <w:pStyle w:val="a"/>
        <w:ind w:left="300" w:hanging="300"/>
      </w:pPr>
      <w:r w:rsidRPr="00864058">
        <w:t>Dikshit S, Dobson I, Alipour A. Cascading structural failures of towers in an electric power transmission line due to straight line winds[J]. Reliability Engineering &amp; System Safety, 2024, 250: 110304.</w:t>
      </w:r>
    </w:p>
    <w:p w14:paraId="4E7D9E45" w14:textId="14562C02" w:rsidR="00CE7043" w:rsidRDefault="00423ED2" w:rsidP="00864058">
      <w:pPr>
        <w:pStyle w:val="a"/>
        <w:ind w:left="300" w:hanging="300"/>
      </w:pPr>
      <w:r w:rsidRPr="007E0779">
        <w:rPr>
          <w:rFonts w:hint="eastAsia"/>
        </w:rPr>
        <w:t>蔡云竹</w:t>
      </w:r>
      <w:r w:rsidRPr="007E0779">
        <w:rPr>
          <w:rFonts w:hint="eastAsia"/>
        </w:rPr>
        <w:t>,</w:t>
      </w:r>
      <w:r w:rsidRPr="007E0779">
        <w:rPr>
          <w:rFonts w:hint="eastAsia"/>
        </w:rPr>
        <w:t>邢宇杰</w:t>
      </w:r>
      <w:r w:rsidRPr="007E0779">
        <w:rPr>
          <w:rFonts w:hint="eastAsia"/>
        </w:rPr>
        <w:t>,</w:t>
      </w:r>
      <w:r w:rsidRPr="007E0779">
        <w:rPr>
          <w:rFonts w:hint="eastAsia"/>
        </w:rPr>
        <w:t>谢强</w:t>
      </w:r>
      <w:r w:rsidRPr="007E0779">
        <w:rPr>
          <w:rFonts w:hint="eastAsia"/>
        </w:rPr>
        <w:t>,</w:t>
      </w:r>
      <w:r w:rsidRPr="007E0779">
        <w:rPr>
          <w:rFonts w:hint="eastAsia"/>
        </w:rPr>
        <w:t>等</w:t>
      </w:r>
      <w:r w:rsidRPr="007E0779">
        <w:rPr>
          <w:rFonts w:hint="eastAsia"/>
        </w:rPr>
        <w:t>.</w:t>
      </w:r>
      <w:r w:rsidRPr="007E0779">
        <w:rPr>
          <w:rFonts w:hint="eastAsia"/>
        </w:rPr>
        <w:t>螺栓节点松动对角钢输电塔动力特性影响规律研究（英文）</w:t>
      </w:r>
      <w:r w:rsidRPr="007E0779">
        <w:rPr>
          <w:rFonts w:hint="eastAsia"/>
        </w:rPr>
        <w:t xml:space="preserve">[J].Journal of Southeast </w:t>
      </w:r>
      <w:proofErr w:type="gramStart"/>
      <w:r w:rsidRPr="007E0779">
        <w:rPr>
          <w:rFonts w:hint="eastAsia"/>
        </w:rPr>
        <w:t>University(</w:t>
      </w:r>
      <w:proofErr w:type="gramEnd"/>
      <w:r w:rsidRPr="007E0779">
        <w:rPr>
          <w:rFonts w:hint="eastAsia"/>
        </w:rPr>
        <w:t>English Edition),2025,41(02):180-189.</w:t>
      </w:r>
      <w:bookmarkStart w:id="71" w:name="参考文献内容_8"/>
    </w:p>
    <w:p w14:paraId="1C3F8BCE" w14:textId="77777777" w:rsidR="007338F1" w:rsidRDefault="007338F1">
      <w:pPr>
        <w:pStyle w:val="a"/>
        <w:ind w:left="300" w:hanging="300"/>
      </w:pPr>
      <w:bookmarkStart w:id="72" w:name="参考文献内容_10"/>
      <w:bookmarkEnd w:id="71"/>
      <w:r w:rsidRPr="007338F1">
        <w:rPr>
          <w:rFonts w:hint="eastAsia"/>
        </w:rPr>
        <w:t>任贺</w:t>
      </w:r>
      <w:proofErr w:type="gramStart"/>
      <w:r w:rsidRPr="007338F1">
        <w:rPr>
          <w:rFonts w:hint="eastAsia"/>
        </w:rPr>
        <w:t>贺</w:t>
      </w:r>
      <w:proofErr w:type="gramEnd"/>
      <w:r w:rsidRPr="007338F1">
        <w:rPr>
          <w:rFonts w:hint="eastAsia"/>
        </w:rPr>
        <w:t>,</w:t>
      </w:r>
      <w:r w:rsidRPr="007338F1">
        <w:rPr>
          <w:rFonts w:hint="eastAsia"/>
        </w:rPr>
        <w:t>柯世堂</w:t>
      </w:r>
      <w:r w:rsidRPr="007338F1">
        <w:rPr>
          <w:rFonts w:hint="eastAsia"/>
        </w:rPr>
        <w:t>,</w:t>
      </w:r>
      <w:r w:rsidRPr="007338F1">
        <w:rPr>
          <w:rFonts w:hint="eastAsia"/>
        </w:rPr>
        <w:t>杨杰</w:t>
      </w:r>
      <w:r w:rsidRPr="007338F1">
        <w:rPr>
          <w:rFonts w:hint="eastAsia"/>
        </w:rPr>
        <w:t>.</w:t>
      </w:r>
      <w:r w:rsidRPr="007338F1">
        <w:rPr>
          <w:rFonts w:hint="eastAsia"/>
        </w:rPr>
        <w:t>基于空间特性的台风</w:t>
      </w:r>
      <w:proofErr w:type="gramStart"/>
      <w:r w:rsidRPr="007338F1">
        <w:rPr>
          <w:rFonts w:hint="eastAsia"/>
        </w:rPr>
        <w:t>风</w:t>
      </w:r>
      <w:proofErr w:type="gramEnd"/>
      <w:r w:rsidRPr="007338F1">
        <w:rPr>
          <w:rFonts w:hint="eastAsia"/>
        </w:rPr>
        <w:t>灾害评估</w:t>
      </w:r>
      <w:r w:rsidRPr="007338F1">
        <w:rPr>
          <w:rFonts w:hint="eastAsia"/>
        </w:rPr>
        <w:t>[J].</w:t>
      </w:r>
      <w:r w:rsidRPr="007338F1">
        <w:rPr>
          <w:rFonts w:hint="eastAsia"/>
        </w:rPr>
        <w:t>工程力学</w:t>
      </w:r>
      <w:r w:rsidRPr="007338F1">
        <w:rPr>
          <w:rFonts w:hint="eastAsia"/>
        </w:rPr>
        <w:t>,2022,39(12):212-221.</w:t>
      </w:r>
    </w:p>
    <w:bookmarkEnd w:id="72"/>
    <w:p w14:paraId="0834D871" w14:textId="5ED93B04" w:rsidR="0032210F" w:rsidRDefault="007338F1">
      <w:pPr>
        <w:pStyle w:val="a"/>
        <w:ind w:left="300" w:hanging="300"/>
      </w:pPr>
      <w:r w:rsidRPr="007338F1">
        <w:rPr>
          <w:rFonts w:hint="eastAsia"/>
        </w:rPr>
        <w:t>洪旭</w:t>
      </w:r>
      <w:r w:rsidRPr="007338F1">
        <w:rPr>
          <w:rFonts w:hint="eastAsia"/>
        </w:rPr>
        <w:t>,</w:t>
      </w:r>
      <w:r w:rsidRPr="007338F1">
        <w:rPr>
          <w:rFonts w:hint="eastAsia"/>
        </w:rPr>
        <w:t>侯子洋</w:t>
      </w:r>
      <w:r w:rsidRPr="007338F1">
        <w:rPr>
          <w:rFonts w:hint="eastAsia"/>
        </w:rPr>
        <w:t>,</w:t>
      </w:r>
      <w:r w:rsidRPr="007338F1">
        <w:rPr>
          <w:rFonts w:hint="eastAsia"/>
        </w:rPr>
        <w:t>孔凡</w:t>
      </w:r>
      <w:r w:rsidRPr="007338F1">
        <w:rPr>
          <w:rFonts w:hint="eastAsia"/>
        </w:rPr>
        <w:t>,</w:t>
      </w:r>
      <w:r w:rsidRPr="007338F1">
        <w:rPr>
          <w:rFonts w:hint="eastAsia"/>
        </w:rPr>
        <w:t>等</w:t>
      </w:r>
      <w:r w:rsidRPr="007338F1">
        <w:rPr>
          <w:rFonts w:hint="eastAsia"/>
        </w:rPr>
        <w:t>.</w:t>
      </w:r>
      <w:r w:rsidRPr="007338F1">
        <w:rPr>
          <w:rFonts w:hint="eastAsia"/>
        </w:rPr>
        <w:t>基于条件生成对抗网络的台风极值风速分析</w:t>
      </w:r>
      <w:r w:rsidRPr="007338F1">
        <w:rPr>
          <w:rFonts w:hint="eastAsia"/>
        </w:rPr>
        <w:t>[J].</w:t>
      </w:r>
      <w:r w:rsidRPr="007338F1">
        <w:rPr>
          <w:rFonts w:hint="eastAsia"/>
        </w:rPr>
        <w:t>空气动力学学报</w:t>
      </w:r>
      <w:r w:rsidRPr="007338F1">
        <w:rPr>
          <w:rFonts w:hint="eastAsia"/>
        </w:rPr>
        <w:t>,2025,43(05):101-111.</w:t>
      </w:r>
    </w:p>
    <w:p w14:paraId="26E86FE2" w14:textId="6EC67014" w:rsidR="00423ED2" w:rsidRDefault="00423ED2" w:rsidP="00423ED2">
      <w:pPr>
        <w:pStyle w:val="a"/>
        <w:ind w:left="300" w:hanging="300"/>
      </w:pPr>
      <w:r>
        <w:t>范存新</w:t>
      </w:r>
      <w:r>
        <w:t>,</w:t>
      </w:r>
      <w:r>
        <w:t>葛义娇</w:t>
      </w:r>
      <w:r>
        <w:t>,</w:t>
      </w:r>
      <w:proofErr w:type="gramStart"/>
      <w:r>
        <w:t>谢丽宇</w:t>
      </w:r>
      <w:proofErr w:type="gramEnd"/>
      <w:r>
        <w:t xml:space="preserve">. </w:t>
      </w:r>
      <w:r>
        <w:t>基于概率可靠度的输电塔风灾易损性分析</w:t>
      </w:r>
      <w:r>
        <w:t xml:space="preserve"> [J]. </w:t>
      </w:r>
      <w:r>
        <w:t>工业建筑</w:t>
      </w:r>
      <w:r>
        <w:t>, 2015, 45 (07): 84-88+94.</w:t>
      </w:r>
    </w:p>
    <w:p w14:paraId="4C9C3C4F" w14:textId="7725B159" w:rsidR="00A1568F" w:rsidRDefault="007338F1" w:rsidP="007338F1">
      <w:pPr>
        <w:pStyle w:val="a"/>
        <w:ind w:left="300" w:hanging="300"/>
      </w:pPr>
      <w:r w:rsidRPr="007E0779">
        <w:t xml:space="preserve">Cai Y, Wan J, </w:t>
      </w:r>
      <w:r>
        <w:rPr>
          <w:rFonts w:hint="eastAsia"/>
        </w:rPr>
        <w:t>Xi</w:t>
      </w:r>
      <w:r w:rsidRPr="007E0779">
        <w:t>e Q, et al. Numerical simulation on the typhoon-induced dynamic behavior of transmission tower-line system[J]. Wind and Structures, 2021, 33(4): 289-304.</w:t>
      </w:r>
    </w:p>
    <w:p w14:paraId="7B0FF4C2" w14:textId="258A7AF8" w:rsidR="00423ED2" w:rsidRDefault="00423ED2" w:rsidP="00423ED2">
      <w:pPr>
        <w:pStyle w:val="a"/>
        <w:ind w:left="300" w:hanging="300"/>
      </w:pPr>
      <w:r>
        <w:t xml:space="preserve">Fu X, Du W L, Li G, et al. A data-driven method for the reliability analysis of a transmission line under wind loads[J]. Steel and Composite </w:t>
      </w:r>
      <w:r>
        <w:t>Structures, 2024, 52(4): 461.</w:t>
      </w:r>
    </w:p>
    <w:p w14:paraId="5E4501EB" w14:textId="485D33F3" w:rsidR="00A1568F" w:rsidRDefault="00270A89" w:rsidP="00270A89">
      <w:pPr>
        <w:pStyle w:val="a"/>
        <w:ind w:left="300" w:hanging="300"/>
      </w:pPr>
      <w:r w:rsidRPr="007E0779">
        <w:t>Cai Y, Wan J. Wind-resistant capacity modeling for electric transmission line towers using kriging surrogates and its application to structural fragility[J]. Applied Sciences, 2021, 11(11): 4714.</w:t>
      </w:r>
    </w:p>
    <w:p w14:paraId="5509E79F" w14:textId="18EC5D0E" w:rsidR="00A1568F" w:rsidRDefault="00270A89" w:rsidP="00270A89">
      <w:pPr>
        <w:pStyle w:val="a"/>
        <w:ind w:left="300" w:hanging="300"/>
      </w:pPr>
      <w:r>
        <w:t>Fu X, Du W L, Li H N, et al. Gust response factor of a transmission tower under typhoon[J]. International Journal of Structural Stability and Dynamics, 2021, 21(01): 2150001.</w:t>
      </w:r>
    </w:p>
    <w:p w14:paraId="53CDE0CC" w14:textId="18677BED" w:rsidR="00423ED2" w:rsidRDefault="00423ED2" w:rsidP="00423ED2">
      <w:pPr>
        <w:pStyle w:val="a"/>
        <w:ind w:left="300" w:hanging="300"/>
      </w:pPr>
      <w:r>
        <w:t>Rong K, Tian L, Luo J, et al. Study on wind-induced fatigue performance of large-span transmission tower-line system considering the combined distribution probability of wind direction and speed[J]. Engineering Failure Analysis, 2024, 156: 107785.</w:t>
      </w:r>
    </w:p>
    <w:p w14:paraId="58F0762D" w14:textId="77777777" w:rsidR="00423ED2" w:rsidRDefault="00423ED2" w:rsidP="00423ED2">
      <w:pPr>
        <w:pStyle w:val="a"/>
        <w:ind w:left="300" w:hanging="300"/>
      </w:pPr>
      <w:r>
        <w:t>Zhang W S, Fu X, Li H N, et al. Wind-induced fragility analysis of a transmission tower based on multi-source monitoring data and deep learning methods[J]. Journal of Wind Engineering and Industrial Aerodynamics, 2024, 252: 105834.</w:t>
      </w:r>
    </w:p>
    <w:p w14:paraId="5E48D81D" w14:textId="77777777" w:rsidR="00423ED2" w:rsidRDefault="00423ED2" w:rsidP="00423ED2">
      <w:pPr>
        <w:pStyle w:val="a"/>
        <w:ind w:left="300" w:hanging="300"/>
      </w:pPr>
      <w:r>
        <w:t>卞荣</w:t>
      </w:r>
      <w:r>
        <w:t>,</w:t>
      </w:r>
      <w:r>
        <w:t>徐卿</w:t>
      </w:r>
      <w:r>
        <w:t>,</w:t>
      </w:r>
      <w:r>
        <w:t>俞恩科</w:t>
      </w:r>
      <w:r>
        <w:t>,</w:t>
      </w:r>
      <w:r>
        <w:t>等</w:t>
      </w:r>
      <w:r>
        <w:t xml:space="preserve">. </w:t>
      </w:r>
      <w:r>
        <w:t>台风作用下输电塔线体系多元状态监测</w:t>
      </w:r>
      <w:proofErr w:type="gramStart"/>
      <w:r>
        <w:t>及风偏可靠度</w:t>
      </w:r>
      <w:proofErr w:type="gramEnd"/>
      <w:r>
        <w:t>分析</w:t>
      </w:r>
      <w:r>
        <w:t xml:space="preserve"> [J]. </w:t>
      </w:r>
      <w:r>
        <w:t>振动与冲击</w:t>
      </w:r>
      <w:r>
        <w:t>, 2020, 39 (03): 52-59.</w:t>
      </w:r>
    </w:p>
    <w:p w14:paraId="0F7262B0" w14:textId="1C98258B" w:rsidR="00E36738" w:rsidRDefault="00E36738">
      <w:pPr>
        <w:pStyle w:val="a"/>
        <w:ind w:left="300" w:hanging="300"/>
      </w:pPr>
      <w:bookmarkStart w:id="73" w:name="参考文献内容_22"/>
      <w:r w:rsidRPr="00E36738">
        <w:t>Kim G, Kwag S, Eem S, et al. Probabilistic safety assessment of off-site power system under typhoon considering failure correlation between transmission towers[J]. Reliability Engineering &amp; System Safety, 2025, 254: 110637.</w:t>
      </w:r>
    </w:p>
    <w:p w14:paraId="7044682D" w14:textId="47B54059" w:rsidR="0032210F" w:rsidRDefault="00000000">
      <w:pPr>
        <w:pStyle w:val="a"/>
        <w:ind w:left="300" w:hanging="300"/>
      </w:pPr>
      <w:r>
        <w:t>Bi W, Tian L, Li C, et al. A Kriging-based probabilistic framework for multi-hazard performance assessment of transmission tower-line systems under coupled wind and rain loads[J]. Reliability Engineering &amp; System Safety, 2023, 240: 109615.</w:t>
      </w:r>
      <w:bookmarkEnd w:id="73"/>
    </w:p>
    <w:p w14:paraId="0B5D8AD3" w14:textId="77777777" w:rsidR="0032210F" w:rsidRDefault="00000000">
      <w:pPr>
        <w:pStyle w:val="a"/>
        <w:ind w:left="300" w:hanging="300"/>
      </w:pPr>
      <w:bookmarkStart w:id="74" w:name="参考文献内容_24"/>
      <w:r>
        <w:t>Li J X, Yang T, Zhang C, et al. Typhoon fragility analysis of transmission tower-line system considering wind-induced fatigue[J]. Engineering Structures, 2025, 338: 120572.</w:t>
      </w:r>
      <w:bookmarkEnd w:id="74"/>
    </w:p>
    <w:p w14:paraId="03D3CB21" w14:textId="77777777" w:rsidR="00DD6852" w:rsidRDefault="00DD6852" w:rsidP="00DD6852">
      <w:pPr>
        <w:pStyle w:val="a"/>
        <w:ind w:left="300" w:hanging="300"/>
      </w:pPr>
      <w:bookmarkStart w:id="75" w:name="参考文献内容_28"/>
      <w:r w:rsidRPr="00DD6852">
        <w:t>Dikshit S, Alipour A. Characterizing probability of failure of transmission tower systems under multiple climatic hazards: Wind and ice[J]. Engineering Structures, 2025, 342: 120720.</w:t>
      </w:r>
    </w:p>
    <w:bookmarkEnd w:id="75"/>
    <w:p w14:paraId="62BCE900" w14:textId="6BCD9050" w:rsidR="00270A89" w:rsidRDefault="0038133E" w:rsidP="00DD6852">
      <w:pPr>
        <w:pStyle w:val="a"/>
        <w:wordWrap w:val="0"/>
        <w:ind w:left="300" w:hanging="300"/>
        <w:jc w:val="left"/>
      </w:pPr>
      <w:r w:rsidRPr="00CF1AC6">
        <w:t>Cai Y</w:t>
      </w:r>
      <w:r w:rsidR="00017E5C" w:rsidRPr="00CF1AC6">
        <w:t>,</w:t>
      </w:r>
      <w:r w:rsidR="00017E5C">
        <w:rPr>
          <w:rFonts w:hint="eastAsia"/>
        </w:rPr>
        <w:t xml:space="preserve"> </w:t>
      </w:r>
      <w:r>
        <w:rPr>
          <w:rFonts w:hint="eastAsia"/>
        </w:rPr>
        <w:t>Xi</w:t>
      </w:r>
      <w:r w:rsidRPr="00CF1AC6">
        <w:t>e Q, Xue S, et al. Fragility modelling framework for</w:t>
      </w:r>
      <w:r w:rsidR="00017E5C">
        <w:rPr>
          <w:rFonts w:hint="eastAsia"/>
        </w:rPr>
        <w:t xml:space="preserve"> </w:t>
      </w:r>
      <w:r w:rsidRPr="00CF1AC6">
        <w:t>tr</w:t>
      </w:r>
      <w:r w:rsidR="00017E5C">
        <w:rPr>
          <w:rFonts w:hint="eastAsia"/>
        </w:rPr>
        <w:t>-</w:t>
      </w:r>
      <w:proofErr w:type="spellStart"/>
      <w:r w:rsidRPr="00CF1AC6">
        <w:t>ansmission</w:t>
      </w:r>
      <w:proofErr w:type="spellEnd"/>
      <w:r w:rsidRPr="00CF1AC6">
        <w:t xml:space="preserve"> line towers under winds[J]. Engineering Structures, 2019, 191: 686-697.</w:t>
      </w:r>
    </w:p>
    <w:p w14:paraId="2C9DB801" w14:textId="13454035" w:rsidR="00CF1AC6" w:rsidRDefault="00CF1AC6" w:rsidP="00CF1AC6">
      <w:pPr>
        <w:pStyle w:val="a"/>
        <w:ind w:left="300" w:hanging="300"/>
      </w:pPr>
      <w:r w:rsidRPr="007E0779">
        <w:t>Ghannoum E. Probabilistic design of transmission lines Part II: Design criteria corresponding to a target reliability[J]. IEEE transactions on power apparatus and systems, 2007 (9): 3065-3079.</w:t>
      </w:r>
    </w:p>
    <w:p w14:paraId="1F3483F0" w14:textId="0E81F107" w:rsidR="00CF1AC6" w:rsidRDefault="00CF1AC6" w:rsidP="0009632B">
      <w:pPr>
        <w:pStyle w:val="a"/>
        <w:numPr>
          <w:ilvl w:val="0"/>
          <w:numId w:val="0"/>
        </w:numPr>
        <w:sectPr w:rsidR="00CF1AC6" w:rsidSect="00013ABE">
          <w:endnotePr>
            <w:numFmt w:val="decimal"/>
          </w:endnotePr>
          <w:type w:val="continuous"/>
          <w:pgSz w:w="11906" w:h="16838" w:code="9"/>
          <w:pgMar w:top="1701" w:right="1134" w:bottom="1134" w:left="1134" w:header="992" w:footer="992" w:gutter="0"/>
          <w:cols w:num="2" w:space="420"/>
          <w:docGrid w:type="lines" w:linePitch="312"/>
        </w:sectPr>
      </w:pPr>
    </w:p>
    <w:p w14:paraId="723047FA" w14:textId="77777777" w:rsidR="00664698" w:rsidRDefault="00664698" w:rsidP="00664698">
      <w:pPr>
        <w:jc w:val="center"/>
        <w:rPr>
          <w:rFonts w:eastAsiaTheme="majorEastAsia"/>
          <w:b/>
          <w:sz w:val="28"/>
          <w:szCs w:val="28"/>
        </w:rPr>
      </w:pPr>
      <w:r w:rsidRPr="002D3CF9">
        <w:rPr>
          <w:rFonts w:eastAsiaTheme="majorEastAsia"/>
          <w:b/>
          <w:sz w:val="28"/>
          <w:szCs w:val="28"/>
        </w:rPr>
        <w:t>Research on Differential Vulnerability Assessment of Transmission Line Intervals Based on the Entire Process of Typhoons</w:t>
      </w:r>
    </w:p>
    <w:p w14:paraId="41463F53" w14:textId="2A1133B0" w:rsidR="00664698" w:rsidRPr="00FA2797" w:rsidRDefault="00664698" w:rsidP="00254E99">
      <w:pPr>
        <w:rPr>
          <w:rFonts w:asciiTheme="minorHAnsi" w:eastAsia="黑体" w:hAnsiTheme="minorHAnsi" w:cstheme="minorHAnsi"/>
          <w:bCs/>
          <w:sz w:val="18"/>
          <w:szCs w:val="18"/>
        </w:rPr>
      </w:pPr>
      <w:r w:rsidRPr="00FA2797">
        <w:rPr>
          <w:rFonts w:asciiTheme="minorHAnsi" w:eastAsia="黑体" w:hAnsiTheme="minorHAnsi" w:cstheme="minorHAnsi"/>
          <w:bCs/>
          <w:sz w:val="18"/>
          <w:szCs w:val="18"/>
        </w:rPr>
        <w:t>Abstract</w:t>
      </w:r>
      <w:r w:rsidRPr="00FA2797">
        <w:rPr>
          <w:rFonts w:asciiTheme="minorHAnsi" w:eastAsia="黑体" w:hAnsiTheme="minorHAnsi" w:cstheme="minorHAnsi"/>
          <w:bCs/>
          <w:sz w:val="18"/>
          <w:szCs w:val="18"/>
        </w:rPr>
        <w:t>：</w:t>
      </w:r>
      <w:r w:rsidR="003F550D" w:rsidRPr="003F550D">
        <w:rPr>
          <w:rFonts w:asciiTheme="minorHAnsi" w:eastAsia="黑体" w:hAnsiTheme="minorHAnsi" w:cstheme="minorHAnsi"/>
          <w:bCs/>
          <w:sz w:val="18"/>
          <w:szCs w:val="18"/>
        </w:rPr>
        <w:t xml:space="preserve">Frequent typhoons pose a significant threat to the safety of power systems, and assessing the vulnerability of transmission lines under typhoon conditions is critical for enhancing grid resilience and ensuring power supply stability. This study proposes a regional full-process stochastic simulation method for typhoons based on historical typhoon data and develops a vulnerability assessment framework for transmission lines that accounts for the joint distribution of extreme wind speed and wind direction. First, </w:t>
      </w:r>
      <w:r w:rsidR="003F550D" w:rsidRPr="003F550D">
        <w:rPr>
          <w:rFonts w:asciiTheme="minorHAnsi" w:eastAsia="黑体" w:hAnsiTheme="minorHAnsi" w:cstheme="minorHAnsi"/>
          <w:bCs/>
          <w:sz w:val="18"/>
          <w:szCs w:val="18"/>
        </w:rPr>
        <w:lastRenderedPageBreak/>
        <w:t>a probabilistic model encompassing the genesis, movement, and dissipation stages of typhoons is established to enable stochastic simulation of typhoon tracks. Combined with near-surface wind field characteristics, a joint probability density function of annual extreme wind speed and wind direction is generated. Furthermore, a wind-induced vulnerability model for transmission lines, based on tower failure mechanisms, is introduced to estimate the segment-specific typhoon-induced failure probabilities across the target region. A case study is conducted to validate the feasibility and effectiveness of the proposed assessment method. The results demonstrate that the proposed approach, which incorporates the joint effects of wind speed and direction, can not only identify high-risk spans of transmission lines but also effectively detect segments with significantly elevated failure probabilities. The findings provide a scientific basis for typhoon disaster mitigation and structural reinforcement of transmission lines.</w:t>
      </w:r>
    </w:p>
    <w:p w14:paraId="061F517A" w14:textId="6C382937" w:rsidR="00FA2797" w:rsidRPr="00FA2797" w:rsidRDefault="00664698" w:rsidP="00FA2797">
      <w:pPr>
        <w:rPr>
          <w:rFonts w:eastAsia="黑体"/>
          <w:bCs/>
          <w:sz w:val="18"/>
          <w:szCs w:val="18"/>
        </w:rPr>
      </w:pPr>
      <w:r w:rsidRPr="00FA2797">
        <w:rPr>
          <w:rFonts w:eastAsia="黑体"/>
          <w:b/>
          <w:sz w:val="18"/>
          <w:szCs w:val="18"/>
        </w:rPr>
        <w:t>Key</w:t>
      </w:r>
      <w:r w:rsidR="002D3CF9" w:rsidRPr="00FA2797">
        <w:rPr>
          <w:rFonts w:eastAsia="黑体"/>
          <w:b/>
          <w:sz w:val="18"/>
          <w:szCs w:val="18"/>
        </w:rPr>
        <w:t xml:space="preserve"> </w:t>
      </w:r>
      <w:r w:rsidRPr="00FA2797">
        <w:rPr>
          <w:rFonts w:eastAsia="黑体"/>
          <w:b/>
          <w:sz w:val="18"/>
          <w:szCs w:val="18"/>
        </w:rPr>
        <w:t>words</w:t>
      </w:r>
      <w:r w:rsidRPr="00FA2797">
        <w:rPr>
          <w:rFonts w:eastAsia="黑体"/>
          <w:b/>
          <w:sz w:val="18"/>
          <w:szCs w:val="18"/>
        </w:rPr>
        <w:t>：</w:t>
      </w:r>
      <w:r w:rsidRPr="00FA2797">
        <w:rPr>
          <w:rFonts w:asciiTheme="minorHAnsi" w:eastAsia="黑体" w:hAnsiTheme="minorHAnsi" w:cstheme="minorHAnsi"/>
          <w:bCs/>
          <w:sz w:val="18"/>
          <w:szCs w:val="18"/>
        </w:rPr>
        <w:t>Transmission lines; Typhoon disaster; Vulnerability Typhoon path; Joint probability</w:t>
      </w:r>
    </w:p>
    <w:sectPr w:rsidR="00FA2797" w:rsidRPr="00FA2797" w:rsidSect="00664698">
      <w:endnotePr>
        <w:numFmt w:val="decimal"/>
      </w:endnotePr>
      <w:type w:val="continuous"/>
      <w:pgSz w:w="11906" w:h="16838" w:code="9"/>
      <w:pgMar w:top="1701" w:right="1134" w:bottom="1134" w:left="1134" w:header="992" w:footer="992" w:gutter="0"/>
      <w:cols w:space="420"/>
      <w:docGrid w:type="lines" w:linePitch="312"/>
    </w:sectPr>
  </w:body>
</w:document>
</file>

<file path=word/customizations.xml><?xml version="1.0" encoding="utf-8"?>
<wne:tcg xmlns:r="http://schemas.openxmlformats.org/officeDocument/2006/relationships" xmlns:wne="http://schemas.microsoft.com/office/word/2006/wordml">
  <wne:keymaps>
    <wne:keymap wne:kcmPrimary="0431">
      <wne:acd wne:acdName="acd13"/>
    </wne:keymap>
    <wne:keymap wne:kcmPrimary="0432">
      <wne:acd wne:acdName="acd12"/>
    </wne:keymap>
    <wne:keymap wne:kcmPrimary="0433">
      <wne:acd wne:acdName="acd11"/>
    </wne:keymap>
    <wne:keymap wne:kcmPrimary="0434">
      <wne:acd wne:acdName="acd14"/>
    </wne:keymap>
    <wne:keymap wne:kcmPrimary="0435">
      <wne:acd wne:acdName="acd15"/>
    </wne:keymap>
    <wne:keymap wne:kcmPrimary="0436">
      <wne:acd wne:acdName="acd16"/>
    </wne:keymap>
    <wne:keymap wne:kcmPrimary="0437">
      <wne:acd wne:acdName="acd17"/>
    </wne:keymap>
    <wne:keymap wne:kcmPrimary="0438">
      <wne:acd wne:acdName="acd18"/>
    </wne:keymap>
    <wne:keymap wne:kcmPrimary="0442">
      <wne:acd wne:acdName="acd25"/>
    </wne:keymap>
    <wne:keymap wne:kcmPrimary="0447">
      <wne:acd wne:acdName="acd10"/>
    </wne:keymap>
    <wne:keymap wne:kcmPrimary="044A">
      <wne:acd wne:acdName="acd3"/>
    </wne:keymap>
    <wne:keymap wne:kcmPrimary="0450">
      <wne:acd wne:acdName="acd26"/>
    </wne:keymap>
    <wne:keymap wne:kcmPrimary="0452">
      <wne:acd wne:acdName="acd0"/>
    </wne:keymap>
    <wne:keymap wne:kcmPrimary="045A">
      <wne:acd wne:acdName="acd9"/>
    </wne:keymap>
    <wne:keymap wne:kcmPrimary="0542">
      <wne:acd wne:acdName="acd5"/>
    </wne:keymap>
    <wne:keymap wne:kcmPrimary="0547">
      <wne:acd wne:acdName="acd7"/>
    </wne:keymap>
    <wne:keymap wne:kcmPrimary="0550">
      <wne:acd wne:acdName="acd1"/>
    </wne:keymap>
    <wne:keymap wne:kcmPrimary="0634">
      <wne:acd wne:acdName="acd19"/>
    </wne:keymap>
    <wne:keymap wne:kcmPrimary="0635">
      <wne:acd wne:acdName="acd20"/>
    </wne:keymap>
    <wne:keymap wne:kcmPrimary="0636">
      <wne:acd wne:acdName="acd21"/>
    </wne:keymap>
    <wne:keymap wne:kcmPrimary="0637">
      <wne:acd wne:acdName="acd22"/>
    </wne:keymap>
    <wne:keymap wne:kcmPrimary="0638">
      <wne:acd wne:acdName="acd23"/>
    </wne:keymap>
    <wne:keymap wne:kcmPrimary="0642">
      <wne:acd wne:acdName="acd6"/>
    </wne:keymap>
    <wne:keymap wne:kcmPrimary="0647">
      <wne:acd wne:acdName="acd8"/>
    </wne:keymap>
    <wne:keymap wne:kcmPrimary="064A">
      <wne:acd wne:acdName="acd4"/>
    </wne:keymap>
    <wne:keymap wne:kcmPrimary="0650">
      <wne:acd wne:acdName="acd2"/>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Manifest>
  </wne:toolbars>
  <wne:acds>
    <wne:acd wne:argValue="AgDCUwOAh2Uuc4VRuVs3aA9f" wne:acdName="acd0" wne:fciIndexBasedOn="0065"/>
    <wne:acd wne:argValue="AgAI/y1OCf/+VpiYN2gPXw==" wne:acdName="acd1" wne:fciIndexBasedOn="0065"/>
    <wne:acd wne:argValue="AgAI//GCCf/+VpiYN2gPXw==" wne:acdName="acd2" wne:fciIndexBasedOn="0065"/>
    <wne:acd wne:argValue="AgAI/y1OCf/+VuhsN2gPXw==" wne:acdName="acd3" wne:fciIndexBasedOn="0065"/>
    <wne:acd wne:argValue="AgAI//GCCf/+VuhsN2gPXw==" wne:acdName="acd4" wne:fciIndexBasedOn="0065"/>
    <wne:acd wne:argValue="AgAI/y1OCf9oiJiYN2gPXw==" wne:acdName="acd5" wne:fciIndexBasedOn="0065"/>
    <wne:acd wne:argValue="AgAI//GCCf9oiJiYN2gPXw==" wne:acdName="acd6" wne:fciIndexBasedOn="0065"/>
    <wne:acd wne:argValue="AgAI/y1OCf9oiOhsN2gPXw==" wne:acdName="acd7" wne:fciIndexBasedOn="0065"/>
    <wne:acd wne:argValue="AgAI//GCCf9oiOhsN2gPXw==" wne:acdName="acd8" wne:fciIndexBasedOn="0065"/>
    <wne:acd wne:argValue="AgBja4dlN2gPXw==" wne:acdName="acd9" wne:fciIndexBasedOn="0065"/>
    <wne:acd wne:argValue="AgBsUQ9fN2gPXw==" wne:acdName="acd10" wne:fciIndexBasedOn="0065"/>
    <wne:acd wne:argValue="AgAJTqd+B2iYmDdoD18=" wne:acdName="acd11" wne:fciIndexBasedOn="0065"/>
    <wne:acd wne:argValue="AgCMTqd+B2iYmDdoD18=" wne:acdName="acd12" wne:fciIndexBasedOn="0065"/>
    <wne:acd wne:argValue="AgAATqd+B2iYmDdoD18=" wne:acdName="acd13" wne:fciIndexBasedOn="0065"/>
    <wne:acd wne:argValue="AgAI/y1OCf8HaJiYN2gPXw==" wne:acdName="acd14" wne:fciIndexBasedOn="0065"/>
    <wne:acd wne:argValue="AgAI/y1OCf9cTwWA01kNVDdoD18=" wne:acdName="acd15" wne:fciIndexBasedOn="0065"/>
    <wne:acd wne:argValue="AgAI/y1OCf9cTwWAVVNNTzdoD18=" wne:acdName="acd16" wne:fciIndexBasedOn="0065"/>
    <wne:acd wne:argValue="AgAI/y1OCf9YZIGJN2gPXw==" wne:acdName="acd17" wne:fciIndexBasedOn="0065"/>
    <wne:acd wne:argValue="AgAI/y1OCf9zUS6VzYs3aA9f" wne:acdName="acd18" wne:fciIndexBasedOn="0065"/>
    <wne:acd wne:argValue="AgAI//GCCf8HaJiYN2gPXw==" wne:acdName="acd19" wne:fciIndexBasedOn="0065"/>
    <wne:acd wne:argValue="AgAI//GCCf9cTwWA01kNVDdoD18=" wne:acdName="acd20" wne:fciIndexBasedOn="0065"/>
    <wne:acd wne:argValue="AgAI//GCCf9cTwWAVVNNTzdoD18=" wne:acdName="acd21" wne:fciIndexBasedOn="0065"/>
    <wne:acd wne:argValue="AgAI//GCCf9YZIGJN2gPXw==" wne:acdName="acd22" wne:fciIndexBasedOn="0065"/>
    <wne:acd wne:argValue="AgAI//GCCf9zUS6VzYs3aA9f" wne:acdName="acd23" wne:fciIndexBasedOn="0065"/>
    <wne:acd wne:acdName="acd24" wne:fciIndexBasedOn="0065"/>
    <wne:acd wne:argValue="AgBoiDxoN2gPXw==" wne:acdName="acd25" wne:fciIndexBasedOn="0065"/>
    <wne:acd wne:argValue="AgD+VjdoD18=" wne:acdName="acd26"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4477F5" w14:textId="77777777" w:rsidR="002E7AD7" w:rsidRDefault="002E7AD7">
      <w:r>
        <w:separator/>
      </w:r>
    </w:p>
  </w:endnote>
  <w:endnote w:type="continuationSeparator" w:id="0">
    <w:p w14:paraId="1168517D" w14:textId="77777777" w:rsidR="002E7AD7" w:rsidRDefault="002E7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仿宋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STKaiti">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45382" w14:textId="77777777" w:rsidR="007A47A7" w:rsidRDefault="00000000">
    <w:pPr>
      <w:pStyle w:val="a9"/>
      <w:tabs>
        <w:tab w:val="clear" w:pos="4153"/>
        <w:tab w:val="clear" w:pos="8306"/>
      </w:tabs>
      <w:ind w:leftChars="150" w:left="315"/>
      <w:rPr>
        <w:rFonts w:eastAsia="楷体_GB2312"/>
        <w:sz w:val="16"/>
        <w:szCs w:val="16"/>
      </w:rPr>
    </w:pPr>
    <w:r>
      <w:rPr>
        <w:rFonts w:eastAsia="楷体_GB2312" w:hint="eastAsia"/>
        <w:noProof/>
        <w:sz w:val="16"/>
        <w:szCs w:val="16"/>
      </w:rPr>
      <mc:AlternateContent>
        <mc:Choice Requires="wps">
          <w:drawing>
            <wp:anchor distT="0" distB="0" distL="114300" distR="114300" simplePos="0" relativeHeight="251658240" behindDoc="0" locked="0" layoutInCell="1" allowOverlap="1" wp14:anchorId="7D61CDBE" wp14:editId="2C1EE3B1">
              <wp:simplePos x="0" y="0"/>
              <wp:positionH relativeFrom="column">
                <wp:posOffset>0</wp:posOffset>
              </wp:positionH>
              <wp:positionV relativeFrom="paragraph">
                <wp:posOffset>64135</wp:posOffset>
              </wp:positionV>
              <wp:extent cx="1619885" cy="0"/>
              <wp:effectExtent l="9525" t="6985" r="8890" b="12065"/>
              <wp:wrapNone/>
              <wp:docPr id="1" name="直线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988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线 6" o:spid="_x0000_s2049" style="mso-height-percent:0;mso-height-relative:page;mso-width-percent:0;mso-width-relative:page;mso-wrap-distance-bottom:0;mso-wrap-distance-left:9pt;mso-wrap-distance-right:9pt;mso-wrap-distance-top:0;mso-wrap-style:square;position:absolute;visibility:visible;z-index:251659264" from="0,5.05pt" to="127.55pt,5.05pt" strokeweight="0.5pt"/>
          </w:pict>
        </mc:Fallback>
      </mc:AlternateContent>
    </w:r>
  </w:p>
  <w:p w14:paraId="75A3A563" w14:textId="4742B2EC" w:rsidR="009277C8" w:rsidRDefault="009277C8" w:rsidP="009277C8">
    <w:pPr>
      <w:pStyle w:val="a9"/>
      <w:tabs>
        <w:tab w:val="clear" w:pos="4153"/>
        <w:tab w:val="clear" w:pos="8306"/>
      </w:tabs>
      <w:ind w:leftChars="150" w:left="1115" w:hangingChars="500" w:hanging="800"/>
      <w:rPr>
        <w:rFonts w:hAnsi="宋体" w:hint="eastAs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FBB6AF" w14:textId="77777777" w:rsidR="002E7AD7" w:rsidRDefault="002E7AD7">
      <w:r>
        <w:separator/>
      </w:r>
    </w:p>
  </w:footnote>
  <w:footnote w:type="continuationSeparator" w:id="0">
    <w:p w14:paraId="7887A593" w14:textId="77777777" w:rsidR="002E7AD7" w:rsidRDefault="002E7A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43510" w14:textId="77777777" w:rsidR="007A47A7" w:rsidRDefault="007A47A7">
    <w:pPr>
      <w:pStyle w:val="ab"/>
      <w:pBdr>
        <w:bottom w:val="none" w:sz="0" w:space="0" w:color="auto"/>
      </w:pBdr>
      <w:tabs>
        <w:tab w:val="clear" w:pos="4153"/>
        <w:tab w:val="clear" w:pos="8306"/>
      </w:tabs>
      <w:rPr>
        <w:sz w:val="11"/>
        <w:szCs w:val="11"/>
      </w:rPr>
    </w:pPr>
  </w:p>
  <w:p w14:paraId="4D648658" w14:textId="77777777" w:rsidR="007A47A7" w:rsidRDefault="007A47A7">
    <w:pPr>
      <w:pStyle w:val="ab"/>
      <w:pBdr>
        <w:bottom w:val="none" w:sz="0" w:space="0" w:color="auto"/>
      </w:pBdr>
      <w:tabs>
        <w:tab w:val="clear" w:pos="4153"/>
        <w:tab w:val="clear" w:pos="8306"/>
      </w:tabs>
      <w:rPr>
        <w:sz w:val="11"/>
        <w:szCs w:val="11"/>
      </w:rPr>
    </w:pPr>
  </w:p>
  <w:tbl>
    <w:tblPr>
      <w:tblW w:w="5000" w:type="pct"/>
      <w:tblLook w:val="0000" w:firstRow="0" w:lastRow="0" w:firstColumn="0" w:lastColumn="0" w:noHBand="0" w:noVBand="0"/>
    </w:tblPr>
    <w:tblGrid>
      <w:gridCol w:w="1927"/>
      <w:gridCol w:w="5783"/>
      <w:gridCol w:w="1928"/>
    </w:tblGrid>
    <w:tr w:rsidR="0032210F" w14:paraId="47447815" w14:textId="77777777" w:rsidTr="00C37250">
      <w:tc>
        <w:tcPr>
          <w:tcW w:w="1000" w:type="pct"/>
          <w:tcBorders>
            <w:bottom w:val="single" w:sz="6" w:space="0" w:color="auto"/>
          </w:tcBorders>
          <w:vAlign w:val="center"/>
        </w:tcPr>
        <w:p w14:paraId="2482CE83" w14:textId="77777777" w:rsidR="00557BD0" w:rsidRDefault="00000000" w:rsidP="00557BD0">
          <w:pPr>
            <w:rPr>
              <w:sz w:val="18"/>
              <w:szCs w:val="18"/>
            </w:rPr>
          </w:pPr>
          <w:r>
            <w:rPr>
              <w:sz w:val="18"/>
              <w:szCs w:val="18"/>
            </w:rPr>
            <w:fldChar w:fldCharType="begin"/>
          </w:r>
          <w:r>
            <w:rPr>
              <w:sz w:val="18"/>
              <w:szCs w:val="18"/>
            </w:rPr>
            <w:instrText xml:space="preserve"> PAGE </w:instrText>
          </w:r>
          <w:r>
            <w:rPr>
              <w:sz w:val="18"/>
              <w:szCs w:val="18"/>
            </w:rPr>
            <w:fldChar w:fldCharType="separate"/>
          </w:r>
          <w:r w:rsidR="00B77620">
            <w:rPr>
              <w:noProof/>
              <w:sz w:val="18"/>
              <w:szCs w:val="18"/>
            </w:rPr>
            <w:t>2</w:t>
          </w:r>
          <w:r>
            <w:rPr>
              <w:sz w:val="18"/>
              <w:szCs w:val="18"/>
            </w:rPr>
            <w:fldChar w:fldCharType="end"/>
          </w:r>
        </w:p>
      </w:tc>
      <w:tc>
        <w:tcPr>
          <w:tcW w:w="3000" w:type="pct"/>
          <w:tcBorders>
            <w:bottom w:val="single" w:sz="6" w:space="0" w:color="auto"/>
          </w:tcBorders>
          <w:vAlign w:val="center"/>
        </w:tcPr>
        <w:p w14:paraId="49394AAF" w14:textId="77777777" w:rsidR="00557BD0" w:rsidRDefault="00000000" w:rsidP="00557BD0">
          <w:pPr>
            <w:jc w:val="center"/>
            <w:rPr>
              <w:rFonts w:hAnsi="宋体" w:hint="eastAsia"/>
              <w:sz w:val="18"/>
              <w:szCs w:val="18"/>
              <w:highlight w:val="yellow"/>
            </w:rPr>
          </w:pPr>
          <w:r w:rsidRPr="00557BD0">
            <w:rPr>
              <w:rFonts w:hint="eastAsia"/>
              <w:sz w:val="18"/>
              <w:szCs w:val="18"/>
            </w:rPr>
            <w:t>清华大学学报（自然科学版）</w:t>
          </w:r>
        </w:p>
      </w:tc>
      <w:tc>
        <w:tcPr>
          <w:tcW w:w="1000" w:type="pct"/>
          <w:tcBorders>
            <w:bottom w:val="single" w:sz="6" w:space="0" w:color="auto"/>
          </w:tcBorders>
          <w:vAlign w:val="center"/>
        </w:tcPr>
        <w:p w14:paraId="35F30646" w14:textId="77777777" w:rsidR="00557BD0" w:rsidRDefault="00000000" w:rsidP="00557BD0">
          <w:pPr>
            <w:jc w:val="right"/>
            <w:rPr>
              <w:sz w:val="18"/>
              <w:szCs w:val="18"/>
            </w:rPr>
          </w:pPr>
          <w:r>
            <w:rPr>
              <w:rFonts w:hAnsi="宋体"/>
              <w:sz w:val="18"/>
              <w:szCs w:val="18"/>
            </w:rPr>
            <w:t>第</w:t>
          </w:r>
          <w:r>
            <w:rPr>
              <w:sz w:val="18"/>
            </w:rPr>
            <w:t>**</w:t>
          </w:r>
          <w:r>
            <w:rPr>
              <w:rFonts w:hAnsi="宋体"/>
              <w:sz w:val="18"/>
              <w:szCs w:val="18"/>
            </w:rPr>
            <w:t>卷</w:t>
          </w:r>
        </w:p>
      </w:tc>
    </w:tr>
  </w:tbl>
  <w:p w14:paraId="28BF9080" w14:textId="77777777" w:rsidR="007A47A7" w:rsidRDefault="007A47A7">
    <w:pPr>
      <w:pStyle w:val="ab"/>
      <w:pBdr>
        <w:bottom w:val="none" w:sz="0" w:space="0" w:color="auto"/>
      </w:pBdr>
      <w:tabs>
        <w:tab w:val="clear" w:pos="4153"/>
        <w:tab w:val="clear" w:pos="8306"/>
      </w:tabs>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99A44" w14:textId="77777777" w:rsidR="007A47A7" w:rsidRDefault="007A47A7">
    <w:pPr>
      <w:pStyle w:val="ab"/>
      <w:pBdr>
        <w:bottom w:val="none" w:sz="0" w:space="0" w:color="auto"/>
      </w:pBdr>
      <w:tabs>
        <w:tab w:val="clear" w:pos="4153"/>
        <w:tab w:val="clear" w:pos="8306"/>
      </w:tabs>
      <w:rPr>
        <w:sz w:val="11"/>
        <w:szCs w:val="11"/>
      </w:rPr>
    </w:pPr>
  </w:p>
  <w:p w14:paraId="156FCE17" w14:textId="77777777" w:rsidR="007A47A7" w:rsidRDefault="007A47A7">
    <w:pPr>
      <w:pStyle w:val="ab"/>
      <w:pBdr>
        <w:bottom w:val="none" w:sz="0" w:space="0" w:color="auto"/>
      </w:pBdr>
      <w:tabs>
        <w:tab w:val="clear" w:pos="4153"/>
        <w:tab w:val="clear" w:pos="8306"/>
      </w:tabs>
      <w:rPr>
        <w:sz w:val="11"/>
        <w:szCs w:val="11"/>
      </w:rPr>
    </w:pPr>
  </w:p>
  <w:tbl>
    <w:tblPr>
      <w:tblW w:w="5000" w:type="pct"/>
      <w:tblLook w:val="0000" w:firstRow="0" w:lastRow="0" w:firstColumn="0" w:lastColumn="0" w:noHBand="0" w:noVBand="0"/>
    </w:tblPr>
    <w:tblGrid>
      <w:gridCol w:w="8192"/>
      <w:gridCol w:w="1446"/>
    </w:tblGrid>
    <w:tr w:rsidR="0032210F" w14:paraId="6C6884AC" w14:textId="77777777" w:rsidTr="00557BD0">
      <w:tc>
        <w:tcPr>
          <w:tcW w:w="4250" w:type="pct"/>
          <w:tcBorders>
            <w:bottom w:val="single" w:sz="6" w:space="0" w:color="auto"/>
          </w:tcBorders>
          <w:vAlign w:val="center"/>
        </w:tcPr>
        <w:p w14:paraId="7D420259" w14:textId="035EDC5B" w:rsidR="00557BD0" w:rsidRDefault="00557BD0" w:rsidP="00557BD0">
          <w:pPr>
            <w:jc w:val="left"/>
            <w:rPr>
              <w:rFonts w:hAnsi="宋体" w:hint="eastAsia"/>
              <w:sz w:val="18"/>
              <w:szCs w:val="18"/>
            </w:rPr>
          </w:pPr>
        </w:p>
      </w:tc>
      <w:tc>
        <w:tcPr>
          <w:tcW w:w="750" w:type="pct"/>
          <w:tcBorders>
            <w:bottom w:val="single" w:sz="6" w:space="0" w:color="auto"/>
          </w:tcBorders>
          <w:vAlign w:val="center"/>
        </w:tcPr>
        <w:p w14:paraId="686100CC" w14:textId="77777777" w:rsidR="00557BD0" w:rsidRDefault="00000000" w:rsidP="00557BD0">
          <w:pPr>
            <w:jc w:val="right"/>
            <w:rPr>
              <w:sz w:val="18"/>
              <w:szCs w:val="18"/>
            </w:rPr>
          </w:pPr>
          <w:r>
            <w:rPr>
              <w:sz w:val="18"/>
              <w:szCs w:val="18"/>
            </w:rPr>
            <w:fldChar w:fldCharType="begin"/>
          </w:r>
          <w:r>
            <w:rPr>
              <w:sz w:val="18"/>
              <w:szCs w:val="18"/>
            </w:rPr>
            <w:instrText xml:space="preserve"> PAGE </w:instrText>
          </w:r>
          <w:r>
            <w:rPr>
              <w:sz w:val="18"/>
              <w:szCs w:val="18"/>
            </w:rPr>
            <w:fldChar w:fldCharType="separate"/>
          </w:r>
          <w:r>
            <w:rPr>
              <w:noProof/>
              <w:sz w:val="18"/>
              <w:szCs w:val="18"/>
            </w:rPr>
            <w:t>3</w:t>
          </w:r>
          <w:r>
            <w:rPr>
              <w:sz w:val="18"/>
              <w:szCs w:val="18"/>
            </w:rPr>
            <w:fldChar w:fldCharType="end"/>
          </w:r>
        </w:p>
      </w:tc>
    </w:tr>
  </w:tbl>
  <w:p w14:paraId="00B6B047" w14:textId="77777777" w:rsidR="007A47A7" w:rsidRDefault="007A47A7">
    <w:pPr>
      <w:pStyle w:val="ab"/>
      <w:pBdr>
        <w:bottom w:val="none" w:sz="0" w:space="0" w:color="auto"/>
      </w:pBdr>
      <w:tabs>
        <w:tab w:val="clear" w:pos="4153"/>
        <w:tab w:val="clear" w:pos="8306"/>
      </w:tabs>
      <w:rPr>
        <w:sz w:val="10"/>
        <w:szCs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000" w:firstRow="0" w:lastRow="0" w:firstColumn="0" w:lastColumn="0" w:noHBand="0" w:noVBand="0"/>
    </w:tblPr>
    <w:tblGrid>
      <w:gridCol w:w="7710"/>
      <w:gridCol w:w="1928"/>
    </w:tblGrid>
    <w:tr w:rsidR="0032210F" w14:paraId="5105442E" w14:textId="77777777" w:rsidTr="00557BD0">
      <w:tc>
        <w:tcPr>
          <w:tcW w:w="4000" w:type="pct"/>
          <w:vAlign w:val="center"/>
        </w:tcPr>
        <w:p w14:paraId="26359243" w14:textId="77777777" w:rsidR="00557BD0" w:rsidRDefault="00000000" w:rsidP="00557BD0">
          <w:pPr>
            <w:jc w:val="left"/>
            <w:rPr>
              <w:sz w:val="18"/>
              <w:szCs w:val="18"/>
            </w:rPr>
          </w:pPr>
          <w:r w:rsidRPr="00557BD0">
            <w:rPr>
              <w:rFonts w:hint="eastAsia"/>
              <w:sz w:val="18"/>
              <w:szCs w:val="18"/>
            </w:rPr>
            <w:t>清华大学学报（自然科学版）</w:t>
          </w:r>
          <w:r>
            <w:rPr>
              <w:sz w:val="18"/>
            </w:rPr>
            <w:t>****</w:t>
          </w:r>
          <w:r>
            <w:rPr>
              <w:rFonts w:hAnsi="宋体"/>
              <w:sz w:val="18"/>
              <w:szCs w:val="18"/>
            </w:rPr>
            <w:t>年第</w:t>
          </w:r>
          <w:r>
            <w:rPr>
              <w:sz w:val="18"/>
            </w:rPr>
            <w:t>**</w:t>
          </w:r>
          <w:proofErr w:type="gramStart"/>
          <w:r>
            <w:rPr>
              <w:rFonts w:hAnsi="宋体"/>
              <w:sz w:val="18"/>
              <w:szCs w:val="18"/>
            </w:rPr>
            <w:t>卷第</w:t>
          </w:r>
          <w:proofErr w:type="gramEnd"/>
          <w:r>
            <w:rPr>
              <w:sz w:val="18"/>
            </w:rPr>
            <w:t>**</w:t>
          </w:r>
          <w:r>
            <w:rPr>
              <w:rFonts w:hAnsi="宋体"/>
              <w:sz w:val="18"/>
              <w:szCs w:val="18"/>
            </w:rPr>
            <w:t>期</w:t>
          </w:r>
        </w:p>
      </w:tc>
      <w:tc>
        <w:tcPr>
          <w:tcW w:w="1000" w:type="pct"/>
          <w:vAlign w:val="center"/>
        </w:tcPr>
        <w:p w14:paraId="7038E064" w14:textId="77777777" w:rsidR="00557BD0" w:rsidRDefault="00557BD0" w:rsidP="00557BD0">
          <w:pPr>
            <w:jc w:val="right"/>
            <w:rPr>
              <w:sz w:val="18"/>
              <w:szCs w:val="18"/>
            </w:rPr>
          </w:pPr>
        </w:p>
      </w:tc>
    </w:tr>
    <w:tr w:rsidR="0032210F" w14:paraId="6C554C23" w14:textId="77777777" w:rsidTr="00557BD0">
      <w:tc>
        <w:tcPr>
          <w:tcW w:w="4000" w:type="pct"/>
          <w:vAlign w:val="center"/>
        </w:tcPr>
        <w:p w14:paraId="52156942" w14:textId="77777777" w:rsidR="00557BD0" w:rsidRDefault="00000000" w:rsidP="00557BD0">
          <w:pPr>
            <w:jc w:val="left"/>
            <w:rPr>
              <w:sz w:val="18"/>
              <w:szCs w:val="18"/>
            </w:rPr>
          </w:pPr>
          <w:r w:rsidRPr="00557BD0">
            <w:rPr>
              <w:sz w:val="18"/>
              <w:szCs w:val="18"/>
            </w:rPr>
            <w:t xml:space="preserve">J Tsinghua </w:t>
          </w:r>
          <w:proofErr w:type="gramStart"/>
          <w:r w:rsidRPr="00557BD0">
            <w:rPr>
              <w:sz w:val="18"/>
              <w:szCs w:val="18"/>
            </w:rPr>
            <w:t>Univ(</w:t>
          </w:r>
          <w:proofErr w:type="gramEnd"/>
          <w:r w:rsidRPr="00557BD0">
            <w:rPr>
              <w:sz w:val="18"/>
              <w:szCs w:val="18"/>
            </w:rPr>
            <w:t>Sci &amp; Technol),</w:t>
          </w:r>
          <w:r w:rsidRPr="003710DD">
            <w:rPr>
              <w:sz w:val="18"/>
              <w:szCs w:val="18"/>
            </w:rPr>
            <w:t xml:space="preserve"> </w:t>
          </w:r>
          <w:r>
            <w:rPr>
              <w:sz w:val="18"/>
            </w:rPr>
            <w:t>****</w:t>
          </w:r>
          <w:r>
            <w:rPr>
              <w:sz w:val="18"/>
              <w:szCs w:val="18"/>
            </w:rPr>
            <w:t>, Vol.</w:t>
          </w:r>
          <w:r w:rsidRPr="003710DD">
            <w:rPr>
              <w:sz w:val="18"/>
              <w:szCs w:val="18"/>
            </w:rPr>
            <w:t xml:space="preserve"> </w:t>
          </w:r>
          <w:r>
            <w:rPr>
              <w:sz w:val="18"/>
            </w:rPr>
            <w:t>**</w:t>
          </w:r>
          <w:r>
            <w:rPr>
              <w:sz w:val="18"/>
              <w:szCs w:val="18"/>
            </w:rPr>
            <w:t>, No.</w:t>
          </w:r>
          <w:r w:rsidRPr="003710DD">
            <w:rPr>
              <w:sz w:val="18"/>
              <w:szCs w:val="18"/>
            </w:rPr>
            <w:t xml:space="preserve"> </w:t>
          </w:r>
          <w:r>
            <w:rPr>
              <w:sz w:val="18"/>
            </w:rPr>
            <w:t>**</w:t>
          </w:r>
        </w:p>
      </w:tc>
      <w:tc>
        <w:tcPr>
          <w:tcW w:w="1000" w:type="pct"/>
          <w:vAlign w:val="center"/>
        </w:tcPr>
        <w:p w14:paraId="1A73ECEF" w14:textId="77777777" w:rsidR="00557BD0" w:rsidRDefault="00000000" w:rsidP="00557BD0">
          <w:pPr>
            <w:jc w:val="right"/>
            <w:rPr>
              <w:sz w:val="18"/>
              <w:szCs w:val="18"/>
            </w:rPr>
          </w:pPr>
          <w:r>
            <w:rPr>
              <w:sz w:val="18"/>
              <w:szCs w:val="18"/>
            </w:rPr>
            <w:fldChar w:fldCharType="begin"/>
          </w:r>
          <w:r>
            <w:rPr>
              <w:sz w:val="18"/>
              <w:szCs w:val="18"/>
            </w:rPr>
            <w:instrText xml:space="preserve"> PAGE </w:instrText>
          </w:r>
          <w:r>
            <w:rPr>
              <w:sz w:val="18"/>
              <w:szCs w:val="18"/>
            </w:rPr>
            <w:fldChar w:fldCharType="separate"/>
          </w:r>
          <w:r w:rsidR="00B77620">
            <w:rPr>
              <w:noProof/>
              <w:sz w:val="18"/>
              <w:szCs w:val="18"/>
            </w:rPr>
            <w:t>1</w:t>
          </w:r>
          <w:r>
            <w:rPr>
              <w:sz w:val="18"/>
              <w:szCs w:val="18"/>
            </w:rPr>
            <w:fldChar w:fldCharType="end"/>
          </w:r>
        </w:p>
      </w:tc>
    </w:tr>
    <w:tr w:rsidR="0032210F" w14:paraId="5F253D0E" w14:textId="77777777" w:rsidTr="00557BD0">
      <w:trPr>
        <w:trHeight w:hRule="exact" w:val="28"/>
      </w:trPr>
      <w:tc>
        <w:tcPr>
          <w:tcW w:w="5000" w:type="pct"/>
          <w:gridSpan w:val="2"/>
          <w:tcBorders>
            <w:bottom w:val="double" w:sz="6" w:space="0" w:color="auto"/>
          </w:tcBorders>
          <w:vAlign w:val="center"/>
        </w:tcPr>
        <w:p w14:paraId="1F56C737" w14:textId="77777777" w:rsidR="00557BD0" w:rsidRDefault="00557BD0" w:rsidP="00557BD0">
          <w:pPr>
            <w:spacing w:afterLines="25" w:after="60"/>
            <w:jc w:val="center"/>
            <w:rPr>
              <w:sz w:val="18"/>
              <w:szCs w:val="18"/>
            </w:rPr>
          </w:pPr>
        </w:p>
      </w:tc>
    </w:tr>
  </w:tbl>
  <w:p w14:paraId="32A42524" w14:textId="77777777" w:rsidR="007A47A7" w:rsidRDefault="007A47A7">
    <w:pPr>
      <w:pStyle w:val="ab"/>
      <w:pBdr>
        <w:bottom w:val="none" w:sz="0" w:space="0" w:color="auto"/>
      </w:pBdr>
      <w:tabs>
        <w:tab w:val="clear" w:pos="4153"/>
        <w:tab w:val="clear" w:pos="8306"/>
      </w:tabs>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63CFD"/>
    <w:multiLevelType w:val="hybridMultilevel"/>
    <w:tmpl w:val="98FC9ADE"/>
    <w:lvl w:ilvl="0" w:tplc="CFBE62C4">
      <w:start w:val="1"/>
      <w:numFmt w:val="lowerLetter"/>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1F7E5F49"/>
    <w:multiLevelType w:val="hybridMultilevel"/>
    <w:tmpl w:val="A03E1D16"/>
    <w:lvl w:ilvl="0" w:tplc="5E148812">
      <w:start w:val="6"/>
      <w:numFmt w:val="decimal"/>
      <w:lvlText w:val="[%1]"/>
      <w:lvlJc w:val="left"/>
      <w:pPr>
        <w:tabs>
          <w:tab w:val="num" w:pos="473"/>
        </w:tabs>
        <w:ind w:left="473" w:hanging="420"/>
      </w:pPr>
      <w:rPr>
        <w:rFonts w:hint="eastAsia"/>
      </w:rPr>
    </w:lvl>
    <w:lvl w:ilvl="1" w:tplc="7B06F2B8" w:tentative="1">
      <w:start w:val="1"/>
      <w:numFmt w:val="lowerLetter"/>
      <w:lvlText w:val="%2)"/>
      <w:lvlJc w:val="left"/>
      <w:pPr>
        <w:tabs>
          <w:tab w:val="num" w:pos="840"/>
        </w:tabs>
        <w:ind w:left="840" w:hanging="420"/>
      </w:pPr>
    </w:lvl>
    <w:lvl w:ilvl="2" w:tplc="3F0869B6" w:tentative="1">
      <w:start w:val="1"/>
      <w:numFmt w:val="lowerRoman"/>
      <w:lvlText w:val="%3."/>
      <w:lvlJc w:val="right"/>
      <w:pPr>
        <w:tabs>
          <w:tab w:val="num" w:pos="1260"/>
        </w:tabs>
        <w:ind w:left="1260" w:hanging="420"/>
      </w:pPr>
    </w:lvl>
    <w:lvl w:ilvl="3" w:tplc="C764CBAA" w:tentative="1">
      <w:start w:val="1"/>
      <w:numFmt w:val="decimal"/>
      <w:lvlText w:val="%4."/>
      <w:lvlJc w:val="left"/>
      <w:pPr>
        <w:tabs>
          <w:tab w:val="num" w:pos="1680"/>
        </w:tabs>
        <w:ind w:left="1680" w:hanging="420"/>
      </w:pPr>
    </w:lvl>
    <w:lvl w:ilvl="4" w:tplc="F63C1458" w:tentative="1">
      <w:start w:val="1"/>
      <w:numFmt w:val="lowerLetter"/>
      <w:lvlText w:val="%5)"/>
      <w:lvlJc w:val="left"/>
      <w:pPr>
        <w:tabs>
          <w:tab w:val="num" w:pos="2100"/>
        </w:tabs>
        <w:ind w:left="2100" w:hanging="420"/>
      </w:pPr>
    </w:lvl>
    <w:lvl w:ilvl="5" w:tplc="D0ECAD8E" w:tentative="1">
      <w:start w:val="1"/>
      <w:numFmt w:val="lowerRoman"/>
      <w:lvlText w:val="%6."/>
      <w:lvlJc w:val="right"/>
      <w:pPr>
        <w:tabs>
          <w:tab w:val="num" w:pos="2520"/>
        </w:tabs>
        <w:ind w:left="2520" w:hanging="420"/>
      </w:pPr>
    </w:lvl>
    <w:lvl w:ilvl="6" w:tplc="D480BA14" w:tentative="1">
      <w:start w:val="1"/>
      <w:numFmt w:val="decimal"/>
      <w:lvlText w:val="%7."/>
      <w:lvlJc w:val="left"/>
      <w:pPr>
        <w:tabs>
          <w:tab w:val="num" w:pos="2940"/>
        </w:tabs>
        <w:ind w:left="2940" w:hanging="420"/>
      </w:pPr>
    </w:lvl>
    <w:lvl w:ilvl="7" w:tplc="4238ACEC" w:tentative="1">
      <w:start w:val="1"/>
      <w:numFmt w:val="lowerLetter"/>
      <w:lvlText w:val="%8)"/>
      <w:lvlJc w:val="left"/>
      <w:pPr>
        <w:tabs>
          <w:tab w:val="num" w:pos="3360"/>
        </w:tabs>
        <w:ind w:left="3360" w:hanging="420"/>
      </w:pPr>
    </w:lvl>
    <w:lvl w:ilvl="8" w:tplc="4C20B7AC" w:tentative="1">
      <w:start w:val="1"/>
      <w:numFmt w:val="lowerRoman"/>
      <w:lvlText w:val="%9."/>
      <w:lvlJc w:val="right"/>
      <w:pPr>
        <w:tabs>
          <w:tab w:val="num" w:pos="3780"/>
        </w:tabs>
        <w:ind w:left="3780" w:hanging="420"/>
      </w:pPr>
    </w:lvl>
  </w:abstractNum>
  <w:abstractNum w:abstractNumId="2" w15:restartNumberingAfterBreak="0">
    <w:nsid w:val="29B700D6"/>
    <w:multiLevelType w:val="multilevel"/>
    <w:tmpl w:val="DED4E93A"/>
    <w:lvl w:ilvl="0">
      <w:start w:val="1"/>
      <w:numFmt w:val="decimal"/>
      <w:pStyle w:val="a"/>
      <w:lvlText w:val="[%1]"/>
      <w:lvlJc w:val="left"/>
      <w:pPr>
        <w:tabs>
          <w:tab w:val="num" w:pos="473"/>
        </w:tabs>
        <w:ind w:left="473" w:hanging="420"/>
      </w:pPr>
      <w:rPr>
        <w:b w:val="0"/>
        <w:i w:val="0"/>
        <w:sz w:val="15"/>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3" w15:restartNumberingAfterBreak="0">
    <w:nsid w:val="2AD604CD"/>
    <w:multiLevelType w:val="hybridMultilevel"/>
    <w:tmpl w:val="624A0640"/>
    <w:lvl w:ilvl="0" w:tplc="AC52725A">
      <w:start w:val="1"/>
      <w:numFmt w:val="lowerLetter"/>
      <w:lvlText w:val="(%1)"/>
      <w:lvlJc w:val="left"/>
      <w:pPr>
        <w:ind w:left="780" w:hanging="360"/>
      </w:pPr>
      <w:rPr>
        <w:rFonts w:hint="default"/>
        <w:b w:val="0"/>
        <w:sz w:val="15"/>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4" w15:restartNumberingAfterBreak="0">
    <w:nsid w:val="2BE77C7E"/>
    <w:multiLevelType w:val="hybridMultilevel"/>
    <w:tmpl w:val="A6D4C76C"/>
    <w:lvl w:ilvl="0" w:tplc="A22ABED0">
      <w:start w:val="1"/>
      <w:numFmt w:val="low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 w15:restartNumberingAfterBreak="0">
    <w:nsid w:val="39A647AF"/>
    <w:multiLevelType w:val="hybridMultilevel"/>
    <w:tmpl w:val="65C26244"/>
    <w:lvl w:ilvl="0" w:tplc="1A045432">
      <w:start w:val="1"/>
      <w:numFmt w:val="lowerLetter"/>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6" w15:restartNumberingAfterBreak="0">
    <w:nsid w:val="4D1F6FC5"/>
    <w:multiLevelType w:val="multilevel"/>
    <w:tmpl w:val="D43804A4"/>
    <w:lvl w:ilvl="0">
      <w:start w:val="1"/>
      <w:numFmt w:val="decimal"/>
      <w:lvlText w:val="%1"/>
      <w:lvlJc w:val="left"/>
      <w:pPr>
        <w:tabs>
          <w:tab w:val="num" w:pos="425"/>
        </w:tabs>
        <w:ind w:left="425" w:hanging="425"/>
      </w:pPr>
      <w:rPr>
        <w:rFonts w:hint="eastAsia"/>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418"/>
        </w:tabs>
        <w:ind w:left="1418" w:hanging="567"/>
      </w:pPr>
      <w:rPr>
        <w:rFonts w:hint="eastAsia"/>
      </w:rPr>
    </w:lvl>
    <w:lvl w:ilvl="3">
      <w:start w:val="1"/>
      <w:numFmt w:val="decimal"/>
      <w:lvlText w:val="%1.%2.%3.%4"/>
      <w:lvlJc w:val="left"/>
      <w:pPr>
        <w:tabs>
          <w:tab w:val="num" w:pos="1984"/>
        </w:tabs>
        <w:ind w:left="1984" w:hanging="708"/>
      </w:pPr>
      <w:rPr>
        <w:rFonts w:hint="eastAsia"/>
      </w:rPr>
    </w:lvl>
    <w:lvl w:ilvl="4">
      <w:start w:val="1"/>
      <w:numFmt w:val="decimal"/>
      <w:lvlText w:val="%1.%2.%3.%4.%5"/>
      <w:lvlJc w:val="left"/>
      <w:pPr>
        <w:tabs>
          <w:tab w:val="num" w:pos="2551"/>
        </w:tabs>
        <w:ind w:left="2551" w:hanging="850"/>
      </w:pPr>
      <w:rPr>
        <w:rFonts w:hint="eastAsia"/>
      </w:rPr>
    </w:lvl>
    <w:lvl w:ilvl="5">
      <w:start w:val="1"/>
      <w:numFmt w:val="decimal"/>
      <w:lvlText w:val="%1.%2.%3.%4.%5.%6"/>
      <w:lvlJc w:val="left"/>
      <w:pPr>
        <w:tabs>
          <w:tab w:val="num" w:pos="3260"/>
        </w:tabs>
        <w:ind w:left="3260" w:hanging="1134"/>
      </w:pPr>
      <w:rPr>
        <w:rFonts w:hint="eastAsia"/>
      </w:rPr>
    </w:lvl>
    <w:lvl w:ilvl="6">
      <w:start w:val="1"/>
      <w:numFmt w:val="decimal"/>
      <w:lvlText w:val="%1.%2.%3.%4.%5.%6.%7"/>
      <w:lvlJc w:val="left"/>
      <w:pPr>
        <w:tabs>
          <w:tab w:val="num" w:pos="3827"/>
        </w:tabs>
        <w:ind w:left="3827" w:hanging="1276"/>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7" w15:restartNumberingAfterBreak="0">
    <w:nsid w:val="78256E7E"/>
    <w:multiLevelType w:val="hybridMultilevel"/>
    <w:tmpl w:val="80444C12"/>
    <w:lvl w:ilvl="0" w:tplc="3C563778">
      <w:start w:val="1"/>
      <w:numFmt w:val="lowerLetter"/>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16cid:durableId="1711765829">
    <w:abstractNumId w:val="6"/>
  </w:num>
  <w:num w:numId="2" w16cid:durableId="932476489">
    <w:abstractNumId w:val="2"/>
  </w:num>
  <w:num w:numId="3" w16cid:durableId="708644782">
    <w:abstractNumId w:val="1"/>
  </w:num>
  <w:num w:numId="4" w16cid:durableId="1836847023">
    <w:abstractNumId w:val="0"/>
  </w:num>
  <w:num w:numId="5" w16cid:durableId="2134709307">
    <w:abstractNumId w:val="4"/>
  </w:num>
  <w:num w:numId="6" w16cid:durableId="1280144715">
    <w:abstractNumId w:val="5"/>
  </w:num>
  <w:num w:numId="7" w16cid:durableId="1893492097">
    <w:abstractNumId w:val="3"/>
  </w:num>
  <w:num w:numId="8" w16cid:durableId="72876479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C29"/>
    <w:rsid w:val="000002B3"/>
    <w:rsid w:val="0000332D"/>
    <w:rsid w:val="00004124"/>
    <w:rsid w:val="0000420C"/>
    <w:rsid w:val="0001112B"/>
    <w:rsid w:val="0001197E"/>
    <w:rsid w:val="00013ABE"/>
    <w:rsid w:val="000141BB"/>
    <w:rsid w:val="00014462"/>
    <w:rsid w:val="00015743"/>
    <w:rsid w:val="00017E00"/>
    <w:rsid w:val="00017E5C"/>
    <w:rsid w:val="000210B7"/>
    <w:rsid w:val="000211A6"/>
    <w:rsid w:val="00023B18"/>
    <w:rsid w:val="0002768E"/>
    <w:rsid w:val="000309E2"/>
    <w:rsid w:val="00030B34"/>
    <w:rsid w:val="000333E8"/>
    <w:rsid w:val="000419CC"/>
    <w:rsid w:val="00042793"/>
    <w:rsid w:val="00043C7D"/>
    <w:rsid w:val="00044656"/>
    <w:rsid w:val="00044F54"/>
    <w:rsid w:val="00045E14"/>
    <w:rsid w:val="00047F6F"/>
    <w:rsid w:val="00052100"/>
    <w:rsid w:val="0005297D"/>
    <w:rsid w:val="000529D3"/>
    <w:rsid w:val="000539FB"/>
    <w:rsid w:val="0005479E"/>
    <w:rsid w:val="0005534D"/>
    <w:rsid w:val="00055399"/>
    <w:rsid w:val="00055951"/>
    <w:rsid w:val="00062439"/>
    <w:rsid w:val="00062FFF"/>
    <w:rsid w:val="00066C8F"/>
    <w:rsid w:val="00067E2B"/>
    <w:rsid w:val="00070F5B"/>
    <w:rsid w:val="00071015"/>
    <w:rsid w:val="00071B96"/>
    <w:rsid w:val="00071D2F"/>
    <w:rsid w:val="00072458"/>
    <w:rsid w:val="00076509"/>
    <w:rsid w:val="00077718"/>
    <w:rsid w:val="000777F7"/>
    <w:rsid w:val="00077F9F"/>
    <w:rsid w:val="0008296D"/>
    <w:rsid w:val="00083893"/>
    <w:rsid w:val="000872BC"/>
    <w:rsid w:val="00090ADF"/>
    <w:rsid w:val="000942E4"/>
    <w:rsid w:val="00095BE8"/>
    <w:rsid w:val="0009632B"/>
    <w:rsid w:val="000A2302"/>
    <w:rsid w:val="000A2307"/>
    <w:rsid w:val="000A2B0E"/>
    <w:rsid w:val="000A3FD0"/>
    <w:rsid w:val="000A44CE"/>
    <w:rsid w:val="000A4F21"/>
    <w:rsid w:val="000A5063"/>
    <w:rsid w:val="000A55F5"/>
    <w:rsid w:val="000B28E7"/>
    <w:rsid w:val="000B7F45"/>
    <w:rsid w:val="000C0410"/>
    <w:rsid w:val="000C2CD9"/>
    <w:rsid w:val="000C4053"/>
    <w:rsid w:val="000C508F"/>
    <w:rsid w:val="000D1CB8"/>
    <w:rsid w:val="000D4CD6"/>
    <w:rsid w:val="000D64AE"/>
    <w:rsid w:val="000E2AC4"/>
    <w:rsid w:val="000E2B46"/>
    <w:rsid w:val="000E71E5"/>
    <w:rsid w:val="000F119D"/>
    <w:rsid w:val="000F1223"/>
    <w:rsid w:val="000F1FD7"/>
    <w:rsid w:val="000F2B79"/>
    <w:rsid w:val="000F5C62"/>
    <w:rsid w:val="000F737E"/>
    <w:rsid w:val="000F7CA9"/>
    <w:rsid w:val="001010E5"/>
    <w:rsid w:val="00101FC2"/>
    <w:rsid w:val="00102468"/>
    <w:rsid w:val="0010260B"/>
    <w:rsid w:val="00102B00"/>
    <w:rsid w:val="00102F1A"/>
    <w:rsid w:val="00104831"/>
    <w:rsid w:val="0010561A"/>
    <w:rsid w:val="00106CA2"/>
    <w:rsid w:val="00111C98"/>
    <w:rsid w:val="001125C2"/>
    <w:rsid w:val="00114715"/>
    <w:rsid w:val="00115696"/>
    <w:rsid w:val="00116E07"/>
    <w:rsid w:val="00117321"/>
    <w:rsid w:val="001219BB"/>
    <w:rsid w:val="00130EF5"/>
    <w:rsid w:val="0013490A"/>
    <w:rsid w:val="001367B9"/>
    <w:rsid w:val="00136C1A"/>
    <w:rsid w:val="00137724"/>
    <w:rsid w:val="001378AD"/>
    <w:rsid w:val="001410CC"/>
    <w:rsid w:val="00141C30"/>
    <w:rsid w:val="00143495"/>
    <w:rsid w:val="00143F82"/>
    <w:rsid w:val="001444F9"/>
    <w:rsid w:val="00146F89"/>
    <w:rsid w:val="0015005B"/>
    <w:rsid w:val="001510EA"/>
    <w:rsid w:val="00151515"/>
    <w:rsid w:val="00152BDF"/>
    <w:rsid w:val="00152F2C"/>
    <w:rsid w:val="0015305F"/>
    <w:rsid w:val="00154284"/>
    <w:rsid w:val="001545C1"/>
    <w:rsid w:val="00154C33"/>
    <w:rsid w:val="00162D92"/>
    <w:rsid w:val="001661D7"/>
    <w:rsid w:val="00166C2E"/>
    <w:rsid w:val="00171C1F"/>
    <w:rsid w:val="0017335C"/>
    <w:rsid w:val="001746DD"/>
    <w:rsid w:val="001831AA"/>
    <w:rsid w:val="00185674"/>
    <w:rsid w:val="0018615D"/>
    <w:rsid w:val="00186C65"/>
    <w:rsid w:val="00186D62"/>
    <w:rsid w:val="001951C2"/>
    <w:rsid w:val="001958FF"/>
    <w:rsid w:val="00196A38"/>
    <w:rsid w:val="001973AF"/>
    <w:rsid w:val="001A0D12"/>
    <w:rsid w:val="001A1C05"/>
    <w:rsid w:val="001A3DA4"/>
    <w:rsid w:val="001A4454"/>
    <w:rsid w:val="001A4CDE"/>
    <w:rsid w:val="001A4EE8"/>
    <w:rsid w:val="001B12F2"/>
    <w:rsid w:val="001B3392"/>
    <w:rsid w:val="001B4CA9"/>
    <w:rsid w:val="001B5BD9"/>
    <w:rsid w:val="001B6E20"/>
    <w:rsid w:val="001C060A"/>
    <w:rsid w:val="001C145B"/>
    <w:rsid w:val="001C19E5"/>
    <w:rsid w:val="001C4D64"/>
    <w:rsid w:val="001C4ECE"/>
    <w:rsid w:val="001C6D6C"/>
    <w:rsid w:val="001D0567"/>
    <w:rsid w:val="001D059C"/>
    <w:rsid w:val="001D0FC5"/>
    <w:rsid w:val="001D1974"/>
    <w:rsid w:val="001E10D1"/>
    <w:rsid w:val="001E33FF"/>
    <w:rsid w:val="001E5D2B"/>
    <w:rsid w:val="001E6217"/>
    <w:rsid w:val="001E6FD4"/>
    <w:rsid w:val="001E719A"/>
    <w:rsid w:val="001F2AA3"/>
    <w:rsid w:val="001F71B7"/>
    <w:rsid w:val="001F75C4"/>
    <w:rsid w:val="00201089"/>
    <w:rsid w:val="00202560"/>
    <w:rsid w:val="00202B73"/>
    <w:rsid w:val="00202E68"/>
    <w:rsid w:val="00202ECF"/>
    <w:rsid w:val="00203CDD"/>
    <w:rsid w:val="00204DCF"/>
    <w:rsid w:val="0020532C"/>
    <w:rsid w:val="00205FE8"/>
    <w:rsid w:val="00207073"/>
    <w:rsid w:val="00207E0C"/>
    <w:rsid w:val="00213384"/>
    <w:rsid w:val="00216455"/>
    <w:rsid w:val="0021711C"/>
    <w:rsid w:val="002205F5"/>
    <w:rsid w:val="00224363"/>
    <w:rsid w:val="002307EA"/>
    <w:rsid w:val="0023449C"/>
    <w:rsid w:val="00235784"/>
    <w:rsid w:val="00235B62"/>
    <w:rsid w:val="00237207"/>
    <w:rsid w:val="002408DD"/>
    <w:rsid w:val="00240FF3"/>
    <w:rsid w:val="0024176D"/>
    <w:rsid w:val="00242998"/>
    <w:rsid w:val="00242CE7"/>
    <w:rsid w:val="00245899"/>
    <w:rsid w:val="00247D2C"/>
    <w:rsid w:val="002501B5"/>
    <w:rsid w:val="002548EF"/>
    <w:rsid w:val="00254B08"/>
    <w:rsid w:val="00254E99"/>
    <w:rsid w:val="00255138"/>
    <w:rsid w:val="00255E98"/>
    <w:rsid w:val="002571B3"/>
    <w:rsid w:val="002602D7"/>
    <w:rsid w:val="00260619"/>
    <w:rsid w:val="00260DC2"/>
    <w:rsid w:val="0026166D"/>
    <w:rsid w:val="00265B9A"/>
    <w:rsid w:val="00270A89"/>
    <w:rsid w:val="00270FE8"/>
    <w:rsid w:val="00272EBB"/>
    <w:rsid w:val="00280ECE"/>
    <w:rsid w:val="0028235D"/>
    <w:rsid w:val="0028660B"/>
    <w:rsid w:val="00287576"/>
    <w:rsid w:val="002919E1"/>
    <w:rsid w:val="002929FD"/>
    <w:rsid w:val="0029417D"/>
    <w:rsid w:val="00295A27"/>
    <w:rsid w:val="00297166"/>
    <w:rsid w:val="002A04DC"/>
    <w:rsid w:val="002A19FF"/>
    <w:rsid w:val="002A2366"/>
    <w:rsid w:val="002A2990"/>
    <w:rsid w:val="002B02D8"/>
    <w:rsid w:val="002B144B"/>
    <w:rsid w:val="002B1DF0"/>
    <w:rsid w:val="002B2392"/>
    <w:rsid w:val="002B2739"/>
    <w:rsid w:val="002B4D7B"/>
    <w:rsid w:val="002B5482"/>
    <w:rsid w:val="002B589A"/>
    <w:rsid w:val="002B6997"/>
    <w:rsid w:val="002B6D33"/>
    <w:rsid w:val="002B7A88"/>
    <w:rsid w:val="002C35B8"/>
    <w:rsid w:val="002C3624"/>
    <w:rsid w:val="002C77AE"/>
    <w:rsid w:val="002D0B7E"/>
    <w:rsid w:val="002D1159"/>
    <w:rsid w:val="002D1EB9"/>
    <w:rsid w:val="002D1F11"/>
    <w:rsid w:val="002D2135"/>
    <w:rsid w:val="002D3CF9"/>
    <w:rsid w:val="002D7892"/>
    <w:rsid w:val="002E15AE"/>
    <w:rsid w:val="002E2021"/>
    <w:rsid w:val="002E22EA"/>
    <w:rsid w:val="002E2DFB"/>
    <w:rsid w:val="002E2E41"/>
    <w:rsid w:val="002E2F2E"/>
    <w:rsid w:val="002E387E"/>
    <w:rsid w:val="002E6630"/>
    <w:rsid w:val="002E7AD7"/>
    <w:rsid w:val="002E7C16"/>
    <w:rsid w:val="002F210E"/>
    <w:rsid w:val="002F3F59"/>
    <w:rsid w:val="002F4248"/>
    <w:rsid w:val="002F45F1"/>
    <w:rsid w:val="002F461F"/>
    <w:rsid w:val="002F4A5B"/>
    <w:rsid w:val="002F561E"/>
    <w:rsid w:val="00303218"/>
    <w:rsid w:val="00304B6F"/>
    <w:rsid w:val="003050BA"/>
    <w:rsid w:val="00307C23"/>
    <w:rsid w:val="00307D7C"/>
    <w:rsid w:val="00310A97"/>
    <w:rsid w:val="00311143"/>
    <w:rsid w:val="00311715"/>
    <w:rsid w:val="00317EC9"/>
    <w:rsid w:val="00321559"/>
    <w:rsid w:val="0032210F"/>
    <w:rsid w:val="00322197"/>
    <w:rsid w:val="003226DC"/>
    <w:rsid w:val="003233EF"/>
    <w:rsid w:val="003235A9"/>
    <w:rsid w:val="003275B9"/>
    <w:rsid w:val="00330D02"/>
    <w:rsid w:val="00332E8D"/>
    <w:rsid w:val="0033327C"/>
    <w:rsid w:val="003334EB"/>
    <w:rsid w:val="00335E1D"/>
    <w:rsid w:val="00335F4F"/>
    <w:rsid w:val="00337FEC"/>
    <w:rsid w:val="003416C7"/>
    <w:rsid w:val="003419B4"/>
    <w:rsid w:val="0034265E"/>
    <w:rsid w:val="0034348C"/>
    <w:rsid w:val="00344202"/>
    <w:rsid w:val="00346BCF"/>
    <w:rsid w:val="00346FA3"/>
    <w:rsid w:val="00346FEA"/>
    <w:rsid w:val="00347004"/>
    <w:rsid w:val="003533B4"/>
    <w:rsid w:val="00354CAA"/>
    <w:rsid w:val="00354E3C"/>
    <w:rsid w:val="00355885"/>
    <w:rsid w:val="00356C1B"/>
    <w:rsid w:val="00361F82"/>
    <w:rsid w:val="003640AB"/>
    <w:rsid w:val="00364659"/>
    <w:rsid w:val="00365139"/>
    <w:rsid w:val="0036608F"/>
    <w:rsid w:val="003710DD"/>
    <w:rsid w:val="00371103"/>
    <w:rsid w:val="00372B1B"/>
    <w:rsid w:val="00372F05"/>
    <w:rsid w:val="00373497"/>
    <w:rsid w:val="0037444A"/>
    <w:rsid w:val="003762D7"/>
    <w:rsid w:val="00376688"/>
    <w:rsid w:val="00377054"/>
    <w:rsid w:val="003803DA"/>
    <w:rsid w:val="0038081E"/>
    <w:rsid w:val="0038133E"/>
    <w:rsid w:val="00382B63"/>
    <w:rsid w:val="00383979"/>
    <w:rsid w:val="00383D17"/>
    <w:rsid w:val="00383F2B"/>
    <w:rsid w:val="0038459F"/>
    <w:rsid w:val="00385DB4"/>
    <w:rsid w:val="00386EC4"/>
    <w:rsid w:val="003909B3"/>
    <w:rsid w:val="0039167C"/>
    <w:rsid w:val="00394D48"/>
    <w:rsid w:val="00396422"/>
    <w:rsid w:val="003A1B14"/>
    <w:rsid w:val="003A24E1"/>
    <w:rsid w:val="003A4336"/>
    <w:rsid w:val="003B022B"/>
    <w:rsid w:val="003B177D"/>
    <w:rsid w:val="003B1EC2"/>
    <w:rsid w:val="003B22BC"/>
    <w:rsid w:val="003B4A19"/>
    <w:rsid w:val="003B5C16"/>
    <w:rsid w:val="003B68B6"/>
    <w:rsid w:val="003C1775"/>
    <w:rsid w:val="003C3D65"/>
    <w:rsid w:val="003C4084"/>
    <w:rsid w:val="003C6816"/>
    <w:rsid w:val="003C7DB3"/>
    <w:rsid w:val="003D2A94"/>
    <w:rsid w:val="003D2CC0"/>
    <w:rsid w:val="003D4391"/>
    <w:rsid w:val="003D4EBA"/>
    <w:rsid w:val="003E0DA2"/>
    <w:rsid w:val="003E0DAE"/>
    <w:rsid w:val="003E0EEE"/>
    <w:rsid w:val="003E1950"/>
    <w:rsid w:val="003E1B2F"/>
    <w:rsid w:val="003E630D"/>
    <w:rsid w:val="003E64B1"/>
    <w:rsid w:val="003E663D"/>
    <w:rsid w:val="003E6FC3"/>
    <w:rsid w:val="003E791C"/>
    <w:rsid w:val="003F0CE2"/>
    <w:rsid w:val="003F1C80"/>
    <w:rsid w:val="003F550D"/>
    <w:rsid w:val="003F7227"/>
    <w:rsid w:val="004006AC"/>
    <w:rsid w:val="004070AC"/>
    <w:rsid w:val="004116CF"/>
    <w:rsid w:val="004118F7"/>
    <w:rsid w:val="00412E58"/>
    <w:rsid w:val="00412FFD"/>
    <w:rsid w:val="0041436F"/>
    <w:rsid w:val="004143F0"/>
    <w:rsid w:val="00414404"/>
    <w:rsid w:val="00414D69"/>
    <w:rsid w:val="004211EC"/>
    <w:rsid w:val="00421398"/>
    <w:rsid w:val="0042208B"/>
    <w:rsid w:val="00423ED2"/>
    <w:rsid w:val="00425A1A"/>
    <w:rsid w:val="004305D5"/>
    <w:rsid w:val="00432090"/>
    <w:rsid w:val="00435D18"/>
    <w:rsid w:val="004368A9"/>
    <w:rsid w:val="004400AE"/>
    <w:rsid w:val="00443527"/>
    <w:rsid w:val="004436DA"/>
    <w:rsid w:val="004437AB"/>
    <w:rsid w:val="00443963"/>
    <w:rsid w:val="004449BA"/>
    <w:rsid w:val="00446777"/>
    <w:rsid w:val="00446AE4"/>
    <w:rsid w:val="00450722"/>
    <w:rsid w:val="00451832"/>
    <w:rsid w:val="004518A4"/>
    <w:rsid w:val="00455AEC"/>
    <w:rsid w:val="00456620"/>
    <w:rsid w:val="00457E23"/>
    <w:rsid w:val="004611F4"/>
    <w:rsid w:val="00462F24"/>
    <w:rsid w:val="00467176"/>
    <w:rsid w:val="004675F0"/>
    <w:rsid w:val="004679A2"/>
    <w:rsid w:val="00470E3B"/>
    <w:rsid w:val="00471B3C"/>
    <w:rsid w:val="004740C1"/>
    <w:rsid w:val="00474452"/>
    <w:rsid w:val="00474894"/>
    <w:rsid w:val="004772CC"/>
    <w:rsid w:val="0047768D"/>
    <w:rsid w:val="004779C8"/>
    <w:rsid w:val="00490915"/>
    <w:rsid w:val="00491608"/>
    <w:rsid w:val="00493593"/>
    <w:rsid w:val="0049594A"/>
    <w:rsid w:val="00495B85"/>
    <w:rsid w:val="0049628D"/>
    <w:rsid w:val="00496750"/>
    <w:rsid w:val="00497E09"/>
    <w:rsid w:val="004A1008"/>
    <w:rsid w:val="004A1023"/>
    <w:rsid w:val="004A25B3"/>
    <w:rsid w:val="004A2A7F"/>
    <w:rsid w:val="004A3F56"/>
    <w:rsid w:val="004B2E13"/>
    <w:rsid w:val="004B3598"/>
    <w:rsid w:val="004C00C5"/>
    <w:rsid w:val="004C153E"/>
    <w:rsid w:val="004C3BD4"/>
    <w:rsid w:val="004C3CA6"/>
    <w:rsid w:val="004C4BD8"/>
    <w:rsid w:val="004C5E87"/>
    <w:rsid w:val="004C6F4C"/>
    <w:rsid w:val="004C7264"/>
    <w:rsid w:val="004C738E"/>
    <w:rsid w:val="004D1BED"/>
    <w:rsid w:val="004D2669"/>
    <w:rsid w:val="004D5946"/>
    <w:rsid w:val="004D7855"/>
    <w:rsid w:val="004E03CD"/>
    <w:rsid w:val="004E1EFE"/>
    <w:rsid w:val="004E34C3"/>
    <w:rsid w:val="004E3877"/>
    <w:rsid w:val="004E50B5"/>
    <w:rsid w:val="004E6AA6"/>
    <w:rsid w:val="004F2123"/>
    <w:rsid w:val="004F24B3"/>
    <w:rsid w:val="004F2906"/>
    <w:rsid w:val="004F6F43"/>
    <w:rsid w:val="00500D46"/>
    <w:rsid w:val="0050107F"/>
    <w:rsid w:val="00503BA6"/>
    <w:rsid w:val="00504600"/>
    <w:rsid w:val="0050585E"/>
    <w:rsid w:val="00506409"/>
    <w:rsid w:val="005103B2"/>
    <w:rsid w:val="00511B1C"/>
    <w:rsid w:val="00514A53"/>
    <w:rsid w:val="005159E0"/>
    <w:rsid w:val="00517F12"/>
    <w:rsid w:val="005206DF"/>
    <w:rsid w:val="005248A3"/>
    <w:rsid w:val="00524F61"/>
    <w:rsid w:val="005259AE"/>
    <w:rsid w:val="00526D4A"/>
    <w:rsid w:val="005315C5"/>
    <w:rsid w:val="00531784"/>
    <w:rsid w:val="0053349F"/>
    <w:rsid w:val="00535DA3"/>
    <w:rsid w:val="00543218"/>
    <w:rsid w:val="00543285"/>
    <w:rsid w:val="00544458"/>
    <w:rsid w:val="00544A37"/>
    <w:rsid w:val="005470B1"/>
    <w:rsid w:val="00550189"/>
    <w:rsid w:val="0055187B"/>
    <w:rsid w:val="005550AD"/>
    <w:rsid w:val="00557BD0"/>
    <w:rsid w:val="00560807"/>
    <w:rsid w:val="00560EF6"/>
    <w:rsid w:val="005610FE"/>
    <w:rsid w:val="00562468"/>
    <w:rsid w:val="00562DF6"/>
    <w:rsid w:val="0056367A"/>
    <w:rsid w:val="00570E06"/>
    <w:rsid w:val="005719DD"/>
    <w:rsid w:val="005723A1"/>
    <w:rsid w:val="00572DE4"/>
    <w:rsid w:val="00573AED"/>
    <w:rsid w:val="00574386"/>
    <w:rsid w:val="00575274"/>
    <w:rsid w:val="00585729"/>
    <w:rsid w:val="005901B4"/>
    <w:rsid w:val="00590541"/>
    <w:rsid w:val="005910D6"/>
    <w:rsid w:val="0059207B"/>
    <w:rsid w:val="00592690"/>
    <w:rsid w:val="005955B0"/>
    <w:rsid w:val="0059576A"/>
    <w:rsid w:val="005969E3"/>
    <w:rsid w:val="005A1CE5"/>
    <w:rsid w:val="005A2EE6"/>
    <w:rsid w:val="005A3EFB"/>
    <w:rsid w:val="005A4624"/>
    <w:rsid w:val="005A7BBB"/>
    <w:rsid w:val="005B407E"/>
    <w:rsid w:val="005B46B1"/>
    <w:rsid w:val="005B4B5C"/>
    <w:rsid w:val="005B504C"/>
    <w:rsid w:val="005B5F22"/>
    <w:rsid w:val="005B608A"/>
    <w:rsid w:val="005C5290"/>
    <w:rsid w:val="005C6FCC"/>
    <w:rsid w:val="005D119A"/>
    <w:rsid w:val="005D22F9"/>
    <w:rsid w:val="005D2358"/>
    <w:rsid w:val="005D2853"/>
    <w:rsid w:val="005D320C"/>
    <w:rsid w:val="005D4C7D"/>
    <w:rsid w:val="005D6832"/>
    <w:rsid w:val="005E017B"/>
    <w:rsid w:val="005E0DE1"/>
    <w:rsid w:val="005E209E"/>
    <w:rsid w:val="005E2B23"/>
    <w:rsid w:val="005E3FC8"/>
    <w:rsid w:val="005E4654"/>
    <w:rsid w:val="005E6508"/>
    <w:rsid w:val="005F0601"/>
    <w:rsid w:val="005F2F11"/>
    <w:rsid w:val="005F377F"/>
    <w:rsid w:val="005F6352"/>
    <w:rsid w:val="005F6CB2"/>
    <w:rsid w:val="006024A0"/>
    <w:rsid w:val="0060286C"/>
    <w:rsid w:val="00602BC9"/>
    <w:rsid w:val="00604731"/>
    <w:rsid w:val="006048DF"/>
    <w:rsid w:val="00607C31"/>
    <w:rsid w:val="00610E20"/>
    <w:rsid w:val="006110E8"/>
    <w:rsid w:val="006111DD"/>
    <w:rsid w:val="00614143"/>
    <w:rsid w:val="00614894"/>
    <w:rsid w:val="00616D6A"/>
    <w:rsid w:val="006204E1"/>
    <w:rsid w:val="00621926"/>
    <w:rsid w:val="0062389A"/>
    <w:rsid w:val="006268B7"/>
    <w:rsid w:val="00627C8A"/>
    <w:rsid w:val="00630CFD"/>
    <w:rsid w:val="006314A6"/>
    <w:rsid w:val="00632316"/>
    <w:rsid w:val="006361A6"/>
    <w:rsid w:val="006367C4"/>
    <w:rsid w:val="00641DBF"/>
    <w:rsid w:val="00644EE7"/>
    <w:rsid w:val="00645DB4"/>
    <w:rsid w:val="006460CF"/>
    <w:rsid w:val="00646C87"/>
    <w:rsid w:val="00650158"/>
    <w:rsid w:val="00652A91"/>
    <w:rsid w:val="00654688"/>
    <w:rsid w:val="006554CF"/>
    <w:rsid w:val="00664698"/>
    <w:rsid w:val="0066557F"/>
    <w:rsid w:val="00667E95"/>
    <w:rsid w:val="00667FFB"/>
    <w:rsid w:val="006724B3"/>
    <w:rsid w:val="00682B3B"/>
    <w:rsid w:val="00685C32"/>
    <w:rsid w:val="0068622F"/>
    <w:rsid w:val="00687BAB"/>
    <w:rsid w:val="00693D10"/>
    <w:rsid w:val="00695492"/>
    <w:rsid w:val="0069549F"/>
    <w:rsid w:val="006A032F"/>
    <w:rsid w:val="006A3CB1"/>
    <w:rsid w:val="006A3FD3"/>
    <w:rsid w:val="006B0203"/>
    <w:rsid w:val="006B10D9"/>
    <w:rsid w:val="006B21EE"/>
    <w:rsid w:val="006C0375"/>
    <w:rsid w:val="006C1233"/>
    <w:rsid w:val="006C176A"/>
    <w:rsid w:val="006C1B8C"/>
    <w:rsid w:val="006C32BC"/>
    <w:rsid w:val="006C3E1C"/>
    <w:rsid w:val="006C4212"/>
    <w:rsid w:val="006C4F81"/>
    <w:rsid w:val="006D07B0"/>
    <w:rsid w:val="006D13CB"/>
    <w:rsid w:val="006D322A"/>
    <w:rsid w:val="006D5200"/>
    <w:rsid w:val="006D547B"/>
    <w:rsid w:val="006D5758"/>
    <w:rsid w:val="006D6E58"/>
    <w:rsid w:val="006D6E7B"/>
    <w:rsid w:val="006E0A44"/>
    <w:rsid w:val="006E0D34"/>
    <w:rsid w:val="006E2B0C"/>
    <w:rsid w:val="006E7985"/>
    <w:rsid w:val="006F025F"/>
    <w:rsid w:val="006F15C5"/>
    <w:rsid w:val="006F387E"/>
    <w:rsid w:val="006F3FD7"/>
    <w:rsid w:val="006F44EA"/>
    <w:rsid w:val="006F5DCA"/>
    <w:rsid w:val="007016D4"/>
    <w:rsid w:val="00703A43"/>
    <w:rsid w:val="0070461A"/>
    <w:rsid w:val="00704765"/>
    <w:rsid w:val="00704BFA"/>
    <w:rsid w:val="007117A1"/>
    <w:rsid w:val="007124AB"/>
    <w:rsid w:val="00712871"/>
    <w:rsid w:val="007143D3"/>
    <w:rsid w:val="00716541"/>
    <w:rsid w:val="00717AF6"/>
    <w:rsid w:val="007215D5"/>
    <w:rsid w:val="00721BFD"/>
    <w:rsid w:val="00723B9A"/>
    <w:rsid w:val="00724B6E"/>
    <w:rsid w:val="00724F06"/>
    <w:rsid w:val="007252A7"/>
    <w:rsid w:val="0072560F"/>
    <w:rsid w:val="0072615D"/>
    <w:rsid w:val="00730A69"/>
    <w:rsid w:val="007313A0"/>
    <w:rsid w:val="00732226"/>
    <w:rsid w:val="0073332B"/>
    <w:rsid w:val="007338F1"/>
    <w:rsid w:val="0073720C"/>
    <w:rsid w:val="007407A3"/>
    <w:rsid w:val="007437CB"/>
    <w:rsid w:val="007454E1"/>
    <w:rsid w:val="00746091"/>
    <w:rsid w:val="00747194"/>
    <w:rsid w:val="00747435"/>
    <w:rsid w:val="00750728"/>
    <w:rsid w:val="007508C2"/>
    <w:rsid w:val="00756542"/>
    <w:rsid w:val="00756EBD"/>
    <w:rsid w:val="007603FE"/>
    <w:rsid w:val="00760C29"/>
    <w:rsid w:val="0076138C"/>
    <w:rsid w:val="00761A9D"/>
    <w:rsid w:val="00767FFB"/>
    <w:rsid w:val="00770323"/>
    <w:rsid w:val="00771521"/>
    <w:rsid w:val="007717BC"/>
    <w:rsid w:val="007737CD"/>
    <w:rsid w:val="00774CB3"/>
    <w:rsid w:val="007775BE"/>
    <w:rsid w:val="0078145F"/>
    <w:rsid w:val="007817BD"/>
    <w:rsid w:val="00782029"/>
    <w:rsid w:val="00783374"/>
    <w:rsid w:val="00783480"/>
    <w:rsid w:val="007835AD"/>
    <w:rsid w:val="0078472A"/>
    <w:rsid w:val="00785568"/>
    <w:rsid w:val="00787ADF"/>
    <w:rsid w:val="00790A58"/>
    <w:rsid w:val="0079223F"/>
    <w:rsid w:val="00792704"/>
    <w:rsid w:val="00793057"/>
    <w:rsid w:val="00794E5A"/>
    <w:rsid w:val="00795030"/>
    <w:rsid w:val="00795FD3"/>
    <w:rsid w:val="007A264C"/>
    <w:rsid w:val="007A47A7"/>
    <w:rsid w:val="007A4A89"/>
    <w:rsid w:val="007A520C"/>
    <w:rsid w:val="007A5B32"/>
    <w:rsid w:val="007A70E4"/>
    <w:rsid w:val="007B2818"/>
    <w:rsid w:val="007B4844"/>
    <w:rsid w:val="007C0251"/>
    <w:rsid w:val="007C1595"/>
    <w:rsid w:val="007C22CB"/>
    <w:rsid w:val="007C5815"/>
    <w:rsid w:val="007C5BEF"/>
    <w:rsid w:val="007C5E5E"/>
    <w:rsid w:val="007C70D6"/>
    <w:rsid w:val="007C7EC6"/>
    <w:rsid w:val="007D0931"/>
    <w:rsid w:val="007D3094"/>
    <w:rsid w:val="007D69DF"/>
    <w:rsid w:val="007D7B0B"/>
    <w:rsid w:val="007D7B50"/>
    <w:rsid w:val="007E0BE7"/>
    <w:rsid w:val="007E305F"/>
    <w:rsid w:val="007E4AE7"/>
    <w:rsid w:val="007E5589"/>
    <w:rsid w:val="007F0908"/>
    <w:rsid w:val="007F10CC"/>
    <w:rsid w:val="007F10F2"/>
    <w:rsid w:val="007F3391"/>
    <w:rsid w:val="007F42EB"/>
    <w:rsid w:val="007F58C2"/>
    <w:rsid w:val="007F6252"/>
    <w:rsid w:val="0080092A"/>
    <w:rsid w:val="00802A08"/>
    <w:rsid w:val="00803A6D"/>
    <w:rsid w:val="00805690"/>
    <w:rsid w:val="00805E90"/>
    <w:rsid w:val="0080711B"/>
    <w:rsid w:val="0082011D"/>
    <w:rsid w:val="008225A6"/>
    <w:rsid w:val="00823A3C"/>
    <w:rsid w:val="008251A9"/>
    <w:rsid w:val="00826DC3"/>
    <w:rsid w:val="00831531"/>
    <w:rsid w:val="00831F2F"/>
    <w:rsid w:val="00833FA4"/>
    <w:rsid w:val="008350A8"/>
    <w:rsid w:val="00835D8D"/>
    <w:rsid w:val="008449AA"/>
    <w:rsid w:val="00844BAA"/>
    <w:rsid w:val="00844BE9"/>
    <w:rsid w:val="00845C04"/>
    <w:rsid w:val="00855778"/>
    <w:rsid w:val="00855F04"/>
    <w:rsid w:val="00861D02"/>
    <w:rsid w:val="00863E92"/>
    <w:rsid w:val="00864058"/>
    <w:rsid w:val="008675C9"/>
    <w:rsid w:val="008679F2"/>
    <w:rsid w:val="00870037"/>
    <w:rsid w:val="00872435"/>
    <w:rsid w:val="008774AF"/>
    <w:rsid w:val="008807CF"/>
    <w:rsid w:val="00881AF5"/>
    <w:rsid w:val="00882CB8"/>
    <w:rsid w:val="00883B1C"/>
    <w:rsid w:val="0088446E"/>
    <w:rsid w:val="0088514B"/>
    <w:rsid w:val="008855E1"/>
    <w:rsid w:val="00887462"/>
    <w:rsid w:val="008904C3"/>
    <w:rsid w:val="00890637"/>
    <w:rsid w:val="008911F8"/>
    <w:rsid w:val="008915C5"/>
    <w:rsid w:val="008916F4"/>
    <w:rsid w:val="008920F6"/>
    <w:rsid w:val="0089728B"/>
    <w:rsid w:val="00897C5D"/>
    <w:rsid w:val="008A1A16"/>
    <w:rsid w:val="008A1C0B"/>
    <w:rsid w:val="008A70E6"/>
    <w:rsid w:val="008B5A64"/>
    <w:rsid w:val="008B6408"/>
    <w:rsid w:val="008B66CB"/>
    <w:rsid w:val="008B72B6"/>
    <w:rsid w:val="008C286B"/>
    <w:rsid w:val="008C2C0A"/>
    <w:rsid w:val="008C565D"/>
    <w:rsid w:val="008C56A4"/>
    <w:rsid w:val="008C63A2"/>
    <w:rsid w:val="008C6C9A"/>
    <w:rsid w:val="008D1874"/>
    <w:rsid w:val="008D2484"/>
    <w:rsid w:val="008D3DC6"/>
    <w:rsid w:val="008D4981"/>
    <w:rsid w:val="008D554C"/>
    <w:rsid w:val="008D56BD"/>
    <w:rsid w:val="008D7381"/>
    <w:rsid w:val="008E1330"/>
    <w:rsid w:val="008E4686"/>
    <w:rsid w:val="008F0B5A"/>
    <w:rsid w:val="008F0F53"/>
    <w:rsid w:val="008F3618"/>
    <w:rsid w:val="008F74DD"/>
    <w:rsid w:val="00901C76"/>
    <w:rsid w:val="00902B52"/>
    <w:rsid w:val="00904C9F"/>
    <w:rsid w:val="00904E8A"/>
    <w:rsid w:val="00906F29"/>
    <w:rsid w:val="00907228"/>
    <w:rsid w:val="009076CD"/>
    <w:rsid w:val="00907939"/>
    <w:rsid w:val="00910F67"/>
    <w:rsid w:val="009131ED"/>
    <w:rsid w:val="00915CF3"/>
    <w:rsid w:val="0091740E"/>
    <w:rsid w:val="00917860"/>
    <w:rsid w:val="00920E1E"/>
    <w:rsid w:val="00924DC0"/>
    <w:rsid w:val="00925046"/>
    <w:rsid w:val="009277C8"/>
    <w:rsid w:val="009307B0"/>
    <w:rsid w:val="00930C70"/>
    <w:rsid w:val="00933FE3"/>
    <w:rsid w:val="009357FF"/>
    <w:rsid w:val="009365B8"/>
    <w:rsid w:val="00936BCD"/>
    <w:rsid w:val="00937F8F"/>
    <w:rsid w:val="00940A1C"/>
    <w:rsid w:val="00941641"/>
    <w:rsid w:val="00941C23"/>
    <w:rsid w:val="00945629"/>
    <w:rsid w:val="009466D8"/>
    <w:rsid w:val="00947BF7"/>
    <w:rsid w:val="009529A9"/>
    <w:rsid w:val="0095380E"/>
    <w:rsid w:val="00955174"/>
    <w:rsid w:val="00955289"/>
    <w:rsid w:val="00955BBA"/>
    <w:rsid w:val="009573BB"/>
    <w:rsid w:val="00960B0C"/>
    <w:rsid w:val="00961BF8"/>
    <w:rsid w:val="009650FC"/>
    <w:rsid w:val="00971881"/>
    <w:rsid w:val="00974A9E"/>
    <w:rsid w:val="00977175"/>
    <w:rsid w:val="00986BF0"/>
    <w:rsid w:val="0098768D"/>
    <w:rsid w:val="0099147A"/>
    <w:rsid w:val="0099251F"/>
    <w:rsid w:val="00994A8F"/>
    <w:rsid w:val="00996553"/>
    <w:rsid w:val="00997398"/>
    <w:rsid w:val="009A23AE"/>
    <w:rsid w:val="009A7357"/>
    <w:rsid w:val="009B3A06"/>
    <w:rsid w:val="009B3A66"/>
    <w:rsid w:val="009B572A"/>
    <w:rsid w:val="009B6E01"/>
    <w:rsid w:val="009B729D"/>
    <w:rsid w:val="009C3735"/>
    <w:rsid w:val="009C3944"/>
    <w:rsid w:val="009C5205"/>
    <w:rsid w:val="009D18E6"/>
    <w:rsid w:val="009D19A3"/>
    <w:rsid w:val="009D1C0A"/>
    <w:rsid w:val="009D1FC3"/>
    <w:rsid w:val="009D7B6F"/>
    <w:rsid w:val="009D7FF0"/>
    <w:rsid w:val="009E0B17"/>
    <w:rsid w:val="009E0D49"/>
    <w:rsid w:val="009E36F4"/>
    <w:rsid w:val="009E4978"/>
    <w:rsid w:val="009E6FFA"/>
    <w:rsid w:val="009F015B"/>
    <w:rsid w:val="009F26A4"/>
    <w:rsid w:val="009F57DF"/>
    <w:rsid w:val="009F7276"/>
    <w:rsid w:val="009F7F31"/>
    <w:rsid w:val="00A00CBA"/>
    <w:rsid w:val="00A02373"/>
    <w:rsid w:val="00A03674"/>
    <w:rsid w:val="00A03728"/>
    <w:rsid w:val="00A03915"/>
    <w:rsid w:val="00A04636"/>
    <w:rsid w:val="00A04E7A"/>
    <w:rsid w:val="00A06497"/>
    <w:rsid w:val="00A07954"/>
    <w:rsid w:val="00A117D7"/>
    <w:rsid w:val="00A12A86"/>
    <w:rsid w:val="00A14750"/>
    <w:rsid w:val="00A155BB"/>
    <w:rsid w:val="00A1568F"/>
    <w:rsid w:val="00A15A4E"/>
    <w:rsid w:val="00A15D7B"/>
    <w:rsid w:val="00A26965"/>
    <w:rsid w:val="00A3013F"/>
    <w:rsid w:val="00A32EB9"/>
    <w:rsid w:val="00A36CEA"/>
    <w:rsid w:val="00A40CF4"/>
    <w:rsid w:val="00A42F85"/>
    <w:rsid w:val="00A469E8"/>
    <w:rsid w:val="00A54544"/>
    <w:rsid w:val="00A552C6"/>
    <w:rsid w:val="00A55DAE"/>
    <w:rsid w:val="00A577B3"/>
    <w:rsid w:val="00A57FFD"/>
    <w:rsid w:val="00A61836"/>
    <w:rsid w:val="00A6274D"/>
    <w:rsid w:val="00A62E55"/>
    <w:rsid w:val="00A7052A"/>
    <w:rsid w:val="00A7092D"/>
    <w:rsid w:val="00A72416"/>
    <w:rsid w:val="00A76C13"/>
    <w:rsid w:val="00A80FF9"/>
    <w:rsid w:val="00A8199F"/>
    <w:rsid w:val="00A82937"/>
    <w:rsid w:val="00A82C10"/>
    <w:rsid w:val="00A84994"/>
    <w:rsid w:val="00A8541C"/>
    <w:rsid w:val="00A85730"/>
    <w:rsid w:val="00A8579B"/>
    <w:rsid w:val="00A860C5"/>
    <w:rsid w:val="00A86B75"/>
    <w:rsid w:val="00A90D2C"/>
    <w:rsid w:val="00A92739"/>
    <w:rsid w:val="00A93AC2"/>
    <w:rsid w:val="00A9423F"/>
    <w:rsid w:val="00A94DC3"/>
    <w:rsid w:val="00A96E45"/>
    <w:rsid w:val="00A96E9E"/>
    <w:rsid w:val="00AA2AED"/>
    <w:rsid w:val="00AA3989"/>
    <w:rsid w:val="00AA3D27"/>
    <w:rsid w:val="00AA5087"/>
    <w:rsid w:val="00AA55F7"/>
    <w:rsid w:val="00AA6517"/>
    <w:rsid w:val="00AB0FF7"/>
    <w:rsid w:val="00AB3102"/>
    <w:rsid w:val="00AB3A07"/>
    <w:rsid w:val="00AB60C3"/>
    <w:rsid w:val="00AB632D"/>
    <w:rsid w:val="00AB7760"/>
    <w:rsid w:val="00AC076B"/>
    <w:rsid w:val="00AC1FE1"/>
    <w:rsid w:val="00AC71A1"/>
    <w:rsid w:val="00AD21C8"/>
    <w:rsid w:val="00AD3EDD"/>
    <w:rsid w:val="00AD4B0D"/>
    <w:rsid w:val="00AD5A84"/>
    <w:rsid w:val="00AE2B2C"/>
    <w:rsid w:val="00AE2E82"/>
    <w:rsid w:val="00AE3F7A"/>
    <w:rsid w:val="00AE4387"/>
    <w:rsid w:val="00AE46C8"/>
    <w:rsid w:val="00AF0C86"/>
    <w:rsid w:val="00AF0F7E"/>
    <w:rsid w:val="00AF14F7"/>
    <w:rsid w:val="00AF1A6E"/>
    <w:rsid w:val="00AF6261"/>
    <w:rsid w:val="00AF7024"/>
    <w:rsid w:val="00B00890"/>
    <w:rsid w:val="00B01528"/>
    <w:rsid w:val="00B01A3C"/>
    <w:rsid w:val="00B03D21"/>
    <w:rsid w:val="00B0667F"/>
    <w:rsid w:val="00B07B88"/>
    <w:rsid w:val="00B11E20"/>
    <w:rsid w:val="00B127EF"/>
    <w:rsid w:val="00B14C23"/>
    <w:rsid w:val="00B15BCD"/>
    <w:rsid w:val="00B20C26"/>
    <w:rsid w:val="00B21CF2"/>
    <w:rsid w:val="00B23002"/>
    <w:rsid w:val="00B27A9F"/>
    <w:rsid w:val="00B27E2E"/>
    <w:rsid w:val="00B30710"/>
    <w:rsid w:val="00B33311"/>
    <w:rsid w:val="00B336DC"/>
    <w:rsid w:val="00B34CAC"/>
    <w:rsid w:val="00B351B9"/>
    <w:rsid w:val="00B3764F"/>
    <w:rsid w:val="00B40791"/>
    <w:rsid w:val="00B4258B"/>
    <w:rsid w:val="00B45A2D"/>
    <w:rsid w:val="00B47711"/>
    <w:rsid w:val="00B47D68"/>
    <w:rsid w:val="00B51F6F"/>
    <w:rsid w:val="00B603EF"/>
    <w:rsid w:val="00B61A59"/>
    <w:rsid w:val="00B621BA"/>
    <w:rsid w:val="00B623EE"/>
    <w:rsid w:val="00B6445B"/>
    <w:rsid w:val="00B66D95"/>
    <w:rsid w:val="00B66FA7"/>
    <w:rsid w:val="00B70201"/>
    <w:rsid w:val="00B708FB"/>
    <w:rsid w:val="00B70CB5"/>
    <w:rsid w:val="00B715D2"/>
    <w:rsid w:val="00B77620"/>
    <w:rsid w:val="00B80110"/>
    <w:rsid w:val="00B80AB0"/>
    <w:rsid w:val="00B80F6A"/>
    <w:rsid w:val="00B81464"/>
    <w:rsid w:val="00B83787"/>
    <w:rsid w:val="00B84138"/>
    <w:rsid w:val="00B8431F"/>
    <w:rsid w:val="00B86A62"/>
    <w:rsid w:val="00B878AF"/>
    <w:rsid w:val="00B944AA"/>
    <w:rsid w:val="00B9770D"/>
    <w:rsid w:val="00BA073C"/>
    <w:rsid w:val="00BA1EB1"/>
    <w:rsid w:val="00BA235E"/>
    <w:rsid w:val="00BA6B7F"/>
    <w:rsid w:val="00BA6BB4"/>
    <w:rsid w:val="00BA7721"/>
    <w:rsid w:val="00BB1A93"/>
    <w:rsid w:val="00BB21F7"/>
    <w:rsid w:val="00BB3982"/>
    <w:rsid w:val="00BB6343"/>
    <w:rsid w:val="00BB6909"/>
    <w:rsid w:val="00BC20B5"/>
    <w:rsid w:val="00BC33D1"/>
    <w:rsid w:val="00BC53BF"/>
    <w:rsid w:val="00BC62FB"/>
    <w:rsid w:val="00BC6442"/>
    <w:rsid w:val="00BC746F"/>
    <w:rsid w:val="00BD0CCB"/>
    <w:rsid w:val="00BD448D"/>
    <w:rsid w:val="00BD7236"/>
    <w:rsid w:val="00BD72E0"/>
    <w:rsid w:val="00BE0BA7"/>
    <w:rsid w:val="00BE161D"/>
    <w:rsid w:val="00BE2C06"/>
    <w:rsid w:val="00BE31B8"/>
    <w:rsid w:val="00BE37B5"/>
    <w:rsid w:val="00BE68CB"/>
    <w:rsid w:val="00BE6C43"/>
    <w:rsid w:val="00BE72C1"/>
    <w:rsid w:val="00BF0167"/>
    <w:rsid w:val="00BF0487"/>
    <w:rsid w:val="00BF068B"/>
    <w:rsid w:val="00BF0758"/>
    <w:rsid w:val="00BF1910"/>
    <w:rsid w:val="00BF3187"/>
    <w:rsid w:val="00BF3534"/>
    <w:rsid w:val="00BF3A38"/>
    <w:rsid w:val="00BF53BC"/>
    <w:rsid w:val="00BF66A4"/>
    <w:rsid w:val="00C01E85"/>
    <w:rsid w:val="00C033B9"/>
    <w:rsid w:val="00C058EF"/>
    <w:rsid w:val="00C05FDC"/>
    <w:rsid w:val="00C0651B"/>
    <w:rsid w:val="00C06D94"/>
    <w:rsid w:val="00C06DD8"/>
    <w:rsid w:val="00C07568"/>
    <w:rsid w:val="00C07F2F"/>
    <w:rsid w:val="00C153C9"/>
    <w:rsid w:val="00C22C85"/>
    <w:rsid w:val="00C242C9"/>
    <w:rsid w:val="00C248B1"/>
    <w:rsid w:val="00C271E9"/>
    <w:rsid w:val="00C27D73"/>
    <w:rsid w:val="00C31450"/>
    <w:rsid w:val="00C321CB"/>
    <w:rsid w:val="00C35FA7"/>
    <w:rsid w:val="00C3725E"/>
    <w:rsid w:val="00C412E3"/>
    <w:rsid w:val="00C43319"/>
    <w:rsid w:val="00C439FB"/>
    <w:rsid w:val="00C51EFC"/>
    <w:rsid w:val="00C53641"/>
    <w:rsid w:val="00C54226"/>
    <w:rsid w:val="00C548B8"/>
    <w:rsid w:val="00C54E31"/>
    <w:rsid w:val="00C54FCB"/>
    <w:rsid w:val="00C56B57"/>
    <w:rsid w:val="00C6020B"/>
    <w:rsid w:val="00C664E5"/>
    <w:rsid w:val="00C66917"/>
    <w:rsid w:val="00C70491"/>
    <w:rsid w:val="00C70F3B"/>
    <w:rsid w:val="00C75E4A"/>
    <w:rsid w:val="00C762F4"/>
    <w:rsid w:val="00C80A70"/>
    <w:rsid w:val="00C813A3"/>
    <w:rsid w:val="00C82B8C"/>
    <w:rsid w:val="00C85799"/>
    <w:rsid w:val="00C92A4F"/>
    <w:rsid w:val="00C93FA1"/>
    <w:rsid w:val="00C95B64"/>
    <w:rsid w:val="00CA1255"/>
    <w:rsid w:val="00CA1D2F"/>
    <w:rsid w:val="00CA2D2C"/>
    <w:rsid w:val="00CA2F03"/>
    <w:rsid w:val="00CA3C34"/>
    <w:rsid w:val="00CA4329"/>
    <w:rsid w:val="00CA7F68"/>
    <w:rsid w:val="00CB16EC"/>
    <w:rsid w:val="00CB51B4"/>
    <w:rsid w:val="00CB71BB"/>
    <w:rsid w:val="00CB7955"/>
    <w:rsid w:val="00CC28D5"/>
    <w:rsid w:val="00CC7041"/>
    <w:rsid w:val="00CC76CE"/>
    <w:rsid w:val="00CC7AED"/>
    <w:rsid w:val="00CD02FA"/>
    <w:rsid w:val="00CD0C7E"/>
    <w:rsid w:val="00CD143C"/>
    <w:rsid w:val="00CD24F6"/>
    <w:rsid w:val="00CD6449"/>
    <w:rsid w:val="00CE03B7"/>
    <w:rsid w:val="00CE11CC"/>
    <w:rsid w:val="00CE251A"/>
    <w:rsid w:val="00CE362F"/>
    <w:rsid w:val="00CE5D77"/>
    <w:rsid w:val="00CE618B"/>
    <w:rsid w:val="00CE7043"/>
    <w:rsid w:val="00CF1431"/>
    <w:rsid w:val="00CF1AC6"/>
    <w:rsid w:val="00CF5C4F"/>
    <w:rsid w:val="00CF6B0C"/>
    <w:rsid w:val="00CF73B3"/>
    <w:rsid w:val="00CF7DFC"/>
    <w:rsid w:val="00D04CD4"/>
    <w:rsid w:val="00D0503D"/>
    <w:rsid w:val="00D07E4F"/>
    <w:rsid w:val="00D134B0"/>
    <w:rsid w:val="00D13EB0"/>
    <w:rsid w:val="00D15465"/>
    <w:rsid w:val="00D16199"/>
    <w:rsid w:val="00D16427"/>
    <w:rsid w:val="00D16818"/>
    <w:rsid w:val="00D16AC0"/>
    <w:rsid w:val="00D22C4D"/>
    <w:rsid w:val="00D24CE2"/>
    <w:rsid w:val="00D27FE8"/>
    <w:rsid w:val="00D31FFE"/>
    <w:rsid w:val="00D33613"/>
    <w:rsid w:val="00D403B2"/>
    <w:rsid w:val="00D40496"/>
    <w:rsid w:val="00D43103"/>
    <w:rsid w:val="00D5086B"/>
    <w:rsid w:val="00D50941"/>
    <w:rsid w:val="00D52D8C"/>
    <w:rsid w:val="00D57564"/>
    <w:rsid w:val="00D57CAF"/>
    <w:rsid w:val="00D629F1"/>
    <w:rsid w:val="00D64808"/>
    <w:rsid w:val="00D64CF3"/>
    <w:rsid w:val="00D654BB"/>
    <w:rsid w:val="00D660EE"/>
    <w:rsid w:val="00D70225"/>
    <w:rsid w:val="00D70637"/>
    <w:rsid w:val="00D708F2"/>
    <w:rsid w:val="00D723FD"/>
    <w:rsid w:val="00D731B0"/>
    <w:rsid w:val="00D74831"/>
    <w:rsid w:val="00D767B5"/>
    <w:rsid w:val="00D76D4C"/>
    <w:rsid w:val="00D7768F"/>
    <w:rsid w:val="00D776AC"/>
    <w:rsid w:val="00D80D03"/>
    <w:rsid w:val="00D816BD"/>
    <w:rsid w:val="00D82D25"/>
    <w:rsid w:val="00D8364E"/>
    <w:rsid w:val="00D86EF0"/>
    <w:rsid w:val="00D877E4"/>
    <w:rsid w:val="00D910E3"/>
    <w:rsid w:val="00D93892"/>
    <w:rsid w:val="00D95B09"/>
    <w:rsid w:val="00D9624E"/>
    <w:rsid w:val="00D97573"/>
    <w:rsid w:val="00DA200D"/>
    <w:rsid w:val="00DA25B6"/>
    <w:rsid w:val="00DA27C5"/>
    <w:rsid w:val="00DB0439"/>
    <w:rsid w:val="00DB0FE6"/>
    <w:rsid w:val="00DB3EC4"/>
    <w:rsid w:val="00DB3F6E"/>
    <w:rsid w:val="00DB4516"/>
    <w:rsid w:val="00DB5F57"/>
    <w:rsid w:val="00DB6CF0"/>
    <w:rsid w:val="00DC2690"/>
    <w:rsid w:val="00DC2F82"/>
    <w:rsid w:val="00DC315B"/>
    <w:rsid w:val="00DC34DE"/>
    <w:rsid w:val="00DC6474"/>
    <w:rsid w:val="00DC7CEE"/>
    <w:rsid w:val="00DD6852"/>
    <w:rsid w:val="00DE0B65"/>
    <w:rsid w:val="00DE0F20"/>
    <w:rsid w:val="00DE3075"/>
    <w:rsid w:val="00DE62AF"/>
    <w:rsid w:val="00DE645D"/>
    <w:rsid w:val="00E01F3F"/>
    <w:rsid w:val="00E04EB9"/>
    <w:rsid w:val="00E05041"/>
    <w:rsid w:val="00E06400"/>
    <w:rsid w:val="00E11896"/>
    <w:rsid w:val="00E13501"/>
    <w:rsid w:val="00E160A0"/>
    <w:rsid w:val="00E16921"/>
    <w:rsid w:val="00E212A7"/>
    <w:rsid w:val="00E21659"/>
    <w:rsid w:val="00E347E7"/>
    <w:rsid w:val="00E35385"/>
    <w:rsid w:val="00E362C9"/>
    <w:rsid w:val="00E36738"/>
    <w:rsid w:val="00E37B6A"/>
    <w:rsid w:val="00E408BF"/>
    <w:rsid w:val="00E40D62"/>
    <w:rsid w:val="00E4225A"/>
    <w:rsid w:val="00E423A8"/>
    <w:rsid w:val="00E42B8B"/>
    <w:rsid w:val="00E437A6"/>
    <w:rsid w:val="00E43F7F"/>
    <w:rsid w:val="00E469BC"/>
    <w:rsid w:val="00E520F5"/>
    <w:rsid w:val="00E54612"/>
    <w:rsid w:val="00E56F30"/>
    <w:rsid w:val="00E578AC"/>
    <w:rsid w:val="00E60057"/>
    <w:rsid w:val="00E6522A"/>
    <w:rsid w:val="00E672D3"/>
    <w:rsid w:val="00E676DA"/>
    <w:rsid w:val="00E7058F"/>
    <w:rsid w:val="00E73C36"/>
    <w:rsid w:val="00E7498F"/>
    <w:rsid w:val="00E76A2E"/>
    <w:rsid w:val="00E773A3"/>
    <w:rsid w:val="00E7797B"/>
    <w:rsid w:val="00E82099"/>
    <w:rsid w:val="00E84522"/>
    <w:rsid w:val="00E8489E"/>
    <w:rsid w:val="00E90E1D"/>
    <w:rsid w:val="00E92A25"/>
    <w:rsid w:val="00E97DB4"/>
    <w:rsid w:val="00EA0E21"/>
    <w:rsid w:val="00EA2D94"/>
    <w:rsid w:val="00EA7AA0"/>
    <w:rsid w:val="00EB608A"/>
    <w:rsid w:val="00EB6BA5"/>
    <w:rsid w:val="00EB7F43"/>
    <w:rsid w:val="00EC019B"/>
    <w:rsid w:val="00EC2687"/>
    <w:rsid w:val="00EC2DEB"/>
    <w:rsid w:val="00EC53DA"/>
    <w:rsid w:val="00EC67D9"/>
    <w:rsid w:val="00EC7758"/>
    <w:rsid w:val="00EC7C69"/>
    <w:rsid w:val="00ED0F9E"/>
    <w:rsid w:val="00ED1459"/>
    <w:rsid w:val="00ED3124"/>
    <w:rsid w:val="00ED32F0"/>
    <w:rsid w:val="00ED4E8C"/>
    <w:rsid w:val="00EE127E"/>
    <w:rsid w:val="00EE3927"/>
    <w:rsid w:val="00EE5F4E"/>
    <w:rsid w:val="00EF2B82"/>
    <w:rsid w:val="00EF302E"/>
    <w:rsid w:val="00EF3BDE"/>
    <w:rsid w:val="00EF3EA2"/>
    <w:rsid w:val="00EF634D"/>
    <w:rsid w:val="00EF692C"/>
    <w:rsid w:val="00F010E2"/>
    <w:rsid w:val="00F01C1A"/>
    <w:rsid w:val="00F02DEB"/>
    <w:rsid w:val="00F02E6E"/>
    <w:rsid w:val="00F03F21"/>
    <w:rsid w:val="00F03FFC"/>
    <w:rsid w:val="00F0587A"/>
    <w:rsid w:val="00F06EEF"/>
    <w:rsid w:val="00F07FD1"/>
    <w:rsid w:val="00F12167"/>
    <w:rsid w:val="00F13014"/>
    <w:rsid w:val="00F13892"/>
    <w:rsid w:val="00F14121"/>
    <w:rsid w:val="00F14AC9"/>
    <w:rsid w:val="00F15409"/>
    <w:rsid w:val="00F22C15"/>
    <w:rsid w:val="00F2419D"/>
    <w:rsid w:val="00F254C7"/>
    <w:rsid w:val="00F258EC"/>
    <w:rsid w:val="00F26EC3"/>
    <w:rsid w:val="00F309AF"/>
    <w:rsid w:val="00F33A00"/>
    <w:rsid w:val="00F342CB"/>
    <w:rsid w:val="00F34395"/>
    <w:rsid w:val="00F34995"/>
    <w:rsid w:val="00F3696C"/>
    <w:rsid w:val="00F378E6"/>
    <w:rsid w:val="00F4019C"/>
    <w:rsid w:val="00F40C3E"/>
    <w:rsid w:val="00F4202F"/>
    <w:rsid w:val="00F43C57"/>
    <w:rsid w:val="00F43FFF"/>
    <w:rsid w:val="00F46AEE"/>
    <w:rsid w:val="00F47846"/>
    <w:rsid w:val="00F530DF"/>
    <w:rsid w:val="00F53866"/>
    <w:rsid w:val="00F54D4E"/>
    <w:rsid w:val="00F56F21"/>
    <w:rsid w:val="00F60470"/>
    <w:rsid w:val="00F62704"/>
    <w:rsid w:val="00F63765"/>
    <w:rsid w:val="00F6411D"/>
    <w:rsid w:val="00F66BAB"/>
    <w:rsid w:val="00F673BC"/>
    <w:rsid w:val="00F67FCC"/>
    <w:rsid w:val="00F71D00"/>
    <w:rsid w:val="00F8381C"/>
    <w:rsid w:val="00F83EE2"/>
    <w:rsid w:val="00F84E93"/>
    <w:rsid w:val="00F856C4"/>
    <w:rsid w:val="00F87083"/>
    <w:rsid w:val="00F9144C"/>
    <w:rsid w:val="00F928AC"/>
    <w:rsid w:val="00F9290D"/>
    <w:rsid w:val="00F92FC8"/>
    <w:rsid w:val="00F954E3"/>
    <w:rsid w:val="00F95B9D"/>
    <w:rsid w:val="00F97A49"/>
    <w:rsid w:val="00FA01DB"/>
    <w:rsid w:val="00FA23A9"/>
    <w:rsid w:val="00FA2797"/>
    <w:rsid w:val="00FA3CFF"/>
    <w:rsid w:val="00FA3D90"/>
    <w:rsid w:val="00FA3DDB"/>
    <w:rsid w:val="00FA62B3"/>
    <w:rsid w:val="00FB057D"/>
    <w:rsid w:val="00FB1D47"/>
    <w:rsid w:val="00FB2085"/>
    <w:rsid w:val="00FB6BB2"/>
    <w:rsid w:val="00FB71E2"/>
    <w:rsid w:val="00FB793C"/>
    <w:rsid w:val="00FC27F8"/>
    <w:rsid w:val="00FC3F80"/>
    <w:rsid w:val="00FC542B"/>
    <w:rsid w:val="00FC5A4E"/>
    <w:rsid w:val="00FD110D"/>
    <w:rsid w:val="00FD1D64"/>
    <w:rsid w:val="00FD2B49"/>
    <w:rsid w:val="00FE1681"/>
    <w:rsid w:val="00FE62AF"/>
    <w:rsid w:val="00FF07DA"/>
    <w:rsid w:val="00FF336F"/>
    <w:rsid w:val="00FF3787"/>
    <w:rsid w:val="00FF429D"/>
    <w:rsid w:val="00FF476D"/>
    <w:rsid w:val="00FF4CE4"/>
    <w:rsid w:val="00FF510F"/>
    <w:rsid w:val="041532AF"/>
    <w:rsid w:val="103537C6"/>
    <w:rsid w:val="107F6913"/>
    <w:rsid w:val="1D3407A3"/>
    <w:rsid w:val="221D1711"/>
    <w:rsid w:val="23D71AF9"/>
    <w:rsid w:val="24F47900"/>
    <w:rsid w:val="256C48DC"/>
    <w:rsid w:val="25C13A4C"/>
    <w:rsid w:val="25CD40A6"/>
    <w:rsid w:val="265F7320"/>
    <w:rsid w:val="26A427CC"/>
    <w:rsid w:val="27434DB4"/>
    <w:rsid w:val="28040C15"/>
    <w:rsid w:val="29F762BC"/>
    <w:rsid w:val="2B0C55CA"/>
    <w:rsid w:val="2CD87DED"/>
    <w:rsid w:val="30D84D01"/>
    <w:rsid w:val="34D72AFA"/>
    <w:rsid w:val="35D01B33"/>
    <w:rsid w:val="369530AE"/>
    <w:rsid w:val="3991180D"/>
    <w:rsid w:val="3CD73D9A"/>
    <w:rsid w:val="44D777C8"/>
    <w:rsid w:val="46812423"/>
    <w:rsid w:val="47AE31B1"/>
    <w:rsid w:val="48D92773"/>
    <w:rsid w:val="4BD93EAB"/>
    <w:rsid w:val="53A9718A"/>
    <w:rsid w:val="589D2B8C"/>
    <w:rsid w:val="5C8929E3"/>
    <w:rsid w:val="5F061996"/>
    <w:rsid w:val="6375705B"/>
    <w:rsid w:val="63BF45E5"/>
    <w:rsid w:val="63E72823"/>
    <w:rsid w:val="65BB0967"/>
    <w:rsid w:val="66C07F14"/>
    <w:rsid w:val="66D7010C"/>
    <w:rsid w:val="69D17AB0"/>
    <w:rsid w:val="6A660AEF"/>
    <w:rsid w:val="6CED7022"/>
    <w:rsid w:val="79221B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CE22F7F"/>
  <w14:defaultImageDpi w14:val="330"/>
  <w15:docId w15:val="{D46F5234-5BE6-4703-926A-EEB785692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B34CAC"/>
    <w:pPr>
      <w:widowControl w:val="0"/>
      <w:jc w:val="both"/>
    </w:pPr>
    <w:rPr>
      <w:kern w:val="2"/>
      <w:sz w:val="21"/>
      <w:szCs w:val="24"/>
    </w:rPr>
  </w:style>
  <w:style w:type="paragraph" w:styleId="1">
    <w:name w:val="heading 1"/>
    <w:basedOn w:val="a0"/>
    <w:next w:val="a0"/>
    <w:link w:val="10"/>
    <w:qFormat/>
    <w:pPr>
      <w:keepNext/>
      <w:keepLines/>
      <w:spacing w:before="340" w:after="330" w:line="578" w:lineRule="auto"/>
      <w:outlineLvl w:val="0"/>
    </w:pPr>
    <w:rPr>
      <w:b/>
      <w:bCs/>
      <w:kern w:val="44"/>
      <w:sz w:val="44"/>
      <w:szCs w:val="44"/>
    </w:rPr>
  </w:style>
  <w:style w:type="paragraph" w:styleId="2">
    <w:name w:val="heading 2"/>
    <w:basedOn w:val="a0"/>
    <w:next w:val="a0"/>
    <w:link w:val="20"/>
    <w:qFormat/>
    <w:pPr>
      <w:keepNext/>
      <w:keepLines/>
      <w:spacing w:before="260" w:after="260" w:line="416" w:lineRule="auto"/>
      <w:outlineLvl w:val="1"/>
    </w:pPr>
    <w:rPr>
      <w:rFonts w:ascii="Cambria" w:hAnsi="Cambria"/>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Pr>
      <w:color w:val="0000FF"/>
      <w:u w:val="single"/>
    </w:rPr>
  </w:style>
  <w:style w:type="character" w:styleId="a5">
    <w:name w:val="footnote reference"/>
    <w:semiHidden/>
    <w:rPr>
      <w:vertAlign w:val="superscript"/>
    </w:rPr>
  </w:style>
  <w:style w:type="character" w:styleId="a6">
    <w:name w:val="annotation reference"/>
    <w:semiHidden/>
    <w:rPr>
      <w:sz w:val="21"/>
      <w:szCs w:val="21"/>
    </w:rPr>
  </w:style>
  <w:style w:type="character" w:styleId="a7">
    <w:name w:val="page number"/>
    <w:basedOn w:val="a1"/>
  </w:style>
  <w:style w:type="character" w:customStyle="1" w:styleId="a8">
    <w:name w:val="页脚 字符"/>
    <w:link w:val="a9"/>
    <w:locked/>
    <w:rPr>
      <w:kern w:val="2"/>
      <w:sz w:val="18"/>
      <w:szCs w:val="18"/>
    </w:rPr>
  </w:style>
  <w:style w:type="character" w:customStyle="1" w:styleId="aa">
    <w:name w:val="页眉 字符"/>
    <w:link w:val="ab"/>
    <w:semiHidden/>
    <w:locked/>
    <w:rPr>
      <w:rFonts w:eastAsia="宋体"/>
      <w:kern w:val="2"/>
      <w:sz w:val="18"/>
      <w:szCs w:val="18"/>
      <w:lang w:val="en-US" w:eastAsia="zh-CN" w:bidi="ar-SA"/>
    </w:rPr>
  </w:style>
  <w:style w:type="character" w:customStyle="1" w:styleId="10">
    <w:name w:val="标题 1 字符"/>
    <w:link w:val="1"/>
    <w:rPr>
      <w:b/>
      <w:bCs/>
      <w:kern w:val="44"/>
      <w:sz w:val="44"/>
      <w:szCs w:val="44"/>
    </w:rPr>
  </w:style>
  <w:style w:type="character" w:customStyle="1" w:styleId="CharChar2">
    <w:name w:val="Char Char2"/>
    <w:locked/>
    <w:rPr>
      <w:rFonts w:eastAsia="宋体"/>
      <w:kern w:val="2"/>
      <w:sz w:val="18"/>
      <w:szCs w:val="18"/>
      <w:lang w:val="en-US" w:eastAsia="zh-CN" w:bidi="ar-SA"/>
    </w:rPr>
  </w:style>
  <w:style w:type="character" w:customStyle="1" w:styleId="11">
    <w:name w:val="未处理的提及1"/>
    <w:uiPriority w:val="99"/>
    <w:unhideWhenUsed/>
    <w:rPr>
      <w:color w:val="605E5C"/>
      <w:shd w:val="clear" w:color="auto" w:fill="E1DFDD"/>
    </w:rPr>
  </w:style>
  <w:style w:type="character" w:customStyle="1" w:styleId="20">
    <w:name w:val="标题 2 字符"/>
    <w:link w:val="2"/>
    <w:rPr>
      <w:rFonts w:ascii="Cambria" w:hAnsi="Cambria"/>
      <w:b/>
      <w:bCs/>
      <w:kern w:val="2"/>
      <w:sz w:val="32"/>
      <w:szCs w:val="32"/>
    </w:rPr>
  </w:style>
  <w:style w:type="paragraph" w:styleId="a9">
    <w:name w:val="footer"/>
    <w:basedOn w:val="a0"/>
    <w:link w:val="a8"/>
    <w:pPr>
      <w:tabs>
        <w:tab w:val="center" w:pos="4153"/>
        <w:tab w:val="right" w:pos="8306"/>
      </w:tabs>
      <w:snapToGrid w:val="0"/>
      <w:jc w:val="left"/>
    </w:pPr>
    <w:rPr>
      <w:sz w:val="18"/>
      <w:szCs w:val="18"/>
    </w:rPr>
  </w:style>
  <w:style w:type="paragraph" w:styleId="ac">
    <w:name w:val="Balloon Text"/>
    <w:basedOn w:val="a0"/>
    <w:semiHidden/>
    <w:rPr>
      <w:sz w:val="18"/>
      <w:szCs w:val="18"/>
    </w:rPr>
  </w:style>
  <w:style w:type="paragraph" w:styleId="ad">
    <w:name w:val="annotation text"/>
    <w:basedOn w:val="a0"/>
    <w:semiHidden/>
    <w:pPr>
      <w:jc w:val="left"/>
    </w:pPr>
  </w:style>
  <w:style w:type="paragraph" w:styleId="ae">
    <w:name w:val="Normal (Web)"/>
    <w:basedOn w:val="a0"/>
    <w:uiPriority w:val="99"/>
    <w:unhideWhenUsed/>
    <w:pPr>
      <w:spacing w:before="100" w:beforeAutospacing="1" w:after="100" w:afterAutospacing="1"/>
      <w:jc w:val="left"/>
    </w:pPr>
    <w:rPr>
      <w:kern w:val="0"/>
      <w:sz w:val="24"/>
    </w:rPr>
  </w:style>
  <w:style w:type="paragraph" w:styleId="af">
    <w:name w:val="footnote text"/>
    <w:basedOn w:val="a0"/>
    <w:semiHidden/>
    <w:pPr>
      <w:snapToGrid w:val="0"/>
      <w:jc w:val="left"/>
    </w:pPr>
    <w:rPr>
      <w:sz w:val="18"/>
      <w:szCs w:val="18"/>
    </w:rPr>
  </w:style>
  <w:style w:type="paragraph" w:styleId="ab">
    <w:name w:val="header"/>
    <w:basedOn w:val="a0"/>
    <w:link w:val="aa"/>
    <w:pPr>
      <w:pBdr>
        <w:bottom w:val="single" w:sz="6" w:space="1" w:color="auto"/>
      </w:pBdr>
      <w:tabs>
        <w:tab w:val="center" w:pos="4153"/>
        <w:tab w:val="right" w:pos="8306"/>
      </w:tabs>
      <w:snapToGrid w:val="0"/>
      <w:jc w:val="center"/>
    </w:pPr>
    <w:rPr>
      <w:sz w:val="18"/>
      <w:szCs w:val="18"/>
    </w:rPr>
  </w:style>
  <w:style w:type="paragraph" w:styleId="af0">
    <w:name w:val="annotation subject"/>
    <w:basedOn w:val="ad"/>
    <w:next w:val="ad"/>
    <w:semiHidden/>
    <w:rPr>
      <w:b/>
      <w:bCs/>
    </w:rPr>
  </w:style>
  <w:style w:type="paragraph" w:customStyle="1" w:styleId="Char">
    <w:name w:val="Char"/>
    <w:basedOn w:val="a0"/>
    <w:pPr>
      <w:widowControl/>
      <w:spacing w:after="160" w:line="240" w:lineRule="exact"/>
      <w:jc w:val="left"/>
    </w:pPr>
    <w:rPr>
      <w:rFonts w:ascii="Verdana" w:eastAsia="仿宋_GB2312" w:hAnsi="Verdana"/>
      <w:kern w:val="0"/>
      <w:sz w:val="24"/>
      <w:szCs w:val="20"/>
      <w:lang w:eastAsia="en-US"/>
    </w:rPr>
  </w:style>
  <w:style w:type="paragraph" w:customStyle="1" w:styleId="p0">
    <w:name w:val="p0"/>
    <w:basedOn w:val="a0"/>
    <w:qFormat/>
    <w:pPr>
      <w:widowControl/>
    </w:pPr>
    <w:rPr>
      <w:kern w:val="0"/>
      <w:szCs w:val="21"/>
    </w:rPr>
  </w:style>
  <w:style w:type="table" w:styleId="af1">
    <w:name w:val="Table Grid"/>
    <w:basedOn w:val="a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2">
    <w:name w:val="Table Classic 1"/>
    <w:basedOn w:val="a2"/>
    <w:pPr>
      <w:widowControl w:val="0"/>
      <w:jc w:val="both"/>
    </w:pPr>
    <w:tblPr>
      <w:tblBorders>
        <w:top w:val="single" w:sz="12" w:space="0" w:color="000000"/>
        <w:bottom w:val="single" w:sz="12" w:space="0" w:color="000000"/>
      </w:tblBorders>
    </w:tblPr>
    <w:tcPr>
      <w:shd w:val="clear" w:color="auto" w:fill="auto"/>
    </w:tcPr>
    <w:tblStylePr w:type="firstRow">
      <w:rPr>
        <w:i/>
        <w:iCs/>
      </w:rPr>
      <w:tblPr/>
      <w:tcPr>
        <w:tcBorders>
          <w:top w:val="nil"/>
          <w:left w:val="nil"/>
          <w:bottom w:val="single" w:sz="6" w:space="0" w:color="000000"/>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tblPr/>
      <w:tcPr>
        <w:tcBorders>
          <w:top w:val="nil"/>
          <w:left w:val="nil"/>
          <w:bottom w:val="nil"/>
          <w:right w:val="single" w:sz="6" w:space="0" w:color="00000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paragraph" w:customStyle="1" w:styleId="af2">
    <w:name w:val="（中）标题样式"/>
    <w:rsid w:val="001B5BD9"/>
    <w:pPr>
      <w:jc w:val="center"/>
    </w:pPr>
    <w:rPr>
      <w:rFonts w:hAnsi="黑体"/>
      <w:b/>
      <w:kern w:val="2"/>
      <w:sz w:val="36"/>
      <w:szCs w:val="36"/>
    </w:rPr>
  </w:style>
  <w:style w:type="paragraph" w:customStyle="1" w:styleId="af3">
    <w:name w:val="（中）作者姓名样式"/>
    <w:rsid w:val="001B5BD9"/>
    <w:pPr>
      <w:jc w:val="center"/>
    </w:pPr>
    <w:rPr>
      <w:rFonts w:eastAsia="楷体_GB2312" w:hAnsi="STKaiti"/>
      <w:kern w:val="2"/>
      <w:sz w:val="21"/>
      <w:szCs w:val="21"/>
    </w:rPr>
  </w:style>
  <w:style w:type="paragraph" w:customStyle="1" w:styleId="af4">
    <w:name w:val="（中）作者单位样式"/>
    <w:rsid w:val="00774CB3"/>
    <w:pPr>
      <w:jc w:val="center"/>
    </w:pPr>
    <w:rPr>
      <w:rFonts w:hAnsi="宋体"/>
      <w:kern w:val="2"/>
      <w:sz w:val="18"/>
      <w:szCs w:val="18"/>
    </w:rPr>
  </w:style>
  <w:style w:type="character" w:customStyle="1" w:styleId="af5">
    <w:name w:val="中文摘要特征词样式"/>
    <w:basedOn w:val="a1"/>
    <w:rsid w:val="003E0DA2"/>
    <w:rPr>
      <w:rFonts w:ascii="黑体" w:eastAsia="黑体" w:hAnsi="黑体"/>
    </w:rPr>
  </w:style>
  <w:style w:type="character" w:customStyle="1" w:styleId="af6">
    <w:name w:val="中文关键词特征词样式"/>
    <w:basedOn w:val="a1"/>
    <w:rsid w:val="003E0DA2"/>
    <w:rPr>
      <w:rFonts w:ascii="黑体" w:eastAsia="黑体" w:hAnsi="黑体"/>
    </w:rPr>
  </w:style>
  <w:style w:type="character" w:customStyle="1" w:styleId="af7">
    <w:name w:val="（中）关键词样式"/>
    <w:rsid w:val="00B77620"/>
    <w:rPr>
      <w:rFonts w:eastAsia="仿宋" w:hAnsi="楷体"/>
      <w:b w:val="0"/>
      <w:sz w:val="18"/>
    </w:rPr>
  </w:style>
  <w:style w:type="paragraph" w:customStyle="1" w:styleId="af8">
    <w:name w:val="（英）标题样式"/>
    <w:qFormat/>
    <w:rsid w:val="00BC62FB"/>
    <w:pPr>
      <w:spacing w:line="360" w:lineRule="exact"/>
      <w:jc w:val="center"/>
      <w:outlineLvl w:val="0"/>
    </w:pPr>
    <w:rPr>
      <w:b/>
      <w:kern w:val="2"/>
      <w:sz w:val="24"/>
      <w:szCs w:val="24"/>
    </w:rPr>
  </w:style>
  <w:style w:type="paragraph" w:customStyle="1" w:styleId="af9">
    <w:name w:val="（英）作者姓名样式"/>
    <w:rsid w:val="00AA6517"/>
    <w:pPr>
      <w:jc w:val="center"/>
    </w:pPr>
    <w:rPr>
      <w:rFonts w:ascii="Arial" w:eastAsia="黑体" w:hAnsi="Arial"/>
      <w:spacing w:val="-4"/>
      <w:kern w:val="2"/>
      <w:sz w:val="15"/>
      <w:szCs w:val="21"/>
    </w:rPr>
  </w:style>
  <w:style w:type="paragraph" w:customStyle="1" w:styleId="afa">
    <w:name w:val="（英）作者单位样式"/>
    <w:basedOn w:val="af9"/>
    <w:qFormat/>
    <w:rsid w:val="00A96E45"/>
    <w:rPr>
      <w:szCs w:val="24"/>
    </w:rPr>
  </w:style>
  <w:style w:type="character" w:customStyle="1" w:styleId="afb">
    <w:name w:val="英文摘要特征词样式"/>
    <w:basedOn w:val="a1"/>
    <w:rsid w:val="0049594A"/>
    <w:rPr>
      <w:b/>
    </w:rPr>
  </w:style>
  <w:style w:type="character" w:customStyle="1" w:styleId="afc">
    <w:name w:val="英文关键词特征词样式"/>
    <w:basedOn w:val="a1"/>
    <w:rsid w:val="0049594A"/>
    <w:rPr>
      <w:b/>
    </w:rPr>
  </w:style>
  <w:style w:type="character" w:customStyle="1" w:styleId="afd">
    <w:name w:val="（英）关键词样式"/>
    <w:basedOn w:val="a1"/>
    <w:rsid w:val="003334EB"/>
    <w:rPr>
      <w:rFonts w:eastAsiaTheme="minorEastAsia"/>
      <w:kern w:val="0"/>
      <w:sz w:val="15"/>
    </w:rPr>
  </w:style>
  <w:style w:type="paragraph" w:customStyle="1" w:styleId="afe">
    <w:name w:val="正文样式"/>
    <w:basedOn w:val="a0"/>
    <w:link w:val="aff"/>
    <w:rsid w:val="00B47711"/>
    <w:pPr>
      <w:autoSpaceDE w:val="0"/>
      <w:autoSpaceDN w:val="0"/>
      <w:ind w:firstLineChars="200" w:firstLine="200"/>
    </w:pPr>
  </w:style>
  <w:style w:type="paragraph" w:customStyle="1" w:styleId="aff0">
    <w:name w:val="一级标题样式"/>
    <w:rsid w:val="00146F89"/>
    <w:pPr>
      <w:spacing w:beforeLines="50" w:before="50" w:afterLines="50" w:after="50"/>
      <w:jc w:val="both"/>
    </w:pPr>
    <w:rPr>
      <w:b/>
      <w:kern w:val="2"/>
      <w:sz w:val="24"/>
      <w:szCs w:val="24"/>
    </w:rPr>
  </w:style>
  <w:style w:type="paragraph" w:customStyle="1" w:styleId="aff1">
    <w:name w:val="二级标题样式"/>
    <w:rsid w:val="00146F89"/>
    <w:pPr>
      <w:jc w:val="both"/>
    </w:pPr>
    <w:rPr>
      <w:rFonts w:eastAsia="黑体"/>
      <w:b/>
      <w:kern w:val="2"/>
      <w:sz w:val="21"/>
      <w:szCs w:val="24"/>
    </w:rPr>
  </w:style>
  <w:style w:type="paragraph" w:customStyle="1" w:styleId="aff2">
    <w:name w:val="三级标题样式"/>
    <w:rsid w:val="00BD0CCB"/>
    <w:pPr>
      <w:jc w:val="both"/>
    </w:pPr>
    <w:rPr>
      <w:kern w:val="2"/>
      <w:sz w:val="21"/>
      <w:szCs w:val="24"/>
    </w:rPr>
  </w:style>
  <w:style w:type="character" w:customStyle="1" w:styleId="aff3">
    <w:name w:val="（中）收稿日期样式"/>
    <w:basedOn w:val="a1"/>
    <w:rsid w:val="00B77620"/>
    <w:rPr>
      <w:rFonts w:ascii="Times New Roman" w:eastAsia="宋体" w:hAnsi="Times New Roman"/>
      <w:sz w:val="18"/>
      <w:szCs w:val="16"/>
    </w:rPr>
  </w:style>
  <w:style w:type="character" w:customStyle="1" w:styleId="aff4">
    <w:name w:val="（中）基金项目样式"/>
    <w:basedOn w:val="a1"/>
    <w:rsid w:val="00B77620"/>
    <w:rPr>
      <w:rFonts w:ascii="Times New Roman" w:eastAsia="宋体" w:hAnsi="Times New Roman"/>
      <w:sz w:val="18"/>
      <w:szCs w:val="16"/>
    </w:rPr>
  </w:style>
  <w:style w:type="character" w:customStyle="1" w:styleId="aff5">
    <w:name w:val="并列作者样式"/>
    <w:basedOn w:val="a1"/>
    <w:rsid w:val="00E8489E"/>
    <w:rPr>
      <w:rFonts w:ascii="Times New Roman" w:eastAsia="宋体" w:hAnsi="Times New Roman"/>
      <w:sz w:val="18"/>
      <w:szCs w:val="18"/>
    </w:rPr>
  </w:style>
  <w:style w:type="character" w:customStyle="1" w:styleId="aff6">
    <w:name w:val="（中）栏目样式"/>
    <w:basedOn w:val="a1"/>
    <w:rsid w:val="000F1223"/>
  </w:style>
  <w:style w:type="character" w:customStyle="1" w:styleId="aff7">
    <w:name w:val="中图分类号样式"/>
    <w:basedOn w:val="a1"/>
    <w:uiPriority w:val="1"/>
    <w:qFormat/>
    <w:rsid w:val="00716541"/>
  </w:style>
  <w:style w:type="character" w:customStyle="1" w:styleId="aff8">
    <w:name w:val="文献标志码样式"/>
    <w:basedOn w:val="a1"/>
    <w:uiPriority w:val="1"/>
    <w:qFormat/>
    <w:rsid w:val="00AF6261"/>
  </w:style>
  <w:style w:type="character" w:customStyle="1" w:styleId="aff9">
    <w:name w:val="文章编号样式"/>
    <w:basedOn w:val="a1"/>
    <w:uiPriority w:val="1"/>
    <w:qFormat/>
    <w:rsid w:val="00AF6261"/>
  </w:style>
  <w:style w:type="paragraph" w:customStyle="1" w:styleId="affa">
    <w:name w:val="（中）图题样式"/>
    <w:qFormat/>
    <w:rsid w:val="00474452"/>
    <w:pPr>
      <w:jc w:val="center"/>
    </w:pPr>
    <w:rPr>
      <w:b/>
      <w:kern w:val="2"/>
      <w:sz w:val="18"/>
      <w:szCs w:val="18"/>
    </w:rPr>
  </w:style>
  <w:style w:type="paragraph" w:customStyle="1" w:styleId="affb">
    <w:name w:val="（英）图题样式"/>
    <w:qFormat/>
    <w:rsid w:val="00E82099"/>
    <w:pPr>
      <w:jc w:val="center"/>
    </w:pPr>
    <w:rPr>
      <w:b/>
      <w:kern w:val="2"/>
      <w:sz w:val="18"/>
      <w:szCs w:val="18"/>
    </w:rPr>
  </w:style>
  <w:style w:type="paragraph" w:customStyle="1" w:styleId="affc">
    <w:name w:val="（中）表题样式"/>
    <w:link w:val="Char0"/>
    <w:qFormat/>
    <w:rsid w:val="00EF2B82"/>
    <w:pPr>
      <w:jc w:val="center"/>
    </w:pPr>
    <w:rPr>
      <w:b/>
      <w:kern w:val="2"/>
      <w:sz w:val="18"/>
      <w:szCs w:val="18"/>
    </w:rPr>
  </w:style>
  <w:style w:type="paragraph" w:customStyle="1" w:styleId="affd">
    <w:name w:val="（英）表题样式"/>
    <w:qFormat/>
    <w:rsid w:val="00B47711"/>
    <w:pPr>
      <w:jc w:val="center"/>
    </w:pPr>
    <w:rPr>
      <w:b/>
      <w:kern w:val="2"/>
      <w:sz w:val="18"/>
      <w:szCs w:val="18"/>
    </w:rPr>
  </w:style>
  <w:style w:type="paragraph" w:customStyle="1" w:styleId="affe">
    <w:name w:val="表格样式"/>
    <w:qFormat/>
    <w:rsid w:val="00A8579B"/>
    <w:pPr>
      <w:jc w:val="both"/>
    </w:pPr>
    <w:rPr>
      <w:rFonts w:ascii="宋体" w:hAnsi="宋体"/>
      <w:kern w:val="2"/>
      <w:sz w:val="18"/>
      <w:szCs w:val="21"/>
    </w:rPr>
  </w:style>
  <w:style w:type="paragraph" w:customStyle="1" w:styleId="afff">
    <w:name w:val="（中）表注样式"/>
    <w:basedOn w:val="a0"/>
    <w:qFormat/>
    <w:rsid w:val="007A47A7"/>
    <w:rPr>
      <w:rFonts w:hAnsi="宋体"/>
      <w:sz w:val="15"/>
      <w:szCs w:val="15"/>
    </w:rPr>
  </w:style>
  <w:style w:type="paragraph" w:customStyle="1" w:styleId="afff0">
    <w:name w:val="（英）表注样式"/>
    <w:basedOn w:val="afff"/>
    <w:qFormat/>
    <w:rsid w:val="007A47A7"/>
  </w:style>
  <w:style w:type="paragraph" w:customStyle="1" w:styleId="afff1">
    <w:name w:val="（英）图注样式"/>
    <w:basedOn w:val="afff0"/>
    <w:qFormat/>
    <w:rsid w:val="007A47A7"/>
    <w:pPr>
      <w:jc w:val="center"/>
    </w:pPr>
  </w:style>
  <w:style w:type="paragraph" w:customStyle="1" w:styleId="afff2">
    <w:name w:val="（中）图注样式"/>
    <w:qFormat/>
    <w:rsid w:val="00E82099"/>
    <w:pPr>
      <w:jc w:val="center"/>
    </w:pPr>
    <w:rPr>
      <w:rFonts w:hAnsi="宋体"/>
      <w:kern w:val="2"/>
      <w:sz w:val="15"/>
      <w:szCs w:val="15"/>
    </w:rPr>
  </w:style>
  <w:style w:type="paragraph" w:customStyle="1" w:styleId="afff3">
    <w:name w:val="参考文献样式"/>
    <w:basedOn w:val="a0"/>
    <w:rsid w:val="001B6E20"/>
    <w:pPr>
      <w:spacing w:beforeLines="100" w:before="312"/>
      <w:jc w:val="center"/>
    </w:pPr>
    <w:rPr>
      <w:rFonts w:eastAsia="黑体"/>
    </w:rPr>
  </w:style>
  <w:style w:type="paragraph" w:customStyle="1" w:styleId="a">
    <w:name w:val="参考文献内容样式"/>
    <w:basedOn w:val="a0"/>
    <w:qFormat/>
    <w:rsid w:val="001B6E20"/>
    <w:pPr>
      <w:numPr>
        <w:numId w:val="2"/>
      </w:numPr>
      <w:tabs>
        <w:tab w:val="clear" w:pos="473"/>
        <w:tab w:val="left" w:pos="420"/>
      </w:tabs>
      <w:ind w:left="0" w:hangingChars="200" w:hanging="200"/>
    </w:pPr>
    <w:rPr>
      <w:sz w:val="15"/>
      <w:szCs w:val="18"/>
    </w:rPr>
  </w:style>
  <w:style w:type="character" w:customStyle="1" w:styleId="afff4">
    <w:name w:val="（中）通信作者样式"/>
    <w:basedOn w:val="aff5"/>
    <w:uiPriority w:val="1"/>
    <w:qFormat/>
    <w:rsid w:val="009277C8"/>
    <w:rPr>
      <w:rFonts w:ascii="Times New Roman" w:eastAsia="宋体" w:hAnsi="Times New Roman"/>
      <w:sz w:val="18"/>
      <w:szCs w:val="18"/>
    </w:rPr>
  </w:style>
  <w:style w:type="paragraph" w:customStyle="1" w:styleId="afff5">
    <w:name w:val="公式样式"/>
    <w:basedOn w:val="a0"/>
    <w:qFormat/>
    <w:rsid w:val="0026166D"/>
    <w:pPr>
      <w:ind w:left="420" w:firstLineChars="200" w:firstLine="420"/>
    </w:pPr>
  </w:style>
  <w:style w:type="paragraph" w:customStyle="1" w:styleId="DOI">
    <w:name w:val="DOI样式"/>
    <w:qFormat/>
    <w:rsid w:val="008E4686"/>
    <w:pPr>
      <w:jc w:val="both"/>
    </w:pPr>
    <w:rPr>
      <w:kern w:val="2"/>
      <w:sz w:val="18"/>
      <w:szCs w:val="18"/>
    </w:rPr>
  </w:style>
  <w:style w:type="paragraph" w:customStyle="1" w:styleId="afff6">
    <w:name w:val="引用样式"/>
    <w:qFormat/>
    <w:rsid w:val="005B46B1"/>
    <w:pPr>
      <w:jc w:val="both"/>
    </w:pPr>
    <w:rPr>
      <w:kern w:val="2"/>
      <w:sz w:val="18"/>
      <w:szCs w:val="18"/>
    </w:rPr>
  </w:style>
  <w:style w:type="paragraph" w:customStyle="1" w:styleId="CITE">
    <w:name w:val="CITE样式"/>
    <w:qFormat/>
    <w:rsid w:val="005B46B1"/>
    <w:pPr>
      <w:jc w:val="both"/>
    </w:pPr>
    <w:rPr>
      <w:kern w:val="2"/>
      <w:sz w:val="18"/>
      <w:szCs w:val="18"/>
    </w:rPr>
  </w:style>
  <w:style w:type="paragraph" w:customStyle="1" w:styleId="afff7">
    <w:name w:val="（中）副标题样式"/>
    <w:basedOn w:val="a0"/>
    <w:qFormat/>
    <w:rsid w:val="00D57564"/>
    <w:pPr>
      <w:jc w:val="center"/>
    </w:pPr>
    <w:rPr>
      <w:rFonts w:eastAsia="黑体"/>
      <w:sz w:val="24"/>
      <w:szCs w:val="21"/>
    </w:rPr>
  </w:style>
  <w:style w:type="paragraph" w:customStyle="1" w:styleId="afff8">
    <w:name w:val="（英）副标题样式"/>
    <w:basedOn w:val="afff7"/>
    <w:qFormat/>
    <w:rsid w:val="00D57564"/>
  </w:style>
  <w:style w:type="paragraph" w:customStyle="1" w:styleId="afff9">
    <w:name w:val="致谢样式"/>
    <w:qFormat/>
    <w:rsid w:val="00D57564"/>
    <w:pPr>
      <w:jc w:val="both"/>
    </w:pPr>
    <w:rPr>
      <w:b/>
      <w:kern w:val="2"/>
      <w:sz w:val="18"/>
      <w:szCs w:val="18"/>
    </w:rPr>
  </w:style>
  <w:style w:type="paragraph" w:customStyle="1" w:styleId="afffa">
    <w:name w:val="编辑样式"/>
    <w:qFormat/>
    <w:rsid w:val="00D57564"/>
    <w:pPr>
      <w:jc w:val="right"/>
    </w:pPr>
    <w:rPr>
      <w:b/>
      <w:kern w:val="2"/>
      <w:sz w:val="18"/>
      <w:szCs w:val="18"/>
    </w:rPr>
  </w:style>
  <w:style w:type="character" w:customStyle="1" w:styleId="afffb">
    <w:name w:val="一级标题序号样式"/>
    <w:basedOn w:val="a1"/>
    <w:uiPriority w:val="1"/>
    <w:qFormat/>
    <w:rsid w:val="00146F89"/>
    <w:rPr>
      <w:rFonts w:ascii="Times New Roman" w:hAnsi="Times New Roman"/>
      <w:b/>
      <w:sz w:val="24"/>
    </w:rPr>
  </w:style>
  <w:style w:type="paragraph" w:customStyle="1" w:styleId="afffc">
    <w:name w:val="中文表序样式"/>
    <w:basedOn w:val="affc"/>
    <w:link w:val="Char1"/>
    <w:rsid w:val="003B1EC2"/>
  </w:style>
  <w:style w:type="character" w:customStyle="1" w:styleId="afffd">
    <w:name w:val="英文表序样式"/>
    <w:basedOn w:val="a1"/>
    <w:uiPriority w:val="1"/>
    <w:qFormat/>
    <w:rsid w:val="003B1EC2"/>
  </w:style>
  <w:style w:type="character" w:customStyle="1" w:styleId="Char0">
    <w:name w:val="（中）表题样式 Char"/>
    <w:basedOn w:val="a1"/>
    <w:link w:val="affc"/>
    <w:rsid w:val="003B1EC2"/>
    <w:rPr>
      <w:b/>
      <w:kern w:val="2"/>
      <w:sz w:val="18"/>
      <w:szCs w:val="18"/>
    </w:rPr>
  </w:style>
  <w:style w:type="character" w:customStyle="1" w:styleId="Char1">
    <w:name w:val="中文表序样式 Char"/>
    <w:basedOn w:val="Char0"/>
    <w:link w:val="afffc"/>
    <w:rsid w:val="003B1EC2"/>
    <w:rPr>
      <w:b/>
      <w:kern w:val="2"/>
      <w:sz w:val="18"/>
      <w:szCs w:val="18"/>
    </w:rPr>
  </w:style>
  <w:style w:type="paragraph" w:customStyle="1" w:styleId="afffe">
    <w:name w:val="中文图序样式"/>
    <w:basedOn w:val="affa"/>
    <w:qFormat/>
    <w:rsid w:val="003B1EC2"/>
  </w:style>
  <w:style w:type="paragraph" w:customStyle="1" w:styleId="affff">
    <w:name w:val="英文图序样式"/>
    <w:basedOn w:val="affb"/>
    <w:qFormat/>
    <w:rsid w:val="003B1EC2"/>
  </w:style>
  <w:style w:type="paragraph" w:customStyle="1" w:styleId="affff0">
    <w:name w:val="图样式"/>
    <w:qFormat/>
    <w:rsid w:val="00C92A4F"/>
    <w:pPr>
      <w:jc w:val="center"/>
    </w:pPr>
    <w:rPr>
      <w:b/>
      <w:kern w:val="2"/>
      <w:sz w:val="18"/>
      <w:szCs w:val="18"/>
    </w:rPr>
  </w:style>
  <w:style w:type="paragraph" w:customStyle="1" w:styleId="affff1">
    <w:name w:val="参考文献中英文对照样式"/>
    <w:rsid w:val="001B6E20"/>
    <w:pPr>
      <w:widowControl w:val="0"/>
      <w:ind w:left="200" w:hangingChars="200" w:hanging="200"/>
      <w:jc w:val="both"/>
    </w:pPr>
    <w:rPr>
      <w:rFonts w:eastAsiaTheme="minorEastAsia"/>
      <w:kern w:val="2"/>
      <w:sz w:val="15"/>
    </w:rPr>
  </w:style>
  <w:style w:type="character" w:customStyle="1" w:styleId="affff2">
    <w:name w:val="三级标题序号样式"/>
    <w:rPr>
      <w:rFonts w:ascii="Times New Roman" w:eastAsia="宋体" w:hAnsi="Times New Roman" w:cs="Times New Roman"/>
      <w:b w:val="0"/>
      <w:i w:val="0"/>
      <w:caps w:val="0"/>
      <w:smallCaps w:val="0"/>
      <w:strike w:val="0"/>
      <w:dstrike w:val="0"/>
      <w:vanish w:val="0"/>
      <w:color w:val="auto"/>
      <w:w w:val="100"/>
      <w:kern w:val="2"/>
      <w:sz w:val="21"/>
      <w:u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affff3">
    <w:name w:val="二级标题序号样式"/>
    <w:rPr>
      <w:rFonts w:ascii="Times New Roman" w:eastAsia="黑体" w:hAnsi="Times New Roman" w:cs="Times New Roman"/>
      <w:b/>
      <w:i w:val="0"/>
      <w:caps w:val="0"/>
      <w:smallCaps w:val="0"/>
      <w:strike w:val="0"/>
      <w:dstrike w:val="0"/>
      <w:vanish w:val="0"/>
      <w:color w:val="auto"/>
      <w:w w:val="100"/>
      <w:kern w:val="2"/>
      <w:sz w:val="21"/>
      <w:u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paragraph" w:customStyle="1" w:styleId="affff4">
    <w:name w:val="（中）摘要样式"/>
    <w:rsid w:val="00B77620"/>
    <w:pPr>
      <w:widowControl w:val="0"/>
      <w:jc w:val="both"/>
    </w:pPr>
    <w:rPr>
      <w:rFonts w:eastAsia="仿宋" w:hAnsi="楷体"/>
      <w:sz w:val="18"/>
    </w:rPr>
  </w:style>
  <w:style w:type="paragraph" w:customStyle="1" w:styleId="affff5">
    <w:name w:val="（英）摘要样式"/>
    <w:pPr>
      <w:widowControl w:val="0"/>
      <w:ind w:right="315"/>
      <w:jc w:val="both"/>
    </w:pPr>
    <w:rPr>
      <w:sz w:val="15"/>
    </w:rPr>
  </w:style>
  <w:style w:type="paragraph" w:customStyle="1" w:styleId="new1">
    <w:name w:val="公式样式_new_1"/>
  </w:style>
  <w:style w:type="paragraph" w:styleId="affff6">
    <w:name w:val="Revision"/>
    <w:hidden/>
    <w:uiPriority w:val="99"/>
    <w:semiHidden/>
    <w:rsid w:val="008807CF"/>
    <w:rPr>
      <w:kern w:val="2"/>
      <w:sz w:val="21"/>
      <w:szCs w:val="24"/>
    </w:rPr>
  </w:style>
  <w:style w:type="character" w:styleId="affff7">
    <w:name w:val="Placeholder Text"/>
    <w:basedOn w:val="a1"/>
    <w:uiPriority w:val="99"/>
    <w:semiHidden/>
    <w:rsid w:val="0036608F"/>
    <w:rPr>
      <w:color w:val="666666"/>
    </w:rPr>
  </w:style>
  <w:style w:type="character" w:customStyle="1" w:styleId="MTEquationSection">
    <w:name w:val="MTEquationSection"/>
    <w:basedOn w:val="a1"/>
    <w:rsid w:val="002E387E"/>
    <w:rPr>
      <w:rFonts w:hAnsi="Times New Roman"/>
      <w:vanish/>
      <w:color w:val="FF0000"/>
    </w:rPr>
  </w:style>
  <w:style w:type="paragraph" w:customStyle="1" w:styleId="MTDisplayEquation">
    <w:name w:val="MTDisplayEquation"/>
    <w:basedOn w:val="afe"/>
    <w:next w:val="a0"/>
    <w:link w:val="MTDisplayEquation0"/>
    <w:rsid w:val="002E387E"/>
    <w:pPr>
      <w:tabs>
        <w:tab w:val="center" w:pos="2300"/>
        <w:tab w:val="right" w:pos="4600"/>
      </w:tabs>
      <w:ind w:firstLine="420"/>
    </w:pPr>
  </w:style>
  <w:style w:type="character" w:customStyle="1" w:styleId="aff">
    <w:name w:val="正文样式 字符"/>
    <w:basedOn w:val="a1"/>
    <w:link w:val="afe"/>
    <w:rsid w:val="002E387E"/>
    <w:rPr>
      <w:kern w:val="2"/>
      <w:sz w:val="21"/>
      <w:szCs w:val="24"/>
    </w:rPr>
  </w:style>
  <w:style w:type="character" w:customStyle="1" w:styleId="MTDisplayEquation0">
    <w:name w:val="MTDisplayEquation 字符"/>
    <w:basedOn w:val="aff"/>
    <w:link w:val="MTDisplayEquation"/>
    <w:rsid w:val="002E387E"/>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50090">
      <w:bodyDiv w:val="1"/>
      <w:marLeft w:val="0"/>
      <w:marRight w:val="0"/>
      <w:marTop w:val="0"/>
      <w:marBottom w:val="0"/>
      <w:divBdr>
        <w:top w:val="none" w:sz="0" w:space="0" w:color="auto"/>
        <w:left w:val="none" w:sz="0" w:space="0" w:color="auto"/>
        <w:bottom w:val="none" w:sz="0" w:space="0" w:color="auto"/>
        <w:right w:val="none" w:sz="0" w:space="0" w:color="auto"/>
      </w:divBdr>
    </w:div>
    <w:div w:id="65156272">
      <w:bodyDiv w:val="1"/>
      <w:marLeft w:val="0"/>
      <w:marRight w:val="0"/>
      <w:marTop w:val="0"/>
      <w:marBottom w:val="0"/>
      <w:divBdr>
        <w:top w:val="none" w:sz="0" w:space="0" w:color="auto"/>
        <w:left w:val="none" w:sz="0" w:space="0" w:color="auto"/>
        <w:bottom w:val="none" w:sz="0" w:space="0" w:color="auto"/>
        <w:right w:val="none" w:sz="0" w:space="0" w:color="auto"/>
      </w:divBdr>
    </w:div>
    <w:div w:id="221870182">
      <w:bodyDiv w:val="1"/>
      <w:marLeft w:val="0"/>
      <w:marRight w:val="0"/>
      <w:marTop w:val="0"/>
      <w:marBottom w:val="0"/>
      <w:divBdr>
        <w:top w:val="none" w:sz="0" w:space="0" w:color="auto"/>
        <w:left w:val="none" w:sz="0" w:space="0" w:color="auto"/>
        <w:bottom w:val="none" w:sz="0" w:space="0" w:color="auto"/>
        <w:right w:val="none" w:sz="0" w:space="0" w:color="auto"/>
      </w:divBdr>
    </w:div>
    <w:div w:id="278026178">
      <w:bodyDiv w:val="1"/>
      <w:marLeft w:val="0"/>
      <w:marRight w:val="0"/>
      <w:marTop w:val="0"/>
      <w:marBottom w:val="0"/>
      <w:divBdr>
        <w:top w:val="none" w:sz="0" w:space="0" w:color="auto"/>
        <w:left w:val="none" w:sz="0" w:space="0" w:color="auto"/>
        <w:bottom w:val="none" w:sz="0" w:space="0" w:color="auto"/>
        <w:right w:val="none" w:sz="0" w:space="0" w:color="auto"/>
      </w:divBdr>
    </w:div>
    <w:div w:id="278075956">
      <w:bodyDiv w:val="1"/>
      <w:marLeft w:val="0"/>
      <w:marRight w:val="0"/>
      <w:marTop w:val="0"/>
      <w:marBottom w:val="0"/>
      <w:divBdr>
        <w:top w:val="none" w:sz="0" w:space="0" w:color="auto"/>
        <w:left w:val="none" w:sz="0" w:space="0" w:color="auto"/>
        <w:bottom w:val="none" w:sz="0" w:space="0" w:color="auto"/>
        <w:right w:val="none" w:sz="0" w:space="0" w:color="auto"/>
      </w:divBdr>
    </w:div>
    <w:div w:id="280647028">
      <w:bodyDiv w:val="1"/>
      <w:marLeft w:val="0"/>
      <w:marRight w:val="0"/>
      <w:marTop w:val="0"/>
      <w:marBottom w:val="0"/>
      <w:divBdr>
        <w:top w:val="none" w:sz="0" w:space="0" w:color="auto"/>
        <w:left w:val="none" w:sz="0" w:space="0" w:color="auto"/>
        <w:bottom w:val="none" w:sz="0" w:space="0" w:color="auto"/>
        <w:right w:val="none" w:sz="0" w:space="0" w:color="auto"/>
      </w:divBdr>
    </w:div>
    <w:div w:id="302271037">
      <w:bodyDiv w:val="1"/>
      <w:marLeft w:val="0"/>
      <w:marRight w:val="0"/>
      <w:marTop w:val="0"/>
      <w:marBottom w:val="0"/>
      <w:divBdr>
        <w:top w:val="none" w:sz="0" w:space="0" w:color="auto"/>
        <w:left w:val="none" w:sz="0" w:space="0" w:color="auto"/>
        <w:bottom w:val="none" w:sz="0" w:space="0" w:color="auto"/>
        <w:right w:val="none" w:sz="0" w:space="0" w:color="auto"/>
      </w:divBdr>
    </w:div>
    <w:div w:id="513037871">
      <w:bodyDiv w:val="1"/>
      <w:marLeft w:val="0"/>
      <w:marRight w:val="0"/>
      <w:marTop w:val="0"/>
      <w:marBottom w:val="0"/>
      <w:divBdr>
        <w:top w:val="none" w:sz="0" w:space="0" w:color="auto"/>
        <w:left w:val="none" w:sz="0" w:space="0" w:color="auto"/>
        <w:bottom w:val="none" w:sz="0" w:space="0" w:color="auto"/>
        <w:right w:val="none" w:sz="0" w:space="0" w:color="auto"/>
      </w:divBdr>
    </w:div>
    <w:div w:id="513229067">
      <w:bodyDiv w:val="1"/>
      <w:marLeft w:val="0"/>
      <w:marRight w:val="0"/>
      <w:marTop w:val="0"/>
      <w:marBottom w:val="0"/>
      <w:divBdr>
        <w:top w:val="none" w:sz="0" w:space="0" w:color="auto"/>
        <w:left w:val="none" w:sz="0" w:space="0" w:color="auto"/>
        <w:bottom w:val="none" w:sz="0" w:space="0" w:color="auto"/>
        <w:right w:val="none" w:sz="0" w:space="0" w:color="auto"/>
      </w:divBdr>
    </w:div>
    <w:div w:id="516968787">
      <w:bodyDiv w:val="1"/>
      <w:marLeft w:val="0"/>
      <w:marRight w:val="0"/>
      <w:marTop w:val="0"/>
      <w:marBottom w:val="0"/>
      <w:divBdr>
        <w:top w:val="none" w:sz="0" w:space="0" w:color="auto"/>
        <w:left w:val="none" w:sz="0" w:space="0" w:color="auto"/>
        <w:bottom w:val="none" w:sz="0" w:space="0" w:color="auto"/>
        <w:right w:val="none" w:sz="0" w:space="0" w:color="auto"/>
      </w:divBdr>
    </w:div>
    <w:div w:id="658466345">
      <w:bodyDiv w:val="1"/>
      <w:marLeft w:val="0"/>
      <w:marRight w:val="0"/>
      <w:marTop w:val="0"/>
      <w:marBottom w:val="0"/>
      <w:divBdr>
        <w:top w:val="none" w:sz="0" w:space="0" w:color="auto"/>
        <w:left w:val="none" w:sz="0" w:space="0" w:color="auto"/>
        <w:bottom w:val="none" w:sz="0" w:space="0" w:color="auto"/>
        <w:right w:val="none" w:sz="0" w:space="0" w:color="auto"/>
      </w:divBdr>
    </w:div>
    <w:div w:id="684092552">
      <w:bodyDiv w:val="1"/>
      <w:marLeft w:val="0"/>
      <w:marRight w:val="0"/>
      <w:marTop w:val="0"/>
      <w:marBottom w:val="0"/>
      <w:divBdr>
        <w:top w:val="none" w:sz="0" w:space="0" w:color="auto"/>
        <w:left w:val="none" w:sz="0" w:space="0" w:color="auto"/>
        <w:bottom w:val="none" w:sz="0" w:space="0" w:color="auto"/>
        <w:right w:val="none" w:sz="0" w:space="0" w:color="auto"/>
      </w:divBdr>
    </w:div>
    <w:div w:id="727152035">
      <w:bodyDiv w:val="1"/>
      <w:marLeft w:val="0"/>
      <w:marRight w:val="0"/>
      <w:marTop w:val="0"/>
      <w:marBottom w:val="0"/>
      <w:divBdr>
        <w:top w:val="none" w:sz="0" w:space="0" w:color="auto"/>
        <w:left w:val="none" w:sz="0" w:space="0" w:color="auto"/>
        <w:bottom w:val="none" w:sz="0" w:space="0" w:color="auto"/>
        <w:right w:val="none" w:sz="0" w:space="0" w:color="auto"/>
      </w:divBdr>
    </w:div>
    <w:div w:id="727218948">
      <w:bodyDiv w:val="1"/>
      <w:marLeft w:val="0"/>
      <w:marRight w:val="0"/>
      <w:marTop w:val="0"/>
      <w:marBottom w:val="0"/>
      <w:divBdr>
        <w:top w:val="none" w:sz="0" w:space="0" w:color="auto"/>
        <w:left w:val="none" w:sz="0" w:space="0" w:color="auto"/>
        <w:bottom w:val="none" w:sz="0" w:space="0" w:color="auto"/>
        <w:right w:val="none" w:sz="0" w:space="0" w:color="auto"/>
      </w:divBdr>
    </w:div>
    <w:div w:id="833185477">
      <w:bodyDiv w:val="1"/>
      <w:marLeft w:val="0"/>
      <w:marRight w:val="0"/>
      <w:marTop w:val="0"/>
      <w:marBottom w:val="0"/>
      <w:divBdr>
        <w:top w:val="none" w:sz="0" w:space="0" w:color="auto"/>
        <w:left w:val="none" w:sz="0" w:space="0" w:color="auto"/>
        <w:bottom w:val="none" w:sz="0" w:space="0" w:color="auto"/>
        <w:right w:val="none" w:sz="0" w:space="0" w:color="auto"/>
      </w:divBdr>
    </w:div>
    <w:div w:id="902568049">
      <w:bodyDiv w:val="1"/>
      <w:marLeft w:val="0"/>
      <w:marRight w:val="0"/>
      <w:marTop w:val="0"/>
      <w:marBottom w:val="0"/>
      <w:divBdr>
        <w:top w:val="none" w:sz="0" w:space="0" w:color="auto"/>
        <w:left w:val="none" w:sz="0" w:space="0" w:color="auto"/>
        <w:bottom w:val="none" w:sz="0" w:space="0" w:color="auto"/>
        <w:right w:val="none" w:sz="0" w:space="0" w:color="auto"/>
      </w:divBdr>
    </w:div>
    <w:div w:id="915044638">
      <w:bodyDiv w:val="1"/>
      <w:marLeft w:val="0"/>
      <w:marRight w:val="0"/>
      <w:marTop w:val="0"/>
      <w:marBottom w:val="0"/>
      <w:divBdr>
        <w:top w:val="none" w:sz="0" w:space="0" w:color="auto"/>
        <w:left w:val="none" w:sz="0" w:space="0" w:color="auto"/>
        <w:bottom w:val="none" w:sz="0" w:space="0" w:color="auto"/>
        <w:right w:val="none" w:sz="0" w:space="0" w:color="auto"/>
      </w:divBdr>
    </w:div>
    <w:div w:id="1047216202">
      <w:bodyDiv w:val="1"/>
      <w:marLeft w:val="0"/>
      <w:marRight w:val="0"/>
      <w:marTop w:val="0"/>
      <w:marBottom w:val="0"/>
      <w:divBdr>
        <w:top w:val="none" w:sz="0" w:space="0" w:color="auto"/>
        <w:left w:val="none" w:sz="0" w:space="0" w:color="auto"/>
        <w:bottom w:val="none" w:sz="0" w:space="0" w:color="auto"/>
        <w:right w:val="none" w:sz="0" w:space="0" w:color="auto"/>
      </w:divBdr>
    </w:div>
    <w:div w:id="1053578346">
      <w:bodyDiv w:val="1"/>
      <w:marLeft w:val="0"/>
      <w:marRight w:val="0"/>
      <w:marTop w:val="0"/>
      <w:marBottom w:val="0"/>
      <w:divBdr>
        <w:top w:val="none" w:sz="0" w:space="0" w:color="auto"/>
        <w:left w:val="none" w:sz="0" w:space="0" w:color="auto"/>
        <w:bottom w:val="none" w:sz="0" w:space="0" w:color="auto"/>
        <w:right w:val="none" w:sz="0" w:space="0" w:color="auto"/>
      </w:divBdr>
    </w:div>
    <w:div w:id="1060903897">
      <w:bodyDiv w:val="1"/>
      <w:marLeft w:val="0"/>
      <w:marRight w:val="0"/>
      <w:marTop w:val="0"/>
      <w:marBottom w:val="0"/>
      <w:divBdr>
        <w:top w:val="none" w:sz="0" w:space="0" w:color="auto"/>
        <w:left w:val="none" w:sz="0" w:space="0" w:color="auto"/>
        <w:bottom w:val="none" w:sz="0" w:space="0" w:color="auto"/>
        <w:right w:val="none" w:sz="0" w:space="0" w:color="auto"/>
      </w:divBdr>
    </w:div>
    <w:div w:id="1066800933">
      <w:bodyDiv w:val="1"/>
      <w:marLeft w:val="0"/>
      <w:marRight w:val="0"/>
      <w:marTop w:val="0"/>
      <w:marBottom w:val="0"/>
      <w:divBdr>
        <w:top w:val="none" w:sz="0" w:space="0" w:color="auto"/>
        <w:left w:val="none" w:sz="0" w:space="0" w:color="auto"/>
        <w:bottom w:val="none" w:sz="0" w:space="0" w:color="auto"/>
        <w:right w:val="none" w:sz="0" w:space="0" w:color="auto"/>
      </w:divBdr>
    </w:div>
    <w:div w:id="1149788723">
      <w:bodyDiv w:val="1"/>
      <w:marLeft w:val="0"/>
      <w:marRight w:val="0"/>
      <w:marTop w:val="0"/>
      <w:marBottom w:val="0"/>
      <w:divBdr>
        <w:top w:val="none" w:sz="0" w:space="0" w:color="auto"/>
        <w:left w:val="none" w:sz="0" w:space="0" w:color="auto"/>
        <w:bottom w:val="none" w:sz="0" w:space="0" w:color="auto"/>
        <w:right w:val="none" w:sz="0" w:space="0" w:color="auto"/>
      </w:divBdr>
    </w:div>
    <w:div w:id="1153570312">
      <w:bodyDiv w:val="1"/>
      <w:marLeft w:val="0"/>
      <w:marRight w:val="0"/>
      <w:marTop w:val="0"/>
      <w:marBottom w:val="0"/>
      <w:divBdr>
        <w:top w:val="none" w:sz="0" w:space="0" w:color="auto"/>
        <w:left w:val="none" w:sz="0" w:space="0" w:color="auto"/>
        <w:bottom w:val="none" w:sz="0" w:space="0" w:color="auto"/>
        <w:right w:val="none" w:sz="0" w:space="0" w:color="auto"/>
      </w:divBdr>
    </w:div>
    <w:div w:id="1312756515">
      <w:bodyDiv w:val="1"/>
      <w:marLeft w:val="0"/>
      <w:marRight w:val="0"/>
      <w:marTop w:val="0"/>
      <w:marBottom w:val="0"/>
      <w:divBdr>
        <w:top w:val="none" w:sz="0" w:space="0" w:color="auto"/>
        <w:left w:val="none" w:sz="0" w:space="0" w:color="auto"/>
        <w:bottom w:val="none" w:sz="0" w:space="0" w:color="auto"/>
        <w:right w:val="none" w:sz="0" w:space="0" w:color="auto"/>
      </w:divBdr>
    </w:div>
    <w:div w:id="1376811452">
      <w:bodyDiv w:val="1"/>
      <w:marLeft w:val="0"/>
      <w:marRight w:val="0"/>
      <w:marTop w:val="0"/>
      <w:marBottom w:val="0"/>
      <w:divBdr>
        <w:top w:val="none" w:sz="0" w:space="0" w:color="auto"/>
        <w:left w:val="none" w:sz="0" w:space="0" w:color="auto"/>
        <w:bottom w:val="none" w:sz="0" w:space="0" w:color="auto"/>
        <w:right w:val="none" w:sz="0" w:space="0" w:color="auto"/>
      </w:divBdr>
    </w:div>
    <w:div w:id="1380517021">
      <w:bodyDiv w:val="1"/>
      <w:marLeft w:val="0"/>
      <w:marRight w:val="0"/>
      <w:marTop w:val="0"/>
      <w:marBottom w:val="0"/>
      <w:divBdr>
        <w:top w:val="none" w:sz="0" w:space="0" w:color="auto"/>
        <w:left w:val="none" w:sz="0" w:space="0" w:color="auto"/>
        <w:bottom w:val="none" w:sz="0" w:space="0" w:color="auto"/>
        <w:right w:val="none" w:sz="0" w:space="0" w:color="auto"/>
      </w:divBdr>
    </w:div>
    <w:div w:id="1444301544">
      <w:bodyDiv w:val="1"/>
      <w:marLeft w:val="0"/>
      <w:marRight w:val="0"/>
      <w:marTop w:val="0"/>
      <w:marBottom w:val="0"/>
      <w:divBdr>
        <w:top w:val="none" w:sz="0" w:space="0" w:color="auto"/>
        <w:left w:val="none" w:sz="0" w:space="0" w:color="auto"/>
        <w:bottom w:val="none" w:sz="0" w:space="0" w:color="auto"/>
        <w:right w:val="none" w:sz="0" w:space="0" w:color="auto"/>
      </w:divBdr>
    </w:div>
    <w:div w:id="1472406885">
      <w:bodyDiv w:val="1"/>
      <w:marLeft w:val="0"/>
      <w:marRight w:val="0"/>
      <w:marTop w:val="0"/>
      <w:marBottom w:val="0"/>
      <w:divBdr>
        <w:top w:val="none" w:sz="0" w:space="0" w:color="auto"/>
        <w:left w:val="none" w:sz="0" w:space="0" w:color="auto"/>
        <w:bottom w:val="none" w:sz="0" w:space="0" w:color="auto"/>
        <w:right w:val="none" w:sz="0" w:space="0" w:color="auto"/>
      </w:divBdr>
    </w:div>
    <w:div w:id="1508908809">
      <w:bodyDiv w:val="1"/>
      <w:marLeft w:val="0"/>
      <w:marRight w:val="0"/>
      <w:marTop w:val="0"/>
      <w:marBottom w:val="0"/>
      <w:divBdr>
        <w:top w:val="none" w:sz="0" w:space="0" w:color="auto"/>
        <w:left w:val="none" w:sz="0" w:space="0" w:color="auto"/>
        <w:bottom w:val="none" w:sz="0" w:space="0" w:color="auto"/>
        <w:right w:val="none" w:sz="0" w:space="0" w:color="auto"/>
      </w:divBdr>
    </w:div>
    <w:div w:id="1566452692">
      <w:bodyDiv w:val="1"/>
      <w:marLeft w:val="0"/>
      <w:marRight w:val="0"/>
      <w:marTop w:val="0"/>
      <w:marBottom w:val="0"/>
      <w:divBdr>
        <w:top w:val="none" w:sz="0" w:space="0" w:color="auto"/>
        <w:left w:val="none" w:sz="0" w:space="0" w:color="auto"/>
        <w:bottom w:val="none" w:sz="0" w:space="0" w:color="auto"/>
        <w:right w:val="none" w:sz="0" w:space="0" w:color="auto"/>
      </w:divBdr>
    </w:div>
    <w:div w:id="1711151768">
      <w:bodyDiv w:val="1"/>
      <w:marLeft w:val="0"/>
      <w:marRight w:val="0"/>
      <w:marTop w:val="0"/>
      <w:marBottom w:val="0"/>
      <w:divBdr>
        <w:top w:val="none" w:sz="0" w:space="0" w:color="auto"/>
        <w:left w:val="none" w:sz="0" w:space="0" w:color="auto"/>
        <w:bottom w:val="none" w:sz="0" w:space="0" w:color="auto"/>
        <w:right w:val="none" w:sz="0" w:space="0" w:color="auto"/>
      </w:divBdr>
    </w:div>
    <w:div w:id="1733650401">
      <w:bodyDiv w:val="1"/>
      <w:marLeft w:val="0"/>
      <w:marRight w:val="0"/>
      <w:marTop w:val="0"/>
      <w:marBottom w:val="0"/>
      <w:divBdr>
        <w:top w:val="none" w:sz="0" w:space="0" w:color="auto"/>
        <w:left w:val="none" w:sz="0" w:space="0" w:color="auto"/>
        <w:bottom w:val="none" w:sz="0" w:space="0" w:color="auto"/>
        <w:right w:val="none" w:sz="0" w:space="0" w:color="auto"/>
      </w:divBdr>
    </w:div>
    <w:div w:id="1771386010">
      <w:bodyDiv w:val="1"/>
      <w:marLeft w:val="0"/>
      <w:marRight w:val="0"/>
      <w:marTop w:val="0"/>
      <w:marBottom w:val="0"/>
      <w:divBdr>
        <w:top w:val="none" w:sz="0" w:space="0" w:color="auto"/>
        <w:left w:val="none" w:sz="0" w:space="0" w:color="auto"/>
        <w:bottom w:val="none" w:sz="0" w:space="0" w:color="auto"/>
        <w:right w:val="none" w:sz="0" w:space="0" w:color="auto"/>
      </w:divBdr>
    </w:div>
    <w:div w:id="1773545595">
      <w:bodyDiv w:val="1"/>
      <w:marLeft w:val="0"/>
      <w:marRight w:val="0"/>
      <w:marTop w:val="0"/>
      <w:marBottom w:val="0"/>
      <w:divBdr>
        <w:top w:val="none" w:sz="0" w:space="0" w:color="auto"/>
        <w:left w:val="none" w:sz="0" w:space="0" w:color="auto"/>
        <w:bottom w:val="none" w:sz="0" w:space="0" w:color="auto"/>
        <w:right w:val="none" w:sz="0" w:space="0" w:color="auto"/>
      </w:divBdr>
    </w:div>
    <w:div w:id="1791892729">
      <w:bodyDiv w:val="1"/>
      <w:marLeft w:val="0"/>
      <w:marRight w:val="0"/>
      <w:marTop w:val="0"/>
      <w:marBottom w:val="0"/>
      <w:divBdr>
        <w:top w:val="none" w:sz="0" w:space="0" w:color="auto"/>
        <w:left w:val="none" w:sz="0" w:space="0" w:color="auto"/>
        <w:bottom w:val="none" w:sz="0" w:space="0" w:color="auto"/>
        <w:right w:val="none" w:sz="0" w:space="0" w:color="auto"/>
      </w:divBdr>
    </w:div>
    <w:div w:id="1830101110">
      <w:bodyDiv w:val="1"/>
      <w:marLeft w:val="0"/>
      <w:marRight w:val="0"/>
      <w:marTop w:val="0"/>
      <w:marBottom w:val="0"/>
      <w:divBdr>
        <w:top w:val="none" w:sz="0" w:space="0" w:color="auto"/>
        <w:left w:val="none" w:sz="0" w:space="0" w:color="auto"/>
        <w:bottom w:val="none" w:sz="0" w:space="0" w:color="auto"/>
        <w:right w:val="none" w:sz="0" w:space="0" w:color="auto"/>
      </w:divBdr>
    </w:div>
    <w:div w:id="1859082263">
      <w:bodyDiv w:val="1"/>
      <w:marLeft w:val="0"/>
      <w:marRight w:val="0"/>
      <w:marTop w:val="0"/>
      <w:marBottom w:val="0"/>
      <w:divBdr>
        <w:top w:val="none" w:sz="0" w:space="0" w:color="auto"/>
        <w:left w:val="none" w:sz="0" w:space="0" w:color="auto"/>
        <w:bottom w:val="none" w:sz="0" w:space="0" w:color="auto"/>
        <w:right w:val="none" w:sz="0" w:space="0" w:color="auto"/>
      </w:divBdr>
    </w:div>
    <w:div w:id="1925263790">
      <w:bodyDiv w:val="1"/>
      <w:marLeft w:val="0"/>
      <w:marRight w:val="0"/>
      <w:marTop w:val="0"/>
      <w:marBottom w:val="0"/>
      <w:divBdr>
        <w:top w:val="none" w:sz="0" w:space="0" w:color="auto"/>
        <w:left w:val="none" w:sz="0" w:space="0" w:color="auto"/>
        <w:bottom w:val="none" w:sz="0" w:space="0" w:color="auto"/>
        <w:right w:val="none" w:sz="0" w:space="0" w:color="auto"/>
      </w:divBdr>
    </w:div>
    <w:div w:id="2027095360">
      <w:bodyDiv w:val="1"/>
      <w:marLeft w:val="0"/>
      <w:marRight w:val="0"/>
      <w:marTop w:val="0"/>
      <w:marBottom w:val="0"/>
      <w:divBdr>
        <w:top w:val="none" w:sz="0" w:space="0" w:color="auto"/>
        <w:left w:val="none" w:sz="0" w:space="0" w:color="auto"/>
        <w:bottom w:val="none" w:sz="0" w:space="0" w:color="auto"/>
        <w:right w:val="none" w:sz="0" w:space="0" w:color="auto"/>
      </w:divBdr>
    </w:div>
    <w:div w:id="2075229198">
      <w:bodyDiv w:val="1"/>
      <w:marLeft w:val="0"/>
      <w:marRight w:val="0"/>
      <w:marTop w:val="0"/>
      <w:marBottom w:val="0"/>
      <w:divBdr>
        <w:top w:val="none" w:sz="0" w:space="0" w:color="auto"/>
        <w:left w:val="none" w:sz="0" w:space="0" w:color="auto"/>
        <w:bottom w:val="none" w:sz="0" w:space="0" w:color="auto"/>
        <w:right w:val="none" w:sz="0" w:space="0" w:color="auto"/>
      </w:divBdr>
    </w:div>
    <w:div w:id="2114326415">
      <w:bodyDiv w:val="1"/>
      <w:marLeft w:val="0"/>
      <w:marRight w:val="0"/>
      <w:marTop w:val="0"/>
      <w:marBottom w:val="0"/>
      <w:divBdr>
        <w:top w:val="none" w:sz="0" w:space="0" w:color="auto"/>
        <w:left w:val="none" w:sz="0" w:space="0" w:color="auto"/>
        <w:bottom w:val="none" w:sz="0" w:space="0" w:color="auto"/>
        <w:right w:val="none" w:sz="0" w:space="0" w:color="auto"/>
      </w:divBdr>
    </w:div>
    <w:div w:id="211670305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tif"/><Relationship Id="rId18" Type="http://schemas.openxmlformats.org/officeDocument/2006/relationships/image" Target="media/image5.wmf"/><Relationship Id="rId26" Type="http://schemas.openxmlformats.org/officeDocument/2006/relationships/image" Target="media/image11.emf"/><Relationship Id="rId39" Type="http://schemas.openxmlformats.org/officeDocument/2006/relationships/image" Target="media/image19.png"/><Relationship Id="rId21" Type="http://schemas.openxmlformats.org/officeDocument/2006/relationships/oleObject" Target="embeddings/oleObject3.bin"/><Relationship Id="rId34" Type="http://schemas.openxmlformats.org/officeDocument/2006/relationships/image" Target="media/image16.emf"/><Relationship Id="rId42" Type="http://schemas.openxmlformats.org/officeDocument/2006/relationships/image" Target="media/image22.wmf"/><Relationship Id="rId47" Type="http://schemas.openxmlformats.org/officeDocument/2006/relationships/oleObject" Target="embeddings/oleObject9.bin"/><Relationship Id="rId50" Type="http://schemas.openxmlformats.org/officeDocument/2006/relationships/image" Target="media/image27.png"/><Relationship Id="rId7" Type="http://schemas.openxmlformats.org/officeDocument/2006/relationships/footnotes" Target="footnotes.xml"/><Relationship Id="rId2" Type="http://schemas.openxmlformats.org/officeDocument/2006/relationships/customXml" Target="../customXml/item1.xml"/><Relationship Id="rId16" Type="http://schemas.openxmlformats.org/officeDocument/2006/relationships/image" Target="media/image3.png"/><Relationship Id="rId29" Type="http://schemas.openxmlformats.org/officeDocument/2006/relationships/image" Target="media/image13.png"/><Relationship Id="rId11" Type="http://schemas.openxmlformats.org/officeDocument/2006/relationships/header" Target="header3.xml"/><Relationship Id="rId24" Type="http://schemas.openxmlformats.org/officeDocument/2006/relationships/image" Target="media/image9.png"/><Relationship Id="rId32" Type="http://schemas.openxmlformats.org/officeDocument/2006/relationships/image" Target="media/image15.wmf"/><Relationship Id="rId37" Type="http://schemas.openxmlformats.org/officeDocument/2006/relationships/oleObject" Target="embeddings/oleObject6.bin"/><Relationship Id="rId40" Type="http://schemas.openxmlformats.org/officeDocument/2006/relationships/image" Target="media/image20.png"/><Relationship Id="rId45" Type="http://schemas.openxmlformats.org/officeDocument/2006/relationships/oleObject" Target="embeddings/oleObject8.bin"/><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19" Type="http://schemas.openxmlformats.org/officeDocument/2006/relationships/oleObject" Target="embeddings/oleObject2.bin"/><Relationship Id="rId31" Type="http://schemas.openxmlformats.org/officeDocument/2006/relationships/oleObject" Target="embeddings/oleObject4.bin"/><Relationship Id="rId44" Type="http://schemas.openxmlformats.org/officeDocument/2006/relationships/image" Target="media/image23.wmf"/><Relationship Id="rId52" Type="http://schemas.openxmlformats.org/officeDocument/2006/relationships/image" Target="media/image29.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wmf"/><Relationship Id="rId22" Type="http://schemas.openxmlformats.org/officeDocument/2006/relationships/image" Target="media/image7.png"/><Relationship Id="rId27" Type="http://schemas.openxmlformats.org/officeDocument/2006/relationships/package" Target="embeddings/Microsoft_Visio_Drawing.vsdx"/><Relationship Id="rId30" Type="http://schemas.openxmlformats.org/officeDocument/2006/relationships/image" Target="media/image14.wmf"/><Relationship Id="rId35" Type="http://schemas.openxmlformats.org/officeDocument/2006/relationships/package" Target="embeddings/Microsoft_Visio_Drawing1.vsdx"/><Relationship Id="rId43" Type="http://schemas.openxmlformats.org/officeDocument/2006/relationships/oleObject" Target="embeddings/oleObject7.bin"/><Relationship Id="rId48" Type="http://schemas.openxmlformats.org/officeDocument/2006/relationships/image" Target="media/image25.jpeg"/><Relationship Id="rId8" Type="http://schemas.openxmlformats.org/officeDocument/2006/relationships/endnotes" Target="endnotes.xml"/><Relationship Id="rId51" Type="http://schemas.openxmlformats.org/officeDocument/2006/relationships/image" Target="media/image28.png"/><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image" Target="media/image10.png"/><Relationship Id="rId33" Type="http://schemas.openxmlformats.org/officeDocument/2006/relationships/oleObject" Target="embeddings/oleObject5.bin"/><Relationship Id="rId38" Type="http://schemas.openxmlformats.org/officeDocument/2006/relationships/image" Target="media/image18.png"/><Relationship Id="rId46" Type="http://schemas.openxmlformats.org/officeDocument/2006/relationships/image" Target="media/image24.wmf"/><Relationship Id="rId20" Type="http://schemas.openxmlformats.org/officeDocument/2006/relationships/image" Target="media/image6.wmf"/><Relationship Id="rId41" Type="http://schemas.openxmlformats.org/officeDocument/2006/relationships/image" Target="media/image21.png"/><Relationship Id="rId54"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8.png"/><Relationship Id="rId28" Type="http://schemas.openxmlformats.org/officeDocument/2006/relationships/image" Target="media/image12.png"/><Relationship Id="rId36" Type="http://schemas.openxmlformats.org/officeDocument/2006/relationships/image" Target="media/image17.wmf"/><Relationship Id="rId49" Type="http://schemas.openxmlformats.org/officeDocument/2006/relationships/image" Target="media/image26.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6B4EDB-3C8C-4BE2-9A42-8513D7F1B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9</Pages>
  <Words>2271</Words>
  <Characters>12947</Characters>
  <Application>Microsoft Office Word</Application>
  <DocSecurity>0</DocSecurity>
  <Lines>107</Lines>
  <Paragraphs>30</Paragraphs>
  <ScaleCrop>false</ScaleCrop>
  <Company/>
  <LinksUpToDate>false</LinksUpToDate>
  <CharactersWithSpaces>15188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排版要求：</dc:title>
  <dc:creator>lenovo</dc:creator>
  <cp:lastModifiedBy>yh X</cp:lastModifiedBy>
  <cp:revision>15</cp:revision>
  <cp:lastPrinted>2021-01-26T02:16:00Z</cp:lastPrinted>
  <dcterms:created xsi:type="dcterms:W3CDTF">2025-07-22T05:22:00Z</dcterms:created>
  <dcterms:modified xsi:type="dcterms:W3CDTF">2026-07-08T06:01:00Z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OID">
    <vt:i4>1051714</vt:i4>
  </property>
  <property fmtid="{D5CDD505-2E9C-101B-9397-08002B2CF9AE}" pid="3" name="KSOProductBuildVer">
    <vt:lpwstr>2052-11.1.0.10228</vt:lpwstr>
  </property>
  <property fmtid="{D5CDD505-2E9C-101B-9397-08002B2CF9AE}" pid="4" name="MTWinEqns">
    <vt:bool>true</vt:bool>
  </property>
  <property fmtid="{D5CDD505-2E9C-101B-9397-08002B2CF9AE}" pid="5" name="MTEquationNumber2">
    <vt:lpwstr>(#S1.#E1)</vt:lpwstr>
  </property>
  <property fmtid="{D5CDD505-2E9C-101B-9397-08002B2CF9AE}" pid="6" name="MTEquationSection">
    <vt:lpwstr>1</vt:lpwstr>
  </property>
</Properties>
</file>