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Hlk203054033"/>
    <w:bookmarkEnd w:id="0"/>
    <w:p w14:paraId="5822EE66" w14:textId="5BF3D161" w:rsidR="001F7B30" w:rsidRDefault="00DA268A">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b/>
          <w:bCs/>
          <w:kern w:val="0"/>
          <w:sz w:val="44"/>
          <w:szCs w:val="44"/>
        </w:rPr>
        <w:fldChar w:fldCharType="begin"/>
      </w:r>
      <w:r>
        <w:rPr>
          <w:rFonts w:ascii="Times New Roman" w:eastAsiaTheme="majorEastAsia" w:hAnsi="Times New Roman" w:cs="Times New Roman"/>
          <w:b/>
          <w:bCs/>
          <w:kern w:val="0"/>
          <w:sz w:val="44"/>
          <w:szCs w:val="44"/>
        </w:rPr>
        <w:instrText xml:space="preserve"> MACROBUTTON MTEditEquationSection2 </w:instrText>
      </w:r>
      <w:r>
        <w:rPr>
          <w:rStyle w:val="MTEquationSection"/>
          <w:rFonts w:hint="eastAsia"/>
        </w:rPr>
        <w:instrText>公式章</w:instrText>
      </w:r>
      <w:r>
        <w:rPr>
          <w:rStyle w:val="MTEquationSection"/>
          <w:rFonts w:hint="eastAsia"/>
        </w:rPr>
        <w:instrText xml:space="preserve"> 1 </w:instrText>
      </w:r>
      <w:r>
        <w:rPr>
          <w:rStyle w:val="MTEquationSection"/>
          <w:rFonts w:hint="eastAsia"/>
        </w:rPr>
        <w:instrText>节</w:instrText>
      </w:r>
      <w:r>
        <w:rPr>
          <w:rStyle w:val="MTEquationSection"/>
          <w:rFonts w:hint="eastAsia"/>
        </w:rPr>
        <w:instrText xml:space="preserve"> 1</w:instrText>
      </w:r>
      <w:r>
        <w:rPr>
          <w:rFonts w:ascii="Times New Roman" w:eastAsiaTheme="majorEastAsia" w:hAnsi="Times New Roman" w:cs="Times New Roman"/>
          <w:b/>
          <w:bCs/>
          <w:kern w:val="0"/>
          <w:sz w:val="44"/>
          <w:szCs w:val="44"/>
        </w:rPr>
        <w:fldChar w:fldCharType="begin"/>
      </w:r>
      <w:r>
        <w:rPr>
          <w:rFonts w:ascii="Times New Roman" w:eastAsiaTheme="majorEastAsia" w:hAnsi="Times New Roman" w:cs="Times New Roman"/>
          <w:b/>
          <w:bCs/>
          <w:kern w:val="0"/>
          <w:sz w:val="44"/>
          <w:szCs w:val="44"/>
        </w:rPr>
        <w:instrText xml:space="preserve"> </w:instrText>
      </w:r>
      <w:r>
        <w:rPr>
          <w:rFonts w:ascii="Times New Roman" w:eastAsiaTheme="majorEastAsia" w:hAnsi="Times New Roman" w:cs="Times New Roman" w:hint="eastAsia"/>
          <w:b/>
          <w:bCs/>
          <w:kern w:val="0"/>
          <w:sz w:val="44"/>
          <w:szCs w:val="44"/>
        </w:rPr>
        <w:instrText>SEQ MTEqn \r \h \* MERGEFORMAT</w:instrText>
      </w:r>
      <w:r>
        <w:rPr>
          <w:rFonts w:ascii="Times New Roman" w:eastAsiaTheme="majorEastAsia" w:hAnsi="Times New Roman" w:cs="Times New Roman"/>
          <w:b/>
          <w:bCs/>
          <w:kern w:val="0"/>
          <w:sz w:val="44"/>
          <w:szCs w:val="44"/>
        </w:rPr>
        <w:instrText xml:space="preserve"> </w:instrText>
      </w:r>
      <w:r>
        <w:rPr>
          <w:rFonts w:ascii="Times New Roman" w:eastAsiaTheme="majorEastAsia" w:hAnsi="Times New Roman" w:cs="Times New Roman"/>
          <w:b/>
          <w:bCs/>
          <w:kern w:val="0"/>
          <w:sz w:val="44"/>
          <w:szCs w:val="44"/>
        </w:rPr>
        <w:fldChar w:fldCharType="end"/>
      </w:r>
      <w:r>
        <w:rPr>
          <w:rFonts w:ascii="Times New Roman" w:eastAsiaTheme="majorEastAsia" w:hAnsi="Times New Roman" w:cs="Times New Roman"/>
          <w:b/>
          <w:bCs/>
          <w:kern w:val="0"/>
          <w:sz w:val="44"/>
          <w:szCs w:val="44"/>
        </w:rPr>
        <w:fldChar w:fldCharType="begin"/>
      </w:r>
      <w:r>
        <w:rPr>
          <w:rFonts w:ascii="Times New Roman" w:eastAsiaTheme="majorEastAsia" w:hAnsi="Times New Roman" w:cs="Times New Roman"/>
          <w:b/>
          <w:bCs/>
          <w:kern w:val="0"/>
          <w:sz w:val="44"/>
          <w:szCs w:val="44"/>
        </w:rPr>
        <w:instrText xml:space="preserve"> SEQ MTSec \r 1 \h \* MERGEFORMAT </w:instrText>
      </w:r>
      <w:r>
        <w:rPr>
          <w:rFonts w:ascii="Times New Roman" w:eastAsiaTheme="majorEastAsia" w:hAnsi="Times New Roman" w:cs="Times New Roman"/>
          <w:b/>
          <w:bCs/>
          <w:kern w:val="0"/>
          <w:sz w:val="44"/>
          <w:szCs w:val="44"/>
        </w:rPr>
        <w:fldChar w:fldCharType="end"/>
      </w:r>
      <w:r>
        <w:rPr>
          <w:rFonts w:ascii="Times New Roman" w:eastAsiaTheme="majorEastAsia" w:hAnsi="Times New Roman" w:cs="Times New Roman"/>
          <w:b/>
          <w:bCs/>
          <w:kern w:val="0"/>
          <w:sz w:val="44"/>
          <w:szCs w:val="44"/>
        </w:rPr>
        <w:fldChar w:fldCharType="begin"/>
      </w:r>
      <w:r>
        <w:rPr>
          <w:rFonts w:ascii="Times New Roman" w:eastAsiaTheme="majorEastAsia" w:hAnsi="Times New Roman" w:cs="Times New Roman"/>
          <w:b/>
          <w:bCs/>
          <w:kern w:val="0"/>
          <w:sz w:val="44"/>
          <w:szCs w:val="44"/>
        </w:rPr>
        <w:instrText xml:space="preserve"> SEQ MTChap \r 1 \h \* MERGEFORMAT </w:instrText>
      </w:r>
      <w:r>
        <w:rPr>
          <w:rFonts w:ascii="Times New Roman" w:eastAsiaTheme="majorEastAsia" w:hAnsi="Times New Roman" w:cs="Times New Roman"/>
          <w:b/>
          <w:bCs/>
          <w:kern w:val="0"/>
          <w:sz w:val="44"/>
          <w:szCs w:val="44"/>
        </w:rPr>
        <w:fldChar w:fldCharType="end"/>
      </w:r>
      <w:r>
        <w:rPr>
          <w:rFonts w:ascii="Times New Roman" w:eastAsiaTheme="majorEastAsia" w:hAnsi="Times New Roman" w:cs="Times New Roman"/>
          <w:b/>
          <w:bCs/>
          <w:kern w:val="0"/>
          <w:sz w:val="44"/>
          <w:szCs w:val="44"/>
        </w:rPr>
        <w:fldChar w:fldCharType="end"/>
      </w:r>
      <w:r>
        <w:rPr>
          <w:rFonts w:ascii="Times New Roman" w:eastAsiaTheme="majorEastAsia" w:hAnsi="Times New Roman" w:cs="Times New Roman" w:hint="eastAsia"/>
          <w:b/>
          <w:bCs/>
          <w:kern w:val="0"/>
          <w:sz w:val="44"/>
          <w:szCs w:val="44"/>
        </w:rPr>
        <w:t>基于直流潮流的城市电力系统震后</w:t>
      </w:r>
      <w:r w:rsidR="00460EB7">
        <w:rPr>
          <w:rFonts w:ascii="Times New Roman" w:eastAsiaTheme="majorEastAsia" w:hAnsi="Times New Roman" w:cs="Times New Roman" w:hint="eastAsia"/>
          <w:b/>
          <w:bCs/>
          <w:kern w:val="0"/>
          <w:sz w:val="44"/>
          <w:szCs w:val="44"/>
        </w:rPr>
        <w:t>功能评价</w:t>
      </w:r>
      <w:r w:rsidR="00017248">
        <w:rPr>
          <w:rFonts w:ascii="Times New Roman" w:eastAsiaTheme="majorEastAsia" w:hAnsi="Times New Roman" w:cs="Times New Roman" w:hint="eastAsia"/>
          <w:b/>
          <w:bCs/>
          <w:kern w:val="0"/>
          <w:sz w:val="44"/>
          <w:szCs w:val="44"/>
        </w:rPr>
        <w:t>方法研究</w:t>
      </w:r>
    </w:p>
    <w:p w14:paraId="7EA8F536" w14:textId="77777777" w:rsidR="001F7B30" w:rsidRDefault="001F7B30">
      <w:pPr>
        <w:widowControl/>
        <w:spacing w:line="240" w:lineRule="atLeast"/>
        <w:jc w:val="center"/>
        <w:rPr>
          <w:rFonts w:ascii="Times New Roman" w:hAnsi="Times New Roman" w:cs="Times New Roman"/>
          <w:color w:val="FF0000"/>
          <w:kern w:val="0"/>
          <w:szCs w:val="21"/>
        </w:rPr>
      </w:pPr>
    </w:p>
    <w:p w14:paraId="32D4258F" w14:textId="08C82B0E" w:rsidR="001F7B30" w:rsidRDefault="00DA268A">
      <w:pPr>
        <w:widowControl/>
        <w:spacing w:line="240" w:lineRule="atLeast"/>
        <w:rPr>
          <w:rFonts w:ascii="Times New Roman" w:eastAsia="宋体" w:hAnsi="Times New Roman" w:cs="Times New Roman"/>
          <w:kern w:val="0"/>
          <w:szCs w:val="21"/>
        </w:rPr>
      </w:pPr>
      <w:r>
        <w:rPr>
          <w:rFonts w:ascii="Times New Roman" w:eastAsia="黑体" w:hAnsi="Times New Roman" w:cs="Times New Roman"/>
          <w:kern w:val="0"/>
          <w:szCs w:val="21"/>
        </w:rPr>
        <w:t>摘</w:t>
      </w:r>
      <w:r>
        <w:rPr>
          <w:rFonts w:ascii="Times New Roman" w:eastAsia="黑体" w:hAnsi="Times New Roman" w:cs="Times New Roman"/>
          <w:kern w:val="0"/>
          <w:szCs w:val="21"/>
        </w:rPr>
        <w:t xml:space="preserve"> </w:t>
      </w:r>
      <w:r>
        <w:rPr>
          <w:rFonts w:ascii="Times New Roman" w:eastAsia="黑体" w:hAnsi="Times New Roman" w:cs="Times New Roman"/>
          <w:kern w:val="0"/>
          <w:szCs w:val="21"/>
        </w:rPr>
        <w:t>要</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电力系统作为生命线工程的重要组成部分，是维系城市功能、保障民生的关键基础设施。准确评</w:t>
      </w:r>
      <w:r w:rsidR="000C7E36">
        <w:rPr>
          <w:rFonts w:ascii="Times New Roman" w:eastAsia="宋体" w:hAnsi="Times New Roman" w:cs="Times New Roman" w:hint="eastAsia"/>
          <w:kern w:val="0"/>
          <w:szCs w:val="21"/>
        </w:rPr>
        <w:t>价</w:t>
      </w:r>
      <w:r>
        <w:rPr>
          <w:rFonts w:ascii="Times New Roman" w:eastAsia="宋体" w:hAnsi="Times New Roman" w:cs="Times New Roman" w:hint="eastAsia"/>
          <w:kern w:val="0"/>
          <w:szCs w:val="21"/>
        </w:rPr>
        <w:t>电力系统</w:t>
      </w:r>
      <w:r w:rsidR="000C7E36">
        <w:rPr>
          <w:rFonts w:ascii="Times New Roman" w:eastAsia="宋体" w:hAnsi="Times New Roman" w:cs="Times New Roman" w:hint="eastAsia"/>
          <w:kern w:val="0"/>
          <w:szCs w:val="21"/>
        </w:rPr>
        <w:t>的</w:t>
      </w:r>
      <w:r>
        <w:rPr>
          <w:rFonts w:ascii="Times New Roman" w:eastAsia="宋体" w:hAnsi="Times New Roman" w:cs="Times New Roman" w:hint="eastAsia"/>
          <w:kern w:val="0"/>
          <w:szCs w:val="21"/>
        </w:rPr>
        <w:t>震后功能，对于应急救援、城市功能恢复与稳定社会秩序具有重</w:t>
      </w:r>
      <w:r w:rsidR="000C7E36">
        <w:rPr>
          <w:rFonts w:ascii="Times New Roman" w:eastAsia="宋体" w:hAnsi="Times New Roman" w:cs="Times New Roman" w:hint="eastAsia"/>
          <w:kern w:val="0"/>
          <w:szCs w:val="21"/>
        </w:rPr>
        <w:t>要</w:t>
      </w:r>
      <w:r>
        <w:rPr>
          <w:rFonts w:ascii="Times New Roman" w:eastAsia="宋体" w:hAnsi="Times New Roman" w:cs="Times New Roman" w:hint="eastAsia"/>
          <w:kern w:val="0"/>
          <w:szCs w:val="21"/>
        </w:rPr>
        <w:t>意义。</w:t>
      </w:r>
      <w:r>
        <w:rPr>
          <w:rFonts w:ascii="Times New Roman" w:eastAsia="宋体" w:hAnsi="Times New Roman" w:cs="Times New Roman"/>
          <w:kern w:val="0"/>
          <w:szCs w:val="21"/>
        </w:rPr>
        <w:t>本文</w:t>
      </w:r>
      <w:r w:rsidR="00211ECB">
        <w:rPr>
          <w:rFonts w:ascii="Times New Roman" w:eastAsia="宋体" w:hAnsi="Times New Roman" w:cs="Times New Roman" w:hint="eastAsia"/>
          <w:kern w:val="0"/>
          <w:szCs w:val="21"/>
        </w:rPr>
        <w:t>在明确</w:t>
      </w:r>
      <w:r w:rsidR="0071586A">
        <w:rPr>
          <w:rFonts w:ascii="Times New Roman" w:eastAsia="宋体" w:hAnsi="Times New Roman" w:cs="Times New Roman" w:hint="eastAsia"/>
          <w:kern w:val="0"/>
          <w:szCs w:val="21"/>
        </w:rPr>
        <w:t>城市电力系统概念</w:t>
      </w:r>
      <w:r w:rsidR="00211ECB">
        <w:rPr>
          <w:rFonts w:ascii="Times New Roman" w:eastAsia="宋体" w:hAnsi="Times New Roman" w:cs="Times New Roman" w:hint="eastAsia"/>
          <w:kern w:val="0"/>
          <w:szCs w:val="21"/>
        </w:rPr>
        <w:t>的基础上</w:t>
      </w:r>
      <w:r>
        <w:rPr>
          <w:rFonts w:ascii="Times New Roman" w:eastAsia="宋体" w:hAnsi="Times New Roman" w:cs="Times New Roman"/>
          <w:kern w:val="0"/>
          <w:szCs w:val="21"/>
        </w:rPr>
        <w:t>提出了适用于城市尺度的电力系统震后功能评</w:t>
      </w:r>
      <w:r w:rsidR="001C0439">
        <w:rPr>
          <w:rFonts w:ascii="Times New Roman" w:eastAsia="宋体" w:hAnsi="Times New Roman" w:cs="Times New Roman" w:hint="eastAsia"/>
          <w:kern w:val="0"/>
          <w:szCs w:val="21"/>
        </w:rPr>
        <w:t>价</w:t>
      </w:r>
      <w:r>
        <w:rPr>
          <w:rFonts w:ascii="Times New Roman" w:eastAsia="宋体" w:hAnsi="Times New Roman" w:cs="Times New Roman"/>
          <w:kern w:val="0"/>
          <w:szCs w:val="21"/>
        </w:rPr>
        <w:t>框架</w:t>
      </w:r>
      <w:r w:rsidR="00211ECB">
        <w:rPr>
          <w:rFonts w:ascii="Times New Roman" w:eastAsia="宋体" w:hAnsi="Times New Roman" w:cs="Times New Roman" w:hint="eastAsia"/>
          <w:kern w:val="0"/>
          <w:szCs w:val="21"/>
        </w:rPr>
        <w:t>。</w:t>
      </w:r>
      <w:r>
        <w:rPr>
          <w:rFonts w:ascii="Times New Roman" w:eastAsia="宋体" w:hAnsi="Times New Roman" w:cs="Times New Roman"/>
          <w:kern w:val="0"/>
          <w:szCs w:val="21"/>
        </w:rPr>
        <w:t>该框架以统一的拓扑建模为基础，</w:t>
      </w:r>
      <w:r>
        <w:rPr>
          <w:rFonts w:ascii="Times New Roman" w:eastAsia="宋体" w:hAnsi="Times New Roman" w:cs="Times New Roman" w:hint="eastAsia"/>
          <w:kern w:val="0"/>
          <w:szCs w:val="21"/>
        </w:rPr>
        <w:t>考虑各电力设施的震后多级损伤状态，</w:t>
      </w:r>
      <w:r>
        <w:rPr>
          <w:rFonts w:ascii="Times New Roman" w:eastAsia="宋体" w:hAnsi="Times New Roman" w:cs="Times New Roman"/>
          <w:kern w:val="0"/>
          <w:szCs w:val="21"/>
        </w:rPr>
        <w:t>结合直流潮流计算与级联失效模拟方法，</w:t>
      </w:r>
      <w:r w:rsidR="000C7E36">
        <w:rPr>
          <w:rFonts w:ascii="Times New Roman" w:eastAsia="宋体" w:hAnsi="Times New Roman" w:cs="Times New Roman" w:hint="eastAsia"/>
          <w:kern w:val="0"/>
          <w:szCs w:val="21"/>
        </w:rPr>
        <w:t>采用</w:t>
      </w:r>
      <w:r>
        <w:rPr>
          <w:rFonts w:ascii="Times New Roman" w:eastAsia="宋体" w:hAnsi="Times New Roman" w:cs="Times New Roman"/>
          <w:kern w:val="0"/>
          <w:szCs w:val="21"/>
        </w:rPr>
        <w:t>负荷供应功能指数</w:t>
      </w:r>
      <w:r>
        <w:rPr>
          <w:rFonts w:ascii="Times New Roman" w:eastAsia="宋体" w:hAnsi="Times New Roman" w:cs="Times New Roman" w:hint="eastAsia"/>
          <w:kern w:val="0"/>
          <w:szCs w:val="21"/>
        </w:rPr>
        <w:t>量化评价</w:t>
      </w:r>
      <w:r>
        <w:rPr>
          <w:rFonts w:ascii="Times New Roman" w:eastAsia="宋体" w:hAnsi="Times New Roman" w:cs="Times New Roman"/>
          <w:kern w:val="0"/>
          <w:szCs w:val="21"/>
        </w:rPr>
        <w:t>系统</w:t>
      </w:r>
      <w:r>
        <w:rPr>
          <w:rFonts w:ascii="Times New Roman" w:eastAsia="宋体" w:hAnsi="Times New Roman" w:cs="Times New Roman" w:hint="eastAsia"/>
          <w:kern w:val="0"/>
          <w:szCs w:val="21"/>
        </w:rPr>
        <w:t>震后</w:t>
      </w:r>
      <w:r>
        <w:rPr>
          <w:rFonts w:ascii="Times New Roman" w:eastAsia="宋体" w:hAnsi="Times New Roman" w:cs="Times New Roman"/>
          <w:kern w:val="0"/>
          <w:szCs w:val="21"/>
        </w:rPr>
        <w:t>功能。以中国东南沿海地区</w:t>
      </w:r>
      <w:r>
        <w:rPr>
          <w:rFonts w:ascii="Times New Roman" w:eastAsia="宋体" w:hAnsi="Times New Roman" w:cs="Times New Roman" w:hint="eastAsia"/>
          <w:kern w:val="0"/>
          <w:szCs w:val="21"/>
        </w:rPr>
        <w:t>的</w:t>
      </w:r>
      <w:r>
        <w:rPr>
          <w:rFonts w:ascii="Times New Roman" w:eastAsia="宋体" w:hAnsi="Times New Roman" w:cs="Times New Roman"/>
          <w:kern w:val="0"/>
          <w:szCs w:val="21"/>
        </w:rPr>
        <w:t>基准城市</w:t>
      </w:r>
      <w:r>
        <w:rPr>
          <w:rFonts w:ascii="Times New Roman" w:eastAsia="宋体" w:hAnsi="Times New Roman" w:cs="Times New Roman" w:hint="eastAsia"/>
          <w:kern w:val="0"/>
          <w:szCs w:val="21"/>
        </w:rPr>
        <w:t>模型</w:t>
      </w:r>
      <w:r>
        <w:rPr>
          <w:rFonts w:ascii="Times New Roman" w:eastAsia="宋体" w:hAnsi="Times New Roman" w:cs="Times New Roman"/>
          <w:kern w:val="0"/>
          <w:szCs w:val="21"/>
        </w:rPr>
        <w:t>为例开展模拟分析</w:t>
      </w:r>
      <w:r>
        <w:rPr>
          <w:rFonts w:ascii="Times New Roman" w:eastAsia="宋体" w:hAnsi="Times New Roman" w:cs="Times New Roman" w:hint="eastAsia"/>
          <w:kern w:val="0"/>
          <w:szCs w:val="21"/>
        </w:rPr>
        <w:t>，研究结果表明：该</w:t>
      </w:r>
      <w:r>
        <w:rPr>
          <w:rFonts w:ascii="Times New Roman" w:eastAsia="宋体" w:hAnsi="Times New Roman" w:cs="Times New Roman"/>
          <w:kern w:val="0"/>
          <w:szCs w:val="21"/>
        </w:rPr>
        <w:t>城市电力系统</w:t>
      </w:r>
      <w:r>
        <w:rPr>
          <w:rFonts w:ascii="Times New Roman" w:eastAsia="宋体" w:hAnsi="Times New Roman" w:cs="Times New Roman" w:hint="eastAsia"/>
          <w:kern w:val="0"/>
          <w:szCs w:val="21"/>
        </w:rPr>
        <w:t>震后</w:t>
      </w:r>
      <w:r>
        <w:rPr>
          <w:rFonts w:ascii="Times New Roman" w:eastAsia="宋体" w:hAnsi="Times New Roman" w:cs="Times New Roman"/>
          <w:kern w:val="0"/>
          <w:szCs w:val="21"/>
        </w:rPr>
        <w:t>平均功能</w:t>
      </w:r>
      <w:r>
        <w:rPr>
          <w:rFonts w:ascii="Times New Roman" w:eastAsia="宋体" w:hAnsi="Times New Roman" w:cs="Times New Roman" w:hint="eastAsia"/>
          <w:kern w:val="0"/>
          <w:szCs w:val="21"/>
        </w:rPr>
        <w:t>为</w:t>
      </w:r>
      <w:r>
        <w:rPr>
          <w:rFonts w:ascii="Times New Roman" w:eastAsia="宋体" w:hAnsi="Times New Roman" w:cs="Times New Roman"/>
          <w:kern w:val="0"/>
          <w:szCs w:val="21"/>
        </w:rPr>
        <w:t>46.87%</w:t>
      </w:r>
      <w:r>
        <w:rPr>
          <w:rFonts w:ascii="Times New Roman" w:eastAsia="宋体" w:hAnsi="Times New Roman" w:cs="Times New Roman"/>
          <w:kern w:val="0"/>
          <w:szCs w:val="21"/>
        </w:rPr>
        <w:t>，其中</w:t>
      </w:r>
      <w:r>
        <w:rPr>
          <w:rFonts w:ascii="Times New Roman" w:eastAsia="宋体" w:hAnsi="Times New Roman" w:cs="Times New Roman" w:hint="eastAsia"/>
          <w:kern w:val="0"/>
          <w:szCs w:val="21"/>
        </w:rPr>
        <w:t>功能低值</w:t>
      </w:r>
      <w:r>
        <w:rPr>
          <w:rFonts w:ascii="Times New Roman" w:eastAsia="宋体" w:hAnsi="Times New Roman" w:cs="Times New Roman"/>
          <w:kern w:val="0"/>
          <w:szCs w:val="21"/>
        </w:rPr>
        <w:t>区域与</w:t>
      </w:r>
      <w:r w:rsidR="005A42B9">
        <w:rPr>
          <w:rFonts w:ascii="Times New Roman" w:eastAsia="宋体" w:hAnsi="Times New Roman" w:cs="Times New Roman" w:hint="eastAsia"/>
          <w:kern w:val="0"/>
          <w:szCs w:val="21"/>
        </w:rPr>
        <w:t>主要震损区域保持一致</w:t>
      </w:r>
      <w:r>
        <w:rPr>
          <w:rFonts w:ascii="Times New Roman" w:eastAsia="宋体" w:hAnsi="Times New Roman" w:cs="Times New Roman" w:hint="eastAsia"/>
          <w:kern w:val="0"/>
          <w:szCs w:val="21"/>
        </w:rPr>
        <w:t>；</w:t>
      </w:r>
      <w:r>
        <w:rPr>
          <w:rFonts w:ascii="Times New Roman" w:eastAsia="宋体" w:hAnsi="Times New Roman" w:cs="Times New Roman"/>
          <w:kern w:val="0"/>
          <w:szCs w:val="21"/>
        </w:rPr>
        <w:t>不同类型用地的</w:t>
      </w:r>
      <w:r>
        <w:rPr>
          <w:rFonts w:ascii="Times New Roman" w:eastAsia="宋体" w:hAnsi="Times New Roman" w:cs="Times New Roman" w:hint="eastAsia"/>
          <w:kern w:val="0"/>
          <w:szCs w:val="21"/>
        </w:rPr>
        <w:t>震后</w:t>
      </w:r>
      <w:r>
        <w:rPr>
          <w:rFonts w:ascii="Times New Roman" w:eastAsia="宋体" w:hAnsi="Times New Roman" w:cs="Times New Roman"/>
          <w:kern w:val="0"/>
          <w:szCs w:val="21"/>
        </w:rPr>
        <w:t>功能水平存在明显差异</w:t>
      </w:r>
      <w:r>
        <w:rPr>
          <w:rFonts w:ascii="Times New Roman" w:eastAsia="宋体" w:hAnsi="Times New Roman" w:cs="Times New Roman" w:hint="eastAsia"/>
          <w:kern w:val="0"/>
          <w:szCs w:val="21"/>
        </w:rPr>
        <w:t>，整体呈</w:t>
      </w:r>
      <w:r>
        <w:rPr>
          <w:rFonts w:ascii="Times New Roman" w:hAnsi="Times New Roman" w:cs="Times New Roman"/>
          <w:szCs w:val="21"/>
        </w:rPr>
        <w:t>“</w:t>
      </w:r>
      <w:r>
        <w:rPr>
          <w:rFonts w:ascii="Times New Roman" w:hAnsi="Times New Roman" w:cs="Times New Roman"/>
          <w:szCs w:val="21"/>
        </w:rPr>
        <w:t>高功能</w:t>
      </w:r>
      <w:r>
        <w:rPr>
          <w:rFonts w:ascii="Times New Roman" w:hAnsi="Times New Roman" w:cs="Times New Roman"/>
          <w:szCs w:val="21"/>
        </w:rPr>
        <w:t>—</w:t>
      </w:r>
      <w:r>
        <w:rPr>
          <w:rFonts w:ascii="Times New Roman" w:hAnsi="Times New Roman" w:cs="Times New Roman"/>
          <w:szCs w:val="21"/>
        </w:rPr>
        <w:t>高</w:t>
      </w:r>
      <w:r>
        <w:rPr>
          <w:rFonts w:ascii="Times New Roman" w:hAnsi="Times New Roman" w:cs="Times New Roman" w:hint="eastAsia"/>
          <w:szCs w:val="21"/>
        </w:rPr>
        <w:t>波动</w:t>
      </w:r>
      <w:r>
        <w:rPr>
          <w:rFonts w:ascii="Times New Roman" w:hAnsi="Times New Roman" w:cs="Times New Roman"/>
          <w:szCs w:val="21"/>
        </w:rPr>
        <w:t>”</w:t>
      </w:r>
      <w:r>
        <w:rPr>
          <w:rFonts w:ascii="Times New Roman" w:hAnsi="Times New Roman" w:cs="Times New Roman"/>
          <w:szCs w:val="21"/>
        </w:rPr>
        <w:t>与</w:t>
      </w:r>
      <w:r>
        <w:rPr>
          <w:rFonts w:ascii="Times New Roman" w:hAnsi="Times New Roman" w:cs="Times New Roman"/>
          <w:szCs w:val="21"/>
        </w:rPr>
        <w:t>“</w:t>
      </w:r>
      <w:r>
        <w:rPr>
          <w:rFonts w:ascii="Times New Roman" w:hAnsi="Times New Roman" w:cs="Times New Roman"/>
          <w:szCs w:val="21"/>
        </w:rPr>
        <w:t>中功能</w:t>
      </w:r>
      <w:r>
        <w:rPr>
          <w:rFonts w:ascii="Times New Roman" w:hAnsi="Times New Roman" w:cs="Times New Roman"/>
          <w:szCs w:val="21"/>
        </w:rPr>
        <w:t>—</w:t>
      </w:r>
      <w:r>
        <w:rPr>
          <w:rFonts w:ascii="Times New Roman" w:hAnsi="Times New Roman" w:cs="Times New Roman"/>
          <w:szCs w:val="21"/>
        </w:rPr>
        <w:t>低波动</w:t>
      </w:r>
      <w:r>
        <w:rPr>
          <w:rFonts w:ascii="Times New Roman" w:hAnsi="Times New Roman" w:cs="Times New Roman"/>
          <w:szCs w:val="21"/>
        </w:rPr>
        <w:t>”</w:t>
      </w:r>
      <w:r>
        <w:rPr>
          <w:rFonts w:ascii="Times New Roman" w:hAnsi="Times New Roman" w:cs="Times New Roman" w:hint="eastAsia"/>
          <w:szCs w:val="21"/>
        </w:rPr>
        <w:t>的格局；震源方位</w:t>
      </w:r>
      <w:r w:rsidR="00522769">
        <w:rPr>
          <w:rFonts w:ascii="Times New Roman" w:hAnsi="Times New Roman" w:cs="Times New Roman" w:hint="eastAsia"/>
          <w:szCs w:val="21"/>
        </w:rPr>
        <w:t>对系统</w:t>
      </w:r>
      <w:r>
        <w:rPr>
          <w:rFonts w:ascii="Times New Roman" w:hAnsi="Times New Roman" w:cs="Times New Roman" w:hint="eastAsia"/>
          <w:szCs w:val="21"/>
        </w:rPr>
        <w:t>震后功能分布</w:t>
      </w:r>
      <w:r w:rsidR="00522769">
        <w:rPr>
          <w:rFonts w:ascii="Times New Roman" w:hAnsi="Times New Roman" w:cs="Times New Roman" w:hint="eastAsia"/>
          <w:szCs w:val="21"/>
        </w:rPr>
        <w:t>影响显著</w:t>
      </w:r>
      <w:r>
        <w:rPr>
          <w:rFonts w:ascii="Times New Roman" w:hAnsi="Times New Roman" w:cs="Times New Roman" w:hint="eastAsia"/>
          <w:szCs w:val="21"/>
        </w:rPr>
        <w:t>，西、北、西北方向的地震事件对系统功能造成的影响最为严重。</w:t>
      </w:r>
    </w:p>
    <w:p w14:paraId="0FB1AC0E" w14:textId="77777777" w:rsidR="001F7B30" w:rsidRDefault="00DA268A">
      <w:pPr>
        <w:widowControl/>
        <w:spacing w:line="240" w:lineRule="atLeast"/>
        <w:rPr>
          <w:rFonts w:ascii="Times New Roman" w:eastAsia="宋体" w:hAnsi="Times New Roman" w:cs="Times New Roman"/>
          <w:kern w:val="0"/>
          <w:szCs w:val="21"/>
        </w:rPr>
      </w:pPr>
      <w:r>
        <w:rPr>
          <w:rFonts w:ascii="Times New Roman" w:eastAsia="黑体" w:hAnsi="Times New Roman" w:cs="Times New Roman"/>
          <w:kern w:val="0"/>
          <w:szCs w:val="21"/>
        </w:rPr>
        <w:t>关键词：</w:t>
      </w:r>
      <w:r>
        <w:rPr>
          <w:rFonts w:ascii="Times New Roman" w:eastAsia="宋体" w:hAnsi="Times New Roman" w:cs="Times New Roman" w:hint="eastAsia"/>
          <w:kern w:val="0"/>
          <w:szCs w:val="21"/>
        </w:rPr>
        <w:t>城市电力系统；震后功能分析；拓扑网络；潮流分析；级联失效</w:t>
      </w:r>
      <w:r>
        <w:rPr>
          <w:rFonts w:ascii="Times New Roman" w:eastAsia="宋体" w:hAnsi="Times New Roman" w:cs="Times New Roman"/>
          <w:kern w:val="0"/>
          <w:szCs w:val="21"/>
        </w:rPr>
        <w:t xml:space="preserve"> </w:t>
      </w:r>
    </w:p>
    <w:p w14:paraId="2E22450B" w14:textId="77777777" w:rsidR="001F7B30" w:rsidRDefault="00DA268A">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中图分类号：</w:t>
      </w:r>
      <w:r>
        <w:rPr>
          <w:rFonts w:ascii="Times New Roman" w:eastAsia="宋体" w:hAnsi="Times New Roman" w:cs="Times New Roman"/>
          <w:kern w:val="0"/>
          <w:szCs w:val="21"/>
        </w:rPr>
        <w:t xml:space="preserve">TP393.1    </w:t>
      </w:r>
      <w:r>
        <w:rPr>
          <w:rFonts w:ascii="Times New Roman" w:eastAsia="黑体" w:hAnsi="Times New Roman" w:cs="Times New Roman"/>
          <w:kern w:val="0"/>
          <w:szCs w:val="21"/>
        </w:rPr>
        <w:t>文献标志码：</w:t>
      </w:r>
      <w:r>
        <w:rPr>
          <w:rFonts w:ascii="Times New Roman" w:eastAsia="宋体" w:hAnsi="Times New Roman" w:cs="Times New Roman"/>
          <w:kern w:val="0"/>
          <w:szCs w:val="21"/>
        </w:rPr>
        <w:t>A</w:t>
      </w:r>
    </w:p>
    <w:p w14:paraId="73BF740F" w14:textId="77777777" w:rsidR="001F7B30" w:rsidRDefault="001F7B30">
      <w:pPr>
        <w:widowControl/>
        <w:spacing w:line="240" w:lineRule="atLeast"/>
        <w:rPr>
          <w:rFonts w:ascii="Times New Roman" w:eastAsia="宋体" w:hAnsi="Times New Roman" w:cs="Times New Roman"/>
          <w:color w:val="FF0000"/>
          <w:kern w:val="0"/>
          <w:szCs w:val="21"/>
        </w:rPr>
      </w:pPr>
    </w:p>
    <w:p w14:paraId="12D46514" w14:textId="77777777" w:rsidR="001F7B30" w:rsidRDefault="001F7B30">
      <w:pPr>
        <w:widowControl/>
        <w:spacing w:line="240" w:lineRule="atLeast"/>
        <w:rPr>
          <w:rFonts w:ascii="Times New Roman" w:eastAsiaTheme="majorEastAsia" w:hAnsi="Times New Roman" w:cs="Times New Roman"/>
          <w:color w:val="FF0000"/>
          <w:kern w:val="0"/>
          <w:szCs w:val="21"/>
        </w:rPr>
        <w:sectPr w:rsidR="001F7B30">
          <w:footerReference w:type="first" r:id="rId16"/>
          <w:type w:val="continuous"/>
          <w:pgSz w:w="11906" w:h="16838"/>
          <w:pgMar w:top="1985" w:right="1021" w:bottom="1021" w:left="1021" w:header="851" w:footer="992" w:gutter="0"/>
          <w:cols w:space="425"/>
          <w:titlePg/>
          <w:docGrid w:type="lines" w:linePitch="312"/>
        </w:sectPr>
      </w:pPr>
    </w:p>
    <w:p w14:paraId="79366D08" w14:textId="5DF956EC" w:rsidR="001F7B30" w:rsidRDefault="00DA268A">
      <w:pPr>
        <w:spacing w:line="240" w:lineRule="atLeast"/>
        <w:ind w:firstLine="420"/>
        <w:rPr>
          <w:rFonts w:ascii="Times New Roman" w:hAnsi="Times New Roman" w:cs="Times New Roman"/>
          <w:szCs w:val="21"/>
        </w:rPr>
      </w:pPr>
      <w:r>
        <w:rPr>
          <w:rFonts w:ascii="Times New Roman" w:hAnsi="Times New Roman" w:cs="Times New Roman" w:hint="eastAsia"/>
          <w:szCs w:val="21"/>
        </w:rPr>
        <w:t>电力系统作为生命线工程的重要组成部分，是维系城市功能、保障民生的关键基础设施。在城市化进程不断加速的背景下，城市面积、人口不断增长，对电力的需求也在持续扩大，对城市电力系统地震安全提出了更高要求</w:t>
      </w:r>
      <w:r>
        <w:rPr>
          <w:rFonts w:ascii="Times New Roman" w:hAnsi="Times New Roman" w:cs="Times New Roman"/>
          <w:szCs w:val="21"/>
        </w:rPr>
        <w:fldChar w:fldCharType="begin"/>
      </w:r>
      <w:r>
        <w:rPr>
          <w:rFonts w:ascii="Times New Roman" w:hAnsi="Times New Roman" w:cs="Times New Roman"/>
          <w:szCs w:val="21"/>
        </w:rPr>
        <w:instrText xml:space="preserve"> </w:instrText>
      </w:r>
      <w:r>
        <w:rPr>
          <w:rFonts w:ascii="Times New Roman" w:hAnsi="Times New Roman" w:cs="Times New Roman" w:hint="eastAsia"/>
          <w:szCs w:val="21"/>
        </w:rPr>
        <w:instrText>REF _Ref178621085 \r \h</w:instrText>
      </w:r>
      <w:r>
        <w:rPr>
          <w:rFonts w:ascii="Times New Roman" w:hAnsi="Times New Roman" w:cs="Times New Roman"/>
          <w:szCs w:val="21"/>
        </w:rPr>
        <w:instrText xml:space="preserve">  \* MERGEFORMAT </w:instrText>
      </w:r>
      <w:r>
        <w:rPr>
          <w:rFonts w:ascii="Times New Roman" w:hAnsi="Times New Roman" w:cs="Times New Roman"/>
          <w:szCs w:val="21"/>
        </w:rPr>
      </w:r>
      <w:r>
        <w:rPr>
          <w:rFonts w:ascii="Times New Roman" w:hAnsi="Times New Roman" w:cs="Times New Roman"/>
          <w:szCs w:val="21"/>
        </w:rPr>
        <w:fldChar w:fldCharType="separate"/>
      </w:r>
      <w:r w:rsidR="0071557B">
        <w:rPr>
          <w:rFonts w:ascii="Times New Roman" w:hAnsi="Times New Roman" w:cs="Times New Roman"/>
          <w:szCs w:val="21"/>
          <w:cs/>
        </w:rPr>
        <w:t>‎</w:t>
      </w:r>
      <w:r w:rsidR="0071557B" w:rsidRPr="0071557B">
        <w:rPr>
          <w:rFonts w:ascii="Times New Roman" w:hAnsi="Times New Roman" w:cs="Times New Roman"/>
          <w:color w:val="0000FF"/>
          <w:szCs w:val="21"/>
          <w:vertAlign w:val="superscript"/>
        </w:rPr>
        <w:t>[1]</w:t>
      </w:r>
      <w:r>
        <w:rPr>
          <w:rFonts w:ascii="Times New Roman" w:hAnsi="Times New Roman" w:cs="Times New Roman"/>
          <w:szCs w:val="21"/>
        </w:rPr>
        <w:fldChar w:fldCharType="end"/>
      </w:r>
      <w:r>
        <w:rPr>
          <w:rFonts w:ascii="Times New Roman" w:hAnsi="Times New Roman" w:cs="Times New Roman" w:hint="eastAsia"/>
          <w:szCs w:val="21"/>
        </w:rPr>
        <w:t>。准确评</w:t>
      </w:r>
      <w:r w:rsidR="00017248">
        <w:rPr>
          <w:rFonts w:ascii="Times New Roman" w:hAnsi="Times New Roman" w:cs="Times New Roman" w:hint="eastAsia"/>
          <w:szCs w:val="21"/>
        </w:rPr>
        <w:t>价</w:t>
      </w:r>
      <w:r>
        <w:rPr>
          <w:rFonts w:ascii="Times New Roman" w:hAnsi="Times New Roman" w:cs="Times New Roman" w:hint="eastAsia"/>
          <w:szCs w:val="21"/>
        </w:rPr>
        <w:t>城市电力系统的震后功能，对于应急救援、城市功能恢复与稳定社会秩序具有重</w:t>
      </w:r>
      <w:r w:rsidR="00017248">
        <w:rPr>
          <w:rFonts w:ascii="Times New Roman" w:hAnsi="Times New Roman" w:cs="Times New Roman" w:hint="eastAsia"/>
          <w:szCs w:val="21"/>
        </w:rPr>
        <w:t>要</w:t>
      </w:r>
      <w:r>
        <w:rPr>
          <w:rFonts w:ascii="Times New Roman" w:hAnsi="Times New Roman" w:cs="Times New Roman" w:hint="eastAsia"/>
          <w:szCs w:val="21"/>
        </w:rPr>
        <w:t>意义。</w:t>
      </w:r>
    </w:p>
    <w:p w14:paraId="3801B1A9" w14:textId="35F10CEB" w:rsidR="001F7B30" w:rsidRPr="00D31CBD" w:rsidRDefault="00DA268A" w:rsidP="0077726A">
      <w:pPr>
        <w:spacing w:line="240" w:lineRule="atLeast"/>
        <w:ind w:firstLine="420"/>
        <w:rPr>
          <w:rFonts w:ascii="Times New Roman" w:hAnsi="Times New Roman" w:cs="Times New Roman"/>
          <w:szCs w:val="21"/>
        </w:rPr>
      </w:pPr>
      <w:r>
        <w:rPr>
          <w:rFonts w:ascii="Times New Roman" w:hAnsi="Times New Roman" w:cs="Times New Roman" w:hint="eastAsia"/>
          <w:szCs w:val="21"/>
        </w:rPr>
        <w:t>网络连通性分析</w:t>
      </w:r>
      <w:r w:rsidR="00017248">
        <w:rPr>
          <w:rFonts w:ascii="Times New Roman" w:hAnsi="Times New Roman" w:cs="Times New Roman" w:hint="eastAsia"/>
          <w:szCs w:val="21"/>
        </w:rPr>
        <w:t>是</w:t>
      </w:r>
      <w:r>
        <w:rPr>
          <w:rFonts w:ascii="Times New Roman" w:hAnsi="Times New Roman" w:cs="Times New Roman" w:hint="eastAsia"/>
          <w:szCs w:val="21"/>
        </w:rPr>
        <w:t>对电力系统震后可靠性进行研究</w:t>
      </w:r>
      <w:r w:rsidR="00017248">
        <w:rPr>
          <w:rFonts w:ascii="Times New Roman" w:hAnsi="Times New Roman" w:cs="Times New Roman" w:hint="eastAsia"/>
          <w:szCs w:val="21"/>
        </w:rPr>
        <w:t>常采用的方法</w:t>
      </w:r>
      <w:r>
        <w:rPr>
          <w:rFonts w:ascii="Times New Roman" w:hAnsi="Times New Roman" w:cs="Times New Roman" w:hint="eastAsia"/>
          <w:szCs w:val="21"/>
        </w:rPr>
        <w:t>，该方法以图论为基础，</w:t>
      </w:r>
      <w:r w:rsidR="004B630D" w:rsidRPr="007A2728">
        <w:t>将电力网络抽象为节点和线路，考察地震</w:t>
      </w:r>
      <w:r w:rsidR="00017248">
        <w:rPr>
          <w:rFonts w:hint="eastAsia"/>
        </w:rPr>
        <w:t>发生</w:t>
      </w:r>
      <w:r w:rsidR="004B630D" w:rsidRPr="007A2728">
        <w:t>后负荷与电源间是否存在连通路径</w:t>
      </w:r>
      <w:r w:rsidR="008F45B7" w:rsidRPr="008453EA">
        <w:rPr>
          <w:rFonts w:ascii="Times New Roman" w:hAnsi="Times New Roman" w:cs="Times New Roman"/>
          <w:color w:val="0000FF"/>
          <w:szCs w:val="21"/>
          <w:vertAlign w:val="superscript"/>
        </w:rPr>
        <w:fldChar w:fldCharType="begin"/>
      </w:r>
      <w:r w:rsidR="008F45B7" w:rsidRPr="008453EA">
        <w:rPr>
          <w:rFonts w:ascii="Times New Roman" w:hAnsi="Times New Roman" w:cs="Times New Roman"/>
          <w:color w:val="0000FF"/>
          <w:szCs w:val="21"/>
          <w:vertAlign w:val="superscript"/>
        </w:rPr>
        <w:instrText xml:space="preserve"> REF _Ref204650908 \r \h </w:instrText>
      </w:r>
      <w:r w:rsidR="008F45B7">
        <w:rPr>
          <w:rFonts w:ascii="Times New Roman" w:hAnsi="Times New Roman" w:cs="Times New Roman"/>
          <w:color w:val="0000FF"/>
          <w:szCs w:val="21"/>
          <w:vertAlign w:val="superscript"/>
        </w:rPr>
        <w:instrText xml:space="preserve"> \* MERGEFORMAT </w:instrText>
      </w:r>
      <w:r w:rsidR="008F45B7" w:rsidRPr="008453EA">
        <w:rPr>
          <w:rFonts w:ascii="Times New Roman" w:hAnsi="Times New Roman" w:cs="Times New Roman"/>
          <w:color w:val="0000FF"/>
          <w:szCs w:val="21"/>
          <w:vertAlign w:val="superscript"/>
        </w:rPr>
      </w:r>
      <w:r w:rsidR="008F45B7" w:rsidRPr="008453EA">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[2]</w:t>
      </w:r>
      <w:r w:rsidR="008F45B7" w:rsidRPr="008453EA">
        <w:rPr>
          <w:rFonts w:ascii="Times New Roman" w:hAnsi="Times New Roman" w:cs="Times New Roman"/>
          <w:color w:val="0000FF"/>
          <w:szCs w:val="21"/>
          <w:vertAlign w:val="superscript"/>
        </w:rPr>
        <w:fldChar w:fldCharType="end"/>
      </w:r>
      <w:r w:rsidR="009E4226">
        <w:rPr>
          <w:rFonts w:ascii="Times New Roman" w:hAnsi="Times New Roman" w:cs="Times New Roman"/>
          <w:color w:val="0000FF"/>
          <w:szCs w:val="21"/>
          <w:vertAlign w:val="superscript"/>
        </w:rPr>
        <w:fldChar w:fldCharType="begin"/>
      </w:r>
      <w:r w:rsidR="009E4226">
        <w:rPr>
          <w:rFonts w:ascii="Times New Roman" w:hAnsi="Times New Roman" w:cs="Times New Roman"/>
          <w:color w:val="0000FF"/>
          <w:szCs w:val="21"/>
          <w:vertAlign w:val="superscript"/>
        </w:rPr>
        <w:instrText xml:space="preserve"> REF _Ref204375382 \r \h </w:instrText>
      </w:r>
      <w:r w:rsidR="009E4226">
        <w:rPr>
          <w:rFonts w:ascii="Times New Roman" w:hAnsi="Times New Roman" w:cs="Times New Roman"/>
          <w:color w:val="0000FF"/>
          <w:szCs w:val="21"/>
          <w:vertAlign w:val="superscript"/>
        </w:rPr>
      </w:r>
      <w:r w:rsidR="009E4226">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[3]</w:t>
      </w:r>
      <w:r w:rsidR="009E4226">
        <w:rPr>
          <w:rFonts w:ascii="Times New Roman" w:hAnsi="Times New Roman" w:cs="Times New Roman"/>
          <w:color w:val="0000FF"/>
          <w:szCs w:val="21"/>
          <w:vertAlign w:val="superscript"/>
        </w:rPr>
        <w:fldChar w:fldCharType="end"/>
      </w:r>
      <w:r w:rsidR="001837A4">
        <w:rPr>
          <w:rFonts w:ascii="Times New Roman" w:hAnsi="Times New Roman" w:cs="Times New Roman"/>
          <w:color w:val="0000FF"/>
          <w:szCs w:val="21"/>
          <w:vertAlign w:val="superscript"/>
        </w:rPr>
        <w:fldChar w:fldCharType="begin"/>
      </w:r>
      <w:r w:rsidR="001837A4">
        <w:rPr>
          <w:rFonts w:ascii="Times New Roman" w:hAnsi="Times New Roman" w:cs="Times New Roman"/>
          <w:color w:val="0000FF"/>
          <w:szCs w:val="21"/>
          <w:vertAlign w:val="superscript"/>
        </w:rPr>
        <w:instrText xml:space="preserve"> REF _Ref178610756 \r \h </w:instrText>
      </w:r>
      <w:r w:rsidR="001837A4">
        <w:rPr>
          <w:rFonts w:ascii="Times New Roman" w:hAnsi="Times New Roman" w:cs="Times New Roman"/>
          <w:color w:val="0000FF"/>
          <w:szCs w:val="21"/>
          <w:vertAlign w:val="superscript"/>
        </w:rPr>
      </w:r>
      <w:r w:rsidR="001837A4">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[4]</w:t>
      </w:r>
      <w:r w:rsidR="001837A4">
        <w:rPr>
          <w:rFonts w:ascii="Times New Roman" w:hAnsi="Times New Roman" w:cs="Times New Roman"/>
          <w:color w:val="0000FF"/>
          <w:szCs w:val="21"/>
          <w:vertAlign w:val="superscript"/>
        </w:rPr>
        <w:fldChar w:fldCharType="end"/>
      </w:r>
      <w:r w:rsidR="00017248">
        <w:rPr>
          <w:rFonts w:ascii="Times New Roman" w:hAnsi="Times New Roman" w:cs="Times New Roman" w:hint="eastAsia"/>
          <w:szCs w:val="21"/>
        </w:rPr>
        <w:t>。该</w:t>
      </w:r>
      <w:r w:rsidR="00017248">
        <w:rPr>
          <w:rFonts w:hint="eastAsia"/>
        </w:rPr>
        <w:t>方法</w:t>
      </w:r>
      <w:r w:rsidR="007A65BF" w:rsidRPr="007A2728">
        <w:t>计算简便，能在一定程度上反映电网受损后的连通情况</w:t>
      </w:r>
      <w:r w:rsidR="00017248">
        <w:rPr>
          <w:rFonts w:hint="eastAsia"/>
        </w:rPr>
        <w:t>，</w:t>
      </w:r>
      <w:r w:rsidR="007A65BF" w:rsidRPr="007468BD">
        <w:t>然而</w:t>
      </w:r>
      <w:r w:rsidR="00D31CBD" w:rsidRPr="007468BD">
        <w:rPr>
          <w:rFonts w:hint="eastAsia"/>
        </w:rPr>
        <w:t>，</w:t>
      </w:r>
      <w:r w:rsidR="007A652B" w:rsidRPr="007468BD">
        <w:t>拓扑连通性指标往往高估</w:t>
      </w:r>
      <w:r w:rsidR="00DF0C5C" w:rsidRPr="007468BD">
        <w:rPr>
          <w:rFonts w:hint="eastAsia"/>
        </w:rPr>
        <w:t>电力系统</w:t>
      </w:r>
      <w:r w:rsidR="0077726A" w:rsidRPr="007468BD">
        <w:rPr>
          <w:rFonts w:hint="eastAsia"/>
        </w:rPr>
        <w:t>抗震</w:t>
      </w:r>
      <w:r w:rsidR="007A652B" w:rsidRPr="007468BD">
        <w:t>能力</w:t>
      </w:r>
      <w:r w:rsidR="004A6CA6" w:rsidRPr="007468BD">
        <w:rPr>
          <w:rFonts w:hint="eastAsia"/>
        </w:rPr>
        <w:t>，</w:t>
      </w:r>
      <w:r w:rsidR="00017248">
        <w:rPr>
          <w:rFonts w:hint="eastAsia"/>
        </w:rPr>
        <w:t>与电力系统实际运行状态不符，</w:t>
      </w:r>
      <w:r w:rsidR="004A6CA6" w:rsidRPr="007468BD">
        <w:t>对震后供电性能的预测能力有限</w:t>
      </w:r>
      <w:r w:rsidR="007D4645" w:rsidRPr="008453EA">
        <w:rPr>
          <w:rFonts w:ascii="Times New Roman" w:hAnsi="Times New Roman" w:cs="Times New Roman"/>
          <w:color w:val="0000FF"/>
          <w:szCs w:val="21"/>
          <w:vertAlign w:val="superscript"/>
        </w:rPr>
        <w:fldChar w:fldCharType="begin"/>
      </w:r>
      <w:r w:rsidR="007D4645" w:rsidRPr="008453EA">
        <w:rPr>
          <w:rFonts w:ascii="Times New Roman" w:hAnsi="Times New Roman" w:cs="Times New Roman"/>
          <w:color w:val="0000FF"/>
          <w:szCs w:val="21"/>
          <w:vertAlign w:val="superscript"/>
        </w:rPr>
        <w:instrText xml:space="preserve"> REF _Ref204651135 \r \h </w:instrText>
      </w:r>
      <w:r w:rsidR="00733F97" w:rsidRPr="00EC17EB">
        <w:rPr>
          <w:rFonts w:ascii="Times New Roman" w:hAnsi="Times New Roman" w:cs="Times New Roman"/>
          <w:color w:val="0000FF"/>
          <w:szCs w:val="21"/>
          <w:vertAlign w:val="superscript"/>
        </w:rPr>
        <w:instrText xml:space="preserve"> \* MERGEFORMAT </w:instrText>
      </w:r>
      <w:r w:rsidR="007D4645" w:rsidRPr="008453EA">
        <w:rPr>
          <w:rFonts w:ascii="Times New Roman" w:hAnsi="Times New Roman" w:cs="Times New Roman"/>
          <w:color w:val="0000FF"/>
          <w:szCs w:val="21"/>
          <w:vertAlign w:val="superscript"/>
        </w:rPr>
      </w:r>
      <w:r w:rsidR="007D4645" w:rsidRPr="008453EA">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[5]</w:t>
      </w:r>
      <w:r w:rsidR="007D4645" w:rsidRPr="008453EA">
        <w:rPr>
          <w:rFonts w:ascii="Times New Roman" w:hAnsi="Times New Roman" w:cs="Times New Roman"/>
          <w:color w:val="0000FF"/>
          <w:szCs w:val="21"/>
          <w:vertAlign w:val="superscript"/>
        </w:rPr>
        <w:fldChar w:fldCharType="end"/>
      </w:r>
      <w:r w:rsidR="002E218A" w:rsidRPr="007468BD">
        <w:rPr>
          <w:rFonts w:ascii="Times New Roman" w:hAnsi="Times New Roman" w:cs="Times New Roman" w:hint="eastAsia"/>
          <w:szCs w:val="21"/>
        </w:rPr>
        <w:t>。</w:t>
      </w:r>
    </w:p>
    <w:p w14:paraId="3C8FAEAA" w14:textId="69A317B6" w:rsidR="00A10F1B" w:rsidRDefault="00A10F1B" w:rsidP="008453EA">
      <w:pPr>
        <w:framePr w:w="9796" w:wrap="auto" w:vAnchor="page" w:hAnchor="page" w:x="1070" w:y="14380"/>
        <w:spacing w:line="240" w:lineRule="atLeast"/>
        <w:rPr>
          <w:rFonts w:ascii="Times New Roman" w:eastAsia="黑体" w:hAnsi="Times New Roman" w:cs="Times New Roman"/>
          <w:sz w:val="18"/>
          <w:szCs w:val="18"/>
        </w:rPr>
      </w:pPr>
      <w:bookmarkStart w:id="1" w:name="OLE_LINK96"/>
      <w:bookmarkStart w:id="2" w:name="OLE_LINK103"/>
      <w:r>
        <w:rPr>
          <w:rFonts w:eastAsia="黑体" w:hint="eastAsia"/>
          <w:sz w:val="18"/>
          <w:szCs w:val="18"/>
        </w:rPr>
        <w:t>————————</w:t>
      </w:r>
    </w:p>
    <w:bookmarkEnd w:id="1"/>
    <w:bookmarkEnd w:id="2"/>
    <w:p w14:paraId="4D924645" w14:textId="31528F6D" w:rsidR="001F7B30" w:rsidRDefault="00733F97">
      <w:pPr>
        <w:spacing w:line="240" w:lineRule="atLeast"/>
        <w:ind w:firstLine="420"/>
        <w:rPr>
          <w:rFonts w:ascii="Times New Roman" w:hAnsi="Times New Roman" w:cs="Times New Roman"/>
          <w:szCs w:val="21"/>
        </w:rPr>
      </w:pPr>
      <w:r w:rsidRPr="007A2728">
        <w:t>近年来</w:t>
      </w:r>
      <w:r w:rsidR="00017248">
        <w:rPr>
          <w:rFonts w:hint="eastAsia"/>
        </w:rPr>
        <w:t>，</w:t>
      </w:r>
      <w:r w:rsidRPr="007A2728">
        <w:t>学者</w:t>
      </w:r>
      <w:r w:rsidR="00017248" w:rsidRPr="007A2728">
        <w:t>逐步</w:t>
      </w:r>
      <w:r w:rsidRPr="007A2728">
        <w:t>将潮流分析</w:t>
      </w:r>
      <w:r w:rsidR="007B467E" w:rsidRPr="008453EA">
        <w:rPr>
          <w:rFonts w:ascii="Times New Roman" w:hAnsi="Times New Roman" w:cs="Times New Roman"/>
          <w:color w:val="0000FF"/>
          <w:szCs w:val="21"/>
          <w:vertAlign w:val="superscript"/>
        </w:rPr>
        <w:fldChar w:fldCharType="begin"/>
      </w:r>
      <w:r w:rsidR="007B467E" w:rsidRPr="008453EA">
        <w:rPr>
          <w:rFonts w:ascii="Times New Roman" w:hAnsi="Times New Roman" w:cs="Times New Roman"/>
          <w:color w:val="0000FF"/>
          <w:szCs w:val="21"/>
          <w:vertAlign w:val="superscript"/>
        </w:rPr>
        <w:instrText xml:space="preserve"> REF _Ref178620096 \r \h  \* MERGEFORMAT </w:instrText>
      </w:r>
      <w:r w:rsidR="007B467E" w:rsidRPr="008453EA">
        <w:rPr>
          <w:rFonts w:ascii="Times New Roman" w:hAnsi="Times New Roman" w:cs="Times New Roman"/>
          <w:color w:val="0000FF"/>
          <w:szCs w:val="21"/>
          <w:vertAlign w:val="superscript"/>
        </w:rPr>
      </w:r>
      <w:r w:rsidR="007B467E" w:rsidRPr="008453EA">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[6]</w:t>
      </w:r>
      <w:r w:rsidR="007B467E" w:rsidRPr="008453EA">
        <w:rPr>
          <w:rFonts w:ascii="Times New Roman" w:hAnsi="Times New Roman" w:cs="Times New Roman"/>
          <w:color w:val="0000FF"/>
          <w:szCs w:val="21"/>
          <w:vertAlign w:val="superscript"/>
        </w:rPr>
        <w:fldChar w:fldCharType="end"/>
      </w:r>
      <w:r w:rsidRPr="007A2728">
        <w:t>引入</w:t>
      </w:r>
      <w:r w:rsidR="00017248">
        <w:rPr>
          <w:rFonts w:hint="eastAsia"/>
        </w:rPr>
        <w:t>电力系统</w:t>
      </w:r>
      <w:r w:rsidR="00017248" w:rsidRPr="007A2728">
        <w:t>震后</w:t>
      </w:r>
      <w:r w:rsidRPr="007A2728">
        <w:t>功能评估中</w:t>
      </w:r>
      <w:r w:rsidR="00DA268A">
        <w:rPr>
          <w:rFonts w:ascii="Times New Roman" w:hAnsi="Times New Roman" w:cs="Times New Roman" w:hint="eastAsia"/>
          <w:szCs w:val="21"/>
        </w:rPr>
        <w:t>，用于确定在给定的负载和发电条件下，电力系统中各节点的电压、电流和功率分布。</w:t>
      </w:r>
      <w:r w:rsidR="00017248">
        <w:rPr>
          <w:rFonts w:hint="eastAsia"/>
        </w:rPr>
        <w:t>与</w:t>
      </w:r>
      <w:r w:rsidR="00F156D6" w:rsidRPr="007A2728">
        <w:t>连通性分析</w:t>
      </w:r>
      <w:r w:rsidR="00017248">
        <w:rPr>
          <w:rFonts w:hint="eastAsia"/>
        </w:rPr>
        <w:t>方法相比</w:t>
      </w:r>
      <w:r w:rsidR="00F156D6" w:rsidRPr="007A2728">
        <w:t>，基于潮流的功能评</w:t>
      </w:r>
      <w:r w:rsidR="00017248">
        <w:rPr>
          <w:rFonts w:hint="eastAsia"/>
        </w:rPr>
        <w:t>价</w:t>
      </w:r>
      <w:r w:rsidR="003D3275">
        <w:rPr>
          <w:rFonts w:hint="eastAsia"/>
        </w:rPr>
        <w:t>方法</w:t>
      </w:r>
      <w:r w:rsidR="00F156D6" w:rsidRPr="007A2728">
        <w:t>能</w:t>
      </w:r>
      <w:r w:rsidR="00017248">
        <w:rPr>
          <w:rFonts w:hint="eastAsia"/>
        </w:rPr>
        <w:t>考虑电力系统</w:t>
      </w:r>
      <w:r w:rsidR="00F156D6" w:rsidRPr="007A2728">
        <w:t>拓扑改变后</w:t>
      </w:r>
      <w:r w:rsidR="00E07814">
        <w:rPr>
          <w:rFonts w:hint="eastAsia"/>
        </w:rPr>
        <w:t>的</w:t>
      </w:r>
      <w:r w:rsidR="00F156D6" w:rsidRPr="007A2728">
        <w:t>功率重新分配</w:t>
      </w:r>
      <w:r w:rsidR="003D3275">
        <w:rPr>
          <w:rFonts w:hint="eastAsia"/>
        </w:rPr>
        <w:t>过程以</w:t>
      </w:r>
      <w:r w:rsidR="00F156D6" w:rsidRPr="007A2728">
        <w:t>及</w:t>
      </w:r>
      <w:r w:rsidR="005C52C2">
        <w:rPr>
          <w:rFonts w:hint="eastAsia"/>
        </w:rPr>
        <w:t>输</w:t>
      </w:r>
      <w:r w:rsidR="003D3275">
        <w:rPr>
          <w:rFonts w:hint="eastAsia"/>
        </w:rPr>
        <w:t>、变</w:t>
      </w:r>
      <w:r w:rsidR="005C52C2">
        <w:rPr>
          <w:rFonts w:hint="eastAsia"/>
        </w:rPr>
        <w:t>电</w:t>
      </w:r>
      <w:r w:rsidR="00F156D6" w:rsidRPr="007A2728">
        <w:t>容量</w:t>
      </w:r>
      <w:r w:rsidR="00E07814">
        <w:rPr>
          <w:rFonts w:hint="eastAsia"/>
        </w:rPr>
        <w:t>等</w:t>
      </w:r>
      <w:r w:rsidR="003D3275">
        <w:rPr>
          <w:rFonts w:hint="eastAsia"/>
        </w:rPr>
        <w:t>约束条件</w:t>
      </w:r>
      <w:r w:rsidR="00F156D6" w:rsidRPr="007A2728">
        <w:t>，从而更真实地反映震后电力供应状况</w:t>
      </w:r>
      <w:r w:rsidR="00B650BC">
        <w:rPr>
          <w:rFonts w:ascii="Times New Roman" w:hAnsi="Times New Roman" w:cs="Times New Roman"/>
          <w:color w:val="0000FF"/>
          <w:szCs w:val="21"/>
          <w:vertAlign w:val="superscript"/>
        </w:rPr>
        <w:fldChar w:fldCharType="begin"/>
      </w:r>
      <w:r w:rsidR="00B650BC">
        <w:rPr>
          <w:rFonts w:ascii="Times New Roman" w:hAnsi="Times New Roman" w:cs="Times New Roman"/>
          <w:color w:val="0000FF"/>
          <w:szCs w:val="21"/>
          <w:vertAlign w:val="superscript"/>
        </w:rPr>
        <w:instrText xml:space="preserve"> REF _Ref178615213 \r \h  \* MERGEFORMAT </w:instrText>
      </w:r>
      <w:r w:rsidR="00B650BC">
        <w:rPr>
          <w:rFonts w:ascii="Times New Roman" w:hAnsi="Times New Roman" w:cs="Times New Roman"/>
          <w:color w:val="0000FF"/>
          <w:szCs w:val="21"/>
          <w:vertAlign w:val="superscript"/>
        </w:rPr>
      </w:r>
      <w:r w:rsidR="00B650BC">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[7]</w:t>
      </w:r>
      <w:r w:rsidR="00B650BC">
        <w:rPr>
          <w:rFonts w:ascii="Times New Roman" w:hAnsi="Times New Roman" w:cs="Times New Roman"/>
          <w:color w:val="0000FF"/>
          <w:szCs w:val="21"/>
          <w:vertAlign w:val="superscript"/>
        </w:rPr>
        <w:fldChar w:fldCharType="end"/>
      </w:r>
      <w:r w:rsidR="00B650BC" w:rsidRPr="00B650BC">
        <w:rPr>
          <w:rFonts w:ascii="Times New Roman" w:hAnsi="Times New Roman" w:cs="Times New Roman"/>
          <w:color w:val="0000FF"/>
          <w:szCs w:val="21"/>
          <w:vertAlign w:val="superscript"/>
        </w:rPr>
        <w:t xml:space="preserve"> </w:t>
      </w:r>
      <w:r w:rsidR="00B650BC">
        <w:rPr>
          <w:rFonts w:ascii="Times New Roman" w:hAnsi="Times New Roman" w:cs="Times New Roman"/>
          <w:color w:val="0000FF"/>
          <w:szCs w:val="21"/>
          <w:vertAlign w:val="superscript"/>
        </w:rPr>
        <w:fldChar w:fldCharType="begin"/>
      </w:r>
      <w:r w:rsidR="00B650BC">
        <w:rPr>
          <w:rFonts w:ascii="Times New Roman" w:hAnsi="Times New Roman" w:cs="Times New Roman"/>
          <w:color w:val="0000FF"/>
          <w:szCs w:val="21"/>
          <w:vertAlign w:val="superscript"/>
        </w:rPr>
        <w:instrText xml:space="preserve"> REF _Ref178614489 \r \h  \* MERGEFORMAT </w:instrText>
      </w:r>
      <w:r w:rsidR="00B650BC">
        <w:rPr>
          <w:rFonts w:ascii="Times New Roman" w:hAnsi="Times New Roman" w:cs="Times New Roman"/>
          <w:color w:val="0000FF"/>
          <w:szCs w:val="21"/>
          <w:vertAlign w:val="superscript"/>
        </w:rPr>
      </w:r>
      <w:r w:rsidR="00B650BC">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[8]</w:t>
      </w:r>
      <w:r w:rsidR="00B650BC">
        <w:rPr>
          <w:rFonts w:ascii="Times New Roman" w:hAnsi="Times New Roman" w:cs="Times New Roman"/>
          <w:color w:val="0000FF"/>
          <w:szCs w:val="21"/>
          <w:vertAlign w:val="superscript"/>
        </w:rPr>
        <w:fldChar w:fldCharType="end"/>
      </w:r>
      <w:r w:rsidR="00045048">
        <w:rPr>
          <w:rFonts w:hint="eastAsia"/>
        </w:rPr>
        <w:t>。</w:t>
      </w:r>
    </w:p>
    <w:p w14:paraId="5AA4618C" w14:textId="741B3292" w:rsidR="009D3A54" w:rsidRPr="00413B94" w:rsidRDefault="00EC17EB" w:rsidP="00ED12D1">
      <w:pPr>
        <w:spacing w:line="240" w:lineRule="atLeast"/>
        <w:ind w:firstLine="420"/>
        <w:rPr>
          <w:rFonts w:ascii="Times New Roman" w:hAnsi="Times New Roman" w:cs="Times New Roman"/>
          <w:color w:val="0000FF"/>
          <w:szCs w:val="21"/>
          <w:vertAlign w:val="superscript"/>
        </w:rPr>
      </w:pPr>
      <w:r w:rsidRPr="00725B06">
        <w:rPr>
          <w:rFonts w:ascii="Times New Roman" w:hAnsi="Times New Roman" w:cs="Times New Roman" w:hint="eastAsia"/>
          <w:szCs w:val="21"/>
        </w:rPr>
        <w:t>在</w:t>
      </w:r>
      <w:r w:rsidR="00BC61D3" w:rsidRPr="00725B06">
        <w:rPr>
          <w:rFonts w:ascii="Times New Roman" w:hAnsi="Times New Roman" w:cs="Times New Roman" w:hint="eastAsia"/>
          <w:szCs w:val="21"/>
        </w:rPr>
        <w:t>研究对象选择</w:t>
      </w:r>
      <w:r w:rsidR="0022621F" w:rsidRPr="00725B06">
        <w:rPr>
          <w:rFonts w:ascii="Times New Roman" w:hAnsi="Times New Roman" w:cs="Times New Roman" w:hint="eastAsia"/>
          <w:szCs w:val="21"/>
        </w:rPr>
        <w:t>方面，</w:t>
      </w:r>
      <w:r w:rsidR="00D756CF" w:rsidRPr="007A2728">
        <w:t>电力系统由高压输电</w:t>
      </w:r>
      <w:r w:rsidR="00D756CF">
        <w:rPr>
          <w:rFonts w:hint="eastAsia"/>
        </w:rPr>
        <w:t>网、</w:t>
      </w:r>
      <w:r w:rsidR="00D756CF" w:rsidRPr="007A2728">
        <w:t>中低压配电网</w:t>
      </w:r>
      <w:r w:rsidR="00D756CF">
        <w:rPr>
          <w:rFonts w:hint="eastAsia"/>
        </w:rPr>
        <w:t>和终端</w:t>
      </w:r>
      <w:r w:rsidR="00D756CF" w:rsidRPr="007A2728">
        <w:t>用户组成</w:t>
      </w:r>
      <w:r w:rsidR="00D756CF">
        <w:rPr>
          <w:rFonts w:hint="eastAsia"/>
        </w:rPr>
        <w:t>有机整体</w:t>
      </w:r>
      <w:r w:rsidR="00D756CF" w:rsidRPr="007A2728">
        <w:t>，</w:t>
      </w:r>
      <w:r w:rsidR="00491EB9" w:rsidRPr="00491EB9">
        <w:t>层级相互关联，</w:t>
      </w:r>
      <w:r w:rsidR="00D756CF" w:rsidRPr="007A2728">
        <w:t>任何层级的</w:t>
      </w:r>
      <w:r w:rsidR="00D756CF">
        <w:rPr>
          <w:rFonts w:hint="eastAsia"/>
        </w:rPr>
        <w:t>损伤</w:t>
      </w:r>
      <w:r w:rsidR="00D756CF" w:rsidRPr="007A2728">
        <w:t>都会影响</w:t>
      </w:r>
      <w:r w:rsidR="00D44391" w:rsidRPr="00D44391">
        <w:t>用户侧的供电能力</w:t>
      </w:r>
      <w:r w:rsidR="00BC61D3">
        <w:rPr>
          <w:rFonts w:hint="eastAsia"/>
        </w:rPr>
        <w:t>。然而</w:t>
      </w:r>
      <w:r w:rsidR="006F206A">
        <w:rPr>
          <w:rFonts w:ascii="Times New Roman" w:hAnsi="Times New Roman" w:cs="Times New Roman" w:hint="eastAsia"/>
          <w:szCs w:val="21"/>
        </w:rPr>
        <w:t>大</w:t>
      </w:r>
      <w:r w:rsidR="008131E3">
        <w:rPr>
          <w:rFonts w:ascii="Times New Roman" w:hAnsi="Times New Roman" w:cs="Times New Roman" w:hint="eastAsia"/>
          <w:szCs w:val="21"/>
        </w:rPr>
        <w:t>部分研究仅</w:t>
      </w:r>
      <w:r>
        <w:rPr>
          <w:rFonts w:ascii="Times New Roman" w:hAnsi="Times New Roman" w:cs="Times New Roman" w:hint="eastAsia"/>
          <w:szCs w:val="21"/>
        </w:rPr>
        <w:t>聚焦于</w:t>
      </w:r>
      <w:r w:rsidR="00CC5AE7">
        <w:rPr>
          <w:rFonts w:ascii="Times New Roman" w:hAnsi="Times New Roman" w:cs="Times New Roman" w:hint="eastAsia"/>
          <w:szCs w:val="21"/>
        </w:rPr>
        <w:t>高压输电网络</w:t>
      </w:r>
      <w:r w:rsidR="0067291D">
        <w:rPr>
          <w:rFonts w:ascii="Times New Roman" w:hAnsi="Times New Roman" w:cs="Times New Roman" w:hint="eastAsia"/>
          <w:szCs w:val="21"/>
        </w:rPr>
        <w:t>或配电网</w:t>
      </w:r>
      <w:r w:rsidR="008131E3">
        <w:rPr>
          <w:rFonts w:ascii="Times New Roman" w:hAnsi="Times New Roman" w:cs="Times New Roman" w:hint="eastAsia"/>
          <w:szCs w:val="21"/>
        </w:rPr>
        <w:t>，</w:t>
      </w:r>
      <w:r w:rsidR="006F206A">
        <w:rPr>
          <w:rFonts w:ascii="Times New Roman" w:hAnsi="Times New Roman" w:cs="Times New Roman" w:hint="eastAsia"/>
          <w:szCs w:val="21"/>
        </w:rPr>
        <w:t>例如</w:t>
      </w:r>
      <w:r w:rsidR="006F206A" w:rsidRPr="006F206A">
        <w:rPr>
          <w:rFonts w:ascii="Times New Roman" w:hAnsi="Times New Roman" w:cs="Times New Roman"/>
          <w:szCs w:val="21"/>
        </w:rPr>
        <w:t>Wu</w:t>
      </w:r>
      <w:r w:rsidR="002551A8" w:rsidRPr="008453EA">
        <w:rPr>
          <w:rFonts w:ascii="Times New Roman" w:hAnsi="Times New Roman" w:cs="Times New Roman"/>
          <w:color w:val="0000FF"/>
          <w:szCs w:val="21"/>
          <w:vertAlign w:val="superscript"/>
        </w:rPr>
        <w:fldChar w:fldCharType="begin"/>
      </w:r>
      <w:r w:rsidR="002551A8" w:rsidRPr="008453EA">
        <w:rPr>
          <w:rFonts w:ascii="Times New Roman" w:hAnsi="Times New Roman" w:cs="Times New Roman"/>
          <w:color w:val="0000FF"/>
          <w:szCs w:val="21"/>
          <w:vertAlign w:val="superscript"/>
        </w:rPr>
        <w:instrText xml:space="preserve"> REF _Ref178617736 \r \h </w:instrText>
      </w:r>
      <w:r w:rsidR="002551A8">
        <w:rPr>
          <w:rFonts w:ascii="Times New Roman" w:hAnsi="Times New Roman" w:cs="Times New Roman"/>
          <w:color w:val="0000FF"/>
          <w:szCs w:val="21"/>
          <w:vertAlign w:val="superscript"/>
        </w:rPr>
        <w:instrText xml:space="preserve"> \* MERGEFORMAT </w:instrText>
      </w:r>
      <w:r w:rsidR="002551A8" w:rsidRPr="008453EA">
        <w:rPr>
          <w:rFonts w:ascii="Times New Roman" w:hAnsi="Times New Roman" w:cs="Times New Roman"/>
          <w:color w:val="0000FF"/>
          <w:szCs w:val="21"/>
          <w:vertAlign w:val="superscript"/>
        </w:rPr>
      </w:r>
      <w:r w:rsidR="002551A8" w:rsidRPr="008453EA">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[9]</w:t>
      </w:r>
      <w:r w:rsidR="002551A8" w:rsidRPr="008453EA">
        <w:rPr>
          <w:rFonts w:ascii="Times New Roman" w:hAnsi="Times New Roman" w:cs="Times New Roman"/>
          <w:color w:val="0000FF"/>
          <w:szCs w:val="21"/>
          <w:vertAlign w:val="superscript"/>
        </w:rPr>
        <w:fldChar w:fldCharType="end"/>
      </w:r>
      <w:r w:rsidR="006F206A" w:rsidRPr="006F206A">
        <w:rPr>
          <w:rFonts w:ascii="Times New Roman" w:hAnsi="Times New Roman" w:cs="Times New Roman"/>
          <w:szCs w:val="21"/>
        </w:rPr>
        <w:t>和</w:t>
      </w:r>
      <w:r w:rsidR="006F206A" w:rsidRPr="006F206A">
        <w:rPr>
          <w:rFonts w:ascii="Times New Roman" w:hAnsi="Times New Roman" w:cs="Times New Roman"/>
          <w:szCs w:val="21"/>
        </w:rPr>
        <w:t>Vanzi</w:t>
      </w:r>
      <w:r w:rsidR="002551A8" w:rsidRPr="008453EA">
        <w:rPr>
          <w:rFonts w:ascii="Times New Roman" w:hAnsi="Times New Roman" w:cs="Times New Roman"/>
          <w:color w:val="0000FF"/>
          <w:szCs w:val="21"/>
          <w:vertAlign w:val="superscript"/>
        </w:rPr>
        <w:fldChar w:fldCharType="begin"/>
      </w:r>
      <w:r w:rsidR="002551A8" w:rsidRPr="008453EA">
        <w:rPr>
          <w:rFonts w:ascii="Times New Roman" w:hAnsi="Times New Roman" w:cs="Times New Roman"/>
          <w:color w:val="0000FF"/>
          <w:szCs w:val="21"/>
          <w:vertAlign w:val="superscript"/>
        </w:rPr>
        <w:instrText xml:space="preserve"> REF _Ref178617804 \r \h </w:instrText>
      </w:r>
      <w:r w:rsidR="002551A8">
        <w:rPr>
          <w:rFonts w:ascii="Times New Roman" w:hAnsi="Times New Roman" w:cs="Times New Roman"/>
          <w:color w:val="0000FF"/>
          <w:szCs w:val="21"/>
          <w:vertAlign w:val="superscript"/>
        </w:rPr>
        <w:instrText xml:space="preserve"> \* MERGEFORMAT </w:instrText>
      </w:r>
      <w:r w:rsidR="002551A8" w:rsidRPr="008453EA">
        <w:rPr>
          <w:rFonts w:ascii="Times New Roman" w:hAnsi="Times New Roman" w:cs="Times New Roman"/>
          <w:color w:val="0000FF"/>
          <w:szCs w:val="21"/>
          <w:vertAlign w:val="superscript"/>
        </w:rPr>
      </w:r>
      <w:r w:rsidR="002551A8" w:rsidRPr="008453EA">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[10]</w:t>
      </w:r>
      <w:r w:rsidR="002551A8" w:rsidRPr="008453EA">
        <w:rPr>
          <w:rFonts w:ascii="Times New Roman" w:hAnsi="Times New Roman" w:cs="Times New Roman"/>
          <w:color w:val="0000FF"/>
          <w:szCs w:val="21"/>
          <w:vertAlign w:val="superscript"/>
        </w:rPr>
        <w:fldChar w:fldCharType="end"/>
      </w:r>
      <w:r w:rsidR="004F5425">
        <w:rPr>
          <w:rFonts w:ascii="Times New Roman" w:hAnsi="Times New Roman" w:cs="Times New Roman" w:hint="eastAsia"/>
          <w:szCs w:val="21"/>
        </w:rPr>
        <w:t>分别</w:t>
      </w:r>
      <w:r w:rsidR="00CB49BE">
        <w:rPr>
          <w:rFonts w:ascii="Times New Roman" w:hAnsi="Times New Roman" w:cs="Times New Roman" w:hint="eastAsia"/>
          <w:szCs w:val="21"/>
        </w:rPr>
        <w:t>选择</w:t>
      </w:r>
      <w:r w:rsidR="004F5425">
        <w:rPr>
          <w:rFonts w:ascii="Times New Roman" w:hAnsi="Times New Roman" w:cs="Times New Roman" w:hint="eastAsia"/>
          <w:szCs w:val="21"/>
        </w:rPr>
        <w:t>中国和意大利的</w:t>
      </w:r>
      <w:r w:rsidR="006F206A" w:rsidRPr="006F206A">
        <w:rPr>
          <w:rFonts w:ascii="Times New Roman" w:hAnsi="Times New Roman" w:cs="Times New Roman"/>
          <w:szCs w:val="21"/>
        </w:rPr>
        <w:t>高压输电网</w:t>
      </w:r>
      <w:r w:rsidR="00CB49BE">
        <w:rPr>
          <w:rFonts w:ascii="Times New Roman" w:hAnsi="Times New Roman" w:cs="Times New Roman" w:hint="eastAsia"/>
          <w:szCs w:val="21"/>
        </w:rPr>
        <w:t>进行</w:t>
      </w:r>
      <w:r w:rsidR="006F206A" w:rsidRPr="006F206A">
        <w:rPr>
          <w:rFonts w:ascii="Times New Roman" w:hAnsi="Times New Roman" w:cs="Times New Roman"/>
          <w:szCs w:val="21"/>
        </w:rPr>
        <w:t>抗震性能建模与评估</w:t>
      </w:r>
      <w:r w:rsidR="00CB49BE">
        <w:rPr>
          <w:rFonts w:ascii="Times New Roman" w:hAnsi="Times New Roman" w:cs="Times New Roman" w:hint="eastAsia"/>
          <w:szCs w:val="21"/>
        </w:rPr>
        <w:t>；</w:t>
      </w:r>
      <w:r w:rsidR="00CB49BE">
        <w:rPr>
          <w:rFonts w:ascii="Times New Roman" w:hAnsi="Times New Roman" w:cs="Times New Roman" w:hint="eastAsia"/>
          <w:szCs w:val="21"/>
        </w:rPr>
        <w:t>Cheng</w:t>
      </w:r>
      <w:r w:rsidR="00FB7A7D" w:rsidRPr="008453EA">
        <w:rPr>
          <w:rFonts w:ascii="Times New Roman" w:hAnsi="Times New Roman" w:cs="Times New Roman"/>
          <w:color w:val="0000FF"/>
          <w:szCs w:val="21"/>
          <w:vertAlign w:val="superscript"/>
        </w:rPr>
        <w:fldChar w:fldCharType="begin"/>
      </w:r>
      <w:r w:rsidR="00FB7A7D" w:rsidRPr="008453EA">
        <w:rPr>
          <w:rFonts w:ascii="Times New Roman" w:hAnsi="Times New Roman" w:cs="Times New Roman"/>
          <w:color w:val="0000FF"/>
          <w:szCs w:val="21"/>
          <w:vertAlign w:val="superscript"/>
        </w:rPr>
        <w:instrText xml:space="preserve"> REF _Ref204654143 \r \h </w:instrText>
      </w:r>
      <w:r w:rsidR="00FB7A7D">
        <w:rPr>
          <w:rFonts w:ascii="Times New Roman" w:hAnsi="Times New Roman" w:cs="Times New Roman"/>
          <w:color w:val="0000FF"/>
          <w:szCs w:val="21"/>
          <w:vertAlign w:val="superscript"/>
        </w:rPr>
        <w:instrText xml:space="preserve"> \* MERGEFORMAT </w:instrText>
      </w:r>
      <w:r w:rsidR="00FB7A7D" w:rsidRPr="008453EA">
        <w:rPr>
          <w:rFonts w:ascii="Times New Roman" w:hAnsi="Times New Roman" w:cs="Times New Roman"/>
          <w:color w:val="0000FF"/>
          <w:szCs w:val="21"/>
          <w:vertAlign w:val="superscript"/>
        </w:rPr>
      </w:r>
      <w:r w:rsidR="00FB7A7D" w:rsidRPr="008453EA">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[11]</w:t>
      </w:r>
      <w:r w:rsidR="00FB7A7D" w:rsidRPr="008453EA">
        <w:rPr>
          <w:rFonts w:ascii="Times New Roman" w:hAnsi="Times New Roman" w:cs="Times New Roman"/>
          <w:color w:val="0000FF"/>
          <w:szCs w:val="21"/>
          <w:vertAlign w:val="superscript"/>
        </w:rPr>
        <w:fldChar w:fldCharType="end"/>
      </w:r>
      <w:r w:rsidR="00013FF0">
        <w:rPr>
          <w:rFonts w:ascii="Times New Roman" w:hAnsi="Times New Roman" w:cs="Times New Roman" w:hint="eastAsia"/>
          <w:szCs w:val="21"/>
        </w:rPr>
        <w:t>考虑连锁停电故障，对输电网抗震韧性进行评估</w:t>
      </w:r>
      <w:r w:rsidR="003F251B">
        <w:rPr>
          <w:rFonts w:ascii="Times New Roman" w:hAnsi="Times New Roman" w:cs="Times New Roman" w:hint="eastAsia"/>
          <w:szCs w:val="21"/>
        </w:rPr>
        <w:t>；</w:t>
      </w:r>
      <w:r w:rsidR="007D729B">
        <w:rPr>
          <w:rFonts w:ascii="Times New Roman" w:hAnsi="Times New Roman" w:cs="Times New Roman" w:hint="eastAsia"/>
          <w:szCs w:val="21"/>
        </w:rPr>
        <w:t>在配电侧</w:t>
      </w:r>
      <w:r w:rsidR="00FF383D">
        <w:rPr>
          <w:rFonts w:ascii="Times New Roman" w:hAnsi="Times New Roman" w:cs="Times New Roman" w:hint="eastAsia"/>
          <w:szCs w:val="21"/>
        </w:rPr>
        <w:t>，</w:t>
      </w:r>
      <w:r w:rsidR="00885324">
        <w:rPr>
          <w:rFonts w:ascii="Times New Roman" w:hAnsi="Times New Roman" w:cs="Times New Roman" w:hint="eastAsia"/>
          <w:szCs w:val="21"/>
        </w:rPr>
        <w:t>郑国鑫等</w:t>
      </w:r>
      <w:r w:rsidR="009462B0">
        <w:rPr>
          <w:rFonts w:ascii="Times New Roman" w:hAnsi="Times New Roman" w:cs="Times New Roman"/>
          <w:szCs w:val="21"/>
        </w:rPr>
        <w:fldChar w:fldCharType="begin"/>
      </w:r>
      <w:r w:rsidR="009462B0">
        <w:rPr>
          <w:rFonts w:ascii="Times New Roman" w:hAnsi="Times New Roman" w:cs="Times New Roman"/>
          <w:szCs w:val="21"/>
        </w:rPr>
        <w:instrText xml:space="preserve"> </w:instrText>
      </w:r>
      <w:r w:rsidR="009462B0">
        <w:rPr>
          <w:rFonts w:ascii="Times New Roman" w:hAnsi="Times New Roman" w:cs="Times New Roman" w:hint="eastAsia"/>
          <w:szCs w:val="21"/>
        </w:rPr>
        <w:instrText>REF _Ref178614507 \r \h</w:instrText>
      </w:r>
      <w:r w:rsidR="009462B0">
        <w:rPr>
          <w:rFonts w:ascii="Times New Roman" w:hAnsi="Times New Roman" w:cs="Times New Roman"/>
          <w:szCs w:val="21"/>
        </w:rPr>
        <w:instrText xml:space="preserve">  \* MERGEFORMAT </w:instrText>
      </w:r>
      <w:r w:rsidR="009462B0">
        <w:rPr>
          <w:rFonts w:ascii="Times New Roman" w:hAnsi="Times New Roman" w:cs="Times New Roman"/>
          <w:szCs w:val="21"/>
        </w:rPr>
      </w:r>
      <w:r w:rsidR="009462B0">
        <w:rPr>
          <w:rFonts w:ascii="Times New Roman" w:hAnsi="Times New Roman" w:cs="Times New Roman"/>
          <w:szCs w:val="21"/>
        </w:rPr>
        <w:fldChar w:fldCharType="separate"/>
      </w:r>
      <w:r w:rsidR="0071557B" w:rsidRPr="0071557B">
        <w:rPr>
          <w:rFonts w:ascii="Times New Roman" w:hAnsi="Times New Roman" w:cs="Times New Roman"/>
          <w:color w:val="0000FF"/>
          <w:szCs w:val="21"/>
          <w:vertAlign w:val="superscript"/>
          <w:cs/>
        </w:rPr>
        <w:t>‎</w:t>
      </w:r>
      <w:r w:rsidR="0071557B" w:rsidRPr="0071557B">
        <w:rPr>
          <w:rFonts w:ascii="Times New Roman" w:hAnsi="Times New Roman" w:cs="Times New Roman"/>
          <w:color w:val="0000FF"/>
          <w:szCs w:val="21"/>
          <w:vertAlign w:val="superscript"/>
        </w:rPr>
        <w:t>[12]</w:t>
      </w:r>
      <w:r w:rsidR="009462B0">
        <w:rPr>
          <w:rFonts w:ascii="Times New Roman" w:hAnsi="Times New Roman" w:cs="Times New Roman"/>
          <w:szCs w:val="21"/>
        </w:rPr>
        <w:fldChar w:fldCharType="end"/>
      </w:r>
      <w:r w:rsidR="00885324">
        <w:rPr>
          <w:rFonts w:ascii="Times New Roman" w:hAnsi="Times New Roman" w:cs="Times New Roman" w:hint="eastAsia"/>
          <w:szCs w:val="21"/>
        </w:rPr>
        <w:t>和雷霞</w:t>
      </w:r>
      <w:r w:rsidR="00FB7A7D" w:rsidRPr="008453EA">
        <w:rPr>
          <w:rFonts w:ascii="Times New Roman" w:hAnsi="Times New Roman" w:cs="Times New Roman"/>
          <w:color w:val="0000FF"/>
          <w:szCs w:val="21"/>
          <w:vertAlign w:val="superscript"/>
        </w:rPr>
        <w:fldChar w:fldCharType="begin"/>
      </w:r>
      <w:r w:rsidR="00FB7A7D" w:rsidRPr="008453EA">
        <w:rPr>
          <w:rFonts w:ascii="Times New Roman" w:hAnsi="Times New Roman" w:cs="Times New Roman"/>
          <w:color w:val="0000FF"/>
          <w:szCs w:val="21"/>
          <w:vertAlign w:val="superscript"/>
        </w:rPr>
        <w:instrText xml:space="preserve"> REF _Ref178624524 \r \h </w:instrText>
      </w:r>
      <w:r w:rsidR="00FB7A7D">
        <w:rPr>
          <w:rFonts w:ascii="Times New Roman" w:hAnsi="Times New Roman" w:cs="Times New Roman"/>
          <w:color w:val="0000FF"/>
          <w:szCs w:val="21"/>
          <w:vertAlign w:val="superscript"/>
        </w:rPr>
        <w:instrText xml:space="preserve"> \* MERGEFORMAT </w:instrText>
      </w:r>
      <w:r w:rsidR="00FB7A7D" w:rsidRPr="008453EA">
        <w:rPr>
          <w:rFonts w:ascii="Times New Roman" w:hAnsi="Times New Roman" w:cs="Times New Roman"/>
          <w:color w:val="0000FF"/>
          <w:szCs w:val="21"/>
          <w:vertAlign w:val="superscript"/>
        </w:rPr>
      </w:r>
      <w:r w:rsidR="00FB7A7D" w:rsidRPr="008453EA">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[13]</w:t>
      </w:r>
      <w:r w:rsidR="00FB7A7D" w:rsidRPr="008453EA">
        <w:rPr>
          <w:rFonts w:ascii="Times New Roman" w:hAnsi="Times New Roman" w:cs="Times New Roman"/>
          <w:color w:val="0000FF"/>
          <w:szCs w:val="21"/>
          <w:vertAlign w:val="superscript"/>
        </w:rPr>
        <w:fldChar w:fldCharType="end"/>
      </w:r>
      <w:r w:rsidR="00885324">
        <w:rPr>
          <w:rFonts w:ascii="Times New Roman" w:hAnsi="Times New Roman" w:cs="Times New Roman" w:hint="eastAsia"/>
          <w:szCs w:val="21"/>
        </w:rPr>
        <w:t>研究了四川某</w:t>
      </w:r>
      <w:r w:rsidR="00885324">
        <w:rPr>
          <w:rFonts w:ascii="Times New Roman" w:hAnsi="Times New Roman" w:cs="Times New Roman"/>
          <w:szCs w:val="21"/>
        </w:rPr>
        <w:t>10kV</w:t>
      </w:r>
      <w:r w:rsidR="00885324">
        <w:rPr>
          <w:rFonts w:ascii="Times New Roman" w:hAnsi="Times New Roman" w:cs="Times New Roman" w:hint="eastAsia"/>
          <w:szCs w:val="21"/>
        </w:rPr>
        <w:t>配电网的地震风险</w:t>
      </w:r>
      <w:r w:rsidR="003F251B">
        <w:rPr>
          <w:rFonts w:ascii="Times New Roman" w:hAnsi="Times New Roman" w:cs="Times New Roman" w:hint="eastAsia"/>
          <w:szCs w:val="21"/>
        </w:rPr>
        <w:t>；</w:t>
      </w:r>
      <w:r w:rsidR="00E7125B" w:rsidRPr="00E7125B">
        <w:rPr>
          <w:rFonts w:ascii="Times New Roman" w:hAnsi="Times New Roman" w:cs="Times New Roman"/>
          <w:szCs w:val="21"/>
        </w:rPr>
        <w:t>Amani</w:t>
      </w:r>
      <w:r w:rsidR="00973857" w:rsidRPr="008453EA">
        <w:rPr>
          <w:rFonts w:ascii="Times New Roman" w:hAnsi="Times New Roman" w:cs="Times New Roman"/>
          <w:color w:val="0000FF"/>
          <w:szCs w:val="21"/>
          <w:vertAlign w:val="superscript"/>
        </w:rPr>
        <w:fldChar w:fldCharType="begin"/>
      </w:r>
      <w:r w:rsidR="00973857" w:rsidRPr="008453EA">
        <w:rPr>
          <w:rFonts w:ascii="Times New Roman" w:hAnsi="Times New Roman" w:cs="Times New Roman"/>
          <w:color w:val="0000FF"/>
          <w:szCs w:val="21"/>
          <w:vertAlign w:val="superscript"/>
        </w:rPr>
        <w:instrText xml:space="preserve"> REF _Ref204654259 \r \h </w:instrText>
      </w:r>
      <w:r w:rsidR="00973857">
        <w:rPr>
          <w:rFonts w:ascii="Times New Roman" w:hAnsi="Times New Roman" w:cs="Times New Roman"/>
          <w:color w:val="0000FF"/>
          <w:szCs w:val="21"/>
          <w:vertAlign w:val="superscript"/>
        </w:rPr>
        <w:instrText xml:space="preserve"> \* MERGEFORMAT </w:instrText>
      </w:r>
      <w:r w:rsidR="00973857" w:rsidRPr="008453EA">
        <w:rPr>
          <w:rFonts w:ascii="Times New Roman" w:hAnsi="Times New Roman" w:cs="Times New Roman"/>
          <w:color w:val="0000FF"/>
          <w:szCs w:val="21"/>
          <w:vertAlign w:val="superscript"/>
        </w:rPr>
      </w:r>
      <w:r w:rsidR="00973857" w:rsidRPr="008453EA">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[14]</w:t>
      </w:r>
      <w:r w:rsidR="00973857" w:rsidRPr="008453EA">
        <w:rPr>
          <w:rFonts w:ascii="Times New Roman" w:hAnsi="Times New Roman" w:cs="Times New Roman"/>
          <w:color w:val="0000FF"/>
          <w:szCs w:val="21"/>
          <w:vertAlign w:val="superscript"/>
        </w:rPr>
        <w:fldChar w:fldCharType="end"/>
      </w:r>
      <w:r w:rsidR="00CE16F5">
        <w:rPr>
          <w:rFonts w:ascii="Times New Roman" w:hAnsi="Times New Roman" w:cs="Times New Roman" w:hint="eastAsia"/>
          <w:szCs w:val="21"/>
        </w:rPr>
        <w:t>等</w:t>
      </w:r>
      <w:r w:rsidR="00957A60">
        <w:rPr>
          <w:rFonts w:ascii="Times New Roman" w:hAnsi="Times New Roman" w:cs="Times New Roman" w:hint="eastAsia"/>
          <w:szCs w:val="21"/>
        </w:rPr>
        <w:t>考虑了</w:t>
      </w:r>
      <w:r w:rsidR="00D44529">
        <w:rPr>
          <w:rFonts w:ascii="Times New Roman" w:hAnsi="Times New Roman" w:cs="Times New Roman" w:hint="eastAsia"/>
          <w:szCs w:val="21"/>
        </w:rPr>
        <w:t>不同</w:t>
      </w:r>
      <w:r w:rsidR="00973857">
        <w:rPr>
          <w:rFonts w:ascii="Times New Roman" w:hAnsi="Times New Roman" w:cs="Times New Roman" w:hint="eastAsia"/>
          <w:szCs w:val="21"/>
        </w:rPr>
        <w:t>的</w:t>
      </w:r>
      <w:r w:rsidR="00D44529">
        <w:rPr>
          <w:rFonts w:ascii="Times New Roman" w:hAnsi="Times New Roman" w:cs="Times New Roman" w:hint="eastAsia"/>
          <w:szCs w:val="21"/>
        </w:rPr>
        <w:t>电气配置方式，</w:t>
      </w:r>
      <w:r w:rsidR="002576B4">
        <w:rPr>
          <w:rFonts w:ascii="Times New Roman" w:hAnsi="Times New Roman" w:cs="Times New Roman" w:hint="eastAsia"/>
          <w:szCs w:val="21"/>
        </w:rPr>
        <w:t>评估配电网的抗震韧性</w:t>
      </w:r>
      <w:r w:rsidR="00973857">
        <w:rPr>
          <w:rFonts w:ascii="Times New Roman" w:hAnsi="Times New Roman" w:cs="Times New Roman" w:hint="eastAsia"/>
          <w:szCs w:val="21"/>
        </w:rPr>
        <w:t>；</w:t>
      </w:r>
      <w:r w:rsidR="006A5B1B" w:rsidRPr="008453EA">
        <w:rPr>
          <w:rFonts w:ascii="Times New Roman" w:hAnsi="Times New Roman"/>
          <w:sz w:val="18"/>
          <w:szCs w:val="18"/>
        </w:rPr>
        <w:t>Akdağ</w:t>
      </w:r>
      <w:r w:rsidR="00174163" w:rsidRPr="008453EA">
        <w:rPr>
          <w:rFonts w:ascii="Times New Roman" w:hAnsi="Times New Roman" w:cs="Times New Roman"/>
          <w:color w:val="0000FF"/>
          <w:szCs w:val="21"/>
          <w:vertAlign w:val="superscript"/>
        </w:rPr>
        <w:fldChar w:fldCharType="begin"/>
      </w:r>
      <w:r w:rsidR="00174163" w:rsidRPr="008453EA">
        <w:rPr>
          <w:rFonts w:ascii="Times New Roman" w:hAnsi="Times New Roman" w:cs="Times New Roman"/>
          <w:color w:val="0000FF"/>
          <w:szCs w:val="21"/>
          <w:vertAlign w:val="superscript"/>
        </w:rPr>
        <w:instrText xml:space="preserve"> REF _Ref204654261 \r \h </w:instrText>
      </w:r>
      <w:r w:rsidR="00174163">
        <w:rPr>
          <w:rFonts w:ascii="Times New Roman" w:hAnsi="Times New Roman" w:cs="Times New Roman"/>
          <w:color w:val="0000FF"/>
          <w:szCs w:val="21"/>
          <w:vertAlign w:val="superscript"/>
        </w:rPr>
        <w:instrText xml:space="preserve"> \* MERGEFORMAT </w:instrText>
      </w:r>
      <w:r w:rsidR="00174163" w:rsidRPr="008453EA">
        <w:rPr>
          <w:rFonts w:ascii="Times New Roman" w:hAnsi="Times New Roman" w:cs="Times New Roman"/>
          <w:color w:val="0000FF"/>
          <w:szCs w:val="21"/>
          <w:vertAlign w:val="superscript"/>
        </w:rPr>
      </w:r>
      <w:r w:rsidR="00174163" w:rsidRPr="008453EA">
        <w:rPr>
          <w:rFonts w:ascii="Times New Roman" w:hAnsi="Times New Roman" w:cs="Times New Roman"/>
          <w:color w:val="0000FF"/>
          <w:szCs w:val="21"/>
          <w:vertAlign w:val="superscript"/>
        </w:rPr>
        <w:fldChar w:fldCharType="separate"/>
      </w:r>
      <w:r w:rsidR="0071557B">
        <w:rPr>
          <w:rFonts w:ascii="Times New Roman" w:hAnsi="Times New Roman" w:cs="Times New Roman"/>
          <w:color w:val="0000FF"/>
          <w:szCs w:val="21"/>
          <w:vertAlign w:val="superscript"/>
          <w:cs/>
        </w:rPr>
        <w:t>‎</w:t>
      </w:r>
      <w:r w:rsidR="0071557B">
        <w:rPr>
          <w:rFonts w:ascii="Times New Roman" w:hAnsi="Times New Roman" w:cs="Times New Roman"/>
          <w:color w:val="0000FF"/>
          <w:szCs w:val="21"/>
          <w:vertAlign w:val="superscript"/>
        </w:rPr>
        <w:t>[15]</w:t>
      </w:r>
      <w:r w:rsidR="00174163" w:rsidRPr="008453EA">
        <w:rPr>
          <w:rFonts w:ascii="Times New Roman" w:hAnsi="Times New Roman" w:cs="Times New Roman"/>
          <w:color w:val="0000FF"/>
          <w:szCs w:val="21"/>
          <w:vertAlign w:val="superscript"/>
        </w:rPr>
        <w:fldChar w:fldCharType="end"/>
      </w:r>
      <w:r w:rsidR="006A5B1B" w:rsidRPr="00413B94">
        <w:rPr>
          <w:rFonts w:ascii="Times New Roman" w:hAnsi="Times New Roman" w:cs="Times New Roman" w:hint="eastAsia"/>
          <w:szCs w:val="21"/>
        </w:rPr>
        <w:t>则</w:t>
      </w:r>
      <w:r w:rsidR="00BB622E">
        <w:rPr>
          <w:rFonts w:ascii="Times New Roman" w:hAnsi="Times New Roman" w:cs="Times New Roman" w:hint="eastAsia"/>
          <w:szCs w:val="21"/>
        </w:rPr>
        <w:t>从</w:t>
      </w:r>
      <w:r w:rsidR="00174163" w:rsidRPr="00413B94">
        <w:rPr>
          <w:rFonts w:ascii="Times New Roman" w:hAnsi="Times New Roman" w:cs="Times New Roman" w:hint="eastAsia"/>
          <w:szCs w:val="21"/>
        </w:rPr>
        <w:t>结构优化</w:t>
      </w:r>
      <w:r w:rsidR="00BB622E">
        <w:rPr>
          <w:rFonts w:ascii="Times New Roman" w:hAnsi="Times New Roman" w:cs="Times New Roman" w:hint="eastAsia"/>
          <w:szCs w:val="21"/>
        </w:rPr>
        <w:t>出发，研究</w:t>
      </w:r>
      <w:r w:rsidR="00CF5AF3" w:rsidRPr="008D64B0">
        <w:rPr>
          <w:rFonts w:ascii="Times New Roman" w:hAnsi="Times New Roman" w:cs="Times New Roman" w:hint="eastAsia"/>
          <w:szCs w:val="21"/>
        </w:rPr>
        <w:t>配电网</w:t>
      </w:r>
      <w:r w:rsidR="00174163" w:rsidRPr="00413B94">
        <w:rPr>
          <w:rFonts w:ascii="Times New Roman" w:hAnsi="Times New Roman" w:cs="Times New Roman" w:hint="eastAsia"/>
          <w:szCs w:val="21"/>
        </w:rPr>
        <w:t>抗震能力</w:t>
      </w:r>
      <w:r w:rsidR="00CF5AF3">
        <w:rPr>
          <w:rFonts w:ascii="Times New Roman" w:hAnsi="Times New Roman" w:cs="Times New Roman" w:hint="eastAsia"/>
          <w:szCs w:val="21"/>
        </w:rPr>
        <w:t>的提升</w:t>
      </w:r>
      <w:r w:rsidR="00ED12D1">
        <w:rPr>
          <w:rFonts w:ascii="Times New Roman" w:hAnsi="Times New Roman" w:cs="Times New Roman" w:hint="eastAsia"/>
          <w:szCs w:val="21"/>
        </w:rPr>
        <w:t>。总</w:t>
      </w:r>
      <w:r w:rsidR="0096303A">
        <w:rPr>
          <w:rFonts w:ascii="Times New Roman" w:hAnsi="Times New Roman" w:cs="Times New Roman" w:hint="eastAsia"/>
          <w:szCs w:val="21"/>
        </w:rPr>
        <w:t>体而言，上述</w:t>
      </w:r>
      <w:r w:rsidR="00901621">
        <w:rPr>
          <w:rFonts w:ascii="Times New Roman" w:hAnsi="Times New Roman" w:cs="Times New Roman" w:hint="eastAsia"/>
          <w:szCs w:val="21"/>
        </w:rPr>
        <w:t>模型</w:t>
      </w:r>
      <w:r w:rsidR="003C00A7">
        <w:rPr>
          <w:rFonts w:ascii="Times New Roman" w:hAnsi="Times New Roman" w:cs="Times New Roman" w:hint="eastAsia"/>
          <w:szCs w:val="21"/>
        </w:rPr>
        <w:t>并不</w:t>
      </w:r>
      <w:r w:rsidR="00F074FA" w:rsidRPr="00F074FA">
        <w:rPr>
          <w:rFonts w:ascii="Times New Roman" w:hAnsi="Times New Roman" w:cs="Times New Roman"/>
          <w:szCs w:val="21"/>
        </w:rPr>
        <w:t>能全面考虑输配电网络之间的电气联系和用户侧的实际供电需求，</w:t>
      </w:r>
      <w:r w:rsidR="00D756CF" w:rsidRPr="007A2728">
        <w:t>可能低估震后电力中断对城市的实际影响</w:t>
      </w:r>
      <w:r w:rsidR="0031199F" w:rsidRPr="008453EA">
        <w:rPr>
          <w:rFonts w:ascii="Times New Roman" w:hAnsi="Times New Roman" w:cs="Times New Roman"/>
          <w:color w:val="0000FF"/>
          <w:szCs w:val="21"/>
          <w:vertAlign w:val="superscript"/>
        </w:rPr>
        <w:fldChar w:fldCharType="begin"/>
      </w:r>
      <w:r w:rsidR="0031199F" w:rsidRPr="008453EA">
        <w:rPr>
          <w:rFonts w:ascii="Times New Roman" w:hAnsi="Times New Roman" w:cs="Times New Roman"/>
          <w:color w:val="0000FF"/>
          <w:szCs w:val="21"/>
          <w:vertAlign w:val="superscript"/>
        </w:rPr>
        <w:instrText xml:space="preserve"> REF _Ref204654654 \r \h </w:instrText>
      </w:r>
      <w:r w:rsidR="0031199F">
        <w:rPr>
          <w:rFonts w:ascii="Times New Roman" w:hAnsi="Times New Roman" w:cs="Times New Roman"/>
          <w:color w:val="0000FF"/>
          <w:szCs w:val="21"/>
          <w:vertAlign w:val="superscript"/>
        </w:rPr>
        <w:instrText xml:space="preserve"> \* MERGEFORMAT </w:instrText>
      </w:r>
      <w:r w:rsidR="0031199F" w:rsidRPr="008453EA">
        <w:rPr>
          <w:rFonts w:ascii="Times New Roman" w:hAnsi="Times New Roman" w:cs="Times New Roman"/>
          <w:color w:val="0000FF"/>
          <w:szCs w:val="21"/>
          <w:vertAlign w:val="superscript"/>
        </w:rPr>
      </w:r>
      <w:r w:rsidR="0031199F" w:rsidRPr="008453EA">
        <w:rPr>
          <w:rFonts w:ascii="Times New Roman" w:hAnsi="Times New Roman" w:cs="Times New Roman"/>
          <w:color w:val="0000FF"/>
          <w:szCs w:val="21"/>
          <w:vertAlign w:val="superscript"/>
        </w:rPr>
        <w:fldChar w:fldCharType="separate"/>
      </w:r>
      <w:r w:rsidR="00A70352">
        <w:rPr>
          <w:rFonts w:ascii="Times New Roman" w:hAnsi="Times New Roman" w:cs="Times New Roman"/>
          <w:color w:val="0000FF"/>
          <w:szCs w:val="21"/>
          <w:vertAlign w:val="superscript"/>
          <w:cs/>
        </w:rPr>
        <w:t>‎</w:t>
      </w:r>
      <w:r w:rsidR="00A70352">
        <w:rPr>
          <w:rFonts w:ascii="Times New Roman" w:hAnsi="Times New Roman" w:cs="Times New Roman"/>
          <w:color w:val="0000FF"/>
          <w:szCs w:val="21"/>
          <w:vertAlign w:val="superscript"/>
        </w:rPr>
        <w:t>[16]</w:t>
      </w:r>
      <w:r w:rsidR="0031199F" w:rsidRPr="008453EA">
        <w:rPr>
          <w:rFonts w:ascii="Times New Roman" w:hAnsi="Times New Roman" w:cs="Times New Roman"/>
          <w:color w:val="0000FF"/>
          <w:szCs w:val="21"/>
          <w:vertAlign w:val="superscript"/>
        </w:rPr>
        <w:fldChar w:fldCharType="end"/>
      </w:r>
      <w:r w:rsidR="00B64519">
        <w:rPr>
          <w:rFonts w:hint="eastAsia"/>
        </w:rPr>
        <w:t>。</w:t>
      </w:r>
    </w:p>
    <w:p w14:paraId="31DB7AF9" w14:textId="4A8C0803" w:rsidR="002E611F" w:rsidRPr="00F51834" w:rsidRDefault="006E0459" w:rsidP="00F851FC">
      <w:pPr>
        <w:spacing w:line="240" w:lineRule="atLeast"/>
        <w:ind w:firstLine="420"/>
        <w:rPr>
          <w:rFonts w:ascii="Times New Roman" w:hAnsi="Times New Roman" w:cs="Times New Roman"/>
          <w:szCs w:val="21"/>
        </w:rPr>
      </w:pPr>
      <w:r>
        <w:rPr>
          <w:rFonts w:ascii="Times New Roman" w:hAnsi="Times New Roman" w:cs="Times New Roman" w:hint="eastAsia"/>
          <w:szCs w:val="21"/>
        </w:rPr>
        <w:t>与此同时，</w:t>
      </w:r>
      <w:r w:rsidR="00FD45A3" w:rsidRPr="00FD45A3">
        <w:rPr>
          <w:rFonts w:ascii="Times New Roman" w:hAnsi="Times New Roman" w:cs="Times New Roman"/>
          <w:szCs w:val="21"/>
        </w:rPr>
        <w:t>合适的评价维度直接影响着电力系统震后功能评估结果的准确性与决策参考价值</w:t>
      </w:r>
      <w:r w:rsidR="001C6F34" w:rsidRPr="008453EA">
        <w:rPr>
          <w:rFonts w:ascii="Times New Roman" w:hAnsi="Times New Roman" w:cs="Times New Roman"/>
          <w:color w:val="0000FF"/>
          <w:szCs w:val="21"/>
          <w:vertAlign w:val="superscript"/>
        </w:rPr>
        <w:fldChar w:fldCharType="begin"/>
      </w:r>
      <w:r w:rsidR="001C6F34" w:rsidRPr="008453EA">
        <w:rPr>
          <w:rFonts w:ascii="Times New Roman" w:hAnsi="Times New Roman" w:cs="Times New Roman"/>
          <w:color w:val="0000FF"/>
          <w:szCs w:val="21"/>
          <w:vertAlign w:val="superscript"/>
        </w:rPr>
        <w:instrText xml:space="preserve"> REF _Ref204656166 \r \h </w:instrText>
      </w:r>
      <w:r w:rsidR="00297B84">
        <w:rPr>
          <w:rFonts w:ascii="Times New Roman" w:hAnsi="Times New Roman" w:cs="Times New Roman"/>
          <w:color w:val="0000FF"/>
          <w:szCs w:val="21"/>
          <w:vertAlign w:val="superscript"/>
        </w:rPr>
        <w:instrText xml:space="preserve"> \* MERGEFORMAT </w:instrText>
      </w:r>
      <w:r w:rsidR="001C6F34" w:rsidRPr="008453EA">
        <w:rPr>
          <w:rFonts w:ascii="Times New Roman" w:hAnsi="Times New Roman" w:cs="Times New Roman"/>
          <w:color w:val="0000FF"/>
          <w:szCs w:val="21"/>
          <w:vertAlign w:val="superscript"/>
        </w:rPr>
      </w:r>
      <w:r w:rsidR="001C6F34" w:rsidRPr="008453EA">
        <w:rPr>
          <w:rFonts w:ascii="Times New Roman" w:hAnsi="Times New Roman" w:cs="Times New Roman"/>
          <w:color w:val="0000FF"/>
          <w:szCs w:val="21"/>
          <w:vertAlign w:val="superscript"/>
        </w:rPr>
        <w:fldChar w:fldCharType="separate"/>
      </w:r>
      <w:r w:rsidR="00A70352">
        <w:rPr>
          <w:rFonts w:ascii="Times New Roman" w:hAnsi="Times New Roman" w:cs="Times New Roman"/>
          <w:color w:val="0000FF"/>
          <w:szCs w:val="21"/>
          <w:vertAlign w:val="superscript"/>
          <w:cs/>
        </w:rPr>
        <w:t>‎</w:t>
      </w:r>
      <w:r w:rsidR="00A70352">
        <w:rPr>
          <w:rFonts w:ascii="Times New Roman" w:hAnsi="Times New Roman" w:cs="Times New Roman"/>
          <w:color w:val="0000FF"/>
          <w:szCs w:val="21"/>
          <w:vertAlign w:val="superscript"/>
        </w:rPr>
        <w:t>[17]</w:t>
      </w:r>
      <w:r w:rsidR="001C6F34" w:rsidRPr="008453EA">
        <w:rPr>
          <w:rFonts w:ascii="Times New Roman" w:hAnsi="Times New Roman" w:cs="Times New Roman"/>
          <w:color w:val="0000FF"/>
          <w:szCs w:val="21"/>
          <w:vertAlign w:val="superscript"/>
        </w:rPr>
        <w:fldChar w:fldCharType="end"/>
      </w:r>
      <w:r w:rsidR="002E611F">
        <w:rPr>
          <w:rFonts w:ascii="Times New Roman" w:hAnsi="Times New Roman" w:cs="Times New Roman" w:hint="eastAsia"/>
          <w:szCs w:val="21"/>
        </w:rPr>
        <w:t>，</w:t>
      </w:r>
      <w:r w:rsidR="002E611F" w:rsidRPr="00081EE6">
        <w:rPr>
          <w:rFonts w:ascii="Times New Roman" w:hAnsi="Times New Roman" w:cs="Times New Roman"/>
          <w:szCs w:val="21"/>
        </w:rPr>
        <w:t>传统指标</w:t>
      </w:r>
      <w:r w:rsidR="003D3275" w:rsidRPr="00081EE6">
        <w:rPr>
          <w:rFonts w:ascii="Times New Roman" w:hAnsi="Times New Roman" w:cs="Times New Roman"/>
          <w:szCs w:val="21"/>
        </w:rPr>
        <w:t>关注的主要是</w:t>
      </w:r>
      <w:r w:rsidR="003D3275">
        <w:rPr>
          <w:rFonts w:ascii="Times New Roman" w:hAnsi="Times New Roman" w:cs="Times New Roman" w:hint="eastAsia"/>
          <w:szCs w:val="21"/>
        </w:rPr>
        <w:t>系统</w:t>
      </w:r>
      <w:r w:rsidR="003D3275" w:rsidRPr="00081EE6">
        <w:rPr>
          <w:rFonts w:ascii="Times New Roman" w:hAnsi="Times New Roman" w:cs="Times New Roman"/>
          <w:szCs w:val="21"/>
        </w:rPr>
        <w:t>总体的供电恢复比例或平均停电时间</w:t>
      </w:r>
      <w:r w:rsidR="003D3275">
        <w:rPr>
          <w:rFonts w:ascii="Times New Roman" w:hAnsi="Times New Roman" w:cs="Times New Roman"/>
          <w:szCs w:val="21"/>
        </w:rPr>
        <w:fldChar w:fldCharType="begin"/>
      </w:r>
      <w:r w:rsidR="003D3275">
        <w:rPr>
          <w:rFonts w:ascii="Times New Roman" w:hAnsi="Times New Roman" w:cs="Times New Roman"/>
          <w:szCs w:val="21"/>
        </w:rPr>
        <w:instrText xml:space="preserve"> REF _Ref204656140 \r \h  \* MERGEFORMAT </w:instrText>
      </w:r>
      <w:r w:rsidR="003D3275">
        <w:rPr>
          <w:rFonts w:ascii="Times New Roman" w:hAnsi="Times New Roman" w:cs="Times New Roman"/>
          <w:szCs w:val="21"/>
        </w:rPr>
      </w:r>
      <w:r w:rsidR="003D3275">
        <w:rPr>
          <w:rFonts w:ascii="Times New Roman" w:hAnsi="Times New Roman" w:cs="Times New Roman"/>
          <w:szCs w:val="21"/>
        </w:rPr>
        <w:fldChar w:fldCharType="separate"/>
      </w:r>
      <w:r w:rsidR="00A70352">
        <w:rPr>
          <w:rFonts w:ascii="Times New Roman" w:hAnsi="Times New Roman" w:cs="Times New Roman"/>
          <w:szCs w:val="21"/>
          <w:cs/>
        </w:rPr>
        <w:t>‎</w:t>
      </w:r>
      <w:r w:rsidR="00A70352" w:rsidRPr="00413B94">
        <w:rPr>
          <w:rFonts w:ascii="Times New Roman" w:hAnsi="Times New Roman" w:cs="Times New Roman"/>
          <w:color w:val="0000FF"/>
          <w:szCs w:val="21"/>
          <w:vertAlign w:val="superscript"/>
        </w:rPr>
        <w:t>[18]</w:t>
      </w:r>
      <w:r w:rsidR="003D3275">
        <w:rPr>
          <w:rFonts w:ascii="Times New Roman" w:hAnsi="Times New Roman" w:cs="Times New Roman"/>
          <w:szCs w:val="21"/>
        </w:rPr>
        <w:fldChar w:fldCharType="end"/>
      </w:r>
      <w:r w:rsidR="003D3275">
        <w:rPr>
          <w:rFonts w:ascii="Times New Roman" w:hAnsi="Times New Roman" w:cs="Times New Roman" w:hint="eastAsia"/>
          <w:szCs w:val="21"/>
        </w:rPr>
        <w:t>，通常不考虑不同</w:t>
      </w:r>
      <w:r w:rsidR="002E611F" w:rsidRPr="00081EE6">
        <w:rPr>
          <w:rFonts w:ascii="Times New Roman" w:hAnsi="Times New Roman" w:cs="Times New Roman"/>
          <w:szCs w:val="21"/>
        </w:rPr>
        <w:t>用户的重要性</w:t>
      </w:r>
      <w:r w:rsidR="003D3275">
        <w:rPr>
          <w:rFonts w:ascii="Times New Roman" w:hAnsi="Times New Roman" w:cs="Times New Roman" w:hint="eastAsia"/>
          <w:szCs w:val="21"/>
        </w:rPr>
        <w:t>差异</w:t>
      </w:r>
      <w:r w:rsidR="002E611F">
        <w:rPr>
          <w:rFonts w:ascii="Times New Roman" w:hAnsi="Times New Roman" w:cs="Times New Roman" w:hint="eastAsia"/>
          <w:szCs w:val="21"/>
        </w:rPr>
        <w:t>。</w:t>
      </w:r>
      <w:r w:rsidR="002E611F" w:rsidRPr="00081EE6">
        <w:rPr>
          <w:rFonts w:ascii="Times New Roman" w:hAnsi="Times New Roman" w:cs="Times New Roman"/>
          <w:szCs w:val="21"/>
        </w:rPr>
        <w:t>这种做法未能体现对医院等关键设施的优先保障</w:t>
      </w:r>
      <w:r w:rsidR="001C6F34" w:rsidRPr="008453EA">
        <w:rPr>
          <w:rFonts w:ascii="Times New Roman" w:hAnsi="Times New Roman" w:cs="Times New Roman"/>
          <w:color w:val="0000FF"/>
          <w:szCs w:val="21"/>
          <w:vertAlign w:val="superscript"/>
        </w:rPr>
        <w:fldChar w:fldCharType="begin"/>
      </w:r>
      <w:r w:rsidR="001C6F34" w:rsidRPr="008453EA">
        <w:rPr>
          <w:rFonts w:ascii="Times New Roman" w:hAnsi="Times New Roman" w:cs="Times New Roman"/>
          <w:color w:val="0000FF"/>
          <w:szCs w:val="21"/>
          <w:vertAlign w:val="superscript"/>
        </w:rPr>
        <w:instrText xml:space="preserve"> REF _Ref204656743 \r \h </w:instrText>
      </w:r>
      <w:r w:rsidR="00297B84">
        <w:rPr>
          <w:rFonts w:ascii="Times New Roman" w:hAnsi="Times New Roman" w:cs="Times New Roman"/>
          <w:color w:val="0000FF"/>
          <w:szCs w:val="21"/>
          <w:vertAlign w:val="superscript"/>
        </w:rPr>
        <w:instrText xml:space="preserve"> \* MERGEFORMAT </w:instrText>
      </w:r>
      <w:r w:rsidR="001C6F34" w:rsidRPr="008453EA">
        <w:rPr>
          <w:rFonts w:ascii="Times New Roman" w:hAnsi="Times New Roman" w:cs="Times New Roman"/>
          <w:color w:val="0000FF"/>
          <w:szCs w:val="21"/>
          <w:vertAlign w:val="superscript"/>
        </w:rPr>
      </w:r>
      <w:r w:rsidR="001C6F34" w:rsidRPr="008453EA">
        <w:rPr>
          <w:rFonts w:ascii="Times New Roman" w:hAnsi="Times New Roman" w:cs="Times New Roman"/>
          <w:color w:val="0000FF"/>
          <w:szCs w:val="21"/>
          <w:vertAlign w:val="superscript"/>
        </w:rPr>
        <w:fldChar w:fldCharType="separate"/>
      </w:r>
      <w:r w:rsidR="00A70352">
        <w:rPr>
          <w:rFonts w:ascii="Times New Roman" w:hAnsi="Times New Roman" w:cs="Times New Roman"/>
          <w:color w:val="0000FF"/>
          <w:szCs w:val="21"/>
          <w:vertAlign w:val="superscript"/>
          <w:cs/>
        </w:rPr>
        <w:t>‎</w:t>
      </w:r>
      <w:r w:rsidR="00A70352">
        <w:rPr>
          <w:rFonts w:ascii="Times New Roman" w:hAnsi="Times New Roman" w:cs="Times New Roman"/>
          <w:color w:val="0000FF"/>
          <w:szCs w:val="21"/>
          <w:vertAlign w:val="superscript"/>
        </w:rPr>
        <w:t>[19]</w:t>
      </w:r>
      <w:r w:rsidR="001C6F34" w:rsidRPr="008453EA">
        <w:rPr>
          <w:rFonts w:ascii="Times New Roman" w:hAnsi="Times New Roman" w:cs="Times New Roman"/>
          <w:color w:val="0000FF"/>
          <w:szCs w:val="21"/>
          <w:vertAlign w:val="superscript"/>
        </w:rPr>
        <w:fldChar w:fldCharType="end"/>
      </w:r>
      <w:r w:rsidR="002E611F" w:rsidRPr="00081EE6">
        <w:rPr>
          <w:rFonts w:ascii="Times New Roman" w:hAnsi="Times New Roman" w:cs="Times New Roman"/>
          <w:szCs w:val="21"/>
        </w:rPr>
        <w:t>，</w:t>
      </w:r>
      <w:r w:rsidR="00F851FC" w:rsidRPr="00F851FC">
        <w:rPr>
          <w:rFonts w:ascii="Times New Roman" w:hAnsi="Times New Roman" w:cs="Times New Roman"/>
          <w:szCs w:val="21"/>
        </w:rPr>
        <w:t>限制了评估结果在应急资源配置与分区恢复策略中的实际指导作用</w:t>
      </w:r>
      <w:r w:rsidR="0036094C">
        <w:rPr>
          <w:rFonts w:ascii="Times New Roman" w:hAnsi="Times New Roman" w:cs="Times New Roman"/>
          <w:szCs w:val="21"/>
        </w:rPr>
        <w:fldChar w:fldCharType="begin"/>
      </w:r>
      <w:r w:rsidR="0036094C">
        <w:rPr>
          <w:rFonts w:ascii="Times New Roman" w:hAnsi="Times New Roman" w:cs="Times New Roman"/>
          <w:szCs w:val="21"/>
        </w:rPr>
        <w:instrText xml:space="preserve"> REF _Ref204656856 \r \h </w:instrText>
      </w:r>
      <w:r w:rsidR="00297B84">
        <w:rPr>
          <w:rFonts w:ascii="Times New Roman" w:hAnsi="Times New Roman" w:cs="Times New Roman"/>
          <w:szCs w:val="21"/>
        </w:rPr>
        <w:instrText xml:space="preserve"> \* MERGEFORMAT </w:instrText>
      </w:r>
      <w:r w:rsidR="0036094C">
        <w:rPr>
          <w:rFonts w:ascii="Times New Roman" w:hAnsi="Times New Roman" w:cs="Times New Roman"/>
          <w:szCs w:val="21"/>
        </w:rPr>
      </w:r>
      <w:r w:rsidR="0036094C">
        <w:rPr>
          <w:rFonts w:ascii="Times New Roman" w:hAnsi="Times New Roman" w:cs="Times New Roman"/>
          <w:szCs w:val="21"/>
        </w:rPr>
        <w:fldChar w:fldCharType="separate"/>
      </w:r>
      <w:r w:rsidR="00A70352">
        <w:rPr>
          <w:rFonts w:ascii="Times New Roman" w:hAnsi="Times New Roman" w:cs="Times New Roman"/>
          <w:szCs w:val="21"/>
          <w:cs/>
        </w:rPr>
        <w:t>‎</w:t>
      </w:r>
      <w:r w:rsidR="00A70352" w:rsidRPr="00065A21">
        <w:rPr>
          <w:rFonts w:ascii="Times New Roman" w:hAnsi="Times New Roman" w:cs="Times New Roman"/>
          <w:color w:val="0000FF"/>
          <w:szCs w:val="21"/>
          <w:vertAlign w:val="superscript"/>
        </w:rPr>
        <w:t>[20]</w:t>
      </w:r>
      <w:r w:rsidR="0036094C">
        <w:rPr>
          <w:rFonts w:ascii="Times New Roman" w:hAnsi="Times New Roman" w:cs="Times New Roman"/>
          <w:szCs w:val="21"/>
        </w:rPr>
        <w:fldChar w:fldCharType="end"/>
      </w:r>
      <w:r w:rsidR="00FE2500">
        <w:rPr>
          <w:rFonts w:ascii="Times New Roman" w:hAnsi="Times New Roman" w:cs="Times New Roman" w:hint="eastAsia"/>
          <w:szCs w:val="21"/>
        </w:rPr>
        <w:t>。</w:t>
      </w:r>
    </w:p>
    <w:p w14:paraId="38EA578C" w14:textId="3F7F8424" w:rsidR="003C04AA" w:rsidRDefault="00DA268A">
      <w:pPr>
        <w:spacing w:line="240" w:lineRule="atLeast"/>
        <w:ind w:firstLine="420"/>
        <w:rPr>
          <w:rFonts w:ascii="Times New Roman" w:hAnsi="Times New Roman" w:cs="Times New Roman"/>
          <w:szCs w:val="21"/>
        </w:rPr>
      </w:pPr>
      <w:r>
        <w:rPr>
          <w:rFonts w:ascii="Times New Roman" w:hAnsi="Times New Roman" w:cs="Times New Roman"/>
          <w:szCs w:val="21"/>
        </w:rPr>
        <w:t>因此，针对地震条件下城市电力</w:t>
      </w:r>
      <w:r w:rsidR="000F668B">
        <w:rPr>
          <w:rFonts w:ascii="Times New Roman" w:hAnsi="Times New Roman" w:cs="Times New Roman" w:hint="eastAsia"/>
          <w:szCs w:val="21"/>
        </w:rPr>
        <w:t>系统损伤场景的功能分析</w:t>
      </w:r>
      <w:r w:rsidR="00070D1C">
        <w:rPr>
          <w:rFonts w:ascii="Times New Roman" w:hAnsi="Times New Roman" w:cs="Times New Roman" w:hint="eastAsia"/>
          <w:szCs w:val="21"/>
        </w:rPr>
        <w:t>研究</w:t>
      </w:r>
      <w:r>
        <w:rPr>
          <w:rFonts w:ascii="Times New Roman" w:hAnsi="Times New Roman" w:cs="Times New Roman"/>
          <w:szCs w:val="21"/>
        </w:rPr>
        <w:t>，亟需建立覆盖高压输电与低压配电、统一考虑各类用户侧负荷的完整系统模型，并结合能够反映物理过程的潮流分析方法进行量化评估。同时，应将因设施损伤与功率重分布引发的级联失效</w:t>
      </w:r>
      <w:r w:rsidR="003A761B" w:rsidRPr="00065A21">
        <w:rPr>
          <w:rFonts w:ascii="Times New Roman" w:hAnsi="Times New Roman" w:cs="Times New Roman"/>
          <w:color w:val="0000FF"/>
          <w:szCs w:val="21"/>
          <w:vertAlign w:val="superscript"/>
        </w:rPr>
        <w:fldChar w:fldCharType="begin"/>
      </w:r>
      <w:r w:rsidR="003A761B" w:rsidRPr="00065A21">
        <w:rPr>
          <w:rFonts w:ascii="Times New Roman" w:hAnsi="Times New Roman" w:cs="Times New Roman"/>
          <w:color w:val="0000FF"/>
          <w:szCs w:val="21"/>
          <w:vertAlign w:val="superscript"/>
        </w:rPr>
        <w:instrText xml:space="preserve"> REF _Ref204702116 \r \h </w:instrText>
      </w:r>
      <w:r w:rsidR="003A761B">
        <w:rPr>
          <w:rFonts w:ascii="Times New Roman" w:hAnsi="Times New Roman" w:cs="Times New Roman"/>
          <w:color w:val="0000FF"/>
          <w:szCs w:val="21"/>
          <w:vertAlign w:val="superscript"/>
        </w:rPr>
        <w:instrText xml:space="preserve"> \* MERGEFORMAT </w:instrText>
      </w:r>
      <w:r w:rsidR="003A761B" w:rsidRPr="00065A21">
        <w:rPr>
          <w:rFonts w:ascii="Times New Roman" w:hAnsi="Times New Roman" w:cs="Times New Roman"/>
          <w:color w:val="0000FF"/>
          <w:szCs w:val="21"/>
          <w:vertAlign w:val="superscript"/>
        </w:rPr>
      </w:r>
      <w:r w:rsidR="003A761B" w:rsidRPr="00065A21">
        <w:rPr>
          <w:rFonts w:ascii="Times New Roman" w:hAnsi="Times New Roman" w:cs="Times New Roman"/>
          <w:color w:val="0000FF"/>
          <w:szCs w:val="21"/>
          <w:vertAlign w:val="superscript"/>
        </w:rPr>
        <w:fldChar w:fldCharType="separate"/>
      </w:r>
      <w:r w:rsidR="00A70352">
        <w:rPr>
          <w:rFonts w:ascii="Times New Roman" w:hAnsi="Times New Roman" w:cs="Times New Roman"/>
          <w:color w:val="0000FF"/>
          <w:szCs w:val="21"/>
          <w:vertAlign w:val="superscript"/>
          <w:cs/>
        </w:rPr>
        <w:t>‎</w:t>
      </w:r>
      <w:r w:rsidR="00A70352">
        <w:rPr>
          <w:rFonts w:ascii="Times New Roman" w:hAnsi="Times New Roman" w:cs="Times New Roman"/>
          <w:color w:val="0000FF"/>
          <w:szCs w:val="21"/>
          <w:vertAlign w:val="superscript"/>
        </w:rPr>
        <w:t>[21]</w:t>
      </w:r>
      <w:r w:rsidR="003A761B" w:rsidRPr="00065A21">
        <w:rPr>
          <w:rFonts w:ascii="Times New Roman" w:hAnsi="Times New Roman" w:cs="Times New Roman"/>
          <w:color w:val="0000FF"/>
          <w:szCs w:val="21"/>
          <w:vertAlign w:val="superscript"/>
        </w:rPr>
        <w:fldChar w:fldCharType="end"/>
      </w:r>
      <w:r>
        <w:rPr>
          <w:rFonts w:ascii="Times New Roman" w:hAnsi="Times New Roman" w:cs="Times New Roman"/>
          <w:szCs w:val="21"/>
        </w:rPr>
        <w:t>过程纳入统一框架，揭示其对系统功能</w:t>
      </w:r>
      <w:r w:rsidR="003C04AA">
        <w:rPr>
          <w:rFonts w:ascii="Times New Roman" w:hAnsi="Times New Roman" w:cs="Times New Roman" w:hint="eastAsia"/>
          <w:szCs w:val="21"/>
        </w:rPr>
        <w:t>损失</w:t>
      </w:r>
      <w:r>
        <w:rPr>
          <w:rFonts w:ascii="Times New Roman" w:hAnsi="Times New Roman" w:cs="Times New Roman"/>
          <w:szCs w:val="21"/>
        </w:rPr>
        <w:t>的放大效应与空间传播机制。</w:t>
      </w:r>
    </w:p>
    <w:p w14:paraId="6D08761F" w14:textId="7BB0CC70" w:rsidR="001F7B30" w:rsidRDefault="00DA268A" w:rsidP="003F2C50">
      <w:pPr>
        <w:spacing w:line="240" w:lineRule="atLeast"/>
        <w:ind w:firstLine="420"/>
        <w:rPr>
          <w:rFonts w:ascii="Times New Roman" w:eastAsia="宋体" w:hAnsi="Times New Roman" w:cs="Times New Roman"/>
          <w:kern w:val="0"/>
          <w:szCs w:val="21"/>
        </w:rPr>
      </w:pPr>
      <w:r>
        <w:rPr>
          <w:rFonts w:ascii="Times New Roman" w:hAnsi="Times New Roman" w:cs="Times New Roman"/>
          <w:szCs w:val="21"/>
        </w:rPr>
        <w:t>为实现上述目标，本文提出</w:t>
      </w:r>
      <w:r>
        <w:rPr>
          <w:rFonts w:ascii="Times New Roman" w:hAnsi="Times New Roman" w:cs="Times New Roman"/>
          <w:szCs w:val="21"/>
        </w:rPr>
        <w:t>“</w:t>
      </w:r>
      <w:r>
        <w:rPr>
          <w:rFonts w:ascii="Times New Roman" w:hAnsi="Times New Roman" w:cs="Times New Roman"/>
          <w:szCs w:val="21"/>
        </w:rPr>
        <w:t>城市电力系统</w:t>
      </w:r>
      <w:r>
        <w:rPr>
          <w:rFonts w:ascii="Times New Roman" w:hAnsi="Times New Roman" w:cs="Times New Roman"/>
          <w:szCs w:val="21"/>
        </w:rPr>
        <w:t>”</w:t>
      </w:r>
      <w:r>
        <w:rPr>
          <w:rFonts w:ascii="Times New Roman" w:hAnsi="Times New Roman" w:cs="Times New Roman"/>
          <w:szCs w:val="21"/>
        </w:rPr>
        <w:t>概念，将城市电力</w:t>
      </w:r>
      <w:r w:rsidR="003D3275">
        <w:rPr>
          <w:rFonts w:ascii="Times New Roman" w:hAnsi="Times New Roman" w:cs="Times New Roman" w:hint="eastAsia"/>
          <w:szCs w:val="21"/>
        </w:rPr>
        <w:t>系统</w:t>
      </w:r>
      <w:r>
        <w:rPr>
          <w:rFonts w:ascii="Times New Roman" w:hAnsi="Times New Roman" w:cs="Times New Roman"/>
          <w:szCs w:val="21"/>
        </w:rPr>
        <w:t>从广域电网中合理抽象，明确</w:t>
      </w:r>
      <w:r>
        <w:rPr>
          <w:rFonts w:ascii="Times New Roman" w:hAnsi="Times New Roman" w:cs="Times New Roman"/>
          <w:szCs w:val="21"/>
        </w:rPr>
        <w:lastRenderedPageBreak/>
        <w:t>系统边界，构建城市尺度的统一拓扑结构；进而引入直流潮流分析算法，建立能够反映设施震损、孤岛形成与级联失效作用的城市电力系统震后功能</w:t>
      </w:r>
      <w:r>
        <w:rPr>
          <w:rFonts w:ascii="Times New Roman" w:hAnsi="Times New Roman" w:cs="Times New Roman" w:hint="eastAsia"/>
          <w:szCs w:val="21"/>
        </w:rPr>
        <w:t>量化</w:t>
      </w:r>
      <w:r>
        <w:rPr>
          <w:rFonts w:ascii="Times New Roman" w:hAnsi="Times New Roman" w:cs="Times New Roman"/>
          <w:szCs w:val="21"/>
        </w:rPr>
        <w:t>评价框架，为系统开展城市电力系统震后功能评</w:t>
      </w:r>
      <w:r w:rsidR="00E36D9A">
        <w:rPr>
          <w:rFonts w:ascii="Times New Roman" w:hAnsi="Times New Roman" w:cs="Times New Roman" w:hint="eastAsia"/>
          <w:szCs w:val="21"/>
        </w:rPr>
        <w:t>价</w:t>
      </w:r>
      <w:r>
        <w:rPr>
          <w:rFonts w:ascii="Times New Roman" w:hAnsi="Times New Roman" w:cs="Times New Roman"/>
          <w:szCs w:val="21"/>
        </w:rPr>
        <w:t>提供参考</w:t>
      </w:r>
      <w:r>
        <w:rPr>
          <w:rFonts w:ascii="Times New Roman" w:hAnsi="Times New Roman" w:cs="Times New Roman" w:hint="eastAsia"/>
          <w:szCs w:val="21"/>
        </w:rPr>
        <w:t>。</w:t>
      </w:r>
    </w:p>
    <w:p w14:paraId="78A8741A" w14:textId="77777777" w:rsidR="001F7B30" w:rsidRDefault="00DA268A" w:rsidP="008453EA">
      <w:pPr>
        <w:widowControl/>
        <w:spacing w:line="240" w:lineRule="atLeast"/>
        <w:outlineLvl w:val="0"/>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 xml:space="preserve">1 </w:t>
      </w:r>
      <w:r>
        <w:rPr>
          <w:rFonts w:ascii="Times New Roman" w:eastAsia="宋体" w:hAnsi="Times New Roman" w:cs="Times New Roman" w:hint="eastAsia"/>
          <w:b/>
          <w:bCs/>
          <w:kern w:val="0"/>
          <w:sz w:val="24"/>
          <w:szCs w:val="24"/>
        </w:rPr>
        <w:t>城市电力系统震后功能分析框架</w:t>
      </w:r>
    </w:p>
    <w:p w14:paraId="717B0F7D" w14:textId="77777777" w:rsidR="001F7B30" w:rsidRDefault="00DA268A" w:rsidP="008453EA">
      <w:pPr>
        <w:widowControl/>
        <w:spacing w:line="240" w:lineRule="atLeast"/>
        <w:outlineLvl w:val="1"/>
        <w:rPr>
          <w:rFonts w:ascii="Times New Roman" w:eastAsia="宋体" w:hAnsi="Times New Roman" w:cs="Times New Roman"/>
          <w:color w:val="00B050"/>
          <w:kern w:val="0"/>
          <w:szCs w:val="21"/>
        </w:rPr>
      </w:pPr>
      <w:r>
        <w:rPr>
          <w:rFonts w:ascii="Times New Roman" w:eastAsia="宋体" w:hAnsi="Times New Roman" w:cs="Times New Roman"/>
          <w:b/>
          <w:kern w:val="0"/>
          <w:szCs w:val="21"/>
        </w:rPr>
        <w:t xml:space="preserve">1.1  </w:t>
      </w:r>
      <w:r>
        <w:rPr>
          <w:rFonts w:ascii="Times New Roman" w:eastAsia="宋体" w:hAnsi="Times New Roman" w:cs="Times New Roman" w:hint="eastAsia"/>
          <w:b/>
          <w:kern w:val="0"/>
          <w:szCs w:val="21"/>
        </w:rPr>
        <w:t>城市电力系统基本概念</w:t>
      </w:r>
    </w:p>
    <w:p w14:paraId="190E2CF7" w14:textId="4B83307C"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电力系统是将电能从生产端传输到消费端的一套完整网络，包括发电、输电、变电、配电以及用电等环节，具有复杂的网络和空间分布特征</w:t>
      </w:r>
      <w:r>
        <w:rPr>
          <w:rFonts w:ascii="Times New Roman" w:hAnsi="Times New Roman" w:cs="Times New Roman"/>
          <w:color w:val="0000FF"/>
          <w:szCs w:val="21"/>
          <w:vertAlign w:val="superscript"/>
        </w:rPr>
        <w:fldChar w:fldCharType="begin"/>
      </w:r>
      <w:r>
        <w:rPr>
          <w:rFonts w:ascii="Times New Roman" w:hAnsi="Times New Roman" w:cs="Times New Roman"/>
          <w:color w:val="0000FF"/>
          <w:szCs w:val="21"/>
          <w:vertAlign w:val="superscript"/>
        </w:rPr>
        <w:instrText xml:space="preserve"> </w:instrText>
      </w:r>
      <w:r>
        <w:rPr>
          <w:rFonts w:ascii="Times New Roman" w:hAnsi="Times New Roman" w:cs="Times New Roman" w:hint="eastAsia"/>
          <w:color w:val="0000FF"/>
          <w:szCs w:val="21"/>
          <w:vertAlign w:val="superscript"/>
        </w:rPr>
        <w:instrText>REF _Ref204372100 \r \h</w:instrText>
      </w:r>
      <w:r>
        <w:rPr>
          <w:rFonts w:ascii="Times New Roman" w:hAnsi="Times New Roman" w:cs="Times New Roman"/>
          <w:color w:val="0000FF"/>
          <w:szCs w:val="21"/>
          <w:vertAlign w:val="superscript"/>
        </w:rPr>
        <w:instrText xml:space="preserve">  \* MERGEFORMAT </w:instrText>
      </w:r>
      <w:r>
        <w:rPr>
          <w:rFonts w:ascii="Times New Roman" w:hAnsi="Times New Roman" w:cs="Times New Roman"/>
          <w:color w:val="0000FF"/>
          <w:szCs w:val="21"/>
          <w:vertAlign w:val="superscript"/>
        </w:rPr>
      </w:r>
      <w:r>
        <w:rPr>
          <w:rFonts w:ascii="Times New Roman" w:hAnsi="Times New Roman" w:cs="Times New Roman"/>
          <w:color w:val="0000FF"/>
          <w:szCs w:val="21"/>
          <w:vertAlign w:val="superscript"/>
        </w:rPr>
        <w:fldChar w:fldCharType="separate"/>
      </w:r>
      <w:r w:rsidR="00A70352">
        <w:rPr>
          <w:rFonts w:ascii="Times New Roman" w:hAnsi="Times New Roman" w:cs="Times New Roman"/>
          <w:color w:val="0000FF"/>
          <w:szCs w:val="21"/>
          <w:vertAlign w:val="superscript"/>
          <w:cs/>
        </w:rPr>
        <w:t>‎</w:t>
      </w:r>
      <w:r w:rsidR="00A70352">
        <w:rPr>
          <w:rFonts w:ascii="Times New Roman" w:hAnsi="Times New Roman" w:cs="Times New Roman"/>
          <w:color w:val="0000FF"/>
          <w:szCs w:val="21"/>
          <w:vertAlign w:val="superscript"/>
        </w:rPr>
        <w:t>[22]</w:t>
      </w:r>
      <w:r>
        <w:rPr>
          <w:rFonts w:ascii="Times New Roman" w:hAnsi="Times New Roman" w:cs="Times New Roman"/>
          <w:color w:val="0000FF"/>
          <w:szCs w:val="21"/>
          <w:vertAlign w:val="superscript"/>
        </w:rPr>
        <w:fldChar w:fldCharType="end"/>
      </w:r>
      <w:r>
        <w:rPr>
          <w:rFonts w:ascii="Times New Roman" w:hAnsi="Times New Roman" w:cs="Times New Roman" w:hint="eastAsia"/>
          <w:szCs w:val="21"/>
        </w:rPr>
        <w:t>。电力系统由电源、电网和负荷三部分组成：其中电源负责将各种一次能源转化为电能；电网分为输电网和配电网，负责将电能输送并分配给用户；而负荷则是最终使用电能的用户和设备，决定了电力系统的需求，三者共同构成了电能从生产到消费的完整链条。</w:t>
      </w:r>
    </w:p>
    <w:p w14:paraId="7A8BF66B" w14:textId="69975EA8" w:rsidR="003D3275" w:rsidRDefault="00DA268A" w:rsidP="00A6002D">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广义电力系统</w:t>
      </w:r>
      <w:r>
        <w:rPr>
          <w:rFonts w:ascii="Times New Roman" w:hAnsi="Times New Roman" w:cs="Times New Roman"/>
          <w:szCs w:val="21"/>
        </w:rPr>
        <w:t>跨省乃至跨国互联，</w:t>
      </w:r>
      <w:r>
        <w:rPr>
          <w:rFonts w:ascii="Times New Roman" w:hAnsi="Times New Roman" w:cs="Times New Roman" w:hint="eastAsia"/>
          <w:szCs w:val="21"/>
        </w:rPr>
        <w:t>层级众多且呈复杂网状</w:t>
      </w:r>
      <w:r>
        <w:rPr>
          <w:rFonts w:ascii="Times New Roman" w:hAnsi="Times New Roman" w:cs="Times New Roman"/>
          <w:szCs w:val="21"/>
        </w:rPr>
        <w:t>，运行状态受多级调度、市场与跨区域功率交换</w:t>
      </w:r>
      <w:r>
        <w:rPr>
          <w:rFonts w:ascii="Times New Roman" w:hAnsi="Times New Roman" w:cs="Times New Roman" w:hint="eastAsia"/>
          <w:szCs w:val="21"/>
        </w:rPr>
        <w:t>等</w:t>
      </w:r>
      <w:r>
        <w:rPr>
          <w:rFonts w:ascii="Times New Roman" w:hAnsi="Times New Roman" w:cs="Times New Roman"/>
          <w:szCs w:val="21"/>
        </w:rPr>
        <w:t>共同影响</w:t>
      </w:r>
      <w:r>
        <w:rPr>
          <w:rFonts w:ascii="Times New Roman" w:hAnsi="Times New Roman" w:cs="Times New Roman" w:hint="eastAsia"/>
          <w:szCs w:val="21"/>
        </w:rPr>
        <w:t>，若直接在这一整体层面剖析某一城市，既难以厘清其与外部电网的耦合边界，也无法在细节层面揭示该城市负荷结构、灾害韧性与调度策略的差异。为在保证模型完整性的同时聚焦城市层面的特性，本文将</w:t>
      </w:r>
      <w:r>
        <w:rPr>
          <w:rFonts w:ascii="Times New Roman" w:hAnsi="Times New Roman" w:cs="Times New Roman"/>
          <w:szCs w:val="21"/>
        </w:rPr>
        <w:t>城市范围内的输配电网络及其与主干网接口抽象为相对独立</w:t>
      </w:r>
      <w:r>
        <w:rPr>
          <w:rFonts w:ascii="Times New Roman" w:hAnsi="Times New Roman" w:cs="Times New Roman" w:hint="eastAsia"/>
          <w:szCs w:val="21"/>
        </w:rPr>
        <w:t>的“城市电力系统”，</w:t>
      </w:r>
      <w:r>
        <w:rPr>
          <w:rFonts w:ascii="Times New Roman" w:hAnsi="Times New Roman" w:cs="Times New Roman"/>
          <w:szCs w:val="21"/>
        </w:rPr>
        <w:t>以便在可控的模型中专注分析城市用户侧的供电</w:t>
      </w:r>
      <w:r w:rsidR="003D3275">
        <w:rPr>
          <w:rFonts w:ascii="Times New Roman" w:hAnsi="Times New Roman" w:cs="Times New Roman" w:hint="eastAsia"/>
          <w:szCs w:val="21"/>
        </w:rPr>
        <w:t>保障能力</w:t>
      </w:r>
      <w:r>
        <w:rPr>
          <w:rFonts w:ascii="Times New Roman" w:hAnsi="Times New Roman" w:cs="Times New Roman" w:hint="eastAsia"/>
          <w:szCs w:val="21"/>
        </w:rPr>
        <w:t>。</w:t>
      </w:r>
    </w:p>
    <w:p w14:paraId="53BF475A" w14:textId="14ECCF6D" w:rsidR="003F2C50" w:rsidRDefault="00DA268A" w:rsidP="008453E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城市电力系统</w:t>
      </w:r>
      <w:r w:rsidR="00E36D9A">
        <w:rPr>
          <w:rFonts w:ascii="Times New Roman" w:hAnsi="Times New Roman" w:cs="Times New Roman" w:hint="eastAsia"/>
          <w:szCs w:val="21"/>
        </w:rPr>
        <w:t>（</w:t>
      </w:r>
      <w:r w:rsidR="00E36D9A" w:rsidRPr="0063636C">
        <w:rPr>
          <w:rFonts w:ascii="Times New Roman" w:hAnsi="Times New Roman" w:cs="Times New Roman"/>
          <w:szCs w:val="21"/>
        </w:rPr>
        <w:fldChar w:fldCharType="begin"/>
      </w:r>
      <w:r w:rsidR="00E36D9A" w:rsidRPr="0063636C">
        <w:rPr>
          <w:rFonts w:ascii="Times New Roman" w:hAnsi="Times New Roman" w:cs="Times New Roman"/>
          <w:szCs w:val="21"/>
        </w:rPr>
        <w:instrText xml:space="preserve"> REF _Ref204376128 \r \h  \* MERGEFORMAT </w:instrText>
      </w:r>
      <w:r w:rsidR="00E36D9A" w:rsidRPr="0063636C">
        <w:rPr>
          <w:rFonts w:ascii="Times New Roman" w:hAnsi="Times New Roman" w:cs="Times New Roman"/>
          <w:szCs w:val="21"/>
        </w:rPr>
      </w:r>
      <w:r w:rsidR="00E36D9A" w:rsidRPr="0063636C">
        <w:rPr>
          <w:rFonts w:ascii="Times New Roman" w:hAnsi="Times New Roman" w:cs="Times New Roman"/>
          <w:szCs w:val="21"/>
        </w:rPr>
        <w:fldChar w:fldCharType="separate"/>
      </w:r>
      <w:r w:rsidR="003D3275" w:rsidRPr="0063636C">
        <w:rPr>
          <w:rFonts w:ascii="Times New Roman" w:hAnsi="Times New Roman" w:cs="Times New Roman"/>
          <w:szCs w:val="21"/>
        </w:rPr>
        <w:t>Urban power system, UPS</w:t>
      </w:r>
      <w:r w:rsidR="00E36D9A" w:rsidRPr="0063636C">
        <w:rPr>
          <w:rFonts w:ascii="Times New Roman" w:hAnsi="Times New Roman" w:cs="Times New Roman"/>
          <w:szCs w:val="21"/>
        </w:rPr>
        <w:fldChar w:fldCharType="end"/>
      </w:r>
      <w:r w:rsidR="00E36D9A">
        <w:rPr>
          <w:rFonts w:ascii="Times New Roman" w:hAnsi="Times New Roman" w:cs="Times New Roman" w:hint="eastAsia"/>
          <w:szCs w:val="21"/>
        </w:rPr>
        <w:t>）</w:t>
      </w:r>
      <w:r>
        <w:rPr>
          <w:rFonts w:ascii="Times New Roman" w:hAnsi="Times New Roman" w:cs="Times New Roman" w:hint="eastAsia"/>
          <w:szCs w:val="21"/>
        </w:rPr>
        <w:t>以城区用户的供电保障为核心考量，从空间和功能的角度可划分为城区、域内和域外三个层级</w:t>
      </w:r>
      <w:r w:rsidR="003D3275">
        <w:rPr>
          <w:rFonts w:ascii="Times New Roman" w:hAnsi="Times New Roman" w:cs="Times New Roman" w:hint="eastAsia"/>
          <w:szCs w:val="21"/>
        </w:rPr>
        <w:t>，如</w:t>
      </w:r>
      <w:r w:rsidR="003D3275">
        <w:rPr>
          <w:rFonts w:ascii="Times New Roman" w:hAnsi="Times New Roman" w:cs="Times New Roman" w:hint="eastAsia"/>
          <w:color w:val="0000FF"/>
          <w:szCs w:val="21"/>
        </w:rPr>
        <w:t>图</w:t>
      </w:r>
      <w:r w:rsidR="003D3275">
        <w:rPr>
          <w:rFonts w:ascii="Times New Roman" w:hAnsi="Times New Roman" w:cs="Times New Roman"/>
          <w:color w:val="0000FF"/>
          <w:szCs w:val="21"/>
        </w:rPr>
        <w:t>1</w:t>
      </w:r>
      <w:r w:rsidR="00065A21">
        <w:rPr>
          <w:rFonts w:ascii="Times New Roman" w:hAnsi="Times New Roman" w:cs="Times New Roman"/>
          <w:szCs w:val="21"/>
        </w:rPr>
        <w:tab/>
      </w:r>
      <w:r>
        <w:rPr>
          <w:rFonts w:ascii="Times New Roman" w:hAnsi="Times New Roman" w:cs="Times New Roman" w:hint="eastAsia"/>
          <w:szCs w:val="21"/>
        </w:rPr>
        <w:t>。变电站也根据所处层级与在系统中发挥的作用分为</w:t>
      </w:r>
      <w:r w:rsidR="003D3275">
        <w:rPr>
          <w:rFonts w:ascii="Times New Roman" w:hAnsi="Times New Roman" w:cs="Times New Roman" w:hint="eastAsia"/>
          <w:szCs w:val="21"/>
        </w:rPr>
        <w:t>城市变电站、电源变电站、负荷变电站</w:t>
      </w:r>
      <w:r>
        <w:rPr>
          <w:rFonts w:ascii="Times New Roman" w:hAnsi="Times New Roman" w:cs="Times New Roman" w:hint="eastAsia"/>
          <w:szCs w:val="21"/>
        </w:rPr>
        <w:t>三类</w:t>
      </w:r>
      <w:r>
        <w:rPr>
          <w:rFonts w:ascii="Times New Roman" w:hAnsi="Times New Roman" w:cs="Times New Roman"/>
          <w:color w:val="0000FF"/>
          <w:szCs w:val="21"/>
          <w:vertAlign w:val="superscript"/>
        </w:rPr>
        <w:fldChar w:fldCharType="begin"/>
      </w:r>
      <w:r>
        <w:rPr>
          <w:rFonts w:ascii="Times New Roman" w:hAnsi="Times New Roman" w:cs="Times New Roman"/>
          <w:color w:val="0000FF"/>
          <w:szCs w:val="21"/>
          <w:vertAlign w:val="superscript"/>
        </w:rPr>
        <w:instrText xml:space="preserve"> REF _Ref204374138 \r \h  \* MERGEFORMAT </w:instrText>
      </w:r>
      <w:r>
        <w:rPr>
          <w:rFonts w:ascii="Times New Roman" w:hAnsi="Times New Roman" w:cs="Times New Roman"/>
          <w:color w:val="0000FF"/>
          <w:szCs w:val="21"/>
          <w:vertAlign w:val="superscript"/>
        </w:rPr>
      </w:r>
      <w:r>
        <w:rPr>
          <w:rFonts w:ascii="Times New Roman" w:hAnsi="Times New Roman" w:cs="Times New Roman"/>
          <w:color w:val="0000FF"/>
          <w:szCs w:val="21"/>
          <w:vertAlign w:val="superscript"/>
        </w:rPr>
        <w:fldChar w:fldCharType="separate"/>
      </w:r>
      <w:r w:rsidR="00CC57B1">
        <w:rPr>
          <w:rFonts w:ascii="Times New Roman" w:hAnsi="Times New Roman" w:cs="Times New Roman"/>
          <w:color w:val="0000FF"/>
          <w:szCs w:val="21"/>
          <w:vertAlign w:val="superscript"/>
          <w:cs/>
        </w:rPr>
        <w:t>‎</w:t>
      </w:r>
      <w:r w:rsidR="00CC57B1">
        <w:rPr>
          <w:rFonts w:ascii="Times New Roman" w:hAnsi="Times New Roman" w:cs="Times New Roman"/>
          <w:color w:val="0000FF"/>
          <w:szCs w:val="21"/>
          <w:vertAlign w:val="superscript"/>
        </w:rPr>
        <w:t>[23]</w:t>
      </w:r>
      <w:r>
        <w:rPr>
          <w:rFonts w:ascii="Times New Roman" w:hAnsi="Times New Roman" w:cs="Times New Roman"/>
          <w:color w:val="0000FF"/>
          <w:szCs w:val="21"/>
          <w:vertAlign w:val="superscript"/>
        </w:rPr>
        <w:fldChar w:fldCharType="end"/>
      </w:r>
      <w:r>
        <w:rPr>
          <w:rFonts w:ascii="Times New Roman" w:hAnsi="Times New Roman" w:cs="Times New Roman" w:hint="eastAsia"/>
          <w:szCs w:val="21"/>
        </w:rPr>
        <w:t>，如</w:t>
      </w:r>
      <w:r w:rsidRPr="008453EA">
        <w:rPr>
          <w:rFonts w:ascii="Times New Roman" w:hAnsi="Times New Roman" w:cs="Times New Roman"/>
          <w:color w:val="0000FF"/>
          <w:szCs w:val="21"/>
        </w:rPr>
        <w:fldChar w:fldCharType="begin"/>
      </w:r>
      <w:r w:rsidRPr="008453EA">
        <w:rPr>
          <w:rFonts w:ascii="Times New Roman" w:hAnsi="Times New Roman" w:cs="Times New Roman"/>
          <w:color w:val="0000FF"/>
          <w:szCs w:val="21"/>
        </w:rPr>
        <w:instrText xml:space="preserve"> REF _Ref204376744 \r \h  \* MERGEFORMAT </w:instrText>
      </w:r>
      <w:r w:rsidRPr="008453EA">
        <w:rPr>
          <w:rFonts w:ascii="Times New Roman" w:hAnsi="Times New Roman" w:cs="Times New Roman"/>
          <w:color w:val="0000FF"/>
          <w:szCs w:val="21"/>
        </w:rPr>
      </w:r>
      <w:r w:rsidRPr="008453EA">
        <w:rPr>
          <w:rFonts w:ascii="Times New Roman" w:hAnsi="Times New Roman" w:cs="Times New Roman"/>
          <w:color w:val="0000FF"/>
          <w:szCs w:val="21"/>
        </w:rPr>
        <w:fldChar w:fldCharType="separate"/>
      </w:r>
      <w:r w:rsidR="00CC57B1">
        <w:rPr>
          <w:rFonts w:ascii="Times New Roman" w:hAnsi="Times New Roman" w:cs="Times New Roman"/>
          <w:color w:val="0000FF"/>
          <w:szCs w:val="21"/>
          <w:cs/>
        </w:rPr>
        <w:t>‎</w:t>
      </w:r>
      <w:r w:rsidR="00CC57B1">
        <w:rPr>
          <w:rFonts w:ascii="Times New Roman" w:hAnsi="Times New Roman" w:cs="Times New Roman" w:hint="eastAsia"/>
          <w:color w:val="0000FF"/>
          <w:szCs w:val="21"/>
        </w:rPr>
        <w:t>表</w:t>
      </w:r>
      <w:r w:rsidR="00CC57B1">
        <w:rPr>
          <w:rFonts w:ascii="Times New Roman" w:hAnsi="Times New Roman" w:cs="Times New Roman"/>
          <w:color w:val="0000FF"/>
          <w:szCs w:val="21"/>
        </w:rPr>
        <w:t>1</w:t>
      </w:r>
      <w:r w:rsidRPr="008453EA">
        <w:rPr>
          <w:rFonts w:ascii="Times New Roman" w:hAnsi="Times New Roman" w:cs="Times New Roman"/>
          <w:color w:val="0000FF"/>
          <w:szCs w:val="21"/>
        </w:rPr>
        <w:fldChar w:fldCharType="end"/>
      </w:r>
      <w:r>
        <w:rPr>
          <w:rFonts w:ascii="Times New Roman" w:hAnsi="Times New Roman" w:cs="Times New Roman" w:hint="eastAsia"/>
          <w:szCs w:val="21"/>
        </w:rPr>
        <w:t>所示。</w:t>
      </w:r>
      <w:r w:rsidR="003F2C50">
        <w:rPr>
          <w:rFonts w:ascii="Times New Roman" w:hAnsi="Times New Roman" w:cs="Times New Roman" w:hint="eastAsia"/>
          <w:szCs w:val="21"/>
        </w:rPr>
        <w:t>城区层级从地理上等同于城市的行政区划范围，包含输电网、城市变电站及配电网，直接向所有用户供电。域内层级是一些更高电压等级的设施，组成城市电力系统的骨架，与城区存在电能的双向输送，向外承接域外电网。城市电力系统的电源在域内层级通常是城市发电厂和电源变电站，电源变电站通过输电网接受域外电能并向城区和郊区供电。此外，域内层级还有部分变电站的电能由城区提供，称为负荷变电站，有若干回进线自城区引入，向城市近郊供电。在域外层级，城市电力系统通过枢纽变电站接入特</w:t>
      </w:r>
      <w:r w:rsidR="003F2C50">
        <w:rPr>
          <w:rFonts w:ascii="Times New Roman" w:hAnsi="Times New Roman" w:cs="Times New Roman" w:hint="eastAsia"/>
          <w:szCs w:val="21"/>
        </w:rPr>
        <w:t>/</w:t>
      </w:r>
      <w:r w:rsidR="003F2C50">
        <w:rPr>
          <w:rFonts w:ascii="Times New Roman" w:hAnsi="Times New Roman" w:cs="Times New Roman" w:hint="eastAsia"/>
          <w:szCs w:val="21"/>
        </w:rPr>
        <w:t>超高压远距离输电主干网络，是城市电力系统的主要电源输入通道。</w:t>
      </w:r>
    </w:p>
    <w:p w14:paraId="5AB32151" w14:textId="77777777" w:rsidR="003F2C50" w:rsidRDefault="003F2C50">
      <w:pPr>
        <w:spacing w:line="240" w:lineRule="atLeast"/>
        <w:ind w:firstLineChars="200" w:firstLine="420"/>
        <w:rPr>
          <w:rFonts w:ascii="Times New Roman" w:hAnsi="Times New Roman" w:cs="Times New Roman"/>
          <w:szCs w:val="21"/>
        </w:rPr>
      </w:pPr>
    </w:p>
    <w:p w14:paraId="5879D56B" w14:textId="77777777" w:rsidR="001F7B30" w:rsidRDefault="00DA268A">
      <w:pPr>
        <w:snapToGrid w:val="0"/>
        <w:spacing w:line="240" w:lineRule="atLeast"/>
        <w:jc w:val="center"/>
        <w:rPr>
          <w:rFonts w:ascii="Times New Roman" w:hAnsi="Times New Roman" w:cs="Times New Roman"/>
          <w:color w:val="FF0000"/>
          <w:szCs w:val="21"/>
        </w:rPr>
      </w:pPr>
      <w:r>
        <w:rPr>
          <w:noProof/>
        </w:rPr>
        <w:drawing>
          <wp:inline distT="0" distB="0" distL="0" distR="0" wp14:anchorId="08595ED8" wp14:editId="67984641">
            <wp:extent cx="2741295" cy="2261870"/>
            <wp:effectExtent l="0" t="0" r="1905" b="5080"/>
            <wp:docPr id="64276329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3299" name="图片 8"/>
                    <pic:cNvPicPr>
                      <a:picLocks noChangeAspect="1"/>
                    </pic:cNvPicPr>
                  </pic:nvPicPr>
                  <pic:blipFill>
                    <a:blip r:embed="rId17">
                      <a:extLst>
                        <a:ext uri="{28A0092B-C50C-407E-A947-70E740481C1C}">
                          <a14:useLocalDpi xmlns:a14="http://schemas.microsoft.com/office/drawing/2010/main" val="0"/>
                        </a:ext>
                      </a:extLst>
                    </a:blip>
                    <a:srcRect/>
                    <a:stretch>
                      <a:fillRect/>
                    </a:stretch>
                  </pic:blipFill>
                  <pic:spPr>
                    <a:xfrm>
                      <a:off x="0" y="0"/>
                      <a:ext cx="2741295" cy="2261870"/>
                    </a:xfrm>
                    <a:prstGeom prst="rect">
                      <a:avLst/>
                    </a:prstGeom>
                    <a:noFill/>
                    <a:ln>
                      <a:noFill/>
                    </a:ln>
                  </pic:spPr>
                </pic:pic>
              </a:graphicData>
            </a:graphic>
          </wp:inline>
        </w:drawing>
      </w:r>
    </w:p>
    <w:p w14:paraId="54FD5218" w14:textId="77777777" w:rsidR="001F7B30" w:rsidRDefault="00DA268A">
      <w:pPr>
        <w:pStyle w:val="afb"/>
        <w:numPr>
          <w:ilvl w:val="0"/>
          <w:numId w:val="2"/>
        </w:numPr>
        <w:snapToGrid w:val="0"/>
        <w:spacing w:afterLines="50" w:after="156" w:line="240" w:lineRule="atLeast"/>
        <w:ind w:left="442" w:firstLineChars="0" w:hanging="442"/>
        <w:jc w:val="center"/>
        <w:rPr>
          <w:rFonts w:ascii="Times New Roman" w:hAnsi="Times New Roman" w:cs="Times New Roman"/>
          <w:szCs w:val="21"/>
        </w:rPr>
      </w:pPr>
      <w:bookmarkStart w:id="3" w:name="_Ref204376128"/>
      <w:r>
        <w:rPr>
          <w:rFonts w:ascii="Times New Roman" w:hAnsi="Times New Roman" w:cs="Times New Roman" w:hint="eastAsia"/>
          <w:szCs w:val="21"/>
        </w:rPr>
        <w:t>城市电力系统示意图</w:t>
      </w:r>
      <w:bookmarkEnd w:id="3"/>
    </w:p>
    <w:p w14:paraId="53457FC7" w14:textId="77777777" w:rsidR="001F7B30" w:rsidRDefault="00DA268A">
      <w:pPr>
        <w:pStyle w:val="a"/>
        <w:numPr>
          <w:ilvl w:val="0"/>
          <w:numId w:val="3"/>
        </w:numPr>
        <w:ind w:left="0" w:firstLine="0"/>
        <w:jc w:val="center"/>
        <w:rPr>
          <w:rFonts w:ascii="Times New Roman" w:hAnsi="Times New Roman"/>
          <w:szCs w:val="21"/>
        </w:rPr>
      </w:pPr>
      <w:bookmarkStart w:id="4" w:name="_Ref204376744"/>
      <w:r>
        <w:rPr>
          <w:rFonts w:ascii="Times New Roman" w:hAnsi="Times New Roman" w:hint="eastAsia"/>
        </w:rPr>
        <w:t>城市电力系统变电站类型</w:t>
      </w:r>
      <w:bookmarkEnd w:id="4"/>
    </w:p>
    <w:tbl>
      <w:tblPr>
        <w:tblW w:w="0" w:type="auto"/>
        <w:jc w:val="center"/>
        <w:tblBorders>
          <w:top w:val="single" w:sz="4" w:space="0" w:color="auto"/>
          <w:bottom w:val="single" w:sz="4" w:space="0" w:color="auto"/>
        </w:tblBorders>
        <w:tblLook w:val="04A0" w:firstRow="1" w:lastRow="0" w:firstColumn="1" w:lastColumn="0" w:noHBand="0" w:noVBand="1"/>
      </w:tblPr>
      <w:tblGrid>
        <w:gridCol w:w="1072"/>
        <w:gridCol w:w="771"/>
        <w:gridCol w:w="1710"/>
        <w:gridCol w:w="1166"/>
      </w:tblGrid>
      <w:tr w:rsidR="001F7B30" w14:paraId="475D9692" w14:textId="77777777">
        <w:trPr>
          <w:jc w:val="center"/>
        </w:trPr>
        <w:tc>
          <w:tcPr>
            <w:tcW w:w="1072" w:type="dxa"/>
            <w:tcBorders>
              <w:top w:val="single" w:sz="8" w:space="0" w:color="auto"/>
              <w:left w:val="nil"/>
              <w:bottom w:val="single" w:sz="8" w:space="0" w:color="auto"/>
              <w:right w:val="nil"/>
            </w:tcBorders>
            <w:vAlign w:val="center"/>
          </w:tcPr>
          <w:p w14:paraId="2C43E516"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类型</w:t>
            </w:r>
          </w:p>
        </w:tc>
        <w:tc>
          <w:tcPr>
            <w:tcW w:w="771" w:type="dxa"/>
            <w:tcBorders>
              <w:top w:val="single" w:sz="8" w:space="0" w:color="auto"/>
              <w:left w:val="nil"/>
              <w:bottom w:val="single" w:sz="8" w:space="0" w:color="auto"/>
              <w:right w:val="nil"/>
            </w:tcBorders>
            <w:vAlign w:val="center"/>
          </w:tcPr>
          <w:p w14:paraId="43B85722"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层级</w:t>
            </w:r>
          </w:p>
        </w:tc>
        <w:tc>
          <w:tcPr>
            <w:tcW w:w="1710" w:type="dxa"/>
            <w:tcBorders>
              <w:top w:val="single" w:sz="8" w:space="0" w:color="auto"/>
              <w:left w:val="nil"/>
              <w:bottom w:val="single" w:sz="8" w:space="0" w:color="auto"/>
              <w:right w:val="nil"/>
            </w:tcBorders>
            <w:vAlign w:val="center"/>
          </w:tcPr>
          <w:p w14:paraId="11F37A89"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功能</w:t>
            </w:r>
          </w:p>
        </w:tc>
        <w:tc>
          <w:tcPr>
            <w:tcW w:w="1166" w:type="dxa"/>
            <w:tcBorders>
              <w:top w:val="single" w:sz="8" w:space="0" w:color="auto"/>
              <w:left w:val="nil"/>
              <w:bottom w:val="single" w:sz="8" w:space="0" w:color="auto"/>
              <w:right w:val="nil"/>
            </w:tcBorders>
            <w:vAlign w:val="center"/>
          </w:tcPr>
          <w:p w14:paraId="44B0A2AD" w14:textId="7D59D306" w:rsidR="001F7B30" w:rsidRDefault="00DA268A">
            <w:pPr>
              <w:pStyle w:val="aff"/>
              <w:spacing w:line="240" w:lineRule="atLeast"/>
              <w:jc w:val="center"/>
              <w:rPr>
                <w:rFonts w:ascii="Times New Roman" w:hAnsi="Times New Roman"/>
                <w:sz w:val="21"/>
              </w:rPr>
            </w:pPr>
            <w:r>
              <w:rPr>
                <w:rFonts w:ascii="Times New Roman" w:hAnsi="Times New Roman" w:hint="eastAsia"/>
                <w:sz w:val="21"/>
              </w:rPr>
              <w:t>等效设施</w:t>
            </w:r>
          </w:p>
        </w:tc>
      </w:tr>
      <w:tr w:rsidR="001F7B30" w14:paraId="109E0511" w14:textId="77777777">
        <w:trPr>
          <w:jc w:val="center"/>
        </w:trPr>
        <w:tc>
          <w:tcPr>
            <w:tcW w:w="1072" w:type="dxa"/>
            <w:tcBorders>
              <w:top w:val="single" w:sz="8" w:space="0" w:color="auto"/>
              <w:left w:val="nil"/>
              <w:bottom w:val="nil"/>
              <w:right w:val="nil"/>
            </w:tcBorders>
            <w:vAlign w:val="center"/>
          </w:tcPr>
          <w:p w14:paraId="6C664311"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城市</w:t>
            </w:r>
          </w:p>
          <w:p w14:paraId="2A27CFD3"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变电站</w:t>
            </w:r>
          </w:p>
        </w:tc>
        <w:tc>
          <w:tcPr>
            <w:tcW w:w="771" w:type="dxa"/>
            <w:tcBorders>
              <w:top w:val="single" w:sz="8" w:space="0" w:color="auto"/>
              <w:left w:val="nil"/>
              <w:bottom w:val="nil"/>
              <w:right w:val="nil"/>
            </w:tcBorders>
            <w:vAlign w:val="center"/>
          </w:tcPr>
          <w:p w14:paraId="545C93D0"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城区</w:t>
            </w:r>
          </w:p>
        </w:tc>
        <w:tc>
          <w:tcPr>
            <w:tcW w:w="1710" w:type="dxa"/>
            <w:tcBorders>
              <w:top w:val="single" w:sz="8" w:space="0" w:color="auto"/>
              <w:left w:val="nil"/>
              <w:bottom w:val="nil"/>
              <w:right w:val="nil"/>
            </w:tcBorders>
            <w:vAlign w:val="center"/>
          </w:tcPr>
          <w:p w14:paraId="7E9F7B4F"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汇集、变压、分配电能</w:t>
            </w:r>
          </w:p>
        </w:tc>
        <w:tc>
          <w:tcPr>
            <w:tcW w:w="1166" w:type="dxa"/>
            <w:tcBorders>
              <w:top w:val="single" w:sz="8" w:space="0" w:color="auto"/>
              <w:left w:val="nil"/>
              <w:bottom w:val="nil"/>
              <w:right w:val="nil"/>
            </w:tcBorders>
            <w:vAlign w:val="center"/>
          </w:tcPr>
          <w:p w14:paraId="474A835B"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变电站</w:t>
            </w:r>
          </w:p>
        </w:tc>
      </w:tr>
      <w:tr w:rsidR="001F7B30" w14:paraId="27DF3B20" w14:textId="77777777">
        <w:trPr>
          <w:trHeight w:val="43"/>
          <w:jc w:val="center"/>
        </w:trPr>
        <w:tc>
          <w:tcPr>
            <w:tcW w:w="1072" w:type="dxa"/>
            <w:tcBorders>
              <w:top w:val="nil"/>
              <w:left w:val="nil"/>
              <w:bottom w:val="nil"/>
              <w:right w:val="nil"/>
            </w:tcBorders>
            <w:vAlign w:val="center"/>
          </w:tcPr>
          <w:p w14:paraId="193509D6"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电源</w:t>
            </w:r>
          </w:p>
          <w:p w14:paraId="22C7141C"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变电站</w:t>
            </w:r>
          </w:p>
        </w:tc>
        <w:tc>
          <w:tcPr>
            <w:tcW w:w="771" w:type="dxa"/>
            <w:tcBorders>
              <w:top w:val="nil"/>
              <w:left w:val="nil"/>
              <w:bottom w:val="nil"/>
              <w:right w:val="nil"/>
            </w:tcBorders>
            <w:vAlign w:val="center"/>
          </w:tcPr>
          <w:p w14:paraId="4A5B46F2"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域内域外</w:t>
            </w:r>
          </w:p>
        </w:tc>
        <w:tc>
          <w:tcPr>
            <w:tcW w:w="1710" w:type="dxa"/>
            <w:tcBorders>
              <w:top w:val="nil"/>
              <w:left w:val="nil"/>
              <w:bottom w:val="nil"/>
              <w:right w:val="nil"/>
            </w:tcBorders>
            <w:vAlign w:val="center"/>
          </w:tcPr>
          <w:p w14:paraId="2ABD8469"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接受域外电能，并向城区和郊区供电</w:t>
            </w:r>
          </w:p>
        </w:tc>
        <w:tc>
          <w:tcPr>
            <w:tcW w:w="1166" w:type="dxa"/>
            <w:tcBorders>
              <w:top w:val="nil"/>
              <w:left w:val="nil"/>
              <w:bottom w:val="nil"/>
              <w:right w:val="nil"/>
            </w:tcBorders>
            <w:vAlign w:val="center"/>
          </w:tcPr>
          <w:p w14:paraId="438D8976"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发电厂</w:t>
            </w:r>
          </w:p>
        </w:tc>
      </w:tr>
      <w:tr w:rsidR="001F7B30" w14:paraId="5EB3889D" w14:textId="77777777">
        <w:trPr>
          <w:trHeight w:val="39"/>
          <w:jc w:val="center"/>
        </w:trPr>
        <w:tc>
          <w:tcPr>
            <w:tcW w:w="1072" w:type="dxa"/>
            <w:tcBorders>
              <w:top w:val="nil"/>
              <w:left w:val="nil"/>
              <w:bottom w:val="single" w:sz="8" w:space="0" w:color="auto"/>
              <w:right w:val="nil"/>
            </w:tcBorders>
            <w:vAlign w:val="center"/>
          </w:tcPr>
          <w:p w14:paraId="39EC0A80"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负荷</w:t>
            </w:r>
          </w:p>
          <w:p w14:paraId="2F5B9C1B"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变电站</w:t>
            </w:r>
          </w:p>
        </w:tc>
        <w:tc>
          <w:tcPr>
            <w:tcW w:w="771" w:type="dxa"/>
            <w:tcBorders>
              <w:top w:val="nil"/>
              <w:left w:val="nil"/>
              <w:bottom w:val="single" w:sz="8" w:space="0" w:color="auto"/>
              <w:right w:val="nil"/>
            </w:tcBorders>
            <w:vAlign w:val="center"/>
          </w:tcPr>
          <w:p w14:paraId="688075D9"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域内</w:t>
            </w:r>
          </w:p>
        </w:tc>
        <w:tc>
          <w:tcPr>
            <w:tcW w:w="1710" w:type="dxa"/>
            <w:tcBorders>
              <w:top w:val="nil"/>
              <w:left w:val="nil"/>
              <w:bottom w:val="single" w:sz="8" w:space="0" w:color="auto"/>
              <w:right w:val="nil"/>
            </w:tcBorders>
            <w:vAlign w:val="center"/>
          </w:tcPr>
          <w:p w14:paraId="2335EEF5"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接受城区电能，向郊区供电</w:t>
            </w:r>
          </w:p>
        </w:tc>
        <w:tc>
          <w:tcPr>
            <w:tcW w:w="1166" w:type="dxa"/>
            <w:tcBorders>
              <w:top w:val="nil"/>
              <w:left w:val="nil"/>
              <w:bottom w:val="single" w:sz="8" w:space="0" w:color="auto"/>
              <w:right w:val="nil"/>
            </w:tcBorders>
            <w:vAlign w:val="center"/>
          </w:tcPr>
          <w:p w14:paraId="671D00C6" w14:textId="77777777" w:rsidR="001F7B30" w:rsidRDefault="00DA268A">
            <w:pPr>
              <w:pStyle w:val="aff"/>
              <w:spacing w:line="240" w:lineRule="atLeast"/>
              <w:jc w:val="center"/>
              <w:rPr>
                <w:rFonts w:ascii="Times New Roman" w:hAnsi="Times New Roman"/>
                <w:sz w:val="21"/>
              </w:rPr>
            </w:pPr>
            <w:r>
              <w:rPr>
                <w:rFonts w:ascii="Times New Roman" w:hAnsi="Times New Roman" w:hint="eastAsia"/>
                <w:sz w:val="21"/>
              </w:rPr>
              <w:t>负荷</w:t>
            </w:r>
          </w:p>
        </w:tc>
      </w:tr>
    </w:tbl>
    <w:p w14:paraId="288CE353" w14:textId="65169390" w:rsidR="001F7B30" w:rsidRDefault="001F7B30">
      <w:pPr>
        <w:spacing w:line="240" w:lineRule="atLeast"/>
        <w:rPr>
          <w:rFonts w:ascii="Times New Roman" w:hAnsi="Times New Roman" w:cs="Times New Roman"/>
          <w:szCs w:val="21"/>
        </w:rPr>
      </w:pPr>
    </w:p>
    <w:p w14:paraId="3FF9BD65" w14:textId="77777777" w:rsidR="001F7B30" w:rsidRDefault="00DA268A" w:rsidP="008453EA">
      <w:pPr>
        <w:widowControl/>
        <w:spacing w:line="240" w:lineRule="atLeast"/>
        <w:outlineLvl w:val="1"/>
        <w:rPr>
          <w:rFonts w:ascii="Times New Roman" w:eastAsia="宋体" w:hAnsi="Times New Roman" w:cs="Times New Roman"/>
          <w:b/>
          <w:kern w:val="0"/>
          <w:szCs w:val="21"/>
        </w:rPr>
      </w:pPr>
      <w:r>
        <w:rPr>
          <w:rFonts w:ascii="Times New Roman" w:eastAsia="宋体" w:hAnsi="Times New Roman" w:cs="Times New Roman"/>
          <w:b/>
          <w:kern w:val="0"/>
          <w:szCs w:val="21"/>
        </w:rPr>
        <w:t xml:space="preserve">1.2  </w:t>
      </w:r>
      <w:r>
        <w:rPr>
          <w:rFonts w:ascii="Times New Roman" w:eastAsia="宋体" w:hAnsi="Times New Roman" w:cs="Times New Roman" w:hint="eastAsia"/>
          <w:b/>
          <w:kern w:val="0"/>
          <w:szCs w:val="21"/>
        </w:rPr>
        <w:t>震后功能分析框架</w:t>
      </w:r>
    </w:p>
    <w:p w14:paraId="6AE3A827" w14:textId="194C76A4"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城市电力系统震后功能分析框架如</w:t>
      </w:r>
      <w:r w:rsidR="005130C0" w:rsidRPr="008453EA">
        <w:rPr>
          <w:rFonts w:ascii="Times New Roman" w:hAnsi="Times New Roman" w:cs="Times New Roman"/>
          <w:color w:val="0000FF"/>
          <w:szCs w:val="21"/>
        </w:rPr>
        <w:fldChar w:fldCharType="begin"/>
      </w:r>
      <w:r w:rsidR="005130C0" w:rsidRPr="008453EA">
        <w:rPr>
          <w:rFonts w:ascii="Times New Roman" w:hAnsi="Times New Roman" w:cs="Times New Roman"/>
          <w:color w:val="0000FF"/>
          <w:szCs w:val="21"/>
        </w:rPr>
        <w:instrText xml:space="preserve"> REF _Ref204659021 \r \h </w:instrText>
      </w:r>
      <w:r w:rsidR="005130C0">
        <w:rPr>
          <w:rFonts w:ascii="Times New Roman" w:hAnsi="Times New Roman" w:cs="Times New Roman"/>
          <w:color w:val="0000FF"/>
          <w:szCs w:val="21"/>
        </w:rPr>
        <w:instrText xml:space="preserve"> \* MERGEFORMAT </w:instrText>
      </w:r>
      <w:r w:rsidR="005130C0" w:rsidRPr="008453EA">
        <w:rPr>
          <w:rFonts w:ascii="Times New Roman" w:hAnsi="Times New Roman" w:cs="Times New Roman"/>
          <w:color w:val="0000FF"/>
          <w:szCs w:val="21"/>
        </w:rPr>
      </w:r>
      <w:r w:rsidR="005130C0" w:rsidRPr="008453EA">
        <w:rPr>
          <w:rFonts w:ascii="Times New Roman" w:hAnsi="Times New Roman" w:cs="Times New Roman"/>
          <w:color w:val="0000FF"/>
          <w:szCs w:val="21"/>
        </w:rPr>
        <w:fldChar w:fldCharType="separate"/>
      </w:r>
      <w:r w:rsidR="00CC3C32">
        <w:rPr>
          <w:rFonts w:ascii="Times New Roman" w:hAnsi="Times New Roman" w:cs="Times New Roman"/>
          <w:color w:val="0000FF"/>
          <w:szCs w:val="21"/>
          <w:cs/>
        </w:rPr>
        <w:t>‎</w:t>
      </w:r>
      <w:r w:rsidR="00CC3C32">
        <w:rPr>
          <w:rFonts w:ascii="Times New Roman" w:hAnsi="Times New Roman" w:cs="Times New Roman" w:hint="eastAsia"/>
          <w:color w:val="0000FF"/>
          <w:szCs w:val="21"/>
        </w:rPr>
        <w:t>图</w:t>
      </w:r>
      <w:r w:rsidR="00CC3C32">
        <w:rPr>
          <w:rFonts w:ascii="Times New Roman" w:hAnsi="Times New Roman" w:cs="Times New Roman"/>
          <w:color w:val="0000FF"/>
          <w:szCs w:val="21"/>
        </w:rPr>
        <w:t>2</w:t>
      </w:r>
      <w:r w:rsidR="005130C0" w:rsidRPr="008453EA">
        <w:rPr>
          <w:rFonts w:ascii="Times New Roman" w:hAnsi="Times New Roman" w:cs="Times New Roman"/>
          <w:color w:val="0000FF"/>
          <w:szCs w:val="21"/>
        </w:rPr>
        <w:fldChar w:fldCharType="end"/>
      </w:r>
      <w:r>
        <w:rPr>
          <w:rFonts w:ascii="Times New Roman" w:hAnsi="Times New Roman" w:cs="Times New Roman" w:hint="eastAsia"/>
          <w:szCs w:val="21"/>
        </w:rPr>
        <w:t>所示，包含</w:t>
      </w:r>
      <w:r>
        <w:rPr>
          <w:rFonts w:ascii="Times New Roman" w:hAnsi="Times New Roman" w:cs="Times New Roman"/>
          <w:szCs w:val="21"/>
        </w:rPr>
        <w:t>5</w:t>
      </w:r>
      <w:r>
        <w:rPr>
          <w:rFonts w:ascii="Times New Roman" w:hAnsi="Times New Roman" w:cs="Times New Roman" w:hint="eastAsia"/>
          <w:szCs w:val="21"/>
        </w:rPr>
        <w:t>个步骤：拓扑结构建模、</w:t>
      </w:r>
      <w:r w:rsidR="00757175">
        <w:rPr>
          <w:rFonts w:ascii="Times New Roman" w:hAnsi="Times New Roman" w:cs="Times New Roman" w:hint="eastAsia"/>
          <w:szCs w:val="21"/>
        </w:rPr>
        <w:t>地震动场构建</w:t>
      </w:r>
      <w:r>
        <w:rPr>
          <w:rFonts w:ascii="Times New Roman" w:hAnsi="Times New Roman" w:cs="Times New Roman" w:hint="eastAsia"/>
          <w:szCs w:val="21"/>
        </w:rPr>
        <w:t>、</w:t>
      </w:r>
      <w:r w:rsidR="00757175">
        <w:rPr>
          <w:rFonts w:ascii="Times New Roman" w:hAnsi="Times New Roman" w:cs="Times New Roman" w:hint="eastAsia"/>
          <w:szCs w:val="21"/>
        </w:rPr>
        <w:t>损伤</w:t>
      </w:r>
      <w:r>
        <w:rPr>
          <w:rFonts w:ascii="Times New Roman" w:hAnsi="Times New Roman" w:cs="Times New Roman" w:hint="eastAsia"/>
          <w:szCs w:val="21"/>
        </w:rPr>
        <w:t>场景生成、电力潮流分析与系统功能评价。</w:t>
      </w:r>
    </w:p>
    <w:p w14:paraId="3AB6BF8D" w14:textId="11A3592C" w:rsidR="001F7B30" w:rsidRDefault="00242087">
      <w:pPr>
        <w:snapToGrid w:val="0"/>
        <w:spacing w:line="240" w:lineRule="atLeast"/>
        <w:jc w:val="center"/>
        <w:rPr>
          <w:rFonts w:ascii="Times New Roman" w:hAnsi="Times New Roman" w:cs="Times New Roman"/>
          <w:color w:val="FF0000"/>
          <w:szCs w:val="21"/>
        </w:rPr>
      </w:pPr>
      <w:r w:rsidRPr="00242087">
        <w:rPr>
          <w:noProof/>
        </w:rPr>
        <w:drawing>
          <wp:inline distT="0" distB="0" distL="0" distR="0" wp14:anchorId="37E1F4C2" wp14:editId="4C6D214D">
            <wp:extent cx="2806700" cy="1543685"/>
            <wp:effectExtent l="0" t="0" r="0" b="0"/>
            <wp:docPr id="29465283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06700" cy="1543685"/>
                    </a:xfrm>
                    <a:prstGeom prst="rect">
                      <a:avLst/>
                    </a:prstGeom>
                    <a:noFill/>
                    <a:ln>
                      <a:noFill/>
                    </a:ln>
                  </pic:spPr>
                </pic:pic>
              </a:graphicData>
            </a:graphic>
          </wp:inline>
        </w:drawing>
      </w:r>
    </w:p>
    <w:p w14:paraId="087B8E3A" w14:textId="7EB4A7EC" w:rsidR="001F7B30" w:rsidRPr="008453EA" w:rsidRDefault="00DA268A" w:rsidP="008453EA">
      <w:pPr>
        <w:pStyle w:val="afb"/>
        <w:numPr>
          <w:ilvl w:val="0"/>
          <w:numId w:val="2"/>
        </w:numPr>
        <w:snapToGrid w:val="0"/>
        <w:spacing w:line="240" w:lineRule="atLeast"/>
        <w:ind w:firstLineChars="0"/>
        <w:jc w:val="center"/>
        <w:rPr>
          <w:rFonts w:ascii="Times New Roman" w:hAnsi="Times New Roman" w:cs="Times New Roman"/>
          <w:szCs w:val="21"/>
        </w:rPr>
      </w:pPr>
      <w:bookmarkStart w:id="5" w:name="_Ref178499254"/>
      <w:r>
        <w:rPr>
          <w:rFonts w:ascii="Times New Roman" w:hAnsi="Times New Roman" w:cs="Times New Roman" w:hint="eastAsia"/>
          <w:szCs w:val="21"/>
        </w:rPr>
        <w:t>城市电力系统震后功能分析框架</w:t>
      </w:r>
      <w:bookmarkStart w:id="6" w:name="_Ref204659021"/>
      <w:bookmarkEnd w:id="5"/>
    </w:p>
    <w:bookmarkEnd w:id="6"/>
    <w:p w14:paraId="070C068A" w14:textId="53F643B4" w:rsidR="001F7B30" w:rsidRPr="00D038C2" w:rsidRDefault="00D038C2" w:rsidP="0063636C">
      <w:pPr>
        <w:spacing w:line="240" w:lineRule="atLeast"/>
        <w:outlineLvl w:val="2"/>
        <w:rPr>
          <w:rFonts w:ascii="Times New Roman" w:eastAsia="宋体" w:hAnsi="Times New Roman" w:cs="Times New Roman"/>
          <w:b/>
          <w:bCs/>
          <w:kern w:val="0"/>
          <w:szCs w:val="21"/>
        </w:rPr>
      </w:pPr>
      <w:r>
        <w:rPr>
          <w:rFonts w:ascii="Times New Roman" w:hAnsi="Times New Roman" w:cs="Times New Roman" w:hint="eastAsia"/>
          <w:b/>
          <w:bCs/>
          <w:szCs w:val="21"/>
        </w:rPr>
        <w:t xml:space="preserve">1.2.1 </w:t>
      </w:r>
      <w:r w:rsidR="00DA268A" w:rsidRPr="0063636C">
        <w:rPr>
          <w:rFonts w:ascii="Times New Roman" w:hAnsi="Times New Roman" w:cs="Times New Roman" w:hint="eastAsia"/>
          <w:b/>
          <w:bCs/>
          <w:szCs w:val="21"/>
        </w:rPr>
        <w:t>拓扑结构建模</w:t>
      </w:r>
    </w:p>
    <w:p w14:paraId="736389D6" w14:textId="5AB1D71A"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统一的拓扑结构是</w:t>
      </w:r>
      <w:r w:rsidR="003D3275">
        <w:rPr>
          <w:rFonts w:ascii="Times New Roman" w:hAnsi="Times New Roman" w:cs="Times New Roman" w:hint="eastAsia"/>
          <w:szCs w:val="21"/>
        </w:rPr>
        <w:t>城市电力系统</w:t>
      </w:r>
      <w:r>
        <w:rPr>
          <w:rFonts w:ascii="Times New Roman" w:hAnsi="Times New Roman" w:cs="Times New Roman" w:hint="eastAsia"/>
          <w:szCs w:val="21"/>
        </w:rPr>
        <w:t>地震损伤场景模拟、电力潮流分析、级联失效分析的基础。拓扑建模以电气单线图</w:t>
      </w:r>
      <w:r>
        <w:rPr>
          <w:rFonts w:ascii="Times New Roman" w:hAnsi="Times New Roman" w:cs="Times New Roman"/>
          <w:color w:val="0000FF"/>
          <w:szCs w:val="21"/>
          <w:vertAlign w:val="superscript"/>
        </w:rPr>
        <w:fldChar w:fldCharType="begin"/>
      </w:r>
      <w:r>
        <w:rPr>
          <w:rFonts w:ascii="Times New Roman" w:hAnsi="Times New Roman" w:cs="Times New Roman"/>
          <w:color w:val="0000FF"/>
          <w:szCs w:val="21"/>
          <w:vertAlign w:val="superscript"/>
        </w:rPr>
        <w:instrText xml:space="preserve"> </w:instrText>
      </w:r>
      <w:r>
        <w:rPr>
          <w:rFonts w:ascii="Times New Roman" w:hAnsi="Times New Roman" w:cs="Times New Roman" w:hint="eastAsia"/>
          <w:color w:val="0000FF"/>
          <w:szCs w:val="21"/>
          <w:vertAlign w:val="superscript"/>
        </w:rPr>
        <w:instrText>REF _Ref204372562 \r \h</w:instrText>
      </w:r>
      <w:r>
        <w:rPr>
          <w:rFonts w:ascii="Times New Roman" w:hAnsi="Times New Roman" w:cs="Times New Roman"/>
          <w:color w:val="0000FF"/>
          <w:szCs w:val="21"/>
          <w:vertAlign w:val="superscript"/>
        </w:rPr>
        <w:instrText xml:space="preserve">  \* MERGEFORMAT </w:instrText>
      </w:r>
      <w:r>
        <w:rPr>
          <w:rFonts w:ascii="Times New Roman" w:hAnsi="Times New Roman" w:cs="Times New Roman"/>
          <w:color w:val="0000FF"/>
          <w:szCs w:val="21"/>
          <w:vertAlign w:val="superscript"/>
        </w:rPr>
      </w:r>
      <w:r>
        <w:rPr>
          <w:rFonts w:ascii="Times New Roman" w:hAnsi="Times New Roman" w:cs="Times New Roman"/>
          <w:color w:val="0000FF"/>
          <w:szCs w:val="21"/>
          <w:vertAlign w:val="superscript"/>
        </w:rPr>
        <w:fldChar w:fldCharType="separate"/>
      </w:r>
      <w:r w:rsidR="00CC3C32">
        <w:rPr>
          <w:rFonts w:ascii="Times New Roman" w:hAnsi="Times New Roman" w:cs="Times New Roman"/>
          <w:color w:val="0000FF"/>
          <w:szCs w:val="21"/>
          <w:vertAlign w:val="superscript"/>
          <w:cs/>
        </w:rPr>
        <w:t>‎</w:t>
      </w:r>
      <w:r w:rsidR="00CC3C32">
        <w:rPr>
          <w:rFonts w:ascii="Times New Roman" w:hAnsi="Times New Roman" w:cs="Times New Roman"/>
          <w:color w:val="0000FF"/>
          <w:szCs w:val="21"/>
          <w:vertAlign w:val="superscript"/>
        </w:rPr>
        <w:t>[24]</w:t>
      </w:r>
      <w:r>
        <w:rPr>
          <w:rFonts w:ascii="Times New Roman" w:hAnsi="Times New Roman" w:cs="Times New Roman"/>
          <w:color w:val="0000FF"/>
          <w:szCs w:val="21"/>
          <w:vertAlign w:val="superscript"/>
        </w:rPr>
        <w:fldChar w:fldCharType="end"/>
      </w:r>
      <w:r>
        <w:rPr>
          <w:rFonts w:ascii="Times New Roman" w:hAnsi="Times New Roman" w:cs="Times New Roman" w:hint="eastAsia"/>
          <w:szCs w:val="21"/>
        </w:rPr>
        <w:t>为基础，</w:t>
      </w:r>
      <w:r>
        <w:rPr>
          <w:rFonts w:ascii="Times New Roman" w:hAnsi="Times New Roman" w:cs="Times New Roman"/>
          <w:szCs w:val="21"/>
        </w:rPr>
        <w:t>采用单根导线表示三相回路，利用标准符号展示各类</w:t>
      </w:r>
      <w:r>
        <w:rPr>
          <w:rFonts w:ascii="Times New Roman" w:hAnsi="Times New Roman" w:cs="Times New Roman" w:hint="eastAsia"/>
          <w:szCs w:val="21"/>
        </w:rPr>
        <w:t>设施</w:t>
      </w:r>
      <w:r>
        <w:rPr>
          <w:rFonts w:ascii="Times New Roman" w:hAnsi="Times New Roman" w:cs="Times New Roman"/>
          <w:szCs w:val="21"/>
        </w:rPr>
        <w:t>及其电气连接，是电力系统结构信息的简化表达形式，广泛用于</w:t>
      </w:r>
      <w:r>
        <w:rPr>
          <w:rFonts w:ascii="Times New Roman" w:hAnsi="Times New Roman" w:cs="Times New Roman" w:hint="eastAsia"/>
          <w:szCs w:val="21"/>
        </w:rPr>
        <w:t>系统建模</w:t>
      </w:r>
      <w:r>
        <w:rPr>
          <w:rFonts w:ascii="Times New Roman" w:hAnsi="Times New Roman" w:cs="Times New Roman"/>
          <w:szCs w:val="21"/>
        </w:rPr>
        <w:t>与仿真分析。</w:t>
      </w:r>
    </w:p>
    <w:p w14:paraId="763CA0D9" w14:textId="6A407961" w:rsidR="001F7B30" w:rsidRDefault="003D3275">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拓扑结构建模</w:t>
      </w:r>
      <w:r w:rsidR="00DA268A">
        <w:rPr>
          <w:rFonts w:ascii="Times New Roman" w:hAnsi="Times New Roman" w:cs="Times New Roman" w:hint="eastAsia"/>
          <w:szCs w:val="21"/>
        </w:rPr>
        <w:t>首先确定目标城市所包含的电力设施类型、电压等级与连接关系等，按照城区</w:t>
      </w:r>
      <w:r w:rsidR="00DA268A">
        <w:rPr>
          <w:rFonts w:ascii="Times New Roman" w:hAnsi="Times New Roman" w:cs="Times New Roman" w:hint="eastAsia"/>
          <w:szCs w:val="21"/>
        </w:rPr>
        <w:t>-</w:t>
      </w:r>
      <w:r w:rsidR="00DA268A">
        <w:rPr>
          <w:rFonts w:ascii="Times New Roman" w:hAnsi="Times New Roman" w:cs="Times New Roman" w:hint="eastAsia"/>
          <w:szCs w:val="21"/>
        </w:rPr>
        <w:t>域内</w:t>
      </w:r>
      <w:r w:rsidR="00DA268A">
        <w:rPr>
          <w:rFonts w:ascii="Times New Roman" w:hAnsi="Times New Roman" w:cs="Times New Roman" w:hint="eastAsia"/>
          <w:szCs w:val="21"/>
        </w:rPr>
        <w:lastRenderedPageBreak/>
        <w:t>-</w:t>
      </w:r>
      <w:r w:rsidR="00DA268A">
        <w:rPr>
          <w:rFonts w:ascii="Times New Roman" w:hAnsi="Times New Roman" w:cs="Times New Roman" w:hint="eastAsia"/>
          <w:szCs w:val="21"/>
        </w:rPr>
        <w:t>域外层级划分，得到结构清晰、相对独立的“城市电力系统”研究单元。</w:t>
      </w:r>
      <w:r w:rsidR="00DA268A">
        <w:rPr>
          <w:rFonts w:ascii="Times New Roman" w:hAnsi="Times New Roman" w:cs="Times New Roman"/>
          <w:szCs w:val="21"/>
        </w:rPr>
        <w:t>在此基础上明确不同电力设施在拓扑图中的建模方式及简化原则。</w:t>
      </w:r>
      <w:r w:rsidR="00DA268A">
        <w:rPr>
          <w:rFonts w:ascii="Times New Roman" w:hAnsi="Times New Roman" w:cs="Times New Roman" w:hint="eastAsia"/>
          <w:szCs w:val="21"/>
        </w:rPr>
        <w:t>母线单元</w:t>
      </w:r>
      <w:r w:rsidR="00DA268A">
        <w:rPr>
          <w:rFonts w:ascii="Times New Roman" w:hAnsi="Times New Roman" w:cs="Times New Roman"/>
          <w:szCs w:val="21"/>
        </w:rPr>
        <w:t>是电力系统中各类设备汇集和</w:t>
      </w:r>
      <w:r w:rsidR="00DA268A">
        <w:rPr>
          <w:rFonts w:ascii="Times New Roman" w:hAnsi="Times New Roman" w:cs="Times New Roman" w:hint="eastAsia"/>
          <w:szCs w:val="21"/>
        </w:rPr>
        <w:t>分配</w:t>
      </w:r>
      <w:r w:rsidR="00DA268A">
        <w:rPr>
          <w:rFonts w:ascii="Times New Roman" w:hAnsi="Times New Roman" w:cs="Times New Roman"/>
          <w:szCs w:val="21"/>
        </w:rPr>
        <w:t>电能的</w:t>
      </w:r>
      <w:r w:rsidR="00DA268A">
        <w:rPr>
          <w:rFonts w:ascii="Times New Roman" w:hAnsi="Times New Roman" w:cs="Times New Roman" w:hint="eastAsia"/>
          <w:szCs w:val="21"/>
        </w:rPr>
        <w:t>电气</w:t>
      </w:r>
      <w:r w:rsidR="00DA268A">
        <w:rPr>
          <w:rFonts w:ascii="Times New Roman" w:hAnsi="Times New Roman" w:cs="Times New Roman"/>
          <w:szCs w:val="21"/>
        </w:rPr>
        <w:t>连接</w:t>
      </w:r>
      <w:r w:rsidR="00DA268A">
        <w:rPr>
          <w:rFonts w:ascii="Times New Roman" w:hAnsi="Times New Roman" w:cs="Times New Roman" w:hint="eastAsia"/>
          <w:szCs w:val="21"/>
        </w:rPr>
        <w:t>对象，代表</w:t>
      </w:r>
      <w:r w:rsidR="00DA268A">
        <w:rPr>
          <w:rFonts w:ascii="Times New Roman" w:hAnsi="Times New Roman" w:cs="Times New Roman"/>
          <w:szCs w:val="21"/>
        </w:rPr>
        <w:t>系统中具有独立电压等级的物理位置。</w:t>
      </w:r>
      <w:r w:rsidR="00DA268A">
        <w:rPr>
          <w:rFonts w:ascii="Times New Roman" w:hAnsi="Times New Roman" w:cs="Times New Roman" w:hint="eastAsia"/>
          <w:szCs w:val="21"/>
        </w:rPr>
        <w:t>拓扑建模</w:t>
      </w:r>
      <w:r w:rsidR="00DA268A">
        <w:rPr>
          <w:rFonts w:ascii="Times New Roman" w:hAnsi="Times New Roman" w:cs="Times New Roman"/>
          <w:szCs w:val="21"/>
        </w:rPr>
        <w:t>以母线为核心单元，</w:t>
      </w:r>
      <w:r w:rsidR="00DA268A">
        <w:rPr>
          <w:rFonts w:ascii="Times New Roman" w:hAnsi="Times New Roman" w:cs="Times New Roman" w:hint="eastAsia"/>
          <w:szCs w:val="21"/>
        </w:rPr>
        <w:t>母线间的电力设施简化为线条连接，</w:t>
      </w:r>
      <w:r w:rsidR="00DA268A">
        <w:rPr>
          <w:rFonts w:ascii="Times New Roman" w:hAnsi="Times New Roman" w:cs="Times New Roman"/>
          <w:szCs w:val="21"/>
        </w:rPr>
        <w:t>明确展现各类电力设施的连接关系与</w:t>
      </w:r>
      <w:r w:rsidR="00DA268A">
        <w:rPr>
          <w:rFonts w:ascii="Times New Roman" w:hAnsi="Times New Roman" w:cs="Times New Roman" w:hint="eastAsia"/>
          <w:szCs w:val="21"/>
        </w:rPr>
        <w:t>电能</w:t>
      </w:r>
      <w:r w:rsidR="00DA268A">
        <w:rPr>
          <w:rFonts w:ascii="Times New Roman" w:hAnsi="Times New Roman" w:cs="Times New Roman"/>
          <w:szCs w:val="21"/>
        </w:rPr>
        <w:t>的传输路径</w:t>
      </w:r>
      <w:r w:rsidR="003D632F">
        <w:rPr>
          <w:rFonts w:ascii="Times New Roman" w:hAnsi="Times New Roman" w:cs="Times New Roman" w:hint="eastAsia"/>
          <w:szCs w:val="21"/>
        </w:rPr>
        <w:t>。拓扑图（</w:t>
      </w:r>
      <w:r w:rsidR="003D632F">
        <w:rPr>
          <w:rFonts w:ascii="Times New Roman" w:hAnsi="Times New Roman" w:cs="Times New Roman"/>
          <w:color w:val="0000FF"/>
          <w:szCs w:val="21"/>
        </w:rPr>
        <w:fldChar w:fldCharType="begin"/>
      </w:r>
      <w:r w:rsidR="003D632F">
        <w:rPr>
          <w:rFonts w:ascii="Times New Roman" w:hAnsi="Times New Roman" w:cs="Times New Roman"/>
          <w:color w:val="0000FF"/>
          <w:szCs w:val="21"/>
        </w:rPr>
        <w:instrText xml:space="preserve"> </w:instrText>
      </w:r>
      <w:r w:rsidR="003D632F">
        <w:rPr>
          <w:rFonts w:ascii="Times New Roman" w:hAnsi="Times New Roman" w:cs="Times New Roman" w:hint="eastAsia"/>
          <w:color w:val="0000FF"/>
          <w:szCs w:val="21"/>
        </w:rPr>
        <w:instrText>REF _Ref204376191 \r \h</w:instrText>
      </w:r>
      <w:r w:rsidR="003D632F">
        <w:rPr>
          <w:rFonts w:ascii="Times New Roman" w:hAnsi="Times New Roman" w:cs="Times New Roman"/>
          <w:color w:val="0000FF"/>
          <w:szCs w:val="21"/>
        </w:rPr>
        <w:instrText xml:space="preserve">  \* MERGEFORMAT </w:instrText>
      </w:r>
      <w:r w:rsidR="003D632F">
        <w:rPr>
          <w:rFonts w:ascii="Times New Roman" w:hAnsi="Times New Roman" w:cs="Times New Roman"/>
          <w:color w:val="0000FF"/>
          <w:szCs w:val="21"/>
        </w:rPr>
      </w:r>
      <w:r w:rsidR="003D632F">
        <w:rPr>
          <w:rFonts w:ascii="Times New Roman" w:hAnsi="Times New Roman" w:cs="Times New Roman"/>
          <w:color w:val="0000FF"/>
          <w:szCs w:val="21"/>
        </w:rPr>
        <w:fldChar w:fldCharType="separate"/>
      </w:r>
      <w:r w:rsidR="00CC3C32">
        <w:rPr>
          <w:rFonts w:ascii="Times New Roman" w:hAnsi="Times New Roman" w:cs="Times New Roman"/>
          <w:color w:val="0000FF"/>
          <w:szCs w:val="21"/>
          <w:cs/>
        </w:rPr>
        <w:t>‎</w:t>
      </w:r>
      <w:r w:rsidR="00CC3C32">
        <w:rPr>
          <w:rFonts w:ascii="Times New Roman" w:hAnsi="Times New Roman" w:cs="Times New Roman" w:hint="eastAsia"/>
          <w:color w:val="0000FF"/>
          <w:szCs w:val="21"/>
        </w:rPr>
        <w:t>图</w:t>
      </w:r>
      <w:r w:rsidR="00CC3C32">
        <w:rPr>
          <w:rFonts w:ascii="Times New Roman" w:hAnsi="Times New Roman" w:cs="Times New Roman"/>
          <w:color w:val="0000FF"/>
          <w:szCs w:val="21"/>
        </w:rPr>
        <w:t>3</w:t>
      </w:r>
      <w:r w:rsidR="003D632F">
        <w:rPr>
          <w:rFonts w:ascii="Times New Roman" w:hAnsi="Times New Roman" w:cs="Times New Roman"/>
          <w:color w:val="0000FF"/>
          <w:szCs w:val="21"/>
        </w:rPr>
        <w:fldChar w:fldCharType="end"/>
      </w:r>
      <w:r w:rsidR="003D632F">
        <w:rPr>
          <w:rFonts w:ascii="Times New Roman" w:hAnsi="Times New Roman" w:cs="Times New Roman" w:hint="eastAsia"/>
          <w:szCs w:val="21"/>
        </w:rPr>
        <w:t>）中，</w:t>
      </w:r>
      <w:r w:rsidR="003D632F">
        <w:rPr>
          <w:rFonts w:ascii="Times New Roman" w:hAnsi="Times New Roman" w:cs="Times New Roman"/>
          <w:szCs w:val="21"/>
        </w:rPr>
        <w:t>母线</w:t>
      </w:r>
      <w:r w:rsidR="003D632F">
        <w:rPr>
          <w:rFonts w:ascii="Times New Roman" w:hAnsi="Times New Roman" w:cs="Times New Roman" w:hint="eastAsia"/>
          <w:szCs w:val="21"/>
        </w:rPr>
        <w:t>采用</w:t>
      </w:r>
      <w:r w:rsidR="003D632F">
        <w:rPr>
          <w:rFonts w:ascii="Times New Roman" w:hAnsi="Times New Roman" w:cs="Times New Roman"/>
          <w:szCs w:val="21"/>
        </w:rPr>
        <w:t>加粗的短横线表示</w:t>
      </w:r>
      <w:r w:rsidR="00DA268A">
        <w:rPr>
          <w:rFonts w:ascii="Times New Roman" w:hAnsi="Times New Roman" w:cs="Times New Roman"/>
          <w:szCs w:val="21"/>
        </w:rPr>
        <w:t>。</w:t>
      </w:r>
    </w:p>
    <w:p w14:paraId="0EF3A9E8" w14:textId="7FE99F74"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szCs w:val="21"/>
        </w:rPr>
        <w:t>电力设施的建模方法取决于其在</w:t>
      </w:r>
      <w:r>
        <w:rPr>
          <w:rFonts w:ascii="Times New Roman" w:hAnsi="Times New Roman" w:cs="Times New Roman" w:hint="eastAsia"/>
          <w:szCs w:val="21"/>
        </w:rPr>
        <w:t>系统</w:t>
      </w:r>
      <w:r>
        <w:rPr>
          <w:rFonts w:ascii="Times New Roman" w:hAnsi="Times New Roman" w:cs="Times New Roman"/>
          <w:szCs w:val="21"/>
        </w:rPr>
        <w:t>中的功能定位</w:t>
      </w:r>
      <w:r>
        <w:rPr>
          <w:rFonts w:ascii="Times New Roman" w:hAnsi="Times New Roman" w:cs="Times New Roman"/>
          <w:color w:val="0000FF"/>
          <w:szCs w:val="21"/>
          <w:vertAlign w:val="superscript"/>
        </w:rPr>
        <w:fldChar w:fldCharType="begin"/>
      </w:r>
      <w:r>
        <w:rPr>
          <w:rFonts w:ascii="Times New Roman" w:hAnsi="Times New Roman" w:cs="Times New Roman"/>
          <w:color w:val="0000FF"/>
          <w:szCs w:val="21"/>
          <w:vertAlign w:val="superscript"/>
        </w:rPr>
        <w:instrText xml:space="preserve"> REF _Ref177406302 \r \h  \* MERGEFORMAT </w:instrText>
      </w:r>
      <w:r>
        <w:rPr>
          <w:rFonts w:ascii="Times New Roman" w:hAnsi="Times New Roman" w:cs="Times New Roman"/>
          <w:color w:val="0000FF"/>
          <w:szCs w:val="21"/>
          <w:vertAlign w:val="superscript"/>
        </w:rPr>
      </w:r>
      <w:r>
        <w:rPr>
          <w:rFonts w:ascii="Times New Roman" w:hAnsi="Times New Roman" w:cs="Times New Roman"/>
          <w:color w:val="0000FF"/>
          <w:szCs w:val="21"/>
          <w:vertAlign w:val="superscript"/>
        </w:rPr>
        <w:fldChar w:fldCharType="separate"/>
      </w:r>
      <w:r w:rsidR="00CC3C32">
        <w:rPr>
          <w:rFonts w:ascii="Times New Roman" w:hAnsi="Times New Roman" w:cs="Times New Roman"/>
          <w:color w:val="0000FF"/>
          <w:szCs w:val="21"/>
          <w:vertAlign w:val="superscript"/>
          <w:cs/>
        </w:rPr>
        <w:t>‎</w:t>
      </w:r>
      <w:r w:rsidR="00CC3C32">
        <w:rPr>
          <w:rFonts w:ascii="Times New Roman" w:hAnsi="Times New Roman" w:cs="Times New Roman"/>
          <w:color w:val="0000FF"/>
          <w:szCs w:val="21"/>
          <w:vertAlign w:val="superscript"/>
        </w:rPr>
        <w:t>[25]</w:t>
      </w:r>
      <w:r>
        <w:rPr>
          <w:rFonts w:ascii="Times New Roman" w:hAnsi="Times New Roman" w:cs="Times New Roman"/>
          <w:color w:val="0000FF"/>
          <w:szCs w:val="21"/>
          <w:vertAlign w:val="superscript"/>
        </w:rPr>
        <w:fldChar w:fldCharType="end"/>
      </w:r>
      <w:r>
        <w:rPr>
          <w:rFonts w:ascii="Times New Roman" w:hAnsi="Times New Roman" w:cs="Times New Roman" w:hint="eastAsia"/>
          <w:szCs w:val="21"/>
        </w:rPr>
        <w:t>。</w:t>
      </w:r>
      <w:r>
        <w:rPr>
          <w:rFonts w:ascii="Times New Roman" w:hAnsi="Times New Roman" w:cs="Times New Roman"/>
          <w:szCs w:val="21"/>
        </w:rPr>
        <w:t>在供给侧，电源包括域外层级</w:t>
      </w:r>
      <w:r>
        <w:rPr>
          <w:rFonts w:ascii="Times New Roman" w:hAnsi="Times New Roman" w:cs="Times New Roman" w:hint="eastAsia"/>
          <w:szCs w:val="21"/>
        </w:rPr>
        <w:t>的</w:t>
      </w:r>
      <w:r>
        <w:rPr>
          <w:rFonts w:ascii="Times New Roman" w:hAnsi="Times New Roman" w:cs="Times New Roman"/>
          <w:szCs w:val="21"/>
        </w:rPr>
        <w:t>枢纽变电站、域内层级的本地发电厂以及电源变电站</w:t>
      </w:r>
      <w:r>
        <w:rPr>
          <w:rFonts w:ascii="Times New Roman" w:hAnsi="Times New Roman" w:cs="Times New Roman" w:hint="eastAsia"/>
          <w:szCs w:val="21"/>
        </w:rPr>
        <w:t>，均简化为单一母线，并使用字母</w:t>
      </w:r>
      <w:r>
        <w:rPr>
          <w:rFonts w:ascii="Times New Roman" w:hAnsi="Times New Roman" w:cs="Times New Roman" w:hint="eastAsia"/>
          <w:szCs w:val="21"/>
        </w:rPr>
        <w:t>G</w:t>
      </w:r>
      <w:r>
        <w:rPr>
          <w:rFonts w:ascii="Times New Roman" w:hAnsi="Times New Roman" w:hint="eastAsia"/>
          <w:sz w:val="19"/>
          <w:szCs w:val="19"/>
        </w:rPr>
        <w:t>（</w:t>
      </w:r>
      <w:r>
        <w:rPr>
          <w:rFonts w:ascii="Times New Roman" w:hAnsi="Times New Roman" w:hint="eastAsia"/>
          <w:sz w:val="19"/>
          <w:szCs w:val="19"/>
        </w:rPr>
        <w:t>generator</w:t>
      </w:r>
      <w:r>
        <w:rPr>
          <w:rFonts w:ascii="Times New Roman" w:hAnsi="Times New Roman" w:hint="eastAsia"/>
          <w:sz w:val="19"/>
          <w:szCs w:val="19"/>
        </w:rPr>
        <w:t>）</w:t>
      </w:r>
      <w:r>
        <w:rPr>
          <w:rFonts w:ascii="Times New Roman" w:hAnsi="Times New Roman" w:cs="Times New Roman" w:hint="eastAsia"/>
          <w:szCs w:val="21"/>
        </w:rPr>
        <w:t>表示功率注入。</w:t>
      </w:r>
      <w:r>
        <w:rPr>
          <w:rFonts w:ascii="Times New Roman" w:hAnsi="Times New Roman" w:cs="Times New Roman"/>
          <w:szCs w:val="21"/>
        </w:rPr>
        <w:t>在负荷侧，最下游的开闭所负责将电能分配至居民、商业、工业等终端用户，</w:t>
      </w:r>
      <w:r>
        <w:rPr>
          <w:rFonts w:ascii="Times New Roman" w:hAnsi="Times New Roman" w:cs="Times New Roman" w:hint="eastAsia"/>
          <w:szCs w:val="21"/>
        </w:rPr>
        <w:t>位于</w:t>
      </w:r>
      <w:r>
        <w:rPr>
          <w:rFonts w:ascii="Times New Roman" w:hAnsi="Times New Roman" w:cs="Times New Roman"/>
          <w:szCs w:val="21"/>
        </w:rPr>
        <w:t>域内</w:t>
      </w:r>
      <w:r>
        <w:rPr>
          <w:rFonts w:ascii="Times New Roman" w:hAnsi="Times New Roman" w:cs="Times New Roman" w:hint="eastAsia"/>
          <w:szCs w:val="21"/>
        </w:rPr>
        <w:t>层级的</w:t>
      </w:r>
      <w:r>
        <w:rPr>
          <w:rFonts w:ascii="Times New Roman" w:hAnsi="Times New Roman" w:cs="Times New Roman"/>
          <w:szCs w:val="21"/>
        </w:rPr>
        <w:t>负荷变电站通过城区馈线受电以满足近郊用电需求，</w:t>
      </w:r>
      <w:r>
        <w:rPr>
          <w:rFonts w:ascii="Times New Roman" w:hAnsi="Times New Roman" w:cs="Times New Roman" w:hint="eastAsia"/>
          <w:szCs w:val="21"/>
        </w:rPr>
        <w:t>这两类设施同样简化为单一母线，并以向外箭头表示所承载的负荷。</w:t>
      </w:r>
      <w:r>
        <w:rPr>
          <w:rFonts w:ascii="Times New Roman" w:hAnsi="Times New Roman" w:cs="Times New Roman"/>
          <w:szCs w:val="21"/>
        </w:rPr>
        <w:t>在变换与分配环节，城区层级的输电变电站和配电变电站承担</w:t>
      </w:r>
      <w:r>
        <w:rPr>
          <w:rFonts w:ascii="Times New Roman" w:hAnsi="Times New Roman" w:cs="Times New Roman" w:hint="eastAsia"/>
          <w:szCs w:val="21"/>
        </w:rPr>
        <w:t>着</w:t>
      </w:r>
      <w:r>
        <w:rPr>
          <w:rFonts w:ascii="Times New Roman" w:hAnsi="Times New Roman" w:cs="Times New Roman"/>
          <w:szCs w:val="21"/>
        </w:rPr>
        <w:t>电压等级的逐级转换</w:t>
      </w:r>
      <w:r>
        <w:rPr>
          <w:rFonts w:ascii="Times New Roman" w:hAnsi="Times New Roman" w:cs="Times New Roman" w:hint="eastAsia"/>
          <w:szCs w:val="21"/>
        </w:rPr>
        <w:t>，无法仅用单一母线进行简化——对于常规的双电压等级变电站，</w:t>
      </w:r>
      <w:r>
        <w:rPr>
          <w:rFonts w:ascii="Times New Roman" w:hAnsi="Times New Roman" w:cs="Times New Roman"/>
          <w:szCs w:val="21"/>
        </w:rPr>
        <w:t>其主变压器抽象为一条支路</w:t>
      </w:r>
      <w:r>
        <w:rPr>
          <w:rFonts w:ascii="Times New Roman" w:hAnsi="Times New Roman" w:cs="Times New Roman" w:hint="eastAsia"/>
          <w:szCs w:val="21"/>
        </w:rPr>
        <w:t>连接</w:t>
      </w:r>
      <w:r>
        <w:rPr>
          <w:rFonts w:ascii="Times New Roman" w:hAnsi="Times New Roman" w:cs="Times New Roman"/>
          <w:szCs w:val="21"/>
        </w:rPr>
        <w:t>高、低压</w:t>
      </w:r>
      <w:r>
        <w:rPr>
          <w:rFonts w:ascii="Times New Roman" w:hAnsi="Times New Roman" w:cs="Times New Roman" w:hint="eastAsia"/>
          <w:szCs w:val="21"/>
        </w:rPr>
        <w:t>两侧</w:t>
      </w:r>
      <w:r>
        <w:rPr>
          <w:rFonts w:ascii="Times New Roman" w:hAnsi="Times New Roman" w:cs="Times New Roman"/>
          <w:szCs w:val="21"/>
        </w:rPr>
        <w:t>母线，并赋予标幺阻抗、额定容量和</w:t>
      </w:r>
      <w:r>
        <w:rPr>
          <w:rFonts w:ascii="Times New Roman" w:hAnsi="Times New Roman" w:cs="Times New Roman" w:hint="eastAsia"/>
          <w:szCs w:val="21"/>
        </w:rPr>
        <w:t>变比等参数</w:t>
      </w:r>
      <w:r>
        <w:rPr>
          <w:rFonts w:ascii="Times New Roman" w:hAnsi="Times New Roman" w:cs="Times New Roman"/>
          <w:szCs w:val="21"/>
        </w:rPr>
        <w:t>，从而保留电压变换机理</w:t>
      </w:r>
      <w:r>
        <w:rPr>
          <w:rFonts w:ascii="Times New Roman" w:hAnsi="Times New Roman" w:cs="Times New Roman" w:hint="eastAsia"/>
          <w:szCs w:val="21"/>
        </w:rPr>
        <w:t>；对于具有三个电压等级的变电站，将其三绕组主变压器等效为三台双绕组变压器</w:t>
      </w:r>
      <w:r>
        <w:rPr>
          <w:rFonts w:ascii="Times New Roman" w:hAnsi="Times New Roman" w:cs="Times New Roman"/>
          <w:color w:val="0000FF"/>
          <w:szCs w:val="21"/>
          <w:vertAlign w:val="superscript"/>
        </w:rPr>
        <w:fldChar w:fldCharType="begin"/>
      </w:r>
      <w:r>
        <w:rPr>
          <w:rFonts w:ascii="Times New Roman" w:hAnsi="Times New Roman" w:cs="Times New Roman"/>
          <w:color w:val="0000FF"/>
          <w:szCs w:val="21"/>
          <w:vertAlign w:val="superscript"/>
        </w:rPr>
        <w:instrText xml:space="preserve"> </w:instrText>
      </w:r>
      <w:r>
        <w:rPr>
          <w:rFonts w:ascii="Times New Roman" w:hAnsi="Times New Roman" w:cs="Times New Roman" w:hint="eastAsia"/>
          <w:color w:val="0000FF"/>
          <w:szCs w:val="21"/>
          <w:vertAlign w:val="superscript"/>
        </w:rPr>
        <w:instrText>REF _Ref204374804 \r \h</w:instrText>
      </w:r>
      <w:r>
        <w:rPr>
          <w:rFonts w:ascii="Times New Roman" w:hAnsi="Times New Roman" w:cs="Times New Roman"/>
          <w:color w:val="0000FF"/>
          <w:szCs w:val="21"/>
          <w:vertAlign w:val="superscript"/>
        </w:rPr>
        <w:instrText xml:space="preserve">  \* MERGEFORMAT </w:instrText>
      </w:r>
      <w:r>
        <w:rPr>
          <w:rFonts w:ascii="Times New Roman" w:hAnsi="Times New Roman" w:cs="Times New Roman"/>
          <w:color w:val="0000FF"/>
          <w:szCs w:val="21"/>
          <w:vertAlign w:val="superscript"/>
        </w:rPr>
      </w:r>
      <w:r>
        <w:rPr>
          <w:rFonts w:ascii="Times New Roman" w:hAnsi="Times New Roman" w:cs="Times New Roman"/>
          <w:color w:val="0000FF"/>
          <w:szCs w:val="21"/>
          <w:vertAlign w:val="superscript"/>
        </w:rPr>
        <w:fldChar w:fldCharType="separate"/>
      </w:r>
      <w:r w:rsidR="00CC3C32">
        <w:rPr>
          <w:rFonts w:ascii="Times New Roman" w:hAnsi="Times New Roman" w:cs="Times New Roman"/>
          <w:color w:val="0000FF"/>
          <w:szCs w:val="21"/>
          <w:vertAlign w:val="superscript"/>
          <w:cs/>
        </w:rPr>
        <w:t>‎</w:t>
      </w:r>
      <w:r w:rsidR="00CC3C32">
        <w:rPr>
          <w:rFonts w:ascii="Times New Roman" w:hAnsi="Times New Roman" w:cs="Times New Roman"/>
          <w:color w:val="0000FF"/>
          <w:szCs w:val="21"/>
          <w:vertAlign w:val="superscript"/>
        </w:rPr>
        <w:t>[26]</w:t>
      </w:r>
      <w:r>
        <w:rPr>
          <w:rFonts w:ascii="Times New Roman" w:hAnsi="Times New Roman" w:cs="Times New Roman"/>
          <w:color w:val="0000FF"/>
          <w:szCs w:val="21"/>
          <w:vertAlign w:val="superscript"/>
        </w:rPr>
        <w:fldChar w:fldCharType="end"/>
      </w:r>
      <w:r>
        <w:rPr>
          <w:rFonts w:ascii="Times New Roman" w:hAnsi="Times New Roman" w:cs="Times New Roman" w:hint="eastAsia"/>
          <w:szCs w:val="21"/>
        </w:rPr>
        <w:t>（高压</w:t>
      </w:r>
      <w:r>
        <w:rPr>
          <w:rFonts w:ascii="Times New Roman" w:hAnsi="Times New Roman" w:cs="Times New Roman" w:hint="eastAsia"/>
          <w:szCs w:val="21"/>
        </w:rPr>
        <w:t>-</w:t>
      </w:r>
      <w:r>
        <w:rPr>
          <w:rFonts w:ascii="Times New Roman" w:hAnsi="Times New Roman" w:cs="Times New Roman" w:hint="eastAsia"/>
          <w:szCs w:val="21"/>
        </w:rPr>
        <w:t>中压、中压</w:t>
      </w:r>
      <w:r>
        <w:rPr>
          <w:rFonts w:ascii="Times New Roman" w:hAnsi="Times New Roman" w:cs="Times New Roman" w:hint="eastAsia"/>
          <w:szCs w:val="21"/>
        </w:rPr>
        <w:t>-</w:t>
      </w:r>
      <w:r>
        <w:rPr>
          <w:rFonts w:ascii="Times New Roman" w:hAnsi="Times New Roman" w:cs="Times New Roman" w:hint="eastAsia"/>
          <w:szCs w:val="21"/>
        </w:rPr>
        <w:t>低压、高压</w:t>
      </w:r>
      <w:r>
        <w:rPr>
          <w:rFonts w:ascii="Times New Roman" w:hAnsi="Times New Roman" w:cs="Times New Roman" w:hint="eastAsia"/>
          <w:szCs w:val="21"/>
        </w:rPr>
        <w:t>-</w:t>
      </w:r>
      <w:r>
        <w:rPr>
          <w:rFonts w:ascii="Times New Roman" w:hAnsi="Times New Roman" w:cs="Times New Roman" w:hint="eastAsia"/>
          <w:szCs w:val="21"/>
        </w:rPr>
        <w:t>低压），并分别连接对应电压等级的母线。此</w:t>
      </w:r>
      <w:r>
        <w:rPr>
          <w:rFonts w:ascii="Times New Roman" w:hAnsi="Times New Roman" w:cs="Times New Roman"/>
          <w:szCs w:val="21"/>
        </w:rPr>
        <w:t>建模方法在保留电压变换物理机制的同时，实现了结构上的简化抽象，为后续的大规模潮流计算与</w:t>
      </w:r>
      <w:r>
        <w:rPr>
          <w:rFonts w:ascii="Times New Roman" w:hAnsi="Times New Roman" w:cs="Times New Roman" w:hint="eastAsia"/>
          <w:szCs w:val="21"/>
        </w:rPr>
        <w:t>震后功能评估</w:t>
      </w:r>
      <w:r>
        <w:rPr>
          <w:rFonts w:ascii="Times New Roman" w:hAnsi="Times New Roman" w:cs="Times New Roman"/>
          <w:szCs w:val="21"/>
        </w:rPr>
        <w:t>提供了</w:t>
      </w:r>
      <w:r>
        <w:rPr>
          <w:rFonts w:ascii="Times New Roman" w:hAnsi="Times New Roman" w:cs="Times New Roman" w:hint="eastAsia"/>
          <w:szCs w:val="21"/>
        </w:rPr>
        <w:t>拓扑</w:t>
      </w:r>
      <w:r>
        <w:rPr>
          <w:rFonts w:ascii="Times New Roman" w:hAnsi="Times New Roman" w:cs="Times New Roman"/>
          <w:szCs w:val="21"/>
        </w:rPr>
        <w:t>网络</w:t>
      </w:r>
      <w:r>
        <w:rPr>
          <w:rFonts w:ascii="Times New Roman" w:hAnsi="Times New Roman" w:cs="Times New Roman" w:hint="eastAsia"/>
          <w:szCs w:val="21"/>
        </w:rPr>
        <w:t>结构</w:t>
      </w:r>
      <w:r>
        <w:rPr>
          <w:rFonts w:ascii="Times New Roman" w:hAnsi="Times New Roman" w:cs="Times New Roman"/>
          <w:szCs w:val="21"/>
        </w:rPr>
        <w:t>基础。</w:t>
      </w:r>
    </w:p>
    <w:p w14:paraId="68B2D81F" w14:textId="7C672382" w:rsidR="00DC63B0" w:rsidRPr="00DC63B0" w:rsidRDefault="00153FE1" w:rsidP="00153FE1">
      <w:pPr>
        <w:snapToGrid w:val="0"/>
        <w:spacing w:line="240" w:lineRule="atLeast"/>
        <w:jc w:val="center"/>
        <w:rPr>
          <w:rFonts w:ascii="Times New Roman" w:hAnsi="Times New Roman" w:cs="Times New Roman"/>
          <w:color w:val="FF0000"/>
          <w:szCs w:val="21"/>
        </w:rPr>
      </w:pPr>
      <w:r w:rsidRPr="00153FE1">
        <w:rPr>
          <w:rFonts w:hint="eastAsia"/>
          <w:noProof/>
        </w:rPr>
        <w:drawing>
          <wp:inline distT="0" distB="0" distL="0" distR="0" wp14:anchorId="668BB8DA" wp14:editId="711637CA">
            <wp:extent cx="2643505" cy="2299335"/>
            <wp:effectExtent l="0" t="0" r="0" b="0"/>
            <wp:docPr id="112390574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43505" cy="2299335"/>
                    </a:xfrm>
                    <a:prstGeom prst="rect">
                      <a:avLst/>
                    </a:prstGeom>
                    <a:noFill/>
                    <a:ln>
                      <a:noFill/>
                    </a:ln>
                  </pic:spPr>
                </pic:pic>
              </a:graphicData>
            </a:graphic>
          </wp:inline>
        </w:drawing>
      </w:r>
    </w:p>
    <w:p w14:paraId="4290A8D5" w14:textId="77777777" w:rsidR="001F7B30" w:rsidRDefault="00DA268A">
      <w:pPr>
        <w:pStyle w:val="afb"/>
        <w:numPr>
          <w:ilvl w:val="0"/>
          <w:numId w:val="2"/>
        </w:numPr>
        <w:snapToGrid w:val="0"/>
        <w:spacing w:line="240" w:lineRule="atLeast"/>
        <w:ind w:firstLineChars="0"/>
        <w:jc w:val="center"/>
        <w:rPr>
          <w:rFonts w:ascii="Times New Roman" w:hAnsi="Times New Roman" w:cs="Times New Roman"/>
          <w:color w:val="000000" w:themeColor="text1"/>
          <w:szCs w:val="21"/>
        </w:rPr>
      </w:pPr>
      <w:bookmarkStart w:id="7" w:name="_Ref204376191"/>
      <w:r>
        <w:rPr>
          <w:rFonts w:ascii="Times New Roman" w:hAnsi="Times New Roman" w:cs="Times New Roman" w:hint="eastAsia"/>
          <w:color w:val="000000" w:themeColor="text1"/>
          <w:szCs w:val="21"/>
        </w:rPr>
        <w:t>电力设施拓扑规则</w:t>
      </w:r>
      <w:bookmarkEnd w:id="7"/>
    </w:p>
    <w:p w14:paraId="42A9D9F5" w14:textId="3B74C94C" w:rsidR="001F7B30" w:rsidRPr="0063636C" w:rsidRDefault="00D038C2" w:rsidP="0063636C">
      <w:pPr>
        <w:spacing w:line="240" w:lineRule="atLeast"/>
        <w:outlineLvl w:val="2"/>
        <w:rPr>
          <w:rFonts w:ascii="Times New Roman" w:hAnsi="Times New Roman" w:cs="Times New Roman"/>
          <w:b/>
          <w:bCs/>
          <w:szCs w:val="21"/>
        </w:rPr>
      </w:pPr>
      <w:r>
        <w:rPr>
          <w:rFonts w:ascii="Times New Roman" w:hAnsi="Times New Roman" w:cs="Times New Roman" w:hint="eastAsia"/>
          <w:b/>
          <w:bCs/>
          <w:szCs w:val="21"/>
        </w:rPr>
        <w:t xml:space="preserve">1.2.2 </w:t>
      </w:r>
      <w:r w:rsidR="00DA268A" w:rsidRPr="0063636C">
        <w:rPr>
          <w:rFonts w:ascii="Times New Roman" w:hAnsi="Times New Roman" w:cs="Times New Roman" w:hint="eastAsia"/>
          <w:b/>
          <w:bCs/>
          <w:szCs w:val="21"/>
        </w:rPr>
        <w:t>地震动场构建</w:t>
      </w:r>
    </w:p>
    <w:p w14:paraId="091B5909" w14:textId="0C9CAD19"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szCs w:val="21"/>
        </w:rPr>
        <w:t>城市电力系统空间尺度大、设施分布广，不同</w:t>
      </w:r>
      <w:r>
        <w:rPr>
          <w:rFonts w:ascii="Times New Roman" w:hAnsi="Times New Roman" w:cs="Times New Roman"/>
          <w:szCs w:val="21"/>
        </w:rPr>
        <w:t>区域所受地震作用可能</w:t>
      </w:r>
      <w:r>
        <w:rPr>
          <w:rFonts w:ascii="Times New Roman" w:hAnsi="Times New Roman" w:cs="Times New Roman" w:hint="eastAsia"/>
          <w:szCs w:val="21"/>
        </w:rPr>
        <w:t>存在</w:t>
      </w:r>
      <w:r>
        <w:rPr>
          <w:rFonts w:ascii="Times New Roman" w:hAnsi="Times New Roman" w:cs="Times New Roman"/>
          <w:szCs w:val="21"/>
        </w:rPr>
        <w:t>显著</w:t>
      </w:r>
      <w:r>
        <w:rPr>
          <w:rFonts w:ascii="Times New Roman" w:hAnsi="Times New Roman" w:cs="Times New Roman" w:hint="eastAsia"/>
          <w:szCs w:val="21"/>
        </w:rPr>
        <w:t>差异</w:t>
      </w:r>
      <w:r>
        <w:rPr>
          <w:rFonts w:ascii="Times New Roman" w:hAnsi="Times New Roman" w:cs="Times New Roman"/>
          <w:szCs w:val="21"/>
        </w:rPr>
        <w:t>，为准确评估地震对电力系统造成的影响，有必要建立具备地理分布特征的地震动输入。根据城市所在区域的地理信息，结合震源位置、震级、传播路径与介质衰减等参数，构建地震动在城市范围内的空间分布特征。城市中各电力设施的地震输入强度通过工程需求参数（</w:t>
      </w:r>
      <w:r>
        <w:rPr>
          <w:rFonts w:ascii="Times New Roman" w:hAnsi="Times New Roman" w:cs="Times New Roman"/>
          <w:szCs w:val="21"/>
        </w:rPr>
        <w:t>EDP</w:t>
      </w:r>
      <w:r>
        <w:rPr>
          <w:rFonts w:ascii="Times New Roman" w:hAnsi="Times New Roman" w:cs="Times New Roman"/>
          <w:szCs w:val="21"/>
        </w:rPr>
        <w:t>）量化，常用指标包括</w:t>
      </w:r>
      <w:r w:rsidR="00E36D9A">
        <w:rPr>
          <w:rFonts w:ascii="Times New Roman" w:hAnsi="Times New Roman" w:cs="Times New Roman" w:hint="eastAsia"/>
          <w:szCs w:val="21"/>
        </w:rPr>
        <w:t>地面</w:t>
      </w:r>
      <w:r>
        <w:rPr>
          <w:rFonts w:ascii="Times New Roman" w:hAnsi="Times New Roman" w:cs="Times New Roman"/>
          <w:szCs w:val="21"/>
        </w:rPr>
        <w:t>峰值加速度（</w:t>
      </w:r>
      <w:r>
        <w:rPr>
          <w:rFonts w:ascii="Times New Roman" w:hAnsi="Times New Roman" w:cs="Times New Roman"/>
          <w:szCs w:val="21"/>
        </w:rPr>
        <w:t>Peak Ground Acceleration</w:t>
      </w:r>
      <w:r>
        <w:rPr>
          <w:rFonts w:ascii="Times New Roman" w:hAnsi="Times New Roman" w:cs="Times New Roman"/>
          <w:szCs w:val="21"/>
        </w:rPr>
        <w:t>，</w:t>
      </w:r>
      <w:r>
        <w:rPr>
          <w:rFonts w:ascii="Times New Roman" w:hAnsi="Times New Roman" w:cs="Times New Roman"/>
          <w:szCs w:val="21"/>
        </w:rPr>
        <w:t>PGA</w:t>
      </w:r>
      <w:r>
        <w:rPr>
          <w:rFonts w:ascii="Times New Roman" w:hAnsi="Times New Roman" w:cs="Times New Roman"/>
          <w:szCs w:val="21"/>
        </w:rPr>
        <w:t>）、谱加速度（</w:t>
      </w:r>
      <w:r>
        <w:rPr>
          <w:rFonts w:ascii="Times New Roman" w:hAnsi="Times New Roman" w:cs="Times New Roman"/>
          <w:szCs w:val="21"/>
        </w:rPr>
        <w:t>Spectral Acceleration</w:t>
      </w:r>
      <w:r>
        <w:rPr>
          <w:rFonts w:ascii="Times New Roman" w:hAnsi="Times New Roman" w:cs="Times New Roman"/>
          <w:szCs w:val="21"/>
        </w:rPr>
        <w:t>，</w:t>
      </w:r>
      <w:r w:rsidRPr="00F164D6">
        <w:rPr>
          <w:rFonts w:ascii="Times New Roman" w:hAnsi="Times New Roman" w:cs="Times New Roman"/>
          <w:i/>
          <w:iCs/>
          <w:szCs w:val="21"/>
        </w:rPr>
        <w:t>S</w:t>
      </w:r>
      <w:r w:rsidRPr="00F164D6">
        <w:rPr>
          <w:rFonts w:ascii="Times New Roman" w:hAnsi="Times New Roman" w:cs="Times New Roman"/>
          <w:szCs w:val="21"/>
          <w:vertAlign w:val="subscript"/>
        </w:rPr>
        <w:t>a</w:t>
      </w:r>
      <w:r>
        <w:rPr>
          <w:rFonts w:ascii="Times New Roman" w:hAnsi="Times New Roman" w:cs="Times New Roman"/>
          <w:szCs w:val="21"/>
        </w:rPr>
        <w:t>）或</w:t>
      </w:r>
      <w:r w:rsidR="00E36D9A">
        <w:rPr>
          <w:rFonts w:ascii="Times New Roman" w:hAnsi="Times New Roman" w:cs="Times New Roman" w:hint="eastAsia"/>
          <w:szCs w:val="21"/>
        </w:rPr>
        <w:t>地面</w:t>
      </w:r>
      <w:r>
        <w:rPr>
          <w:rFonts w:ascii="Times New Roman" w:hAnsi="Times New Roman" w:cs="Times New Roman"/>
          <w:szCs w:val="21"/>
        </w:rPr>
        <w:t>峰值速度（</w:t>
      </w:r>
      <w:r>
        <w:rPr>
          <w:rFonts w:ascii="Times New Roman" w:hAnsi="Times New Roman" w:cs="Times New Roman"/>
          <w:szCs w:val="21"/>
        </w:rPr>
        <w:t>Peak Ground Velocity</w:t>
      </w:r>
      <w:r>
        <w:rPr>
          <w:rFonts w:ascii="Times New Roman" w:hAnsi="Times New Roman" w:cs="Times New Roman"/>
          <w:szCs w:val="21"/>
        </w:rPr>
        <w:t>，</w:t>
      </w:r>
      <w:r>
        <w:rPr>
          <w:rFonts w:ascii="Times New Roman" w:hAnsi="Times New Roman" w:cs="Times New Roman"/>
          <w:szCs w:val="21"/>
        </w:rPr>
        <w:t>PGV</w:t>
      </w:r>
      <w:r>
        <w:rPr>
          <w:rFonts w:ascii="Times New Roman" w:hAnsi="Times New Roman" w:cs="Times New Roman"/>
          <w:szCs w:val="21"/>
        </w:rPr>
        <w:t>）</w:t>
      </w:r>
      <w:r>
        <w:rPr>
          <w:rFonts w:ascii="Times New Roman" w:hAnsi="Times New Roman" w:cs="Times New Roman" w:hint="eastAsia"/>
          <w:szCs w:val="21"/>
        </w:rPr>
        <w:t>等</w:t>
      </w:r>
      <w:r>
        <w:rPr>
          <w:rFonts w:ascii="Times New Roman" w:hAnsi="Times New Roman" w:cs="Times New Roman"/>
          <w:szCs w:val="21"/>
        </w:rPr>
        <w:t>。</w:t>
      </w:r>
      <w:r>
        <w:rPr>
          <w:rFonts w:ascii="Times New Roman" w:hAnsi="Times New Roman" w:cs="Times New Roman" w:hint="eastAsia"/>
          <w:szCs w:val="21"/>
        </w:rPr>
        <w:t>此过程</w:t>
      </w:r>
      <w:r>
        <w:rPr>
          <w:rFonts w:ascii="Times New Roman" w:hAnsi="Times New Roman" w:cs="Times New Roman"/>
          <w:szCs w:val="21"/>
        </w:rPr>
        <w:t>能够体现地震动在城市尺度上的</w:t>
      </w:r>
      <w:r>
        <w:rPr>
          <w:rFonts w:ascii="Times New Roman" w:hAnsi="Times New Roman" w:cs="Times New Roman" w:hint="eastAsia"/>
          <w:szCs w:val="21"/>
        </w:rPr>
        <w:t>空间差异</w:t>
      </w:r>
      <w:r>
        <w:rPr>
          <w:rFonts w:ascii="Times New Roman" w:hAnsi="Times New Roman" w:cs="Times New Roman"/>
          <w:szCs w:val="21"/>
        </w:rPr>
        <w:t>，为后续的设施损伤模拟与系统功能评估提供更具物理意义的输入依据</w:t>
      </w:r>
      <w:r>
        <w:rPr>
          <w:rFonts w:ascii="Times New Roman" w:hAnsi="Times New Roman" w:cs="Times New Roman" w:hint="eastAsia"/>
          <w:szCs w:val="21"/>
        </w:rPr>
        <w:t>。</w:t>
      </w:r>
    </w:p>
    <w:p w14:paraId="79335741" w14:textId="6A50449A" w:rsidR="001F7B30" w:rsidRPr="0063636C" w:rsidRDefault="00D038C2" w:rsidP="0063636C">
      <w:pPr>
        <w:spacing w:line="240" w:lineRule="atLeast"/>
        <w:outlineLvl w:val="2"/>
        <w:rPr>
          <w:rFonts w:ascii="Times New Roman" w:hAnsi="Times New Roman" w:cs="Times New Roman"/>
          <w:b/>
          <w:bCs/>
          <w:szCs w:val="21"/>
        </w:rPr>
      </w:pPr>
      <w:r>
        <w:rPr>
          <w:rFonts w:ascii="Times New Roman" w:hAnsi="Times New Roman" w:cs="Times New Roman" w:hint="eastAsia"/>
          <w:b/>
          <w:bCs/>
          <w:szCs w:val="21"/>
        </w:rPr>
        <w:t xml:space="preserve">1.2.3 </w:t>
      </w:r>
      <w:r w:rsidR="00DA268A" w:rsidRPr="0063636C">
        <w:rPr>
          <w:rFonts w:ascii="Times New Roman" w:hAnsi="Times New Roman" w:cs="Times New Roman" w:hint="eastAsia"/>
          <w:b/>
          <w:bCs/>
          <w:szCs w:val="21"/>
        </w:rPr>
        <w:t>损伤场景生成</w:t>
      </w:r>
    </w:p>
    <w:p w14:paraId="41A7402A" w14:textId="2E4455B4"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szCs w:val="21"/>
        </w:rPr>
        <w:t>在明确地震输入强度后，需</w:t>
      </w:r>
      <w:r>
        <w:rPr>
          <w:rFonts w:ascii="Times New Roman" w:hAnsi="Times New Roman" w:cs="Times New Roman" w:hint="eastAsia"/>
          <w:szCs w:val="21"/>
        </w:rPr>
        <w:t>确定</w:t>
      </w:r>
      <w:r>
        <w:rPr>
          <w:rFonts w:ascii="Times New Roman" w:hAnsi="Times New Roman" w:cs="Times New Roman"/>
          <w:szCs w:val="21"/>
        </w:rPr>
        <w:t>电力系统各类设施的地震损伤状态，</w:t>
      </w:r>
      <w:r w:rsidR="00D038C2">
        <w:rPr>
          <w:rFonts w:ascii="Times New Roman" w:hAnsi="Times New Roman" w:cs="Times New Roman" w:hint="eastAsia"/>
          <w:szCs w:val="21"/>
        </w:rPr>
        <w:t>进而构建</w:t>
      </w:r>
      <w:r>
        <w:rPr>
          <w:rFonts w:ascii="Times New Roman" w:hAnsi="Times New Roman" w:cs="Times New Roman" w:hint="eastAsia"/>
          <w:szCs w:val="21"/>
        </w:rPr>
        <w:t>城市电力</w:t>
      </w:r>
      <w:r>
        <w:rPr>
          <w:rFonts w:ascii="Times New Roman" w:hAnsi="Times New Roman" w:cs="Times New Roman"/>
          <w:szCs w:val="21"/>
        </w:rPr>
        <w:t>系统</w:t>
      </w:r>
      <w:r>
        <w:rPr>
          <w:rFonts w:ascii="Times New Roman" w:hAnsi="Times New Roman" w:cs="Times New Roman" w:hint="eastAsia"/>
          <w:szCs w:val="21"/>
        </w:rPr>
        <w:t>震损场景</w:t>
      </w:r>
      <w:r>
        <w:rPr>
          <w:rFonts w:ascii="Times New Roman" w:hAnsi="Times New Roman" w:cs="Times New Roman"/>
          <w:szCs w:val="21"/>
        </w:rPr>
        <w:t>。输电与配电线路通常具有较长的空间跨度，其沿线所受地震动强度可能存在显著差异，若以整条线路作为单一分析对象将难以捕捉关键结构段的受损风险</w:t>
      </w:r>
      <w:r>
        <w:rPr>
          <w:rFonts w:ascii="Times New Roman" w:hAnsi="Times New Roman" w:cs="Times New Roman" w:hint="eastAsia"/>
          <w:szCs w:val="21"/>
        </w:rPr>
        <w:t>。因此</w:t>
      </w:r>
      <w:r w:rsidR="00D038C2">
        <w:rPr>
          <w:rFonts w:ascii="Times New Roman" w:hAnsi="Times New Roman" w:cs="Times New Roman" w:hint="eastAsia"/>
          <w:szCs w:val="21"/>
        </w:rPr>
        <w:t>，</w:t>
      </w:r>
      <w:r>
        <w:rPr>
          <w:rFonts w:ascii="Times New Roman" w:hAnsi="Times New Roman" w:cs="Times New Roman"/>
          <w:szCs w:val="21"/>
        </w:rPr>
        <w:t>将线路按</w:t>
      </w:r>
      <w:r>
        <w:rPr>
          <w:rFonts w:ascii="Times New Roman" w:hAnsi="Times New Roman" w:cs="Times New Roman" w:hint="eastAsia"/>
          <w:szCs w:val="21"/>
        </w:rPr>
        <w:t>典型输电塔间距</w:t>
      </w:r>
      <w:r>
        <w:rPr>
          <w:rFonts w:ascii="Times New Roman" w:hAnsi="Times New Roman" w:cs="Times New Roman"/>
          <w:szCs w:val="21"/>
        </w:rPr>
        <w:t>进行离散，</w:t>
      </w:r>
      <w:r>
        <w:rPr>
          <w:rFonts w:ascii="Times New Roman" w:hAnsi="Times New Roman" w:cs="Times New Roman" w:hint="eastAsia"/>
          <w:szCs w:val="21"/>
        </w:rPr>
        <w:t>每一段视作独立设施单元</w:t>
      </w:r>
      <w:r>
        <w:rPr>
          <w:rFonts w:ascii="Times New Roman" w:hAnsi="Times New Roman" w:cs="Times New Roman"/>
          <w:szCs w:val="21"/>
        </w:rPr>
        <w:t>，并基于</w:t>
      </w:r>
      <w:r>
        <w:rPr>
          <w:rFonts w:ascii="Times New Roman" w:hAnsi="Times New Roman" w:cs="Times New Roman" w:hint="eastAsia"/>
          <w:szCs w:val="21"/>
        </w:rPr>
        <w:t>各段</w:t>
      </w:r>
      <w:r>
        <w:rPr>
          <w:rFonts w:ascii="Times New Roman" w:hAnsi="Times New Roman" w:cs="Times New Roman"/>
          <w:szCs w:val="21"/>
        </w:rPr>
        <w:t>所处塔基位置</w:t>
      </w:r>
      <w:r>
        <w:rPr>
          <w:rFonts w:ascii="Times New Roman" w:hAnsi="Times New Roman" w:cs="Times New Roman" w:hint="eastAsia"/>
          <w:szCs w:val="21"/>
        </w:rPr>
        <w:t>确定</w:t>
      </w:r>
      <w:r>
        <w:rPr>
          <w:rFonts w:ascii="Times New Roman" w:hAnsi="Times New Roman" w:cs="Times New Roman"/>
          <w:szCs w:val="21"/>
        </w:rPr>
        <w:t>地震输入。</w:t>
      </w:r>
    </w:p>
    <w:p w14:paraId="4855664C" w14:textId="6320FE2E"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szCs w:val="21"/>
        </w:rPr>
        <w:t>电力设施的结构状态划分为五个等级</w:t>
      </w:r>
      <w:r w:rsidR="003E1E8E">
        <w:rPr>
          <w:rFonts w:ascii="Times New Roman" w:hAnsi="Times New Roman" w:cs="Times New Roman"/>
          <w:szCs w:val="21"/>
        </w:rPr>
        <w:fldChar w:fldCharType="begin"/>
      </w:r>
      <w:r w:rsidR="003E1E8E">
        <w:rPr>
          <w:rFonts w:ascii="Times New Roman" w:hAnsi="Times New Roman" w:cs="Times New Roman"/>
          <w:szCs w:val="21"/>
        </w:rPr>
        <w:instrText xml:space="preserve"> REF _Ref204640014 \r \h  \* MERGEFORMAT </w:instrText>
      </w:r>
      <w:r w:rsidR="003E1E8E">
        <w:rPr>
          <w:rFonts w:ascii="Times New Roman" w:hAnsi="Times New Roman" w:cs="Times New Roman"/>
          <w:szCs w:val="21"/>
        </w:rPr>
      </w:r>
      <w:r w:rsidR="003E1E8E">
        <w:rPr>
          <w:rFonts w:ascii="Times New Roman" w:hAnsi="Times New Roman" w:cs="Times New Roman"/>
          <w:szCs w:val="21"/>
        </w:rPr>
        <w:fldChar w:fldCharType="separate"/>
      </w:r>
      <w:r w:rsidR="00CC3C32">
        <w:rPr>
          <w:rFonts w:ascii="Times New Roman" w:hAnsi="Times New Roman" w:cs="Times New Roman"/>
          <w:szCs w:val="21"/>
          <w:cs/>
        </w:rPr>
        <w:t>‎</w:t>
      </w:r>
      <w:r w:rsidR="00CC3C32" w:rsidRPr="00065A21">
        <w:rPr>
          <w:rFonts w:ascii="Times New Roman" w:hAnsi="Times New Roman" w:cs="Times New Roman"/>
          <w:color w:val="0000FF"/>
          <w:szCs w:val="21"/>
          <w:vertAlign w:val="superscript"/>
        </w:rPr>
        <w:t>[27]</w:t>
      </w:r>
      <w:r w:rsidR="003E1E8E">
        <w:rPr>
          <w:rFonts w:ascii="Times New Roman" w:hAnsi="Times New Roman" w:cs="Times New Roman"/>
          <w:szCs w:val="21"/>
        </w:rPr>
        <w:fldChar w:fldCharType="end"/>
      </w:r>
      <w:r>
        <w:rPr>
          <w:rFonts w:ascii="Times New Roman" w:hAnsi="Times New Roman" w:cs="Times New Roman"/>
          <w:szCs w:val="21"/>
        </w:rPr>
        <w:t>：完好、轻微破坏、中等破坏、严重破坏与完全破坏。随后，依据各类设施的工程需求参数（</w:t>
      </w:r>
      <w:r>
        <w:rPr>
          <w:rFonts w:ascii="Times New Roman" w:hAnsi="Times New Roman" w:cs="Times New Roman"/>
          <w:szCs w:val="21"/>
        </w:rPr>
        <w:t>EDP</w:t>
      </w:r>
      <w:r>
        <w:rPr>
          <w:rFonts w:ascii="Times New Roman" w:hAnsi="Times New Roman" w:cs="Times New Roman"/>
          <w:szCs w:val="21"/>
        </w:rPr>
        <w:t>）输入值，结合</w:t>
      </w:r>
      <w:r>
        <w:rPr>
          <w:rFonts w:ascii="Times New Roman" w:hAnsi="Times New Roman" w:cs="Times New Roman" w:hint="eastAsia"/>
          <w:szCs w:val="21"/>
        </w:rPr>
        <w:t>对应</w:t>
      </w:r>
      <w:r>
        <w:rPr>
          <w:rFonts w:ascii="Times New Roman" w:hAnsi="Times New Roman" w:cs="Times New Roman"/>
          <w:szCs w:val="21"/>
        </w:rPr>
        <w:t>的地震易损性</w:t>
      </w:r>
      <w:r>
        <w:rPr>
          <w:rFonts w:ascii="Times New Roman" w:hAnsi="Times New Roman" w:cs="Times New Roman" w:hint="eastAsia"/>
          <w:szCs w:val="21"/>
        </w:rPr>
        <w:t>参数</w:t>
      </w:r>
      <w:r>
        <w:rPr>
          <w:rFonts w:ascii="Times New Roman" w:hAnsi="Times New Roman" w:cs="Times New Roman"/>
          <w:szCs w:val="21"/>
        </w:rPr>
        <w:t>，采用蒙特卡洛模拟对设施的损伤状态进行抽样判定。</w:t>
      </w:r>
      <w:r>
        <w:rPr>
          <w:rFonts w:ascii="Times New Roman" w:hAnsi="Times New Roman" w:cs="Times New Roman" w:hint="eastAsia"/>
          <w:szCs w:val="21"/>
        </w:rPr>
        <w:t>单次</w:t>
      </w:r>
      <w:r>
        <w:rPr>
          <w:rFonts w:ascii="Times New Roman" w:hAnsi="Times New Roman" w:cs="Times New Roman"/>
          <w:szCs w:val="21"/>
        </w:rPr>
        <w:t>模拟</w:t>
      </w:r>
      <w:r>
        <w:rPr>
          <w:rFonts w:ascii="Times New Roman" w:hAnsi="Times New Roman" w:cs="Times New Roman" w:hint="eastAsia"/>
          <w:szCs w:val="21"/>
        </w:rPr>
        <w:t>过程</w:t>
      </w:r>
      <w:r>
        <w:rPr>
          <w:rFonts w:ascii="Times New Roman" w:hAnsi="Times New Roman" w:cs="Times New Roman"/>
          <w:szCs w:val="21"/>
        </w:rPr>
        <w:t>中，为每个</w:t>
      </w:r>
      <w:r>
        <w:rPr>
          <w:rFonts w:ascii="Times New Roman" w:hAnsi="Times New Roman" w:cs="Times New Roman" w:hint="eastAsia"/>
          <w:szCs w:val="21"/>
        </w:rPr>
        <w:t>对象</w:t>
      </w:r>
      <w:r>
        <w:rPr>
          <w:rFonts w:ascii="Times New Roman" w:hAnsi="Times New Roman" w:cs="Times New Roman"/>
          <w:szCs w:val="21"/>
        </w:rPr>
        <w:t>生成一个服从</w:t>
      </w:r>
      <w:r>
        <w:rPr>
          <w:rFonts w:ascii="Times New Roman" w:hAnsi="Times New Roman" w:cs="Times New Roman"/>
          <w:szCs w:val="21"/>
        </w:rPr>
        <w:t>[0,1]</w:t>
      </w:r>
      <w:r>
        <w:rPr>
          <w:rFonts w:ascii="Times New Roman" w:hAnsi="Times New Roman" w:cs="Times New Roman"/>
          <w:szCs w:val="21"/>
        </w:rPr>
        <w:t>均匀分布的随机数</w:t>
      </w:r>
      <w:r w:rsidR="00D038C2">
        <w:rPr>
          <w:rFonts w:ascii="Times New Roman" w:hAnsi="Times New Roman" w:cs="Times New Roman" w:hint="eastAsia"/>
          <w:szCs w:val="21"/>
        </w:rPr>
        <w:t>，</w:t>
      </w:r>
      <w:r>
        <w:rPr>
          <w:rFonts w:ascii="Times New Roman" w:hAnsi="Times New Roman" w:cs="Times New Roman"/>
          <w:szCs w:val="21"/>
        </w:rPr>
        <w:t>当随机数落于相邻两级状态的易损性概率之间时，可确定其对应的</w:t>
      </w:r>
      <w:r w:rsidR="00022AA4">
        <w:rPr>
          <w:rFonts w:ascii="Times New Roman" w:hAnsi="Times New Roman" w:cs="Times New Roman" w:hint="eastAsia"/>
          <w:szCs w:val="21"/>
        </w:rPr>
        <w:t>损伤</w:t>
      </w:r>
      <w:r>
        <w:rPr>
          <w:rFonts w:ascii="Times New Roman" w:hAnsi="Times New Roman" w:cs="Times New Roman"/>
          <w:szCs w:val="21"/>
        </w:rPr>
        <w:t>状态</w:t>
      </w:r>
      <w:r>
        <w:rPr>
          <w:rFonts w:ascii="Times New Roman" w:hAnsi="Times New Roman" w:cs="Times New Roman"/>
          <w:color w:val="0000FF"/>
          <w:szCs w:val="21"/>
          <w:vertAlign w:val="superscript"/>
        </w:rPr>
        <w:fldChar w:fldCharType="begin"/>
      </w:r>
      <w:r>
        <w:rPr>
          <w:rFonts w:ascii="Times New Roman" w:hAnsi="Times New Roman" w:cs="Times New Roman"/>
          <w:color w:val="0000FF"/>
          <w:szCs w:val="21"/>
          <w:vertAlign w:val="superscript"/>
        </w:rPr>
        <w:instrText xml:space="preserve"> REF _Ref178628820 \r \h  \* MERGEFORMAT </w:instrText>
      </w:r>
      <w:r>
        <w:rPr>
          <w:rFonts w:ascii="Times New Roman" w:hAnsi="Times New Roman" w:cs="Times New Roman"/>
          <w:color w:val="0000FF"/>
          <w:szCs w:val="21"/>
          <w:vertAlign w:val="superscript"/>
        </w:rPr>
      </w:r>
      <w:r>
        <w:rPr>
          <w:rFonts w:ascii="Times New Roman" w:hAnsi="Times New Roman" w:cs="Times New Roman"/>
          <w:color w:val="0000FF"/>
          <w:szCs w:val="21"/>
          <w:vertAlign w:val="superscript"/>
        </w:rPr>
        <w:fldChar w:fldCharType="separate"/>
      </w:r>
      <w:r w:rsidR="00CC3C32">
        <w:rPr>
          <w:rFonts w:ascii="Times New Roman" w:hAnsi="Times New Roman" w:cs="Times New Roman"/>
          <w:color w:val="0000FF"/>
          <w:szCs w:val="21"/>
          <w:vertAlign w:val="superscript"/>
          <w:cs/>
        </w:rPr>
        <w:t>‎</w:t>
      </w:r>
      <w:r w:rsidR="00CC3C32">
        <w:rPr>
          <w:rFonts w:ascii="Times New Roman" w:hAnsi="Times New Roman" w:cs="Times New Roman"/>
          <w:color w:val="0000FF"/>
          <w:szCs w:val="21"/>
          <w:vertAlign w:val="superscript"/>
        </w:rPr>
        <w:t>[28]</w:t>
      </w:r>
      <w:r>
        <w:rPr>
          <w:rFonts w:ascii="Times New Roman" w:hAnsi="Times New Roman" w:cs="Times New Roman"/>
          <w:color w:val="0000FF"/>
          <w:szCs w:val="21"/>
          <w:vertAlign w:val="superscript"/>
        </w:rPr>
        <w:fldChar w:fldCharType="end"/>
      </w:r>
      <w:r>
        <w:rPr>
          <w:rFonts w:ascii="Times New Roman" w:hAnsi="Times New Roman" w:cs="Times New Roman"/>
          <w:szCs w:val="21"/>
        </w:rPr>
        <w:t>。</w:t>
      </w:r>
    </w:p>
    <w:p w14:paraId="0F423FB0" w14:textId="5753FA5F" w:rsidR="001F7B30" w:rsidRDefault="00A434C5">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FEMA</w:t>
      </w:r>
      <w:r w:rsidR="006B2FCC">
        <w:rPr>
          <w:rFonts w:ascii="Times New Roman" w:hAnsi="Times New Roman" w:cs="Times New Roman" w:hint="eastAsia"/>
          <w:szCs w:val="21"/>
        </w:rPr>
        <w:t>-</w:t>
      </w:r>
      <w:r>
        <w:rPr>
          <w:rFonts w:ascii="Times New Roman" w:hAnsi="Times New Roman" w:cs="Times New Roman" w:hint="eastAsia"/>
          <w:szCs w:val="21"/>
        </w:rPr>
        <w:t>Hazus</w:t>
      </w:r>
      <w:r>
        <w:rPr>
          <w:rFonts w:ascii="Times New Roman" w:hAnsi="Times New Roman" w:cs="Times New Roman" w:hint="eastAsia"/>
          <w:szCs w:val="21"/>
        </w:rPr>
        <w:t>手册</w:t>
      </w:r>
      <w:r w:rsidR="003E1E8E" w:rsidRPr="008453EA">
        <w:rPr>
          <w:rFonts w:ascii="Times New Roman" w:hAnsi="Times New Roman" w:cs="Times New Roman"/>
          <w:color w:val="0000FF"/>
          <w:szCs w:val="21"/>
          <w:vertAlign w:val="superscript"/>
        </w:rPr>
        <w:fldChar w:fldCharType="begin"/>
      </w:r>
      <w:r w:rsidR="003E1E8E" w:rsidRPr="008453EA">
        <w:rPr>
          <w:rFonts w:ascii="Times New Roman" w:hAnsi="Times New Roman" w:cs="Times New Roman"/>
          <w:color w:val="0000FF"/>
          <w:szCs w:val="21"/>
          <w:vertAlign w:val="superscript"/>
        </w:rPr>
        <w:instrText xml:space="preserve"> REF _Ref204640033 \r \h </w:instrText>
      </w:r>
      <w:r w:rsidR="003E1E8E">
        <w:rPr>
          <w:rFonts w:ascii="Times New Roman" w:hAnsi="Times New Roman" w:cs="Times New Roman"/>
          <w:color w:val="0000FF"/>
          <w:szCs w:val="21"/>
          <w:vertAlign w:val="superscript"/>
        </w:rPr>
        <w:instrText xml:space="preserve"> \* MERGEFORMAT </w:instrText>
      </w:r>
      <w:r w:rsidR="003E1E8E" w:rsidRPr="008453EA">
        <w:rPr>
          <w:rFonts w:ascii="Times New Roman" w:hAnsi="Times New Roman" w:cs="Times New Roman"/>
          <w:color w:val="0000FF"/>
          <w:szCs w:val="21"/>
          <w:vertAlign w:val="superscript"/>
        </w:rPr>
      </w:r>
      <w:r w:rsidR="003E1E8E" w:rsidRPr="008453EA">
        <w:rPr>
          <w:rFonts w:ascii="Times New Roman" w:hAnsi="Times New Roman" w:cs="Times New Roman"/>
          <w:color w:val="0000FF"/>
          <w:szCs w:val="21"/>
          <w:vertAlign w:val="superscript"/>
        </w:rPr>
        <w:fldChar w:fldCharType="separate"/>
      </w:r>
      <w:r w:rsidR="00CC3C32">
        <w:rPr>
          <w:rFonts w:ascii="Times New Roman" w:hAnsi="Times New Roman" w:cs="Times New Roman"/>
          <w:color w:val="0000FF"/>
          <w:szCs w:val="21"/>
          <w:vertAlign w:val="superscript"/>
          <w:cs/>
        </w:rPr>
        <w:t>‎</w:t>
      </w:r>
      <w:r w:rsidR="00CC3C32">
        <w:rPr>
          <w:rFonts w:ascii="Times New Roman" w:hAnsi="Times New Roman" w:cs="Times New Roman"/>
          <w:color w:val="0000FF"/>
          <w:szCs w:val="21"/>
          <w:vertAlign w:val="superscript"/>
        </w:rPr>
        <w:t>[29]</w:t>
      </w:r>
      <w:r w:rsidR="003E1E8E" w:rsidRPr="008453EA">
        <w:rPr>
          <w:rFonts w:ascii="Times New Roman" w:hAnsi="Times New Roman" w:cs="Times New Roman"/>
          <w:color w:val="0000FF"/>
          <w:szCs w:val="21"/>
          <w:vertAlign w:val="superscript"/>
        </w:rPr>
        <w:fldChar w:fldCharType="end"/>
      </w:r>
      <w:r w:rsidR="00DA268A">
        <w:rPr>
          <w:rFonts w:ascii="Times New Roman" w:hAnsi="Times New Roman" w:cs="Times New Roman" w:hint="eastAsia"/>
          <w:szCs w:val="21"/>
        </w:rPr>
        <w:t>中将变电站的损伤状态按照隔离开关、断路器等设备破坏比例来划分，而前述设备的破坏往往代表着其所在出线间隔无法正常工作，最终表现为变电站丧失一部分输送电力的功能。</w:t>
      </w:r>
      <w:r w:rsidR="003E1E8E">
        <w:rPr>
          <w:rFonts w:ascii="Times New Roman" w:hAnsi="Times New Roman" w:cs="Times New Roman" w:hint="eastAsia"/>
          <w:szCs w:val="21"/>
        </w:rPr>
        <w:t>因此，为</w:t>
      </w:r>
      <w:r w:rsidR="00044CAE">
        <w:rPr>
          <w:rFonts w:ascii="Times New Roman" w:hAnsi="Times New Roman" w:cs="Times New Roman" w:hint="eastAsia"/>
          <w:szCs w:val="21"/>
        </w:rPr>
        <w:t>建立</w:t>
      </w:r>
      <w:r w:rsidR="00A705C0">
        <w:rPr>
          <w:rFonts w:ascii="Times New Roman" w:hAnsi="Times New Roman" w:cs="Times New Roman" w:hint="eastAsia"/>
          <w:szCs w:val="21"/>
        </w:rPr>
        <w:t>损伤状态</w:t>
      </w:r>
      <w:r w:rsidR="00044CAE">
        <w:rPr>
          <w:rFonts w:ascii="Times New Roman" w:hAnsi="Times New Roman" w:cs="Times New Roman" w:hint="eastAsia"/>
          <w:szCs w:val="21"/>
        </w:rPr>
        <w:t>与</w:t>
      </w:r>
      <w:r w:rsidR="00A705C0">
        <w:rPr>
          <w:rFonts w:ascii="Times New Roman" w:hAnsi="Times New Roman" w:cs="Times New Roman" w:hint="eastAsia"/>
          <w:szCs w:val="21"/>
        </w:rPr>
        <w:t>功能</w:t>
      </w:r>
      <w:r w:rsidR="00044CAE">
        <w:rPr>
          <w:rFonts w:ascii="Times New Roman" w:hAnsi="Times New Roman" w:cs="Times New Roman" w:hint="eastAsia"/>
          <w:szCs w:val="21"/>
        </w:rPr>
        <w:t>损失的对应关系</w:t>
      </w:r>
      <w:r w:rsidR="00A705C0">
        <w:rPr>
          <w:rFonts w:ascii="Times New Roman" w:hAnsi="Times New Roman" w:cs="Times New Roman" w:hint="eastAsia"/>
          <w:szCs w:val="21"/>
        </w:rPr>
        <w:t>，假设</w:t>
      </w:r>
      <w:r w:rsidR="00DA268A">
        <w:rPr>
          <w:rFonts w:ascii="Times New Roman" w:hAnsi="Times New Roman" w:cs="Times New Roman" w:hint="eastAsia"/>
          <w:szCs w:val="21"/>
        </w:rPr>
        <w:t>变电站</w:t>
      </w:r>
      <w:r w:rsidR="00DA268A">
        <w:rPr>
          <w:rFonts w:ascii="Times New Roman" w:hAnsi="Times New Roman" w:cs="Times New Roman"/>
          <w:szCs w:val="21"/>
        </w:rPr>
        <w:t>的功能初始值为额定</w:t>
      </w:r>
      <w:r w:rsidR="00DA268A">
        <w:rPr>
          <w:rFonts w:ascii="Times New Roman" w:hAnsi="Times New Roman" w:cs="Times New Roman" w:hint="eastAsia"/>
          <w:szCs w:val="21"/>
        </w:rPr>
        <w:t>容量，</w:t>
      </w:r>
      <w:r w:rsidR="00022AA4">
        <w:rPr>
          <w:rFonts w:ascii="Times New Roman" w:hAnsi="Times New Roman" w:cs="Times New Roman" w:hint="eastAsia"/>
          <w:szCs w:val="21"/>
        </w:rPr>
        <w:t>损伤</w:t>
      </w:r>
      <w:r w:rsidR="00DA268A">
        <w:rPr>
          <w:rFonts w:ascii="Times New Roman" w:hAnsi="Times New Roman" w:cs="Times New Roman"/>
          <w:szCs w:val="21"/>
        </w:rPr>
        <w:t>状态被映射为</w:t>
      </w:r>
      <w:r w:rsidR="00DA268A">
        <w:rPr>
          <w:rFonts w:ascii="Times New Roman" w:hAnsi="Times New Roman" w:cs="Times New Roman" w:hint="eastAsia"/>
          <w:szCs w:val="21"/>
        </w:rPr>
        <w:t>其功能折减</w:t>
      </w:r>
      <w:r w:rsidR="00DA268A">
        <w:rPr>
          <w:rFonts w:ascii="Times New Roman" w:hAnsi="Times New Roman" w:cs="Times New Roman"/>
          <w:szCs w:val="21"/>
        </w:rPr>
        <w:t>比例</w:t>
      </w:r>
      <w:r w:rsidR="002A2DF8">
        <w:rPr>
          <w:rFonts w:ascii="Times New Roman" w:hAnsi="Times New Roman" w:cs="Times New Roman" w:hint="eastAsia"/>
          <w:szCs w:val="21"/>
        </w:rPr>
        <w:t>，如</w:t>
      </w:r>
      <w:r w:rsidR="0082607C">
        <w:rPr>
          <w:rFonts w:ascii="Times New Roman" w:hAnsi="Times New Roman" w:cs="Times New Roman"/>
          <w:szCs w:val="21"/>
        </w:rPr>
        <w:fldChar w:fldCharType="begin"/>
      </w:r>
      <w:r w:rsidR="0082607C">
        <w:rPr>
          <w:rFonts w:ascii="Times New Roman" w:hAnsi="Times New Roman" w:cs="Times New Roman"/>
          <w:szCs w:val="21"/>
        </w:rPr>
        <w:instrText xml:space="preserve"> </w:instrText>
      </w:r>
      <w:r w:rsidR="0082607C">
        <w:rPr>
          <w:rFonts w:ascii="Times New Roman" w:hAnsi="Times New Roman" w:cs="Times New Roman" w:hint="eastAsia"/>
          <w:szCs w:val="21"/>
        </w:rPr>
        <w:instrText>REF _Ref204640811 \r \h</w:instrText>
      </w:r>
      <w:r w:rsidR="0082607C">
        <w:rPr>
          <w:rFonts w:ascii="Times New Roman" w:hAnsi="Times New Roman" w:cs="Times New Roman"/>
          <w:szCs w:val="21"/>
        </w:rPr>
        <w:instrText xml:space="preserve">  \* MERGEFORMAT </w:instrText>
      </w:r>
      <w:r w:rsidR="0082607C">
        <w:rPr>
          <w:rFonts w:ascii="Times New Roman" w:hAnsi="Times New Roman" w:cs="Times New Roman"/>
          <w:szCs w:val="21"/>
        </w:rPr>
      </w:r>
      <w:r w:rsidR="0082607C">
        <w:rPr>
          <w:rFonts w:ascii="Times New Roman" w:hAnsi="Times New Roman" w:cs="Times New Roman"/>
          <w:szCs w:val="21"/>
        </w:rPr>
        <w:fldChar w:fldCharType="separate"/>
      </w:r>
      <w:r w:rsidR="00CC3C32">
        <w:rPr>
          <w:rFonts w:ascii="Times New Roman" w:hAnsi="Times New Roman" w:cs="Times New Roman"/>
          <w:szCs w:val="21"/>
          <w:cs/>
        </w:rPr>
        <w:t>‎</w:t>
      </w:r>
      <w:r w:rsidR="00CC3C32" w:rsidRPr="00065A21">
        <w:rPr>
          <w:rFonts w:ascii="Times New Roman" w:hAnsi="Times New Roman" w:cs="Times New Roman" w:hint="eastAsia"/>
          <w:color w:val="0000FF"/>
          <w:szCs w:val="21"/>
        </w:rPr>
        <w:t>表</w:t>
      </w:r>
      <w:r w:rsidR="00CC3C32" w:rsidRPr="00065A21">
        <w:rPr>
          <w:rFonts w:ascii="Times New Roman" w:hAnsi="Times New Roman" w:cs="Times New Roman"/>
          <w:color w:val="0000FF"/>
          <w:szCs w:val="21"/>
        </w:rPr>
        <w:t>2</w:t>
      </w:r>
      <w:r w:rsidR="0082607C">
        <w:rPr>
          <w:rFonts w:ascii="Times New Roman" w:hAnsi="Times New Roman" w:cs="Times New Roman"/>
          <w:szCs w:val="21"/>
        </w:rPr>
        <w:fldChar w:fldCharType="end"/>
      </w:r>
      <w:r w:rsidR="0082607C">
        <w:rPr>
          <w:rFonts w:ascii="Times New Roman" w:hAnsi="Times New Roman" w:cs="Times New Roman" w:hint="eastAsia"/>
          <w:szCs w:val="21"/>
        </w:rPr>
        <w:t>所示</w:t>
      </w:r>
      <w:r w:rsidR="00831AC6">
        <w:rPr>
          <w:rFonts w:ascii="Times New Roman" w:hAnsi="Times New Roman" w:cs="Times New Roman" w:hint="eastAsia"/>
          <w:szCs w:val="21"/>
        </w:rPr>
        <w:t>。</w:t>
      </w:r>
      <w:r w:rsidR="00DA268A">
        <w:rPr>
          <w:rFonts w:ascii="Times New Roman" w:hAnsi="Times New Roman" w:cs="Times New Roman"/>
          <w:szCs w:val="21"/>
        </w:rPr>
        <w:t>对于由多段组成的输配电线路，</w:t>
      </w:r>
      <w:r w:rsidR="00DA268A">
        <w:rPr>
          <w:rFonts w:ascii="Times New Roman" w:hAnsi="Times New Roman" w:cs="Times New Roman" w:hint="eastAsia"/>
          <w:szCs w:val="21"/>
        </w:rPr>
        <w:t>取损伤等级最严重的</w:t>
      </w:r>
      <w:r w:rsidR="00DA268A">
        <w:rPr>
          <w:rFonts w:ascii="Times New Roman" w:hAnsi="Times New Roman" w:cs="Times New Roman"/>
          <w:szCs w:val="21"/>
        </w:rPr>
        <w:t>分段</w:t>
      </w:r>
      <w:r w:rsidR="00DA268A">
        <w:rPr>
          <w:rFonts w:ascii="Times New Roman" w:hAnsi="Times New Roman" w:cs="Times New Roman" w:hint="eastAsia"/>
          <w:szCs w:val="21"/>
        </w:rPr>
        <w:t>的状态作为</w:t>
      </w:r>
      <w:r w:rsidR="00DA268A">
        <w:rPr>
          <w:rFonts w:ascii="Times New Roman" w:hAnsi="Times New Roman" w:cs="Times New Roman"/>
          <w:szCs w:val="21"/>
        </w:rPr>
        <w:t>整条线路</w:t>
      </w:r>
      <w:r w:rsidR="00DA268A">
        <w:rPr>
          <w:rFonts w:ascii="Times New Roman" w:hAnsi="Times New Roman" w:cs="Times New Roman" w:hint="eastAsia"/>
          <w:szCs w:val="21"/>
        </w:rPr>
        <w:t>的结构状态</w:t>
      </w:r>
      <w:r w:rsidR="00DA268A">
        <w:rPr>
          <w:rFonts w:ascii="Times New Roman" w:hAnsi="Times New Roman" w:cs="Times New Roman"/>
          <w:szCs w:val="21"/>
        </w:rPr>
        <w:t>，以反映其整体</w:t>
      </w:r>
      <w:r w:rsidR="00DA268A">
        <w:rPr>
          <w:rFonts w:ascii="Times New Roman" w:hAnsi="Times New Roman" w:cs="Times New Roman" w:hint="eastAsia"/>
          <w:szCs w:val="21"/>
        </w:rPr>
        <w:t>状态</w:t>
      </w:r>
      <w:r w:rsidR="00DA268A">
        <w:rPr>
          <w:rFonts w:ascii="Times New Roman" w:hAnsi="Times New Roman" w:cs="Times New Roman"/>
          <w:szCs w:val="21"/>
        </w:rPr>
        <w:t>受控于最薄弱环节的实际情况。</w:t>
      </w:r>
    </w:p>
    <w:p w14:paraId="7D35920A" w14:textId="4539AEF8" w:rsidR="00561104" w:rsidRPr="00561104" w:rsidRDefault="00561104" w:rsidP="007E55FC">
      <w:pPr>
        <w:spacing w:line="240" w:lineRule="atLeast"/>
        <w:ind w:firstLineChars="200" w:firstLine="420"/>
        <w:rPr>
          <w:rFonts w:ascii="Times New Roman" w:hAnsi="Times New Roman" w:cs="Times New Roman"/>
          <w:szCs w:val="21"/>
        </w:rPr>
      </w:pPr>
      <w:r>
        <w:rPr>
          <w:rFonts w:ascii="Times New Roman" w:hAnsi="Times New Roman" w:cs="Times New Roman"/>
          <w:szCs w:val="21"/>
        </w:rPr>
        <w:t>完成损伤状态判定后，将达到</w:t>
      </w:r>
      <w:r>
        <w:rPr>
          <w:rFonts w:ascii="Times New Roman" w:hAnsi="Times New Roman" w:cs="Times New Roman"/>
          <w:szCs w:val="21"/>
        </w:rPr>
        <w:t>“</w:t>
      </w:r>
      <w:r>
        <w:rPr>
          <w:rFonts w:ascii="Times New Roman" w:hAnsi="Times New Roman" w:cs="Times New Roman"/>
          <w:szCs w:val="21"/>
        </w:rPr>
        <w:t>完全破坏</w:t>
      </w:r>
      <w:r>
        <w:rPr>
          <w:rFonts w:ascii="Times New Roman" w:hAnsi="Times New Roman" w:cs="Times New Roman"/>
          <w:szCs w:val="21"/>
        </w:rPr>
        <w:t>”</w:t>
      </w:r>
      <w:r>
        <w:rPr>
          <w:rFonts w:ascii="Times New Roman" w:hAnsi="Times New Roman" w:cs="Times New Roman"/>
          <w:szCs w:val="21"/>
        </w:rPr>
        <w:t>状态的设施从网络中移除，更新电力系统的拓扑结构，构成震后可用于潮流与功能分析的系统损伤模型。</w:t>
      </w:r>
    </w:p>
    <w:p w14:paraId="7E6606FF" w14:textId="0ED192B1" w:rsidR="00800CE7" w:rsidRDefault="003621CE" w:rsidP="00800CE7">
      <w:pPr>
        <w:pStyle w:val="a"/>
        <w:numPr>
          <w:ilvl w:val="0"/>
          <w:numId w:val="3"/>
        </w:numPr>
        <w:ind w:left="0" w:firstLine="0"/>
        <w:jc w:val="center"/>
        <w:rPr>
          <w:rFonts w:ascii="Times New Roman" w:hAnsi="Times New Roman"/>
          <w:szCs w:val="21"/>
        </w:rPr>
      </w:pPr>
      <w:bookmarkStart w:id="8" w:name="_Ref204640811"/>
      <w:r>
        <w:rPr>
          <w:rFonts w:ascii="Times New Roman" w:hAnsi="Times New Roman" w:hint="eastAsia"/>
          <w:szCs w:val="21"/>
        </w:rPr>
        <w:t>损伤状态</w:t>
      </w:r>
      <w:r w:rsidR="00470C25">
        <w:rPr>
          <w:rFonts w:ascii="Times New Roman" w:hAnsi="Times New Roman" w:hint="eastAsia"/>
          <w:szCs w:val="21"/>
        </w:rPr>
        <w:t>-</w:t>
      </w:r>
      <w:r>
        <w:rPr>
          <w:rFonts w:ascii="Times New Roman" w:hAnsi="Times New Roman" w:hint="eastAsia"/>
          <w:szCs w:val="21"/>
        </w:rPr>
        <w:t>功能</w:t>
      </w:r>
      <w:bookmarkEnd w:id="8"/>
      <w:r w:rsidR="00470C25">
        <w:rPr>
          <w:rFonts w:ascii="Times New Roman" w:hAnsi="Times New Roman" w:hint="eastAsia"/>
          <w:szCs w:val="21"/>
        </w:rPr>
        <w:t>损失对应关系</w:t>
      </w:r>
    </w:p>
    <w:tbl>
      <w:tblPr>
        <w:tblW w:w="5000" w:type="pct"/>
        <w:jc w:val="center"/>
        <w:tblLook w:val="04A0" w:firstRow="1" w:lastRow="0" w:firstColumn="1" w:lastColumn="0" w:noHBand="0" w:noVBand="1"/>
      </w:tblPr>
      <w:tblGrid>
        <w:gridCol w:w="1418"/>
        <w:gridCol w:w="1559"/>
        <w:gridCol w:w="1742"/>
      </w:tblGrid>
      <w:tr w:rsidR="00AF160C" w14:paraId="488BBD68" w14:textId="77777777" w:rsidTr="008453EA">
        <w:trPr>
          <w:trHeight w:val="20"/>
          <w:jc w:val="center"/>
        </w:trPr>
        <w:tc>
          <w:tcPr>
            <w:tcW w:w="1502" w:type="pct"/>
            <w:tcBorders>
              <w:top w:val="single" w:sz="12" w:space="0" w:color="auto"/>
              <w:left w:val="nil"/>
              <w:bottom w:val="single" w:sz="6" w:space="0" w:color="auto"/>
              <w:right w:val="nil"/>
            </w:tcBorders>
            <w:vAlign w:val="center"/>
          </w:tcPr>
          <w:p w14:paraId="2B2752EF" w14:textId="77777777" w:rsidR="00AF160C" w:rsidRDefault="00AF160C" w:rsidP="003251EB">
            <w:pPr>
              <w:widowControl/>
              <w:jc w:val="center"/>
              <w:rPr>
                <w:rFonts w:ascii="Times New Roman" w:hAnsi="Times New Roman"/>
                <w:kern w:val="0"/>
                <w:sz w:val="15"/>
                <w:szCs w:val="15"/>
              </w:rPr>
            </w:pPr>
            <w:r>
              <w:rPr>
                <w:rFonts w:ascii="Times New Roman" w:hAnsi="Times New Roman" w:hint="eastAsia"/>
                <w:kern w:val="0"/>
                <w:sz w:val="15"/>
                <w:szCs w:val="15"/>
              </w:rPr>
              <w:t>电力设施</w:t>
            </w:r>
          </w:p>
        </w:tc>
        <w:tc>
          <w:tcPr>
            <w:tcW w:w="1652" w:type="pct"/>
            <w:tcBorders>
              <w:top w:val="single" w:sz="12" w:space="0" w:color="auto"/>
              <w:left w:val="nil"/>
              <w:bottom w:val="single" w:sz="6" w:space="0" w:color="auto"/>
              <w:right w:val="nil"/>
            </w:tcBorders>
            <w:vAlign w:val="center"/>
          </w:tcPr>
          <w:p w14:paraId="1EA55CB0" w14:textId="77777777" w:rsidR="00AF160C" w:rsidRDefault="00AF160C" w:rsidP="003251EB">
            <w:pPr>
              <w:widowControl/>
              <w:jc w:val="center"/>
              <w:rPr>
                <w:rFonts w:ascii="Times New Roman" w:hAnsi="Times New Roman"/>
                <w:kern w:val="0"/>
                <w:sz w:val="15"/>
                <w:szCs w:val="15"/>
              </w:rPr>
            </w:pPr>
            <w:r>
              <w:rPr>
                <w:rFonts w:ascii="Times New Roman" w:hAnsi="Times New Roman" w:hint="eastAsia"/>
                <w:kern w:val="0"/>
                <w:sz w:val="15"/>
                <w:szCs w:val="15"/>
              </w:rPr>
              <w:t>损伤状态</w:t>
            </w:r>
          </w:p>
        </w:tc>
        <w:tc>
          <w:tcPr>
            <w:tcW w:w="1846" w:type="pct"/>
            <w:tcBorders>
              <w:top w:val="single" w:sz="12" w:space="0" w:color="auto"/>
              <w:left w:val="nil"/>
              <w:bottom w:val="single" w:sz="6" w:space="0" w:color="auto"/>
              <w:right w:val="nil"/>
            </w:tcBorders>
            <w:vAlign w:val="center"/>
          </w:tcPr>
          <w:p w14:paraId="48E198D0" w14:textId="10A799CD" w:rsidR="00AF160C" w:rsidRDefault="00044CAE" w:rsidP="003251EB">
            <w:pPr>
              <w:widowControl/>
              <w:jc w:val="center"/>
              <w:rPr>
                <w:rFonts w:ascii="Times New Roman" w:hAnsi="Times New Roman"/>
                <w:kern w:val="0"/>
                <w:sz w:val="15"/>
                <w:szCs w:val="15"/>
              </w:rPr>
            </w:pPr>
            <w:r>
              <w:rPr>
                <w:rFonts w:ascii="Times New Roman" w:hAnsi="Times New Roman" w:hint="eastAsia"/>
                <w:kern w:val="0"/>
                <w:sz w:val="15"/>
                <w:szCs w:val="15"/>
              </w:rPr>
              <w:t>功能损失比例</w:t>
            </w:r>
          </w:p>
        </w:tc>
      </w:tr>
      <w:tr w:rsidR="00AF160C" w14:paraId="6C3BA38D" w14:textId="77777777" w:rsidTr="008453EA">
        <w:trPr>
          <w:trHeight w:val="20"/>
          <w:jc w:val="center"/>
        </w:trPr>
        <w:tc>
          <w:tcPr>
            <w:tcW w:w="1502" w:type="pct"/>
            <w:vMerge w:val="restart"/>
            <w:tcBorders>
              <w:top w:val="single" w:sz="6" w:space="0" w:color="auto"/>
              <w:left w:val="nil"/>
              <w:right w:val="nil"/>
            </w:tcBorders>
            <w:vAlign w:val="center"/>
          </w:tcPr>
          <w:p w14:paraId="33EE2C54" w14:textId="66A0A788" w:rsidR="00AF160C" w:rsidRDefault="00AF160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lastRenderedPageBreak/>
              <w:t>变电站</w:t>
            </w:r>
            <w:r>
              <w:rPr>
                <w:rFonts w:ascii="Times New Roman" w:hAnsi="Times New Roman" w:hint="eastAsia"/>
                <w:kern w:val="0"/>
                <w:sz w:val="15"/>
                <w:szCs w:val="15"/>
              </w:rPr>
              <w:t>/</w:t>
            </w:r>
            <w:r>
              <w:rPr>
                <w:rFonts w:ascii="Times New Roman" w:hAnsi="Times New Roman" w:hint="eastAsia"/>
                <w:kern w:val="0"/>
                <w:sz w:val="15"/>
                <w:szCs w:val="15"/>
              </w:rPr>
              <w:t>开闭所</w:t>
            </w:r>
          </w:p>
        </w:tc>
        <w:tc>
          <w:tcPr>
            <w:tcW w:w="1652" w:type="pct"/>
            <w:tcBorders>
              <w:top w:val="single" w:sz="6" w:space="0" w:color="auto"/>
              <w:left w:val="nil"/>
              <w:bottom w:val="nil"/>
              <w:right w:val="nil"/>
            </w:tcBorders>
            <w:vAlign w:val="center"/>
          </w:tcPr>
          <w:p w14:paraId="53275B6C" w14:textId="77777777" w:rsidR="00AF160C" w:rsidRDefault="00AF160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轻微破坏</w:t>
            </w:r>
          </w:p>
        </w:tc>
        <w:tc>
          <w:tcPr>
            <w:tcW w:w="1846" w:type="pct"/>
            <w:tcBorders>
              <w:top w:val="single" w:sz="6" w:space="0" w:color="auto"/>
              <w:left w:val="nil"/>
              <w:bottom w:val="nil"/>
              <w:right w:val="nil"/>
            </w:tcBorders>
            <w:vAlign w:val="center"/>
          </w:tcPr>
          <w:p w14:paraId="27EB0DF6" w14:textId="29A83806" w:rsidR="00AF160C" w:rsidRDefault="00AF160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5%</w:t>
            </w:r>
          </w:p>
        </w:tc>
      </w:tr>
      <w:tr w:rsidR="00AF160C" w14:paraId="3C70D249" w14:textId="77777777" w:rsidTr="008453EA">
        <w:trPr>
          <w:trHeight w:val="20"/>
          <w:jc w:val="center"/>
        </w:trPr>
        <w:tc>
          <w:tcPr>
            <w:tcW w:w="1502" w:type="pct"/>
            <w:vMerge/>
            <w:vAlign w:val="center"/>
          </w:tcPr>
          <w:p w14:paraId="46FE40BF" w14:textId="77777777" w:rsidR="00AF160C" w:rsidRDefault="00AF160C" w:rsidP="003251EB">
            <w:pPr>
              <w:widowControl/>
              <w:spacing w:line="240" w:lineRule="exact"/>
              <w:jc w:val="center"/>
              <w:rPr>
                <w:rFonts w:ascii="Times New Roman" w:hAnsi="Times New Roman"/>
                <w:kern w:val="0"/>
                <w:sz w:val="15"/>
                <w:szCs w:val="15"/>
              </w:rPr>
            </w:pPr>
          </w:p>
        </w:tc>
        <w:tc>
          <w:tcPr>
            <w:tcW w:w="1652" w:type="pct"/>
            <w:vAlign w:val="center"/>
          </w:tcPr>
          <w:p w14:paraId="2306C837" w14:textId="77777777" w:rsidR="00AF160C" w:rsidRDefault="00AF160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中等破坏</w:t>
            </w:r>
          </w:p>
        </w:tc>
        <w:tc>
          <w:tcPr>
            <w:tcW w:w="1846" w:type="pct"/>
            <w:vAlign w:val="center"/>
          </w:tcPr>
          <w:p w14:paraId="563B9DE0" w14:textId="2D13893C" w:rsidR="00AF160C" w:rsidRDefault="002C0A2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40%</w:t>
            </w:r>
          </w:p>
        </w:tc>
      </w:tr>
      <w:tr w:rsidR="00AF160C" w14:paraId="154BB978" w14:textId="77777777" w:rsidTr="008453EA">
        <w:trPr>
          <w:trHeight w:val="20"/>
          <w:jc w:val="center"/>
        </w:trPr>
        <w:tc>
          <w:tcPr>
            <w:tcW w:w="1502" w:type="pct"/>
            <w:vMerge/>
            <w:vAlign w:val="center"/>
          </w:tcPr>
          <w:p w14:paraId="4F401ED9" w14:textId="77777777" w:rsidR="00AF160C" w:rsidRDefault="00AF160C" w:rsidP="003251EB">
            <w:pPr>
              <w:widowControl/>
              <w:spacing w:line="240" w:lineRule="exact"/>
              <w:jc w:val="center"/>
              <w:rPr>
                <w:rFonts w:ascii="Times New Roman" w:hAnsi="Times New Roman"/>
                <w:kern w:val="0"/>
                <w:sz w:val="15"/>
                <w:szCs w:val="15"/>
              </w:rPr>
            </w:pPr>
          </w:p>
        </w:tc>
        <w:tc>
          <w:tcPr>
            <w:tcW w:w="1652" w:type="pct"/>
            <w:vAlign w:val="center"/>
          </w:tcPr>
          <w:p w14:paraId="69EC4CFC" w14:textId="77777777" w:rsidR="00AF160C" w:rsidRDefault="00AF160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严重破坏</w:t>
            </w:r>
          </w:p>
        </w:tc>
        <w:tc>
          <w:tcPr>
            <w:tcW w:w="1846" w:type="pct"/>
            <w:vAlign w:val="center"/>
          </w:tcPr>
          <w:p w14:paraId="29525DCE" w14:textId="5F9A7A70" w:rsidR="00AF160C" w:rsidRDefault="002C0A2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70%</w:t>
            </w:r>
          </w:p>
        </w:tc>
      </w:tr>
      <w:tr w:rsidR="00AF160C" w14:paraId="29A6B828" w14:textId="77777777" w:rsidTr="008453EA">
        <w:trPr>
          <w:trHeight w:val="20"/>
          <w:jc w:val="center"/>
        </w:trPr>
        <w:tc>
          <w:tcPr>
            <w:tcW w:w="1502" w:type="pct"/>
            <w:vMerge/>
            <w:vAlign w:val="center"/>
          </w:tcPr>
          <w:p w14:paraId="1516F515" w14:textId="77777777" w:rsidR="00AF160C" w:rsidRDefault="00AF160C" w:rsidP="003251EB">
            <w:pPr>
              <w:widowControl/>
              <w:spacing w:line="240" w:lineRule="exact"/>
              <w:jc w:val="center"/>
              <w:rPr>
                <w:rFonts w:ascii="Times New Roman" w:hAnsi="Times New Roman"/>
                <w:kern w:val="0"/>
                <w:sz w:val="15"/>
                <w:szCs w:val="15"/>
              </w:rPr>
            </w:pPr>
          </w:p>
        </w:tc>
        <w:tc>
          <w:tcPr>
            <w:tcW w:w="1652" w:type="pct"/>
            <w:vAlign w:val="center"/>
          </w:tcPr>
          <w:p w14:paraId="2CC4DADB" w14:textId="77777777" w:rsidR="00AF160C" w:rsidRDefault="00AF160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完全破坏</w:t>
            </w:r>
          </w:p>
        </w:tc>
        <w:tc>
          <w:tcPr>
            <w:tcW w:w="1846" w:type="pct"/>
            <w:vAlign w:val="center"/>
          </w:tcPr>
          <w:p w14:paraId="170CCE31" w14:textId="07EFB303" w:rsidR="00AF160C" w:rsidRDefault="002C0A2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100%</w:t>
            </w:r>
          </w:p>
        </w:tc>
      </w:tr>
      <w:tr w:rsidR="00AF160C" w14:paraId="6EDE2E37" w14:textId="77777777" w:rsidTr="008453EA">
        <w:trPr>
          <w:trHeight w:val="20"/>
          <w:jc w:val="center"/>
        </w:trPr>
        <w:tc>
          <w:tcPr>
            <w:tcW w:w="1502" w:type="pct"/>
            <w:vMerge w:val="restart"/>
            <w:vAlign w:val="center"/>
          </w:tcPr>
          <w:p w14:paraId="38AE07B6" w14:textId="77777777" w:rsidR="00AF160C" w:rsidRDefault="00AF160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输配电线路</w:t>
            </w:r>
          </w:p>
        </w:tc>
        <w:tc>
          <w:tcPr>
            <w:tcW w:w="1652" w:type="pct"/>
            <w:vAlign w:val="center"/>
          </w:tcPr>
          <w:p w14:paraId="076AA677" w14:textId="77777777" w:rsidR="00AF160C" w:rsidRDefault="00AF160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轻微破坏</w:t>
            </w:r>
          </w:p>
        </w:tc>
        <w:tc>
          <w:tcPr>
            <w:tcW w:w="1846" w:type="pct"/>
            <w:vAlign w:val="center"/>
          </w:tcPr>
          <w:p w14:paraId="2180D270" w14:textId="558A9B7E" w:rsidR="00AF160C" w:rsidRDefault="00734EC4"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4%</w:t>
            </w:r>
          </w:p>
        </w:tc>
      </w:tr>
      <w:tr w:rsidR="00AF160C" w14:paraId="0012833B" w14:textId="77777777" w:rsidTr="008453EA">
        <w:trPr>
          <w:trHeight w:val="20"/>
          <w:jc w:val="center"/>
        </w:trPr>
        <w:tc>
          <w:tcPr>
            <w:tcW w:w="1502" w:type="pct"/>
            <w:vMerge/>
            <w:vAlign w:val="center"/>
          </w:tcPr>
          <w:p w14:paraId="5C9FF994" w14:textId="77777777" w:rsidR="00AF160C" w:rsidRDefault="00AF160C" w:rsidP="003251EB">
            <w:pPr>
              <w:widowControl/>
              <w:spacing w:line="240" w:lineRule="exact"/>
              <w:jc w:val="center"/>
              <w:rPr>
                <w:rFonts w:ascii="Times New Roman" w:hAnsi="Times New Roman"/>
                <w:kern w:val="0"/>
                <w:sz w:val="15"/>
                <w:szCs w:val="15"/>
              </w:rPr>
            </w:pPr>
          </w:p>
        </w:tc>
        <w:tc>
          <w:tcPr>
            <w:tcW w:w="1652" w:type="pct"/>
            <w:vAlign w:val="center"/>
          </w:tcPr>
          <w:p w14:paraId="00367784" w14:textId="77777777" w:rsidR="00AF160C" w:rsidRDefault="00AF160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中等破坏</w:t>
            </w:r>
          </w:p>
        </w:tc>
        <w:tc>
          <w:tcPr>
            <w:tcW w:w="1846" w:type="pct"/>
            <w:vAlign w:val="center"/>
          </w:tcPr>
          <w:p w14:paraId="4493A0C6" w14:textId="1911D6BE" w:rsidR="00AF160C" w:rsidRDefault="00734EC4"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12%</w:t>
            </w:r>
          </w:p>
        </w:tc>
      </w:tr>
      <w:tr w:rsidR="00AF160C" w14:paraId="5A6955F0" w14:textId="77777777" w:rsidTr="008453EA">
        <w:trPr>
          <w:trHeight w:val="20"/>
          <w:jc w:val="center"/>
        </w:trPr>
        <w:tc>
          <w:tcPr>
            <w:tcW w:w="1502" w:type="pct"/>
            <w:vMerge/>
            <w:vAlign w:val="center"/>
          </w:tcPr>
          <w:p w14:paraId="61411851" w14:textId="77777777" w:rsidR="00AF160C" w:rsidRDefault="00AF160C" w:rsidP="003251EB">
            <w:pPr>
              <w:widowControl/>
              <w:spacing w:line="240" w:lineRule="exact"/>
              <w:jc w:val="center"/>
              <w:rPr>
                <w:rFonts w:ascii="Times New Roman" w:hAnsi="Times New Roman"/>
                <w:kern w:val="0"/>
                <w:sz w:val="15"/>
                <w:szCs w:val="15"/>
              </w:rPr>
            </w:pPr>
          </w:p>
        </w:tc>
        <w:tc>
          <w:tcPr>
            <w:tcW w:w="1652" w:type="pct"/>
            <w:vAlign w:val="center"/>
          </w:tcPr>
          <w:p w14:paraId="194EC9E0" w14:textId="77777777" w:rsidR="00AF160C" w:rsidRDefault="00AF160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严重破坏</w:t>
            </w:r>
          </w:p>
        </w:tc>
        <w:tc>
          <w:tcPr>
            <w:tcW w:w="1846" w:type="pct"/>
            <w:vAlign w:val="center"/>
          </w:tcPr>
          <w:p w14:paraId="7EA34D72" w14:textId="5CB0E554" w:rsidR="00AF160C" w:rsidRDefault="00734EC4"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50%</w:t>
            </w:r>
          </w:p>
        </w:tc>
      </w:tr>
      <w:tr w:rsidR="00AF160C" w14:paraId="1BDC746A" w14:textId="77777777" w:rsidTr="008453EA">
        <w:trPr>
          <w:trHeight w:val="66"/>
          <w:jc w:val="center"/>
        </w:trPr>
        <w:tc>
          <w:tcPr>
            <w:tcW w:w="1502" w:type="pct"/>
            <w:vMerge/>
            <w:tcBorders>
              <w:bottom w:val="single" w:sz="12" w:space="0" w:color="auto"/>
            </w:tcBorders>
            <w:vAlign w:val="center"/>
          </w:tcPr>
          <w:p w14:paraId="1612C656" w14:textId="77777777" w:rsidR="00AF160C" w:rsidRDefault="00AF160C" w:rsidP="003251EB">
            <w:pPr>
              <w:widowControl/>
              <w:spacing w:line="240" w:lineRule="exact"/>
              <w:jc w:val="center"/>
              <w:rPr>
                <w:rFonts w:ascii="Times New Roman" w:hAnsi="Times New Roman"/>
                <w:kern w:val="0"/>
                <w:sz w:val="15"/>
                <w:szCs w:val="15"/>
              </w:rPr>
            </w:pPr>
          </w:p>
        </w:tc>
        <w:tc>
          <w:tcPr>
            <w:tcW w:w="1652" w:type="pct"/>
            <w:tcBorders>
              <w:top w:val="nil"/>
              <w:bottom w:val="single" w:sz="12" w:space="0" w:color="auto"/>
              <w:right w:val="nil"/>
            </w:tcBorders>
            <w:vAlign w:val="center"/>
          </w:tcPr>
          <w:p w14:paraId="694F852A" w14:textId="77777777" w:rsidR="00AF160C" w:rsidRDefault="00AF160C"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完全破坏</w:t>
            </w:r>
          </w:p>
        </w:tc>
        <w:tc>
          <w:tcPr>
            <w:tcW w:w="1846" w:type="pct"/>
            <w:tcBorders>
              <w:top w:val="nil"/>
              <w:left w:val="nil"/>
              <w:bottom w:val="single" w:sz="12" w:space="0" w:color="auto"/>
              <w:right w:val="nil"/>
            </w:tcBorders>
            <w:vAlign w:val="center"/>
          </w:tcPr>
          <w:p w14:paraId="2AB497BE" w14:textId="012EF942" w:rsidR="00AF160C" w:rsidRDefault="00734EC4" w:rsidP="003251EB">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100%</w:t>
            </w:r>
          </w:p>
        </w:tc>
      </w:tr>
    </w:tbl>
    <w:p w14:paraId="1EFA376A" w14:textId="77777777" w:rsidR="00800CE7" w:rsidRDefault="00800CE7">
      <w:pPr>
        <w:spacing w:line="240" w:lineRule="atLeast"/>
        <w:ind w:firstLineChars="200" w:firstLine="420"/>
        <w:rPr>
          <w:rFonts w:ascii="Times New Roman" w:hAnsi="Times New Roman" w:cs="Times New Roman"/>
          <w:szCs w:val="21"/>
        </w:rPr>
      </w:pPr>
    </w:p>
    <w:p w14:paraId="2B33C056" w14:textId="3527CEBD" w:rsidR="001F7B30" w:rsidRPr="00C5137B" w:rsidRDefault="004C7EF7" w:rsidP="00C5137B">
      <w:pPr>
        <w:spacing w:line="240" w:lineRule="atLeast"/>
        <w:outlineLvl w:val="2"/>
        <w:rPr>
          <w:rFonts w:ascii="Times New Roman" w:hAnsi="Times New Roman" w:cs="Times New Roman"/>
          <w:b/>
          <w:bCs/>
          <w:szCs w:val="21"/>
        </w:rPr>
      </w:pPr>
      <w:r>
        <w:rPr>
          <w:rFonts w:ascii="Times New Roman" w:hAnsi="Times New Roman" w:cs="Times New Roman" w:hint="eastAsia"/>
          <w:b/>
          <w:bCs/>
          <w:szCs w:val="21"/>
        </w:rPr>
        <w:t xml:space="preserve">1.2.4 </w:t>
      </w:r>
      <w:r w:rsidR="00DA268A" w:rsidRPr="00C5137B">
        <w:rPr>
          <w:rFonts w:ascii="Times New Roman" w:hAnsi="Times New Roman" w:cs="Times New Roman" w:hint="eastAsia"/>
          <w:b/>
          <w:bCs/>
          <w:szCs w:val="21"/>
        </w:rPr>
        <w:t>电力潮流分析</w:t>
      </w:r>
    </w:p>
    <w:p w14:paraId="7F104416" w14:textId="0F68F9DD" w:rsidR="00022AA4"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szCs w:val="21"/>
        </w:rPr>
        <w:t>传统方法多依赖连通性分析判断</w:t>
      </w:r>
      <w:r>
        <w:rPr>
          <w:rFonts w:ascii="Times New Roman" w:hAnsi="Times New Roman" w:cs="Times New Roman" w:hint="eastAsia"/>
          <w:szCs w:val="21"/>
        </w:rPr>
        <w:t>电力设施</w:t>
      </w:r>
      <w:r>
        <w:rPr>
          <w:rFonts w:ascii="Times New Roman" w:hAnsi="Times New Roman" w:cs="Times New Roman"/>
          <w:szCs w:val="21"/>
        </w:rPr>
        <w:t>是否通电，难以反映地震扰动下电能的传输路径与分布状态。潮流分析作为电力系统</w:t>
      </w:r>
      <w:r>
        <w:rPr>
          <w:rFonts w:ascii="Times New Roman" w:hAnsi="Times New Roman" w:cs="Times New Roman" w:hint="eastAsia"/>
          <w:szCs w:val="21"/>
        </w:rPr>
        <w:t>分析</w:t>
      </w:r>
      <w:r>
        <w:rPr>
          <w:rFonts w:ascii="Times New Roman" w:hAnsi="Times New Roman" w:cs="Times New Roman"/>
          <w:szCs w:val="21"/>
        </w:rPr>
        <w:t>的基础工具，可在</w:t>
      </w:r>
      <w:r>
        <w:rPr>
          <w:rFonts w:ascii="Times New Roman" w:hAnsi="Times New Roman" w:cs="Times New Roman" w:hint="eastAsia"/>
          <w:szCs w:val="21"/>
        </w:rPr>
        <w:t>给定</w:t>
      </w:r>
      <w:r>
        <w:rPr>
          <w:rFonts w:ascii="Times New Roman" w:hAnsi="Times New Roman" w:cs="Times New Roman"/>
          <w:szCs w:val="21"/>
        </w:rPr>
        <w:t>条件下</w:t>
      </w:r>
      <w:r>
        <w:rPr>
          <w:rFonts w:ascii="Times New Roman" w:hAnsi="Times New Roman" w:cs="Times New Roman" w:hint="eastAsia"/>
          <w:szCs w:val="21"/>
        </w:rPr>
        <w:t>确定系统的运行状态，如母线电压、功率分布等</w:t>
      </w:r>
      <w:r>
        <w:rPr>
          <w:rFonts w:ascii="Times New Roman" w:hAnsi="Times New Roman" w:cs="Times New Roman"/>
          <w:szCs w:val="21"/>
        </w:rPr>
        <w:t>。本文引入</w:t>
      </w:r>
      <w:r w:rsidR="008870BE">
        <w:rPr>
          <w:rFonts w:ascii="Times New Roman" w:hAnsi="Times New Roman" w:cs="Times New Roman"/>
          <w:szCs w:val="21"/>
        </w:rPr>
        <w:t>直流潮流</w:t>
      </w:r>
      <w:r w:rsidR="00F03484">
        <w:rPr>
          <w:rFonts w:ascii="Times New Roman" w:hAnsi="Times New Roman" w:cs="Times New Roman" w:hint="eastAsia"/>
          <w:szCs w:val="21"/>
        </w:rPr>
        <w:t>算法</w:t>
      </w:r>
      <w:r w:rsidR="008870BE">
        <w:rPr>
          <w:rFonts w:ascii="Times New Roman" w:hAnsi="Times New Roman" w:cs="Times New Roman"/>
          <w:szCs w:val="21"/>
        </w:rPr>
        <w:t>（</w:t>
      </w:r>
      <w:r w:rsidR="008870BE">
        <w:rPr>
          <w:rFonts w:ascii="Times New Roman" w:hAnsi="Times New Roman" w:cs="Times New Roman"/>
          <w:szCs w:val="21"/>
        </w:rPr>
        <w:t>DC power flow</w:t>
      </w:r>
      <w:r w:rsidR="008870BE" w:rsidRPr="003251EB">
        <w:rPr>
          <w:rFonts w:ascii="Times New Roman" w:hAnsi="Times New Roman" w:cs="Times New Roman"/>
          <w:color w:val="0000FF"/>
          <w:szCs w:val="21"/>
          <w:vertAlign w:val="superscript"/>
        </w:rPr>
        <w:fldChar w:fldCharType="begin"/>
      </w:r>
      <w:r w:rsidR="008870BE" w:rsidRPr="003251EB">
        <w:rPr>
          <w:rFonts w:ascii="Times New Roman" w:hAnsi="Times New Roman" w:cs="Times New Roman"/>
          <w:color w:val="0000FF"/>
          <w:szCs w:val="21"/>
          <w:vertAlign w:val="superscript"/>
        </w:rPr>
        <w:instrText xml:space="preserve"> REF _Ref204641509 \r \h </w:instrText>
      </w:r>
      <w:r w:rsidR="008870BE">
        <w:rPr>
          <w:rFonts w:ascii="Times New Roman" w:hAnsi="Times New Roman" w:cs="Times New Roman"/>
          <w:color w:val="0000FF"/>
          <w:szCs w:val="21"/>
          <w:vertAlign w:val="superscript"/>
        </w:rPr>
        <w:instrText xml:space="preserve"> \* MERGEFORMAT </w:instrText>
      </w:r>
      <w:r w:rsidR="008870BE" w:rsidRPr="003251EB">
        <w:rPr>
          <w:rFonts w:ascii="Times New Roman" w:hAnsi="Times New Roman" w:cs="Times New Roman"/>
          <w:color w:val="0000FF"/>
          <w:szCs w:val="21"/>
          <w:vertAlign w:val="superscript"/>
        </w:rPr>
      </w:r>
      <w:r w:rsidR="008870BE" w:rsidRPr="003251EB">
        <w:rPr>
          <w:rFonts w:ascii="Times New Roman" w:hAnsi="Times New Roman" w:cs="Times New Roman"/>
          <w:color w:val="0000FF"/>
          <w:szCs w:val="21"/>
          <w:vertAlign w:val="superscript"/>
        </w:rPr>
        <w:fldChar w:fldCharType="separate"/>
      </w:r>
      <w:r w:rsidR="00CC3C32">
        <w:rPr>
          <w:rFonts w:ascii="Times New Roman" w:hAnsi="Times New Roman" w:cs="Times New Roman"/>
          <w:color w:val="0000FF"/>
          <w:szCs w:val="21"/>
          <w:vertAlign w:val="superscript"/>
          <w:cs/>
        </w:rPr>
        <w:t>‎</w:t>
      </w:r>
      <w:r w:rsidR="00CC3C32">
        <w:rPr>
          <w:rFonts w:ascii="Times New Roman" w:hAnsi="Times New Roman" w:cs="Times New Roman"/>
          <w:color w:val="0000FF"/>
          <w:szCs w:val="21"/>
          <w:vertAlign w:val="superscript"/>
        </w:rPr>
        <w:t>[30]</w:t>
      </w:r>
      <w:r w:rsidR="008870BE" w:rsidRPr="003251EB">
        <w:rPr>
          <w:rFonts w:ascii="Times New Roman" w:hAnsi="Times New Roman" w:cs="Times New Roman"/>
          <w:color w:val="0000FF"/>
          <w:szCs w:val="21"/>
          <w:vertAlign w:val="superscript"/>
        </w:rPr>
        <w:fldChar w:fldCharType="end"/>
      </w:r>
      <w:r w:rsidR="004A1737">
        <w:rPr>
          <w:rFonts w:ascii="Times New Roman" w:hAnsi="Times New Roman" w:cs="Times New Roman" w:hint="eastAsia"/>
          <w:szCs w:val="21"/>
        </w:rPr>
        <w:t>，详细内容见第</w:t>
      </w:r>
      <w:r w:rsidR="004A1737">
        <w:rPr>
          <w:rFonts w:ascii="Times New Roman" w:hAnsi="Times New Roman" w:cs="Times New Roman" w:hint="eastAsia"/>
          <w:szCs w:val="21"/>
        </w:rPr>
        <w:t>3</w:t>
      </w:r>
      <w:r w:rsidR="004A1737">
        <w:rPr>
          <w:rFonts w:ascii="Times New Roman" w:hAnsi="Times New Roman" w:cs="Times New Roman" w:hint="eastAsia"/>
          <w:szCs w:val="21"/>
        </w:rPr>
        <w:t>节）</w:t>
      </w:r>
      <w:r>
        <w:rPr>
          <w:rFonts w:ascii="Times New Roman" w:hAnsi="Times New Roman" w:cs="Times New Roman"/>
          <w:szCs w:val="21"/>
        </w:rPr>
        <w:t>，以地震损伤场景为基础，</w:t>
      </w:r>
      <w:r>
        <w:rPr>
          <w:rFonts w:ascii="Times New Roman" w:hAnsi="Times New Roman" w:cs="Times New Roman" w:hint="eastAsia"/>
          <w:szCs w:val="21"/>
        </w:rPr>
        <w:t>计算</w:t>
      </w:r>
      <w:r>
        <w:rPr>
          <w:rFonts w:ascii="Times New Roman" w:hAnsi="Times New Roman" w:cs="Times New Roman"/>
          <w:szCs w:val="21"/>
        </w:rPr>
        <w:t>系统功率分布，识别过载风险与关键薄弱环节，从而实现更具物理依据的震后功能量化</w:t>
      </w:r>
      <w:r w:rsidR="00D038C2">
        <w:rPr>
          <w:rFonts w:ascii="Times New Roman" w:hAnsi="Times New Roman" w:cs="Times New Roman" w:hint="eastAsia"/>
          <w:szCs w:val="21"/>
        </w:rPr>
        <w:t>评价</w:t>
      </w:r>
      <w:r>
        <w:rPr>
          <w:rFonts w:ascii="Times New Roman" w:hAnsi="Times New Roman" w:cs="Times New Roman"/>
          <w:szCs w:val="21"/>
        </w:rPr>
        <w:t>。</w:t>
      </w:r>
    </w:p>
    <w:p w14:paraId="7B665D02" w14:textId="2CDE987C" w:rsidR="001F7B30" w:rsidRDefault="00D038C2">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震后功能评价核心算法如</w:t>
      </w:r>
      <w:r w:rsidRPr="008453EA">
        <w:rPr>
          <w:rFonts w:ascii="Times New Roman" w:hAnsi="Times New Roman" w:cs="Times New Roman"/>
          <w:color w:val="0000FF"/>
          <w:szCs w:val="21"/>
        </w:rPr>
        <w:fldChar w:fldCharType="begin"/>
      </w:r>
      <w:r w:rsidRPr="008453EA">
        <w:rPr>
          <w:rFonts w:ascii="Times New Roman" w:hAnsi="Times New Roman" w:cs="Times New Roman"/>
          <w:color w:val="0000FF"/>
          <w:szCs w:val="21"/>
        </w:rPr>
        <w:instrText xml:space="preserve"> REF _Ref204642592 \r \h </w:instrText>
      </w:r>
      <w:r>
        <w:rPr>
          <w:rFonts w:ascii="Times New Roman" w:hAnsi="Times New Roman" w:cs="Times New Roman"/>
          <w:color w:val="0000FF"/>
          <w:szCs w:val="21"/>
        </w:rPr>
        <w:instrText xml:space="preserve"> \* MERGEFORMAT </w:instrText>
      </w:r>
      <w:r w:rsidRPr="008453EA">
        <w:rPr>
          <w:rFonts w:ascii="Times New Roman" w:hAnsi="Times New Roman" w:cs="Times New Roman"/>
          <w:color w:val="0000FF"/>
          <w:szCs w:val="21"/>
        </w:rPr>
      </w:r>
      <w:r w:rsidRPr="008453EA">
        <w:rPr>
          <w:rFonts w:ascii="Times New Roman" w:hAnsi="Times New Roman" w:cs="Times New Roman"/>
          <w:color w:val="0000FF"/>
          <w:szCs w:val="21"/>
        </w:rPr>
        <w:fldChar w:fldCharType="separate"/>
      </w:r>
      <w:r w:rsidR="00CC3C32">
        <w:rPr>
          <w:rFonts w:ascii="Times New Roman" w:hAnsi="Times New Roman" w:cs="Times New Roman"/>
          <w:color w:val="0000FF"/>
          <w:szCs w:val="21"/>
          <w:cs/>
        </w:rPr>
        <w:t>‎</w:t>
      </w:r>
      <w:r w:rsidR="00CC3C32">
        <w:rPr>
          <w:rFonts w:ascii="Times New Roman" w:hAnsi="Times New Roman" w:cs="Times New Roman" w:hint="eastAsia"/>
          <w:color w:val="0000FF"/>
          <w:szCs w:val="21"/>
        </w:rPr>
        <w:t>图</w:t>
      </w:r>
      <w:r w:rsidR="00CC3C32">
        <w:rPr>
          <w:rFonts w:ascii="Times New Roman" w:hAnsi="Times New Roman" w:cs="Times New Roman"/>
          <w:color w:val="0000FF"/>
          <w:szCs w:val="21"/>
        </w:rPr>
        <w:t>4</w:t>
      </w:r>
      <w:r w:rsidRPr="008453EA">
        <w:rPr>
          <w:rFonts w:ascii="Times New Roman" w:hAnsi="Times New Roman" w:cs="Times New Roman"/>
          <w:color w:val="0000FF"/>
          <w:szCs w:val="21"/>
        </w:rPr>
        <w:fldChar w:fldCharType="end"/>
      </w:r>
      <w:r>
        <w:rPr>
          <w:rFonts w:ascii="Times New Roman" w:hAnsi="Times New Roman" w:cs="Times New Roman" w:hint="eastAsia"/>
          <w:szCs w:val="21"/>
        </w:rPr>
        <w:t>所示，</w:t>
      </w:r>
      <w:r w:rsidR="00DA268A">
        <w:rPr>
          <w:rFonts w:ascii="Times New Roman" w:hAnsi="Times New Roman" w:cs="Times New Roman"/>
          <w:szCs w:val="21"/>
        </w:rPr>
        <w:t>首先通过连通性分析识别地震损伤导致的电力孤岛</w:t>
      </w:r>
      <w:r w:rsidR="00DA268A">
        <w:rPr>
          <w:rFonts w:ascii="Times New Roman" w:hAnsi="Times New Roman" w:cs="Times New Roman"/>
          <w:color w:val="0000FF"/>
          <w:szCs w:val="21"/>
          <w:vertAlign w:val="superscript"/>
        </w:rPr>
        <w:fldChar w:fldCharType="begin"/>
      </w:r>
      <w:r w:rsidR="00DA268A">
        <w:rPr>
          <w:rFonts w:ascii="Times New Roman" w:hAnsi="Times New Roman" w:cs="Times New Roman"/>
          <w:color w:val="0000FF"/>
          <w:szCs w:val="21"/>
          <w:vertAlign w:val="superscript"/>
        </w:rPr>
        <w:instrText xml:space="preserve"> REF _Ref204375492 \r \h  \* MERGEFORMAT </w:instrText>
      </w:r>
      <w:r w:rsidR="00DA268A">
        <w:rPr>
          <w:rFonts w:ascii="Times New Roman" w:hAnsi="Times New Roman" w:cs="Times New Roman"/>
          <w:color w:val="0000FF"/>
          <w:szCs w:val="21"/>
          <w:vertAlign w:val="superscript"/>
        </w:rPr>
      </w:r>
      <w:r w:rsidR="00DA268A">
        <w:rPr>
          <w:rFonts w:ascii="Times New Roman" w:hAnsi="Times New Roman" w:cs="Times New Roman"/>
          <w:color w:val="0000FF"/>
          <w:szCs w:val="21"/>
          <w:vertAlign w:val="superscript"/>
        </w:rPr>
        <w:fldChar w:fldCharType="separate"/>
      </w:r>
      <w:r w:rsidR="00CC3C32">
        <w:rPr>
          <w:rFonts w:ascii="Times New Roman" w:hAnsi="Times New Roman" w:cs="Times New Roman"/>
          <w:color w:val="0000FF"/>
          <w:szCs w:val="21"/>
          <w:vertAlign w:val="superscript"/>
          <w:cs/>
        </w:rPr>
        <w:t>‎</w:t>
      </w:r>
      <w:r w:rsidR="00CC3C32">
        <w:rPr>
          <w:rFonts w:ascii="Times New Roman" w:hAnsi="Times New Roman" w:cs="Times New Roman"/>
          <w:color w:val="0000FF"/>
          <w:szCs w:val="21"/>
          <w:vertAlign w:val="superscript"/>
        </w:rPr>
        <w:t>[31]</w:t>
      </w:r>
      <w:r w:rsidR="00DA268A">
        <w:rPr>
          <w:rFonts w:ascii="Times New Roman" w:hAnsi="Times New Roman" w:cs="Times New Roman"/>
          <w:color w:val="0000FF"/>
          <w:szCs w:val="21"/>
          <w:vertAlign w:val="superscript"/>
        </w:rPr>
        <w:fldChar w:fldCharType="end"/>
      </w:r>
      <w:r w:rsidR="00DA268A">
        <w:rPr>
          <w:rFonts w:ascii="Times New Roman" w:hAnsi="Times New Roman" w:cs="Times New Roman"/>
          <w:szCs w:val="21"/>
        </w:rPr>
        <w:t>，</w:t>
      </w:r>
      <w:r w:rsidR="00022AA4">
        <w:rPr>
          <w:rFonts w:ascii="Times New Roman" w:hAnsi="Times New Roman" w:cs="Times New Roman" w:hint="eastAsia"/>
          <w:szCs w:val="21"/>
        </w:rPr>
        <w:t>即</w:t>
      </w:r>
      <w:r w:rsidR="00DA268A">
        <w:rPr>
          <w:rFonts w:ascii="Times New Roman" w:hAnsi="Times New Roman" w:cs="Times New Roman"/>
          <w:szCs w:val="21"/>
        </w:rPr>
        <w:t>在拓扑结构上与主电源断开、缺乏供电支持的孤立网络区域，虽然其内部设施未完全受损，但因失去供电路径而无法向用户供电。</w:t>
      </w:r>
      <w:r w:rsidR="00DA268A">
        <w:rPr>
          <w:rFonts w:ascii="Times New Roman" w:hAnsi="Times New Roman" w:cs="Times New Roman" w:hint="eastAsia"/>
          <w:szCs w:val="21"/>
        </w:rPr>
        <w:t>此环节</w:t>
      </w:r>
      <w:r w:rsidR="00DA268A">
        <w:rPr>
          <w:rFonts w:ascii="Times New Roman" w:hAnsi="Times New Roman" w:cs="Times New Roman"/>
          <w:szCs w:val="21"/>
        </w:rPr>
        <w:t>采用广度优先搜索（</w:t>
      </w:r>
      <w:r w:rsidR="00DA268A">
        <w:rPr>
          <w:rFonts w:ascii="Times New Roman" w:hAnsi="Times New Roman" w:cs="Times New Roman"/>
          <w:szCs w:val="21"/>
        </w:rPr>
        <w:t>BFS</w:t>
      </w:r>
      <w:r w:rsidR="00DA268A">
        <w:rPr>
          <w:rFonts w:ascii="Times New Roman" w:hAnsi="Times New Roman" w:cs="Times New Roman"/>
          <w:szCs w:val="21"/>
        </w:rPr>
        <w:t>）</w:t>
      </w:r>
      <w:r w:rsidR="00DA268A">
        <w:rPr>
          <w:rFonts w:ascii="Times New Roman" w:hAnsi="Times New Roman" w:cs="Times New Roman"/>
          <w:szCs w:val="21"/>
        </w:rPr>
        <w:fldChar w:fldCharType="begin"/>
      </w:r>
      <w:r w:rsidR="00DA268A">
        <w:rPr>
          <w:rFonts w:ascii="Times New Roman" w:hAnsi="Times New Roman" w:cs="Times New Roman"/>
          <w:szCs w:val="21"/>
        </w:rPr>
        <w:instrText xml:space="preserve"> REF _Ref204375552 \r \h  \* MERGEFORMAT </w:instrText>
      </w:r>
      <w:r w:rsidR="00DA268A">
        <w:rPr>
          <w:rFonts w:ascii="Times New Roman" w:hAnsi="Times New Roman" w:cs="Times New Roman"/>
          <w:szCs w:val="21"/>
        </w:rPr>
      </w:r>
      <w:r w:rsidR="00DA268A">
        <w:rPr>
          <w:rFonts w:ascii="Times New Roman" w:hAnsi="Times New Roman" w:cs="Times New Roman"/>
          <w:szCs w:val="21"/>
        </w:rPr>
        <w:fldChar w:fldCharType="separate"/>
      </w:r>
      <w:r w:rsidR="00CC3C32" w:rsidRPr="00065A21">
        <w:rPr>
          <w:rFonts w:ascii="Times New Roman" w:hAnsi="Times New Roman" w:cs="Times New Roman"/>
          <w:color w:val="0000FF"/>
          <w:szCs w:val="21"/>
          <w:vertAlign w:val="superscript"/>
          <w:cs/>
        </w:rPr>
        <w:t>‎</w:t>
      </w:r>
      <w:r w:rsidR="00CC3C32" w:rsidRPr="00065A21">
        <w:rPr>
          <w:rFonts w:ascii="Times New Roman" w:hAnsi="Times New Roman" w:cs="Times New Roman"/>
          <w:color w:val="0000FF"/>
          <w:szCs w:val="21"/>
          <w:vertAlign w:val="superscript"/>
        </w:rPr>
        <w:t>[32]</w:t>
      </w:r>
      <w:r w:rsidR="00DA268A">
        <w:rPr>
          <w:rFonts w:ascii="Times New Roman" w:hAnsi="Times New Roman" w:cs="Times New Roman"/>
          <w:szCs w:val="21"/>
        </w:rPr>
        <w:fldChar w:fldCharType="end"/>
      </w:r>
      <w:r w:rsidR="00DA268A">
        <w:rPr>
          <w:rFonts w:ascii="Times New Roman" w:hAnsi="Times New Roman" w:cs="Times New Roman"/>
          <w:szCs w:val="21"/>
        </w:rPr>
        <w:t>算法，从各发电源</w:t>
      </w:r>
      <w:r w:rsidR="00DA268A">
        <w:rPr>
          <w:rFonts w:ascii="Times New Roman" w:hAnsi="Times New Roman" w:cs="Times New Roman" w:hint="eastAsia"/>
          <w:szCs w:val="21"/>
        </w:rPr>
        <w:t>母线</w:t>
      </w:r>
      <w:r w:rsidR="00DA268A">
        <w:rPr>
          <w:rFonts w:ascii="Times New Roman" w:hAnsi="Times New Roman" w:cs="Times New Roman"/>
          <w:szCs w:val="21"/>
        </w:rPr>
        <w:t>出发，逐层遍历连通网络，将未连接至任何电源的区域识别为孤岛并从网络中剔除。</w:t>
      </w:r>
    </w:p>
    <w:p w14:paraId="3F63443C" w14:textId="190DA296" w:rsidR="00022AA4"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szCs w:val="21"/>
        </w:rPr>
        <w:t>随后在每一</w:t>
      </w:r>
      <w:r>
        <w:rPr>
          <w:rFonts w:ascii="Times New Roman" w:hAnsi="Times New Roman" w:cs="Times New Roman" w:hint="eastAsia"/>
          <w:szCs w:val="21"/>
        </w:rPr>
        <w:t>个连接着电源的</w:t>
      </w:r>
      <w:r>
        <w:rPr>
          <w:rFonts w:ascii="Times New Roman" w:hAnsi="Times New Roman" w:cs="Times New Roman"/>
          <w:szCs w:val="21"/>
        </w:rPr>
        <w:t>供电子系统</w:t>
      </w:r>
      <w:r w:rsidR="008E093B">
        <w:rPr>
          <w:rFonts w:ascii="Times New Roman" w:hAnsi="Times New Roman" w:cs="Times New Roman" w:hint="eastAsia"/>
          <w:szCs w:val="21"/>
        </w:rPr>
        <w:t>（后简称“子网”）</w:t>
      </w:r>
      <w:r>
        <w:rPr>
          <w:rFonts w:ascii="Times New Roman" w:hAnsi="Times New Roman" w:cs="Times New Roman"/>
          <w:szCs w:val="21"/>
        </w:rPr>
        <w:t>内执行直流潮流分析</w:t>
      </w:r>
      <w:r>
        <w:rPr>
          <w:rFonts w:ascii="Times New Roman" w:hAnsi="Times New Roman" w:cs="Times New Roman" w:hint="eastAsia"/>
          <w:szCs w:val="21"/>
        </w:rPr>
        <w:t>，</w:t>
      </w:r>
      <w:r>
        <w:rPr>
          <w:rFonts w:ascii="Times New Roman" w:hAnsi="Times New Roman" w:cs="Times New Roman"/>
          <w:szCs w:val="21"/>
        </w:rPr>
        <w:t>为保证系统功率平衡，设置发电容量最大</w:t>
      </w:r>
      <w:r>
        <w:rPr>
          <w:rFonts w:ascii="Times New Roman" w:hAnsi="Times New Roman" w:cs="Times New Roman" w:hint="eastAsia"/>
          <w:szCs w:val="21"/>
        </w:rPr>
        <w:t>且</w:t>
      </w:r>
      <w:r>
        <w:rPr>
          <w:rFonts w:ascii="Times New Roman" w:hAnsi="Times New Roman" w:cs="Times New Roman"/>
          <w:szCs w:val="21"/>
        </w:rPr>
        <w:t>仍可运行</w:t>
      </w:r>
      <w:r>
        <w:rPr>
          <w:rFonts w:ascii="Times New Roman" w:hAnsi="Times New Roman" w:cs="Times New Roman" w:hint="eastAsia"/>
          <w:szCs w:val="21"/>
        </w:rPr>
        <w:t>的</w:t>
      </w:r>
      <w:r>
        <w:rPr>
          <w:rFonts w:ascii="Times New Roman" w:hAnsi="Times New Roman" w:cs="Times New Roman"/>
          <w:szCs w:val="21"/>
        </w:rPr>
        <w:t>电源</w:t>
      </w:r>
      <w:r>
        <w:rPr>
          <w:rFonts w:ascii="Times New Roman" w:hAnsi="Times New Roman" w:cs="Times New Roman" w:hint="eastAsia"/>
          <w:szCs w:val="21"/>
        </w:rPr>
        <w:t>母线</w:t>
      </w:r>
      <w:r>
        <w:rPr>
          <w:rFonts w:ascii="Times New Roman" w:hAnsi="Times New Roman" w:cs="Times New Roman"/>
          <w:szCs w:val="21"/>
        </w:rPr>
        <w:t>为平衡母线（</w:t>
      </w:r>
      <w:r>
        <w:rPr>
          <w:rFonts w:ascii="Times New Roman" w:hAnsi="Times New Roman" w:cs="Times New Roman"/>
          <w:szCs w:val="21"/>
        </w:rPr>
        <w:t>slack bus</w:t>
      </w:r>
      <w:r>
        <w:rPr>
          <w:rFonts w:ascii="Times New Roman" w:hAnsi="Times New Roman" w:cs="Times New Roman"/>
          <w:szCs w:val="21"/>
        </w:rPr>
        <w:t>）</w:t>
      </w:r>
      <w:r>
        <w:rPr>
          <w:rFonts w:ascii="Times New Roman" w:hAnsi="Times New Roman" w:cs="Times New Roman"/>
          <w:color w:val="0000FF"/>
          <w:szCs w:val="21"/>
          <w:vertAlign w:val="superscript"/>
        </w:rPr>
        <w:fldChar w:fldCharType="begin"/>
      </w:r>
      <w:r>
        <w:rPr>
          <w:rFonts w:ascii="Times New Roman" w:hAnsi="Times New Roman" w:cs="Times New Roman"/>
          <w:color w:val="0000FF"/>
          <w:szCs w:val="21"/>
          <w:vertAlign w:val="superscript"/>
        </w:rPr>
        <w:instrText xml:space="preserve"> REF _Ref204375756 \r \h  \* MERGEFORMAT </w:instrText>
      </w:r>
      <w:r>
        <w:rPr>
          <w:rFonts w:ascii="Times New Roman" w:hAnsi="Times New Roman" w:cs="Times New Roman"/>
          <w:color w:val="0000FF"/>
          <w:szCs w:val="21"/>
          <w:vertAlign w:val="superscript"/>
        </w:rPr>
      </w:r>
      <w:r>
        <w:rPr>
          <w:rFonts w:ascii="Times New Roman" w:hAnsi="Times New Roman" w:cs="Times New Roman"/>
          <w:color w:val="0000FF"/>
          <w:szCs w:val="21"/>
          <w:vertAlign w:val="superscript"/>
        </w:rPr>
        <w:fldChar w:fldCharType="separate"/>
      </w:r>
      <w:r w:rsidR="00CC3C32">
        <w:rPr>
          <w:rFonts w:ascii="Times New Roman" w:hAnsi="Times New Roman" w:cs="Times New Roman"/>
          <w:color w:val="0000FF"/>
          <w:szCs w:val="21"/>
          <w:vertAlign w:val="superscript"/>
          <w:cs/>
        </w:rPr>
        <w:t>‎</w:t>
      </w:r>
      <w:r w:rsidR="00CC3C32">
        <w:rPr>
          <w:rFonts w:ascii="Times New Roman" w:hAnsi="Times New Roman" w:cs="Times New Roman"/>
          <w:color w:val="0000FF"/>
          <w:szCs w:val="21"/>
          <w:vertAlign w:val="superscript"/>
        </w:rPr>
        <w:t>[33]</w:t>
      </w:r>
      <w:r>
        <w:rPr>
          <w:rFonts w:ascii="Times New Roman" w:hAnsi="Times New Roman" w:cs="Times New Roman"/>
          <w:color w:val="0000FF"/>
          <w:szCs w:val="21"/>
          <w:vertAlign w:val="superscript"/>
        </w:rPr>
        <w:fldChar w:fldCharType="end"/>
      </w:r>
      <w:r>
        <w:rPr>
          <w:rFonts w:ascii="Times New Roman" w:hAnsi="Times New Roman" w:cs="Times New Roman"/>
          <w:szCs w:val="21"/>
        </w:rPr>
        <w:t>，在计算中动态调整其发电功率以匹配当前总负荷。</w:t>
      </w:r>
    </w:p>
    <w:p w14:paraId="210B17A8" w14:textId="6E9744FA" w:rsidR="001F7B30" w:rsidRPr="008453EA" w:rsidRDefault="00DA268A" w:rsidP="007D24C7">
      <w:pPr>
        <w:spacing w:line="240" w:lineRule="atLeast"/>
        <w:ind w:firstLineChars="200" w:firstLine="420"/>
        <w:rPr>
          <w:rFonts w:ascii="Times New Roman" w:hAnsi="Times New Roman" w:cs="Times New Roman"/>
          <w:szCs w:val="21"/>
        </w:rPr>
      </w:pPr>
      <w:r w:rsidRPr="008453EA">
        <w:rPr>
          <w:rFonts w:ascii="Times New Roman" w:hAnsi="Times New Roman" w:cs="Times New Roman" w:hint="eastAsia"/>
          <w:szCs w:val="21"/>
        </w:rPr>
        <w:t>在计算得到各母线电压相角与线路功率流分布后，需对所有线路进行过载校核</w:t>
      </w:r>
      <w:r w:rsidR="00CE76AD">
        <w:rPr>
          <w:rFonts w:ascii="Times New Roman" w:hAnsi="Times New Roman" w:cs="Times New Roman" w:hint="eastAsia"/>
          <w:szCs w:val="21"/>
        </w:rPr>
        <w:t>，将</w:t>
      </w:r>
      <w:r w:rsidR="007C1A78">
        <w:rPr>
          <w:rFonts w:ascii="Times New Roman" w:hAnsi="Times New Roman" w:cs="Times New Roman" w:hint="eastAsia"/>
          <w:szCs w:val="21"/>
        </w:rPr>
        <w:t>功率</w:t>
      </w:r>
      <w:r w:rsidRPr="008453EA">
        <w:rPr>
          <w:rFonts w:ascii="Times New Roman" w:hAnsi="Times New Roman" w:cs="Times New Roman" w:hint="eastAsia"/>
          <w:szCs w:val="21"/>
        </w:rPr>
        <w:t>超过其容量</w:t>
      </w:r>
      <w:r w:rsidR="00CE76AD">
        <w:rPr>
          <w:rFonts w:ascii="Times New Roman" w:hAnsi="Times New Roman" w:cs="Times New Roman" w:hint="eastAsia"/>
          <w:szCs w:val="21"/>
        </w:rPr>
        <w:t>的线路</w:t>
      </w:r>
      <w:r w:rsidRPr="008453EA">
        <w:rPr>
          <w:rFonts w:ascii="Times New Roman" w:hAnsi="Times New Roman" w:cs="Times New Roman" w:hint="eastAsia"/>
          <w:szCs w:val="21"/>
        </w:rPr>
        <w:t>视为功能失效，从拓扑结构中剔除，重新识别</w:t>
      </w:r>
      <w:r w:rsidR="005E14D8">
        <w:rPr>
          <w:rFonts w:ascii="Times New Roman" w:hAnsi="Times New Roman" w:cs="Times New Roman" w:hint="eastAsia"/>
          <w:szCs w:val="21"/>
        </w:rPr>
        <w:t>并移除</w:t>
      </w:r>
      <w:r w:rsidRPr="008453EA">
        <w:rPr>
          <w:rFonts w:ascii="Times New Roman" w:hAnsi="Times New Roman" w:cs="Times New Roman" w:hint="eastAsia"/>
          <w:szCs w:val="21"/>
        </w:rPr>
        <w:t>孤岛</w:t>
      </w:r>
      <w:r w:rsidR="006C4145">
        <w:rPr>
          <w:rFonts w:ascii="Times New Roman" w:hAnsi="Times New Roman" w:cs="Times New Roman" w:hint="eastAsia"/>
          <w:szCs w:val="21"/>
        </w:rPr>
        <w:t>，获取新的</w:t>
      </w:r>
      <w:r w:rsidR="008E093B">
        <w:rPr>
          <w:rFonts w:ascii="Times New Roman" w:hAnsi="Times New Roman" w:cs="Times New Roman" w:hint="eastAsia"/>
          <w:szCs w:val="21"/>
        </w:rPr>
        <w:t>网络</w:t>
      </w:r>
      <w:r w:rsidR="006C4145">
        <w:rPr>
          <w:rFonts w:ascii="Times New Roman" w:hAnsi="Times New Roman" w:cs="Times New Roman" w:hint="eastAsia"/>
          <w:szCs w:val="21"/>
        </w:rPr>
        <w:t>拓扑结构</w:t>
      </w:r>
      <w:r w:rsidR="00F01CA4">
        <w:rPr>
          <w:rFonts w:ascii="Times New Roman" w:hAnsi="Times New Roman" w:cs="Times New Roman" w:hint="eastAsia"/>
          <w:szCs w:val="21"/>
        </w:rPr>
        <w:t>。</w:t>
      </w:r>
      <w:r w:rsidR="008E093B">
        <w:rPr>
          <w:rFonts w:ascii="Times New Roman" w:hAnsi="Times New Roman" w:cs="Times New Roman" w:hint="eastAsia"/>
          <w:szCs w:val="21"/>
        </w:rPr>
        <w:t>此时若所有子网</w:t>
      </w:r>
      <w:r w:rsidR="00E65AA3">
        <w:rPr>
          <w:rFonts w:ascii="Times New Roman" w:hAnsi="Times New Roman" w:cs="Times New Roman" w:hint="eastAsia"/>
          <w:szCs w:val="21"/>
        </w:rPr>
        <w:t>均</w:t>
      </w:r>
      <w:r w:rsidR="00BD0965" w:rsidRPr="00BD0965">
        <w:rPr>
          <w:rFonts w:ascii="Times New Roman" w:hAnsi="Times New Roman" w:cs="Times New Roman"/>
          <w:szCs w:val="21"/>
        </w:rPr>
        <w:t>无</w:t>
      </w:r>
      <w:r w:rsidR="00BD0965">
        <w:rPr>
          <w:rFonts w:ascii="Times New Roman" w:hAnsi="Times New Roman" w:cs="Times New Roman" w:hint="eastAsia"/>
          <w:szCs w:val="21"/>
        </w:rPr>
        <w:t>有效</w:t>
      </w:r>
      <w:r w:rsidR="00BD0965" w:rsidRPr="00BD0965">
        <w:rPr>
          <w:rFonts w:ascii="Times New Roman" w:hAnsi="Times New Roman" w:cs="Times New Roman"/>
          <w:szCs w:val="21"/>
        </w:rPr>
        <w:t>电源与负荷相连</w:t>
      </w:r>
      <w:r w:rsidR="005E14D8">
        <w:rPr>
          <w:rFonts w:ascii="Times New Roman" w:hAnsi="Times New Roman" w:cs="Times New Roman" w:hint="eastAsia"/>
          <w:szCs w:val="21"/>
        </w:rPr>
        <w:t>，</w:t>
      </w:r>
      <w:r w:rsidR="00A72B9D">
        <w:rPr>
          <w:rFonts w:ascii="Times New Roman" w:hAnsi="Times New Roman" w:cs="Times New Roman" w:hint="eastAsia"/>
          <w:szCs w:val="21"/>
        </w:rPr>
        <w:t>则判断系统崩溃</w:t>
      </w:r>
      <w:r w:rsidR="009B19C7">
        <w:rPr>
          <w:rFonts w:ascii="Times New Roman" w:hAnsi="Times New Roman" w:cs="Times New Roman" w:hint="eastAsia"/>
          <w:szCs w:val="21"/>
        </w:rPr>
        <w:t>；</w:t>
      </w:r>
      <w:r w:rsidR="007D24C7" w:rsidRPr="007D24C7">
        <w:rPr>
          <w:rFonts w:ascii="Times New Roman" w:hAnsi="Times New Roman" w:cs="Times New Roman"/>
          <w:szCs w:val="21"/>
        </w:rPr>
        <w:t>若仍存在具备供电能力的子网，</w:t>
      </w:r>
      <w:r w:rsidR="009B19C7">
        <w:rPr>
          <w:rFonts w:ascii="Times New Roman" w:hAnsi="Times New Roman" w:cs="Times New Roman" w:hint="eastAsia"/>
          <w:szCs w:val="21"/>
        </w:rPr>
        <w:t>则</w:t>
      </w:r>
      <w:r w:rsidRPr="008453EA">
        <w:rPr>
          <w:rFonts w:ascii="Times New Roman" w:hAnsi="Times New Roman" w:cs="Times New Roman" w:hint="eastAsia"/>
          <w:szCs w:val="21"/>
        </w:rPr>
        <w:t>重新执行潮流计算。上述过程构成灾后场景下的级联失效模拟，即在部分元件初始受损的基础上，因功率转移路径变化及线路过载而引发次级故障，导致系统运行状态动态演化，直至达到稳定结构。</w:t>
      </w:r>
    </w:p>
    <w:p w14:paraId="41973A4F" w14:textId="167FC7CD" w:rsidR="001F7B30" w:rsidRDefault="00DA268A">
      <w:pPr>
        <w:spacing w:line="240" w:lineRule="atLeast"/>
        <w:ind w:firstLineChars="200" w:firstLine="420"/>
        <w:rPr>
          <w:rFonts w:ascii="Times New Roman" w:hAnsi="Times New Roman" w:cs="Times New Roman"/>
          <w:szCs w:val="21"/>
        </w:rPr>
      </w:pPr>
      <w:r w:rsidRPr="008453EA">
        <w:rPr>
          <w:rFonts w:ascii="Times New Roman" w:hAnsi="Times New Roman" w:cs="Times New Roman" w:hint="eastAsia"/>
          <w:szCs w:val="21"/>
        </w:rPr>
        <w:t>对于变电站，考虑不同损伤状态</w:t>
      </w:r>
      <w:r w:rsidR="00D038C2">
        <w:rPr>
          <w:rFonts w:ascii="Times New Roman" w:hAnsi="Times New Roman" w:cs="Times New Roman" w:hint="eastAsia"/>
          <w:szCs w:val="21"/>
        </w:rPr>
        <w:t>对其变电</w:t>
      </w:r>
      <w:r w:rsidRPr="008453EA">
        <w:rPr>
          <w:rFonts w:ascii="Times New Roman" w:hAnsi="Times New Roman" w:cs="Times New Roman" w:hint="eastAsia"/>
          <w:szCs w:val="21"/>
        </w:rPr>
        <w:t>容量</w:t>
      </w:r>
      <w:r w:rsidR="00D038C2">
        <w:rPr>
          <w:rFonts w:ascii="Times New Roman" w:hAnsi="Times New Roman" w:cs="Times New Roman" w:hint="eastAsia"/>
          <w:szCs w:val="21"/>
        </w:rPr>
        <w:t>进行</w:t>
      </w:r>
      <w:r w:rsidRPr="008453EA">
        <w:rPr>
          <w:rFonts w:ascii="Times New Roman" w:hAnsi="Times New Roman" w:cs="Times New Roman" w:hint="eastAsia"/>
          <w:szCs w:val="21"/>
        </w:rPr>
        <w:t>折减</w:t>
      </w:r>
      <w:r w:rsidR="00D038C2">
        <w:rPr>
          <w:rFonts w:ascii="Times New Roman" w:hAnsi="Times New Roman" w:cs="Times New Roman" w:hint="eastAsia"/>
          <w:szCs w:val="21"/>
        </w:rPr>
        <w:t>。需要指出，</w:t>
      </w:r>
      <w:r w:rsidRPr="008453EA">
        <w:rPr>
          <w:rFonts w:ascii="Times New Roman" w:hAnsi="Times New Roman" w:cs="Times New Roman" w:hint="eastAsia"/>
          <w:szCs w:val="21"/>
        </w:rPr>
        <w:t>此处对变电容量的折减并未区分具体故障类型，而是作为一种简化处理，用以反映如主变压器损坏或部分出线间隔失效等实际情况下供电能力下降的效果。</w:t>
      </w:r>
      <w:r w:rsidR="00D038C2">
        <w:rPr>
          <w:rFonts w:ascii="Times New Roman" w:hAnsi="Times New Roman" w:cs="Times New Roman" w:hint="eastAsia"/>
          <w:szCs w:val="21"/>
        </w:rPr>
        <w:t>另一方面，</w:t>
      </w:r>
      <w:r w:rsidRPr="008453EA">
        <w:rPr>
          <w:rFonts w:ascii="Times New Roman" w:hAnsi="Times New Roman" w:cs="Times New Roman" w:hint="eastAsia"/>
          <w:szCs w:val="21"/>
        </w:rPr>
        <w:t>当下游负载</w:t>
      </w:r>
      <w:r w:rsidRPr="008453EA">
        <w:rPr>
          <w:rFonts w:ascii="Times New Roman" w:hAnsi="Times New Roman" w:cs="Times New Roman" w:hint="eastAsia"/>
          <w:szCs w:val="21"/>
        </w:rPr>
        <w:t>超过</w:t>
      </w:r>
      <w:r w:rsidR="00D038C2">
        <w:rPr>
          <w:rFonts w:ascii="Times New Roman" w:hAnsi="Times New Roman" w:cs="Times New Roman" w:hint="eastAsia"/>
          <w:szCs w:val="21"/>
        </w:rPr>
        <w:t>变电站</w:t>
      </w:r>
      <w:r w:rsidRPr="008453EA">
        <w:rPr>
          <w:rFonts w:ascii="Times New Roman" w:hAnsi="Times New Roman" w:cs="Times New Roman" w:hint="eastAsia"/>
          <w:szCs w:val="21"/>
        </w:rPr>
        <w:t>当前可用容量时，基于用户重要性程度对用户的负荷需求进行</w:t>
      </w:r>
      <w:r w:rsidR="00D038C2">
        <w:rPr>
          <w:rFonts w:ascii="Times New Roman" w:hAnsi="Times New Roman" w:cs="Times New Roman" w:hint="eastAsia"/>
          <w:szCs w:val="21"/>
        </w:rPr>
        <w:t>调节</w:t>
      </w:r>
      <w:r w:rsidR="00517C2C">
        <w:rPr>
          <w:rFonts w:ascii="Times New Roman" w:hAnsi="Times New Roman" w:cs="Times New Roman" w:hint="eastAsia"/>
          <w:szCs w:val="21"/>
        </w:rPr>
        <w:t>，</w:t>
      </w:r>
      <w:r w:rsidR="00482FF8" w:rsidRPr="003251EB">
        <w:rPr>
          <w:rFonts w:ascii="Times New Roman" w:hAnsi="Times New Roman" w:cs="Times New Roman"/>
          <w:szCs w:val="21"/>
        </w:rPr>
        <w:t>以维持运行安全</w:t>
      </w:r>
      <w:r w:rsidR="00482FF8">
        <w:rPr>
          <w:rFonts w:ascii="Times New Roman" w:hAnsi="Times New Roman" w:cs="Times New Roman" w:hint="eastAsia"/>
          <w:szCs w:val="21"/>
        </w:rPr>
        <w:t>。</w:t>
      </w:r>
      <w:r w:rsidR="00517C2C">
        <w:rPr>
          <w:rFonts w:ascii="Times New Roman" w:hAnsi="Times New Roman" w:cs="Times New Roman" w:hint="eastAsia"/>
          <w:szCs w:val="21"/>
        </w:rPr>
        <w:t>具体</w:t>
      </w:r>
      <w:r w:rsidR="00482FF8">
        <w:rPr>
          <w:rFonts w:ascii="Times New Roman" w:hAnsi="Times New Roman" w:cs="Times New Roman" w:hint="eastAsia"/>
          <w:szCs w:val="21"/>
        </w:rPr>
        <w:t>调节</w:t>
      </w:r>
      <w:r w:rsidR="00D038C2">
        <w:rPr>
          <w:rFonts w:ascii="Times New Roman" w:hAnsi="Times New Roman" w:cs="Times New Roman" w:hint="eastAsia"/>
          <w:szCs w:val="21"/>
        </w:rPr>
        <w:t>如下</w:t>
      </w:r>
      <w:r w:rsidR="00517C2C">
        <w:rPr>
          <w:rFonts w:ascii="Times New Roman" w:hAnsi="Times New Roman" w:cs="Times New Roman" w:hint="eastAsia"/>
          <w:szCs w:val="21"/>
        </w:rPr>
        <w:t>：</w:t>
      </w:r>
      <w:r w:rsidR="00D038C2">
        <w:rPr>
          <w:rFonts w:ascii="Times New Roman" w:hAnsi="Times New Roman" w:cs="Times New Roman" w:hint="eastAsia"/>
          <w:szCs w:val="21"/>
        </w:rPr>
        <w:t>（</w:t>
      </w:r>
      <w:r w:rsidR="00D038C2">
        <w:rPr>
          <w:rFonts w:ascii="Times New Roman" w:hAnsi="Times New Roman" w:cs="Times New Roman" w:hint="eastAsia"/>
          <w:szCs w:val="21"/>
        </w:rPr>
        <w:t>1</w:t>
      </w:r>
      <w:r w:rsidR="00D038C2">
        <w:rPr>
          <w:rFonts w:ascii="Times New Roman" w:hAnsi="Times New Roman" w:cs="Times New Roman" w:hint="eastAsia"/>
          <w:szCs w:val="21"/>
        </w:rPr>
        <w:t>）</w:t>
      </w:r>
      <w:r w:rsidR="00517C2C">
        <w:rPr>
          <w:rFonts w:ascii="Times New Roman" w:hAnsi="Times New Roman" w:cs="Times New Roman" w:hint="eastAsia"/>
          <w:szCs w:val="21"/>
        </w:rPr>
        <w:t>优先满足高重要度的用户</w:t>
      </w:r>
      <w:r w:rsidR="00482FF8">
        <w:rPr>
          <w:rFonts w:ascii="Times New Roman" w:hAnsi="Times New Roman" w:cs="Times New Roman" w:hint="eastAsia"/>
          <w:szCs w:val="21"/>
        </w:rPr>
        <w:t>供电</w:t>
      </w:r>
      <w:r w:rsidR="00D038C2">
        <w:rPr>
          <w:rFonts w:ascii="Times New Roman" w:hAnsi="Times New Roman" w:cs="Times New Roman" w:hint="eastAsia"/>
          <w:szCs w:val="21"/>
        </w:rPr>
        <w:t>；（</w:t>
      </w:r>
      <w:r w:rsidR="00D038C2">
        <w:rPr>
          <w:rFonts w:ascii="Times New Roman" w:hAnsi="Times New Roman" w:cs="Times New Roman" w:hint="eastAsia"/>
          <w:szCs w:val="21"/>
        </w:rPr>
        <w:t>2</w:t>
      </w:r>
      <w:r w:rsidR="00D038C2">
        <w:rPr>
          <w:rFonts w:ascii="Times New Roman" w:hAnsi="Times New Roman" w:cs="Times New Roman" w:hint="eastAsia"/>
          <w:szCs w:val="21"/>
        </w:rPr>
        <w:t>）</w:t>
      </w:r>
      <w:r w:rsidR="00482FF8">
        <w:rPr>
          <w:rFonts w:ascii="Times New Roman" w:hAnsi="Times New Roman" w:cs="Times New Roman" w:hint="eastAsia"/>
          <w:szCs w:val="21"/>
        </w:rPr>
        <w:t>对于次级用户，按照其负荷权重进行分配。最后，</w:t>
      </w:r>
      <w:r w:rsidRPr="008453EA">
        <w:rPr>
          <w:rFonts w:ascii="Times New Roman" w:hAnsi="Times New Roman" w:cs="Times New Roman" w:hint="eastAsia"/>
          <w:szCs w:val="21"/>
        </w:rPr>
        <w:t>相应修正系统总负荷与电源端发电功率，重新计算潮流分布，直至全系统内不存在过载设施，达到</w:t>
      </w:r>
      <w:r w:rsidR="008E007E" w:rsidRPr="00475B32">
        <w:rPr>
          <w:rFonts w:ascii="Times New Roman" w:hAnsi="Times New Roman" w:cs="Times New Roman" w:hint="eastAsia"/>
          <w:szCs w:val="21"/>
        </w:rPr>
        <w:t>震后</w:t>
      </w:r>
      <w:r w:rsidRPr="00475B32">
        <w:rPr>
          <w:rFonts w:ascii="Times New Roman" w:hAnsi="Times New Roman" w:cs="Times New Roman"/>
          <w:szCs w:val="21"/>
        </w:rPr>
        <w:t>稳态</w:t>
      </w:r>
      <w:r w:rsidRPr="008453EA">
        <w:rPr>
          <w:rFonts w:ascii="Times New Roman" w:hAnsi="Times New Roman" w:cs="Times New Roman" w:hint="eastAsia"/>
          <w:szCs w:val="21"/>
        </w:rPr>
        <w:t>。</w:t>
      </w:r>
    </w:p>
    <w:p w14:paraId="61A4BDF7" w14:textId="1604056C" w:rsidR="001F7B30" w:rsidRDefault="00AF6AFA">
      <w:pPr>
        <w:jc w:val="center"/>
        <w:rPr>
          <w:rFonts w:ascii="Times New Roman" w:hAnsi="Times New Roman"/>
          <w:sz w:val="18"/>
          <w:szCs w:val="18"/>
        </w:rPr>
      </w:pPr>
      <w:r w:rsidRPr="00AF6AFA">
        <w:rPr>
          <w:noProof/>
        </w:rPr>
        <w:drawing>
          <wp:inline distT="0" distB="0" distL="0" distR="0" wp14:anchorId="3C0B023A" wp14:editId="077CD5DD">
            <wp:extent cx="2996565" cy="3051810"/>
            <wp:effectExtent l="0" t="0" r="0" b="0"/>
            <wp:docPr id="48244459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96565" cy="3051810"/>
                    </a:xfrm>
                    <a:prstGeom prst="rect">
                      <a:avLst/>
                    </a:prstGeom>
                    <a:noFill/>
                    <a:ln>
                      <a:noFill/>
                    </a:ln>
                  </pic:spPr>
                </pic:pic>
              </a:graphicData>
            </a:graphic>
          </wp:inline>
        </w:drawing>
      </w:r>
    </w:p>
    <w:p w14:paraId="0818A1B3" w14:textId="77777777" w:rsidR="001F7B30" w:rsidRDefault="00DA268A">
      <w:pPr>
        <w:pStyle w:val="afb"/>
        <w:numPr>
          <w:ilvl w:val="0"/>
          <w:numId w:val="2"/>
        </w:numPr>
        <w:ind w:firstLineChars="0"/>
        <w:jc w:val="center"/>
        <w:rPr>
          <w:rFonts w:ascii="Times New Roman" w:hAnsi="Times New Roman"/>
          <w:szCs w:val="21"/>
        </w:rPr>
      </w:pPr>
      <w:bookmarkStart w:id="9" w:name="_Ref204642592"/>
      <w:r>
        <w:rPr>
          <w:rFonts w:ascii="Times New Roman" w:hAnsi="Times New Roman" w:hint="eastAsia"/>
          <w:szCs w:val="21"/>
        </w:rPr>
        <w:t>震后功能评价算法核心流程</w:t>
      </w:r>
      <w:bookmarkEnd w:id="9"/>
    </w:p>
    <w:p w14:paraId="33FFF1E5" w14:textId="7A559794" w:rsidR="001F7B30" w:rsidRPr="008D40DB" w:rsidRDefault="004C7EF7" w:rsidP="008D40DB">
      <w:pPr>
        <w:spacing w:line="240" w:lineRule="atLeast"/>
        <w:outlineLvl w:val="2"/>
        <w:rPr>
          <w:rFonts w:ascii="Times New Roman" w:hAnsi="Times New Roman" w:cs="Times New Roman"/>
          <w:b/>
          <w:bCs/>
          <w:szCs w:val="21"/>
        </w:rPr>
      </w:pPr>
      <w:r>
        <w:rPr>
          <w:rFonts w:ascii="Times New Roman" w:hAnsi="Times New Roman" w:cs="Times New Roman" w:hint="eastAsia"/>
          <w:b/>
          <w:bCs/>
          <w:szCs w:val="21"/>
        </w:rPr>
        <w:t xml:space="preserve">1.2.5 </w:t>
      </w:r>
      <w:r w:rsidR="00DA268A" w:rsidRPr="008D40DB">
        <w:rPr>
          <w:rFonts w:ascii="Times New Roman" w:hAnsi="Times New Roman" w:cs="Times New Roman" w:hint="eastAsia"/>
          <w:b/>
          <w:bCs/>
          <w:szCs w:val="21"/>
        </w:rPr>
        <w:t>系统功能评价</w:t>
      </w:r>
    </w:p>
    <w:p w14:paraId="7CEFBBEC" w14:textId="552BE70B"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城市电力系统震后功能定义为负荷供应功能指数</w:t>
      </w:r>
      <w:r>
        <w:rPr>
          <w:rFonts w:ascii="Times New Roman" w:hAnsi="Times New Roman" w:cs="Times New Roman" w:hint="eastAsia"/>
          <w:szCs w:val="21"/>
        </w:rPr>
        <w:t xml:space="preserve"> (Load-Supply Performance Index, LSPI)</w:t>
      </w:r>
      <w:r>
        <w:rPr>
          <w:rFonts w:ascii="Times New Roman" w:hAnsi="Times New Roman" w:cs="Times New Roman" w:hint="eastAsia"/>
          <w:szCs w:val="21"/>
        </w:rPr>
        <w:t>，如式</w:t>
      </w:r>
      <w:r>
        <w:rPr>
          <w:rFonts w:ascii="Times New Roman" w:hAnsi="Times New Roman" w:cs="Times New Roman"/>
          <w:iCs/>
          <w:szCs w:val="21"/>
        </w:rPr>
        <w:fldChar w:fldCharType="begin"/>
      </w:r>
      <w:r>
        <w:rPr>
          <w:rFonts w:ascii="Times New Roman" w:hAnsi="Times New Roman" w:cs="Times New Roman"/>
          <w:iCs/>
          <w:szCs w:val="21"/>
        </w:rPr>
        <w:instrText xml:space="preserve"> </w:instrText>
      </w:r>
      <w:r>
        <w:rPr>
          <w:rFonts w:ascii="Times New Roman" w:hAnsi="Times New Roman" w:cs="Times New Roman" w:hint="eastAsia"/>
          <w:iCs/>
          <w:szCs w:val="21"/>
        </w:rPr>
        <w:instrText>GOTOBUTTON ZEqnNum905596  \* MERGEFORMAT</w:instrText>
      </w:r>
      <w:r>
        <w:rPr>
          <w:rFonts w:ascii="Times New Roman" w:hAnsi="Times New Roman" w:cs="Times New Roman"/>
          <w:iCs/>
          <w:szCs w:val="21"/>
        </w:rPr>
        <w:instrText xml:space="preserve"> </w:instrText>
      </w:r>
      <w:r>
        <w:rPr>
          <w:rFonts w:ascii="Times New Roman" w:hAnsi="Times New Roman" w:cs="Times New Roman"/>
          <w:iCs/>
          <w:szCs w:val="21"/>
        </w:rPr>
        <w:fldChar w:fldCharType="begin"/>
      </w:r>
      <w:r>
        <w:rPr>
          <w:rFonts w:ascii="Times New Roman" w:hAnsi="Times New Roman" w:cs="Times New Roman"/>
          <w:iCs/>
          <w:szCs w:val="21"/>
        </w:rPr>
        <w:instrText xml:space="preserve"> REF ZEqnNum905596 \* Charformat \! \* MERGEFORMAT </w:instrText>
      </w:r>
      <w:r>
        <w:rPr>
          <w:rFonts w:ascii="Times New Roman" w:hAnsi="Times New Roman" w:cs="Times New Roman"/>
          <w:iCs/>
          <w:szCs w:val="21"/>
        </w:rPr>
        <w:fldChar w:fldCharType="separate"/>
      </w:r>
      <w:r w:rsidR="00CC3C32" w:rsidRPr="005A42B9">
        <w:rPr>
          <w:rFonts w:ascii="Times New Roman" w:hAnsi="Times New Roman" w:cs="Times New Roman"/>
          <w:iCs/>
          <w:szCs w:val="21"/>
        </w:rPr>
        <w:instrText>(</w:instrText>
      </w:r>
      <w:r w:rsidR="00CC3C32" w:rsidRPr="00AD2757">
        <w:rPr>
          <w:rFonts w:ascii="Times New Roman" w:hAnsi="Times New Roman" w:cs="Times New Roman"/>
          <w:iCs/>
          <w:szCs w:val="21"/>
        </w:rPr>
        <w:instrText>1)</w:instrText>
      </w:r>
      <w:r>
        <w:rPr>
          <w:rFonts w:ascii="Times New Roman" w:hAnsi="Times New Roman" w:cs="Times New Roman"/>
          <w:iCs/>
          <w:szCs w:val="21"/>
        </w:rPr>
        <w:fldChar w:fldCharType="end"/>
      </w:r>
      <w:r>
        <w:rPr>
          <w:rFonts w:ascii="Times New Roman" w:hAnsi="Times New Roman" w:cs="Times New Roman"/>
          <w:iCs/>
          <w:szCs w:val="21"/>
        </w:rPr>
        <w:fldChar w:fldCharType="end"/>
      </w:r>
      <w:r>
        <w:rPr>
          <w:rFonts w:ascii="Times New Roman" w:hAnsi="Times New Roman" w:cs="Times New Roman" w:hint="eastAsia"/>
          <w:szCs w:val="21"/>
        </w:rPr>
        <w:t>所示：</w:t>
      </w:r>
      <w:r>
        <w:rPr>
          <w:rFonts w:ascii="Times New Roman" w:hAnsi="Times New Roman" w:cs="Times New Roman"/>
          <w:szCs w:val="21"/>
        </w:rPr>
        <w:t xml:space="preserve"> </w:t>
      </w:r>
    </w:p>
    <w:p w14:paraId="140955DB" w14:textId="1A9C8C23" w:rsidR="001F7B30" w:rsidRDefault="00DA268A">
      <w:pPr>
        <w:spacing w:line="240" w:lineRule="atLeast"/>
        <w:jc w:val="right"/>
        <w:rPr>
          <w:rFonts w:ascii="Times New Roman" w:hAnsi="Times New Roman" w:cs="Times New Roman"/>
          <w:szCs w:val="21"/>
        </w:rPr>
      </w:pPr>
      <m:oMath>
        <m:r>
          <w:rPr>
            <w:rFonts w:ascii="Cambria Math" w:hAnsi="Cambria Math" w:cs="Times New Roman"/>
            <w:szCs w:val="21"/>
          </w:rPr>
          <m:t>LSPI=</m:t>
        </m:r>
        <m:f>
          <m:fPr>
            <m:ctrlPr>
              <w:rPr>
                <w:rFonts w:ascii="Cambria Math" w:hAnsi="Cambria Math" w:cs="Times New Roman"/>
                <w:i/>
                <w:iCs/>
                <w:szCs w:val="21"/>
              </w:rPr>
            </m:ctrlPr>
          </m:fPr>
          <m:num>
            <m:nary>
              <m:naryPr>
                <m:chr m:val="∑"/>
                <m:supHide m:val="1"/>
                <m:ctrlPr>
                  <w:rPr>
                    <w:rFonts w:ascii="Cambria Math" w:hAnsi="Cambria Math" w:cs="Times New Roman"/>
                    <w:i/>
                    <w:iCs/>
                    <w:szCs w:val="21"/>
                  </w:rPr>
                </m:ctrlPr>
              </m:naryPr>
              <m:sub>
                <m:r>
                  <w:rPr>
                    <w:rFonts w:ascii="Cambria Math" w:hAnsi="Cambria Math" w:cs="Times New Roman"/>
                    <w:szCs w:val="21"/>
                  </w:rPr>
                  <m:t>i</m:t>
                </m:r>
                <m:r>
                  <w:rPr>
                    <w:rFonts w:ascii="Cambria Math" w:hAnsi="Cambria Math" w:cs="Times New Roman" w:hint="eastAsia"/>
                    <w:szCs w:val="21"/>
                  </w:rPr>
                  <m:t>∈</m:t>
                </m:r>
                <m:r>
                  <w:rPr>
                    <w:rFonts w:ascii="Cambria Math" w:hAnsi="Cambria Math" w:cs="Times New Roman"/>
                    <w:szCs w:val="21"/>
                  </w:rPr>
                  <m:t>supplied loads</m:t>
                </m:r>
              </m:sub>
              <m:sup/>
              <m:e>
                <m:sSub>
                  <m:sSubPr>
                    <m:ctrlPr>
                      <w:rPr>
                        <w:rFonts w:ascii="Cambria Math" w:hAnsi="Cambria Math" w:cs="Times New Roman"/>
                        <w:i/>
                        <w:iCs/>
                        <w:szCs w:val="21"/>
                      </w:rPr>
                    </m:ctrlPr>
                  </m:sSubPr>
                  <m:e>
                    <m:r>
                      <w:rPr>
                        <w:rFonts w:ascii="Cambria Math" w:hAnsi="Cambria Math" w:cs="Times New Roman"/>
                        <w:szCs w:val="21"/>
                      </w:rPr>
                      <m:t>P</m:t>
                    </m:r>
                  </m:e>
                  <m:sub>
                    <m:r>
                      <w:rPr>
                        <w:rFonts w:ascii="Cambria Math" w:hAnsi="Cambria Math" w:cs="Times New Roman"/>
                        <w:szCs w:val="21"/>
                      </w:rPr>
                      <m:t>i</m:t>
                    </m:r>
                  </m:sub>
                </m:sSub>
              </m:e>
            </m:nary>
          </m:num>
          <m:den>
            <m:nary>
              <m:naryPr>
                <m:chr m:val="∑"/>
                <m:supHide m:val="1"/>
                <m:ctrlPr>
                  <w:rPr>
                    <w:rFonts w:ascii="Cambria Math" w:hAnsi="Cambria Math" w:cs="Times New Roman"/>
                    <w:i/>
                    <w:iCs/>
                    <w:szCs w:val="21"/>
                  </w:rPr>
                </m:ctrlPr>
              </m:naryPr>
              <m:sub>
                <m:r>
                  <w:rPr>
                    <w:rFonts w:ascii="Cambria Math" w:hAnsi="Cambria Math" w:cs="Times New Roman"/>
                    <w:szCs w:val="21"/>
                  </w:rPr>
                  <m:t>j</m:t>
                </m:r>
                <m:r>
                  <w:rPr>
                    <w:rFonts w:ascii="Cambria Math" w:hAnsi="Cambria Math" w:cs="Times New Roman" w:hint="eastAsia"/>
                    <w:szCs w:val="21"/>
                  </w:rPr>
                  <m:t>∈</m:t>
                </m:r>
                <m:r>
                  <w:rPr>
                    <w:rFonts w:ascii="Cambria Math" w:hAnsi="Cambria Math" w:cs="Times New Roman"/>
                    <w:szCs w:val="21"/>
                  </w:rPr>
                  <m:t>all loads</m:t>
                </m:r>
              </m:sub>
              <m:sup/>
              <m:e>
                <m:sSub>
                  <m:sSubPr>
                    <m:ctrlPr>
                      <w:rPr>
                        <w:rFonts w:ascii="Cambria Math" w:hAnsi="Cambria Math" w:cs="Times New Roman"/>
                        <w:i/>
                        <w:iCs/>
                        <w:szCs w:val="21"/>
                      </w:rPr>
                    </m:ctrlPr>
                  </m:sSubPr>
                  <m:e>
                    <m:r>
                      <w:rPr>
                        <w:rFonts w:ascii="Cambria Math" w:hAnsi="Cambria Math" w:cs="Times New Roman"/>
                        <w:szCs w:val="21"/>
                      </w:rPr>
                      <m:t>P</m:t>
                    </m:r>
                  </m:e>
                  <m:sub>
                    <m:r>
                      <w:rPr>
                        <w:rFonts w:ascii="Cambria Math" w:hAnsi="Cambria Math" w:cs="Times New Roman"/>
                        <w:szCs w:val="21"/>
                      </w:rPr>
                      <m:t>j</m:t>
                    </m:r>
                  </m:sub>
                </m:sSub>
              </m:e>
            </m:nary>
          </m:den>
        </m:f>
      </m:oMath>
      <w:r w:rsidRPr="00453B2C">
        <w:rPr>
          <w:rFonts w:ascii="Times New Roman" w:hAnsi="Times New Roman" w:cs="Times New Roman"/>
          <w:szCs w:val="21"/>
        </w:rPr>
        <w:t>.</w:t>
      </w:r>
      <w:r>
        <w:rPr>
          <w:rFonts w:ascii="Times New Roman" w:hAnsi="Times New Roman" w:cs="Times New Roman"/>
          <w:szCs w:val="21"/>
        </w:rPr>
        <w:t xml:space="preserve"> </w:t>
      </w:r>
      <w:r>
        <w:rPr>
          <w:rFonts w:ascii="Times New Roman" w:hAnsi="Times New Roman" w:cs="Times New Roman"/>
          <w:szCs w:val="21"/>
        </w:rPr>
        <w:tab/>
      </w:r>
      <w:r>
        <w:rPr>
          <w:rFonts w:ascii="Times New Roman" w:hAnsi="Times New Roman" w:cs="Times New Roman"/>
          <w:szCs w:val="21"/>
        </w:rPr>
        <w:tab/>
      </w:r>
      <w:r>
        <w:rPr>
          <w:rFonts w:ascii="Times New Roman" w:hAnsi="Times New Roman" w:cs="Times New Roman"/>
          <w:szCs w:val="21"/>
        </w:rPr>
        <w:tab/>
      </w:r>
      <w:r>
        <w:rPr>
          <w:rFonts w:ascii="Times New Roman" w:hAnsi="Times New Roman" w:cs="Times New Roman"/>
          <w:szCs w:val="21"/>
        </w:rPr>
        <w:fldChar w:fldCharType="begin"/>
      </w:r>
      <w:r>
        <w:rPr>
          <w:rFonts w:ascii="Times New Roman" w:hAnsi="Times New Roman" w:cs="Times New Roman"/>
          <w:szCs w:val="21"/>
        </w:rPr>
        <w:instrText xml:space="preserve"> MACROBUTTON MTPlaceRef \* MERGEFORMAT </w:instrText>
      </w:r>
      <w:r>
        <w:rPr>
          <w:rFonts w:ascii="Times New Roman" w:hAnsi="Times New Roman" w:cs="Times New Roman"/>
          <w:szCs w:val="21"/>
        </w:rPr>
        <w:fldChar w:fldCharType="begin"/>
      </w:r>
      <w:r>
        <w:rPr>
          <w:rFonts w:ascii="Times New Roman" w:hAnsi="Times New Roman" w:cs="Times New Roman"/>
          <w:szCs w:val="21"/>
        </w:rPr>
        <w:instrText xml:space="preserve"> SEQ MTEqn \h \* MERGEFORMAT </w:instrText>
      </w:r>
      <w:r>
        <w:rPr>
          <w:rFonts w:ascii="Times New Roman" w:hAnsi="Times New Roman" w:cs="Times New Roman"/>
          <w:szCs w:val="21"/>
        </w:rPr>
        <w:fldChar w:fldCharType="end"/>
      </w:r>
      <w:bookmarkStart w:id="10" w:name="ZEqnNum905596"/>
      <w:r>
        <w:rPr>
          <w:rFonts w:ascii="Times New Roman" w:hAnsi="Times New Roman" w:cs="Times New Roman"/>
          <w:szCs w:val="21"/>
        </w:rPr>
        <w:instrText>(</w:instrText>
      </w:r>
      <w:r>
        <w:rPr>
          <w:rFonts w:ascii="Times New Roman" w:hAnsi="Times New Roman" w:cs="Times New Roman"/>
          <w:szCs w:val="21"/>
        </w:rPr>
        <w:fldChar w:fldCharType="begin"/>
      </w:r>
      <w:r>
        <w:rPr>
          <w:rFonts w:ascii="Times New Roman" w:hAnsi="Times New Roman" w:cs="Times New Roman"/>
          <w:szCs w:val="21"/>
        </w:rPr>
        <w:instrText xml:space="preserve"> SEQ MTEqn \c \* Arabic \* MERGEFORMAT </w:instrText>
      </w:r>
      <w:r>
        <w:rPr>
          <w:rFonts w:ascii="Times New Roman" w:hAnsi="Times New Roman" w:cs="Times New Roman"/>
          <w:szCs w:val="21"/>
        </w:rPr>
        <w:fldChar w:fldCharType="separate"/>
      </w:r>
      <w:r w:rsidR="00CC3C32">
        <w:rPr>
          <w:rFonts w:ascii="Times New Roman" w:hAnsi="Times New Roman" w:cs="Times New Roman"/>
          <w:noProof/>
          <w:szCs w:val="21"/>
        </w:rPr>
        <w:instrText>1</w:instrText>
      </w:r>
      <w:r>
        <w:rPr>
          <w:rFonts w:ascii="Times New Roman" w:hAnsi="Times New Roman" w:cs="Times New Roman"/>
          <w:szCs w:val="21"/>
        </w:rPr>
        <w:fldChar w:fldCharType="end"/>
      </w:r>
      <w:r>
        <w:rPr>
          <w:rFonts w:ascii="Times New Roman" w:hAnsi="Times New Roman" w:cs="Times New Roman"/>
          <w:szCs w:val="21"/>
        </w:rPr>
        <w:instrText>)</w:instrText>
      </w:r>
      <w:bookmarkEnd w:id="10"/>
      <w:r>
        <w:rPr>
          <w:rFonts w:ascii="Times New Roman" w:hAnsi="Times New Roman" w:cs="Times New Roman"/>
          <w:szCs w:val="21"/>
        </w:rPr>
        <w:fldChar w:fldCharType="end"/>
      </w:r>
      <w:r>
        <w:rPr>
          <w:rFonts w:ascii="Times New Roman" w:hAnsi="Times New Roman" w:cs="Times New Roman"/>
          <w:szCs w:val="21"/>
        </w:rPr>
        <w:t xml:space="preserve">                        </w:t>
      </w:r>
    </w:p>
    <w:p w14:paraId="452F759F" w14:textId="76B60BFE"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其中，Σ</w:t>
      </w:r>
      <w:r>
        <w:rPr>
          <w:rFonts w:ascii="Times New Roman" w:hAnsi="Times New Roman" w:cs="Times New Roman" w:hint="eastAsia"/>
          <w:i/>
          <w:iCs/>
          <w:szCs w:val="21"/>
          <w:vertAlign w:val="subscript"/>
        </w:rPr>
        <w:t>i</w:t>
      </w:r>
      <w:r>
        <w:rPr>
          <w:rFonts w:ascii="Times New Roman" w:hAnsi="Times New Roman" w:cs="Times New Roman" w:hint="eastAsia"/>
          <w:i/>
          <w:iCs/>
          <w:szCs w:val="21"/>
          <w:vertAlign w:val="subscript"/>
        </w:rPr>
        <w:t>∈</w:t>
      </w:r>
      <w:r w:rsidR="00C5089C">
        <w:rPr>
          <w:rFonts w:ascii="Times New Roman" w:hAnsi="Times New Roman" w:cs="Times New Roman" w:hint="eastAsia"/>
          <w:i/>
          <w:iCs/>
          <w:szCs w:val="21"/>
          <w:vertAlign w:val="subscript"/>
        </w:rPr>
        <w:t>supplied</w:t>
      </w:r>
      <w:r>
        <w:rPr>
          <w:rFonts w:ascii="Times New Roman" w:hAnsi="Times New Roman" w:cs="Times New Roman" w:hint="eastAsia"/>
          <w:i/>
          <w:iCs/>
          <w:szCs w:val="21"/>
          <w:vertAlign w:val="subscript"/>
        </w:rPr>
        <w:t xml:space="preserve"> loads </w:t>
      </w:r>
      <w:r>
        <w:rPr>
          <w:rFonts w:ascii="Times New Roman" w:hAnsi="Times New Roman" w:cs="Times New Roman" w:hint="eastAsia"/>
          <w:i/>
          <w:iCs/>
          <w:szCs w:val="21"/>
        </w:rPr>
        <w:t>P</w:t>
      </w:r>
      <w:r>
        <w:rPr>
          <w:rFonts w:ascii="Times New Roman" w:hAnsi="Times New Roman" w:cs="Times New Roman" w:hint="eastAsia"/>
          <w:i/>
          <w:iCs/>
          <w:szCs w:val="21"/>
          <w:vertAlign w:val="subscript"/>
        </w:rPr>
        <w:t>i</w:t>
      </w:r>
      <w:r>
        <w:rPr>
          <w:rFonts w:ascii="Times New Roman" w:hAnsi="Times New Roman" w:cs="Times New Roman" w:hint="eastAsia"/>
          <w:szCs w:val="21"/>
        </w:rPr>
        <w:t>表示当前地震场景下成功供电的用户负荷之和；Σ</w:t>
      </w:r>
      <w:r>
        <w:rPr>
          <w:rFonts w:ascii="Times New Roman" w:hAnsi="Times New Roman" w:cs="Times New Roman" w:hint="eastAsia"/>
          <w:i/>
          <w:iCs/>
          <w:szCs w:val="21"/>
          <w:vertAlign w:val="subscript"/>
        </w:rPr>
        <w:t>j</w:t>
      </w:r>
      <w:r>
        <w:rPr>
          <w:rFonts w:ascii="Times New Roman" w:hAnsi="Times New Roman" w:cs="Times New Roman" w:hint="eastAsia"/>
          <w:i/>
          <w:iCs/>
          <w:szCs w:val="21"/>
          <w:vertAlign w:val="subscript"/>
        </w:rPr>
        <w:t>∈</w:t>
      </w:r>
      <w:r>
        <w:rPr>
          <w:rFonts w:ascii="Times New Roman" w:hAnsi="Times New Roman" w:cs="Times New Roman" w:hint="eastAsia"/>
          <w:i/>
          <w:iCs/>
          <w:szCs w:val="21"/>
          <w:vertAlign w:val="subscript"/>
        </w:rPr>
        <w:t xml:space="preserve">all loads </w:t>
      </w:r>
      <w:r>
        <w:rPr>
          <w:rFonts w:ascii="Times New Roman" w:hAnsi="Times New Roman" w:cs="Times New Roman" w:hint="eastAsia"/>
          <w:i/>
          <w:iCs/>
          <w:szCs w:val="21"/>
        </w:rPr>
        <w:t>P</w:t>
      </w:r>
      <w:r>
        <w:rPr>
          <w:rFonts w:ascii="Times New Roman" w:hAnsi="Times New Roman" w:cs="Times New Roman" w:hint="eastAsia"/>
          <w:i/>
          <w:iCs/>
          <w:szCs w:val="21"/>
          <w:vertAlign w:val="subscript"/>
        </w:rPr>
        <w:t>j</w:t>
      </w:r>
      <w:r>
        <w:rPr>
          <w:rFonts w:ascii="Times New Roman" w:hAnsi="Times New Roman" w:cs="Times New Roman" w:hint="eastAsia"/>
          <w:szCs w:val="21"/>
        </w:rPr>
        <w:t>表示</w:t>
      </w:r>
      <w:r>
        <w:rPr>
          <w:rFonts w:ascii="Times New Roman" w:hAnsi="Times New Roman" w:cs="Times New Roman"/>
          <w:szCs w:val="21"/>
        </w:rPr>
        <w:t>震前城市电力系统所覆盖的全部用户负荷</w:t>
      </w:r>
      <w:r>
        <w:rPr>
          <w:rFonts w:ascii="Times New Roman" w:hAnsi="Times New Roman" w:cs="Times New Roman" w:hint="eastAsia"/>
          <w:szCs w:val="21"/>
        </w:rPr>
        <w:t>。</w:t>
      </w:r>
    </w:p>
    <w:p w14:paraId="48C01E0B" w14:textId="5367AF72" w:rsidR="001F7B30" w:rsidRDefault="00A72661">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此环节</w:t>
      </w:r>
      <w:r w:rsidR="002B6AFF">
        <w:rPr>
          <w:rFonts w:ascii="Times New Roman" w:hAnsi="Times New Roman" w:cs="Times New Roman" w:hint="eastAsia"/>
          <w:szCs w:val="21"/>
        </w:rPr>
        <w:t>基于</w:t>
      </w:r>
      <w:r w:rsidR="00922E7D">
        <w:rPr>
          <w:rFonts w:ascii="Times New Roman" w:hAnsi="Times New Roman" w:cs="Times New Roman" w:hint="eastAsia"/>
          <w:szCs w:val="21"/>
        </w:rPr>
        <w:t>模拟</w:t>
      </w:r>
      <w:r w:rsidR="002B6AFF">
        <w:rPr>
          <w:rFonts w:ascii="Times New Roman" w:hAnsi="Times New Roman" w:cs="Times New Roman" w:hint="eastAsia"/>
          <w:szCs w:val="21"/>
        </w:rPr>
        <w:t>结果</w:t>
      </w:r>
      <w:r w:rsidR="008B05F9">
        <w:rPr>
          <w:rFonts w:ascii="Times New Roman" w:hAnsi="Times New Roman" w:cs="Times New Roman" w:hint="eastAsia"/>
          <w:szCs w:val="21"/>
        </w:rPr>
        <w:t>，</w:t>
      </w:r>
      <w:r w:rsidR="00DA268A">
        <w:rPr>
          <w:rFonts w:ascii="Times New Roman" w:hAnsi="Times New Roman" w:cs="Times New Roman"/>
          <w:szCs w:val="21"/>
        </w:rPr>
        <w:t>结合</w:t>
      </w:r>
      <w:r w:rsidR="008E0C64">
        <w:rPr>
          <w:rFonts w:ascii="Times New Roman" w:hAnsi="Times New Roman" w:cs="Times New Roman" w:hint="eastAsia"/>
          <w:szCs w:val="21"/>
        </w:rPr>
        <w:t>城市</w:t>
      </w:r>
      <w:r w:rsidR="00DA268A">
        <w:rPr>
          <w:rFonts w:ascii="Times New Roman" w:hAnsi="Times New Roman" w:cs="Times New Roman"/>
          <w:szCs w:val="21"/>
        </w:rPr>
        <w:t>空间分区与用户类型，分析不同区域、不同负荷类别的供电情况，用于识别功能脆弱区和重点保障对象。该评价结果</w:t>
      </w:r>
      <w:r w:rsidR="00DA268A">
        <w:rPr>
          <w:rFonts w:ascii="Times New Roman" w:hAnsi="Times New Roman" w:cs="Times New Roman" w:hint="eastAsia"/>
          <w:szCs w:val="21"/>
        </w:rPr>
        <w:t>可</w:t>
      </w:r>
      <w:r w:rsidR="00DA268A">
        <w:rPr>
          <w:rFonts w:ascii="Times New Roman" w:hAnsi="Times New Roman" w:cs="Times New Roman"/>
          <w:szCs w:val="21"/>
        </w:rPr>
        <w:t>为震后调配资源、制定恢复策略提供基础支撑。</w:t>
      </w:r>
    </w:p>
    <w:p w14:paraId="0D4D5834" w14:textId="0A1FF8AF" w:rsidR="001F7B30" w:rsidRDefault="00DA268A" w:rsidP="002B691E">
      <w:pPr>
        <w:widowControl/>
        <w:spacing w:line="240" w:lineRule="atLeast"/>
        <w:outlineLvl w:val="0"/>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2</w:t>
      </w:r>
      <w:r w:rsidR="008E007E">
        <w:rPr>
          <w:rFonts w:ascii="Times New Roman" w:eastAsia="宋体" w:hAnsi="Times New Roman" w:cs="Times New Roman" w:hint="eastAsia"/>
          <w:b/>
          <w:bCs/>
          <w:kern w:val="0"/>
          <w:sz w:val="24"/>
          <w:szCs w:val="24"/>
        </w:rPr>
        <w:t xml:space="preserve"> </w:t>
      </w:r>
      <w:r>
        <w:rPr>
          <w:rFonts w:ascii="Times New Roman" w:eastAsia="宋体" w:hAnsi="Times New Roman" w:cs="Times New Roman" w:hint="eastAsia"/>
          <w:b/>
          <w:bCs/>
          <w:kern w:val="0"/>
          <w:sz w:val="24"/>
          <w:szCs w:val="24"/>
        </w:rPr>
        <w:t>基准城市模型</w:t>
      </w:r>
    </w:p>
    <w:p w14:paraId="6B3D6BF3" w14:textId="1337DE79" w:rsidR="001F7B30" w:rsidRDefault="00885EA5">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电力基础设施关系到国家安全，相关资料通常具有较高的保密性，受到政府的严格监管，难以获得。在以往的研究中，项目组建立了城市基准模型</w:t>
      </w:r>
      <w:r>
        <w:rPr>
          <w:rFonts w:ascii="Times New Roman" w:hAnsi="Times New Roman" w:cs="Times New Roman"/>
          <w:szCs w:val="21"/>
        </w:rPr>
        <w:fldChar w:fldCharType="begin"/>
      </w:r>
      <w:r>
        <w:rPr>
          <w:rFonts w:ascii="Times New Roman" w:hAnsi="Times New Roman" w:cs="Times New Roman"/>
          <w:szCs w:val="21"/>
        </w:rPr>
        <w:instrText xml:space="preserve"> </w:instrText>
      </w:r>
      <w:r>
        <w:rPr>
          <w:rFonts w:ascii="Times New Roman" w:hAnsi="Times New Roman" w:cs="Times New Roman" w:hint="eastAsia"/>
          <w:szCs w:val="21"/>
        </w:rPr>
        <w:instrText>REF _Ref178625768 \r \h</w:instrText>
      </w:r>
      <w:r>
        <w:rPr>
          <w:rFonts w:ascii="Times New Roman" w:hAnsi="Times New Roman" w:cs="Times New Roman"/>
          <w:szCs w:val="21"/>
        </w:rPr>
        <w:instrText xml:space="preserve">  \* MERGEFORMAT </w:instrText>
      </w:r>
      <w:r>
        <w:rPr>
          <w:rFonts w:ascii="Times New Roman" w:hAnsi="Times New Roman" w:cs="Times New Roman"/>
          <w:szCs w:val="21"/>
        </w:rPr>
      </w:r>
      <w:r>
        <w:rPr>
          <w:rFonts w:ascii="Times New Roman" w:hAnsi="Times New Roman" w:cs="Times New Roman"/>
          <w:szCs w:val="21"/>
        </w:rPr>
        <w:fldChar w:fldCharType="separate"/>
      </w:r>
      <w:r w:rsidR="00CC3C32">
        <w:rPr>
          <w:rFonts w:ascii="Times New Roman" w:hAnsi="Times New Roman" w:cs="Times New Roman"/>
          <w:szCs w:val="21"/>
          <w:cs/>
        </w:rPr>
        <w:t>‎</w:t>
      </w:r>
      <w:r w:rsidR="00CC3C32" w:rsidRPr="00AD2757">
        <w:rPr>
          <w:rFonts w:ascii="Times New Roman" w:hAnsi="Times New Roman" w:cs="Times New Roman"/>
          <w:color w:val="0000FF"/>
          <w:szCs w:val="21"/>
          <w:vertAlign w:val="superscript"/>
        </w:rPr>
        <w:t>[34]</w:t>
      </w:r>
      <w:r>
        <w:rPr>
          <w:rFonts w:ascii="Times New Roman" w:hAnsi="Times New Roman" w:cs="Times New Roman"/>
          <w:szCs w:val="21"/>
        </w:rPr>
        <w:fldChar w:fldCharType="end"/>
      </w:r>
      <w:r>
        <w:rPr>
          <w:rFonts w:ascii="Times New Roman" w:hAnsi="Times New Roman" w:cs="Times New Roman" w:hint="eastAsia"/>
          <w:szCs w:val="21"/>
        </w:rPr>
        <w:t>（后文简称“基准城市”），为城市生命线系统抗震韧性研究提供了基础。本文以基准城市模型为例</w:t>
      </w:r>
      <w:r>
        <w:rPr>
          <w:rFonts w:ascii="Times New Roman" w:hAnsi="Times New Roman" w:cs="Times New Roman"/>
          <w:szCs w:val="21"/>
        </w:rPr>
        <w:t>验证震后功能分析框架的适用性与有效性。</w:t>
      </w:r>
    </w:p>
    <w:p w14:paraId="2E6337CC" w14:textId="77777777" w:rsidR="001F7B30" w:rsidRDefault="00DA268A" w:rsidP="002B691E">
      <w:pPr>
        <w:widowControl/>
        <w:spacing w:line="240" w:lineRule="atLeast"/>
        <w:outlineLvl w:val="1"/>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lastRenderedPageBreak/>
        <w:t>2</w:t>
      </w:r>
      <w:r>
        <w:rPr>
          <w:rFonts w:ascii="Times New Roman" w:eastAsia="宋体" w:hAnsi="Times New Roman" w:cs="Times New Roman"/>
          <w:b/>
          <w:kern w:val="0"/>
          <w:szCs w:val="21"/>
        </w:rPr>
        <w:t xml:space="preserve">.1  </w:t>
      </w:r>
      <w:r>
        <w:rPr>
          <w:rFonts w:ascii="Times New Roman" w:eastAsia="宋体" w:hAnsi="Times New Roman" w:cs="Times New Roman" w:hint="eastAsia"/>
          <w:b/>
          <w:kern w:val="0"/>
          <w:szCs w:val="21"/>
        </w:rPr>
        <w:t>基准城市简介</w:t>
      </w:r>
    </w:p>
    <w:p w14:paraId="2F6063F4" w14:textId="405738D6"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基准城市基于中国东南沿海区域的一个中等规模城市建立，包含建筑、电力、通讯、交通、给排水等基础设施系统，由</w:t>
      </w:r>
      <w:r>
        <w:rPr>
          <w:rFonts w:ascii="Times New Roman" w:hAnsi="Times New Roman" w:cs="Times New Roman" w:hint="eastAsia"/>
          <w:szCs w:val="21"/>
        </w:rPr>
        <w:t>5</w:t>
      </w:r>
      <w:r>
        <w:rPr>
          <w:rFonts w:ascii="Times New Roman" w:hAnsi="Times New Roman" w:cs="Times New Roman" w:hint="eastAsia"/>
          <w:szCs w:val="21"/>
        </w:rPr>
        <w:t>个城市分区组成，形成</w:t>
      </w:r>
      <w:r>
        <w:rPr>
          <w:rFonts w:ascii="Times New Roman" w:hAnsi="Times New Roman" w:cs="Times New Roman" w:hint="eastAsia"/>
          <w:szCs w:val="21"/>
        </w:rPr>
        <w:t>14</w:t>
      </w:r>
      <w:r>
        <w:rPr>
          <w:rFonts w:ascii="Times New Roman" w:hAnsi="Times New Roman" w:cs="Times New Roman" w:hint="eastAsia"/>
          <w:szCs w:val="21"/>
        </w:rPr>
        <w:t>个居住社区，包含</w:t>
      </w:r>
      <w:r>
        <w:rPr>
          <w:rFonts w:ascii="Times New Roman" w:hAnsi="Times New Roman" w:cs="Times New Roman" w:hint="eastAsia"/>
          <w:szCs w:val="21"/>
        </w:rPr>
        <w:t>337</w:t>
      </w:r>
      <w:r>
        <w:rPr>
          <w:rFonts w:ascii="Times New Roman" w:hAnsi="Times New Roman" w:cs="Times New Roman" w:hint="eastAsia"/>
          <w:szCs w:val="21"/>
        </w:rPr>
        <w:t>个居住单元，总人口数量为</w:t>
      </w:r>
      <w:r>
        <w:rPr>
          <w:rFonts w:ascii="Times New Roman" w:hAnsi="Times New Roman" w:cs="Times New Roman" w:hint="eastAsia"/>
          <w:szCs w:val="21"/>
        </w:rPr>
        <w:t>69</w:t>
      </w:r>
      <w:r>
        <w:rPr>
          <w:rFonts w:ascii="Times New Roman" w:hAnsi="Times New Roman" w:cs="Times New Roman" w:hint="eastAsia"/>
          <w:szCs w:val="21"/>
        </w:rPr>
        <w:t>万。</w:t>
      </w:r>
      <w:r w:rsidR="00871818" w:rsidRPr="00871818">
        <w:rPr>
          <w:rFonts w:ascii="Times New Roman" w:hAnsi="Times New Roman" w:cs="Times New Roman" w:hint="eastAsia"/>
          <w:szCs w:val="21"/>
        </w:rPr>
        <w:t>该虚拟城市抗震设防烈度为</w:t>
      </w:r>
      <w:r w:rsidR="00871818" w:rsidRPr="00871818">
        <w:rPr>
          <w:rFonts w:ascii="Times New Roman" w:hAnsi="Times New Roman" w:cs="Times New Roman" w:hint="eastAsia"/>
          <w:szCs w:val="21"/>
        </w:rPr>
        <w:t>7</w:t>
      </w:r>
      <w:r w:rsidR="00871818" w:rsidRPr="00871818">
        <w:rPr>
          <w:rFonts w:ascii="Times New Roman" w:hAnsi="Times New Roman" w:cs="Times New Roman" w:hint="eastAsia"/>
          <w:szCs w:val="21"/>
        </w:rPr>
        <w:t>度，设计基本地震加速度值为</w:t>
      </w:r>
      <w:r w:rsidR="00871818" w:rsidRPr="00871818">
        <w:rPr>
          <w:rFonts w:ascii="Times New Roman" w:hAnsi="Times New Roman" w:cs="Times New Roman" w:hint="eastAsia"/>
          <w:szCs w:val="21"/>
        </w:rPr>
        <w:t>0.10g</w:t>
      </w:r>
      <w:r w:rsidR="00871818" w:rsidRPr="00871818">
        <w:rPr>
          <w:rFonts w:ascii="Times New Roman" w:hAnsi="Times New Roman" w:cs="Times New Roman" w:hint="eastAsia"/>
          <w:szCs w:val="21"/>
        </w:rPr>
        <w:t>，设计地震分组为第二组</w:t>
      </w:r>
      <w:r w:rsidR="00FF413F" w:rsidRPr="008453EA">
        <w:rPr>
          <w:rFonts w:ascii="Times New Roman" w:hAnsi="Times New Roman" w:cs="Times New Roman"/>
          <w:color w:val="0000FF"/>
          <w:szCs w:val="21"/>
          <w:vertAlign w:val="superscript"/>
        </w:rPr>
        <w:fldChar w:fldCharType="begin"/>
      </w:r>
      <w:r w:rsidR="00FF413F" w:rsidRPr="008453EA">
        <w:rPr>
          <w:rFonts w:ascii="Times New Roman" w:hAnsi="Times New Roman" w:cs="Times New Roman"/>
          <w:color w:val="0000FF"/>
          <w:szCs w:val="21"/>
          <w:vertAlign w:val="superscript"/>
        </w:rPr>
        <w:instrText xml:space="preserve"> REF _Ref176287265 \r \h </w:instrText>
      </w:r>
      <w:r w:rsidR="00FF413F">
        <w:rPr>
          <w:rFonts w:ascii="Times New Roman" w:hAnsi="Times New Roman" w:cs="Times New Roman"/>
          <w:color w:val="0000FF"/>
          <w:szCs w:val="21"/>
          <w:vertAlign w:val="superscript"/>
        </w:rPr>
        <w:instrText xml:space="preserve"> \* MERGEFORMAT </w:instrText>
      </w:r>
      <w:r w:rsidR="00FF413F" w:rsidRPr="008453EA">
        <w:rPr>
          <w:rFonts w:ascii="Times New Roman" w:hAnsi="Times New Roman" w:cs="Times New Roman"/>
          <w:color w:val="0000FF"/>
          <w:szCs w:val="21"/>
          <w:vertAlign w:val="superscript"/>
        </w:rPr>
      </w:r>
      <w:r w:rsidR="00FF413F" w:rsidRPr="008453EA">
        <w:rPr>
          <w:rFonts w:ascii="Times New Roman" w:hAnsi="Times New Roman" w:cs="Times New Roman"/>
          <w:color w:val="0000FF"/>
          <w:szCs w:val="21"/>
          <w:vertAlign w:val="superscript"/>
        </w:rPr>
        <w:fldChar w:fldCharType="separate"/>
      </w:r>
      <w:r w:rsidR="001647C5">
        <w:rPr>
          <w:rFonts w:ascii="Times New Roman" w:hAnsi="Times New Roman" w:cs="Times New Roman"/>
          <w:color w:val="0000FF"/>
          <w:szCs w:val="21"/>
          <w:vertAlign w:val="superscript"/>
          <w:cs/>
        </w:rPr>
        <w:t>‎</w:t>
      </w:r>
      <w:r w:rsidR="001647C5">
        <w:rPr>
          <w:rFonts w:ascii="Times New Roman" w:hAnsi="Times New Roman" w:cs="Times New Roman"/>
          <w:color w:val="0000FF"/>
          <w:szCs w:val="21"/>
          <w:vertAlign w:val="superscript"/>
        </w:rPr>
        <w:t>[35]</w:t>
      </w:r>
      <w:r w:rsidR="00FF413F" w:rsidRPr="008453EA">
        <w:rPr>
          <w:rFonts w:ascii="Times New Roman" w:hAnsi="Times New Roman" w:cs="Times New Roman"/>
          <w:color w:val="0000FF"/>
          <w:szCs w:val="21"/>
          <w:vertAlign w:val="superscript"/>
        </w:rPr>
        <w:fldChar w:fldCharType="end"/>
      </w:r>
      <w:r w:rsidR="005A723E">
        <w:rPr>
          <w:rFonts w:ascii="Times New Roman" w:hAnsi="Times New Roman" w:cs="Times New Roman" w:hint="eastAsia"/>
          <w:szCs w:val="21"/>
        </w:rPr>
        <w:t>。</w:t>
      </w:r>
    </w:p>
    <w:p w14:paraId="1FE74F20" w14:textId="7D90E46E"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基准城市电力系统（</w:t>
      </w:r>
      <w:r>
        <w:rPr>
          <w:rFonts w:ascii="Times New Roman" w:hAnsi="Times New Roman" w:cs="Times New Roman"/>
          <w:szCs w:val="21"/>
        </w:rPr>
        <w:fldChar w:fldCharType="begin"/>
      </w:r>
      <w:r>
        <w:rPr>
          <w:rFonts w:ascii="Times New Roman" w:hAnsi="Times New Roman" w:cs="Times New Roman"/>
          <w:szCs w:val="21"/>
        </w:rPr>
        <w:instrText xml:space="preserve"> </w:instrText>
      </w:r>
      <w:r>
        <w:rPr>
          <w:rFonts w:ascii="Times New Roman" w:hAnsi="Times New Roman" w:cs="Times New Roman" w:hint="eastAsia"/>
          <w:szCs w:val="21"/>
        </w:rPr>
        <w:instrText>REF _Ref204376247 \r \h</w:instrText>
      </w:r>
      <w:r>
        <w:rPr>
          <w:rFonts w:ascii="Times New Roman" w:hAnsi="Times New Roman" w:cs="Times New Roman"/>
          <w:szCs w:val="21"/>
        </w:rPr>
        <w:instrText xml:space="preserve">  \* MERGEFORMAT </w:instrText>
      </w:r>
      <w:r>
        <w:rPr>
          <w:rFonts w:ascii="Times New Roman" w:hAnsi="Times New Roman" w:cs="Times New Roman"/>
          <w:szCs w:val="21"/>
        </w:rPr>
      </w:r>
      <w:r>
        <w:rPr>
          <w:rFonts w:ascii="Times New Roman" w:hAnsi="Times New Roman" w:cs="Times New Roman"/>
          <w:szCs w:val="21"/>
        </w:rPr>
        <w:fldChar w:fldCharType="separate"/>
      </w:r>
      <w:r w:rsidR="001647C5">
        <w:rPr>
          <w:rFonts w:ascii="Times New Roman" w:hAnsi="Times New Roman" w:cs="Times New Roman"/>
          <w:szCs w:val="21"/>
          <w:cs/>
        </w:rPr>
        <w:t>‎</w:t>
      </w:r>
      <w:r w:rsidR="001647C5" w:rsidRPr="001647C5">
        <w:rPr>
          <w:rFonts w:ascii="Times New Roman" w:hAnsi="Times New Roman" w:cs="Times New Roman" w:hint="eastAsia"/>
          <w:color w:val="0000FF"/>
          <w:szCs w:val="21"/>
        </w:rPr>
        <w:t>图</w:t>
      </w:r>
      <w:r w:rsidR="001647C5" w:rsidRPr="001647C5">
        <w:rPr>
          <w:rFonts w:ascii="Times New Roman" w:hAnsi="Times New Roman" w:cs="Times New Roman"/>
          <w:color w:val="0000FF"/>
          <w:szCs w:val="21"/>
        </w:rPr>
        <w:t>5</w:t>
      </w:r>
      <w:r>
        <w:rPr>
          <w:rFonts w:ascii="Times New Roman" w:hAnsi="Times New Roman" w:cs="Times New Roman"/>
          <w:szCs w:val="21"/>
        </w:rPr>
        <w:fldChar w:fldCharType="end"/>
      </w:r>
      <w:r>
        <w:rPr>
          <w:rFonts w:ascii="Times New Roman" w:hAnsi="Times New Roman" w:cs="Times New Roman" w:hint="eastAsia"/>
          <w:szCs w:val="21"/>
        </w:rPr>
        <w:t>）包含</w:t>
      </w:r>
      <w:r>
        <w:rPr>
          <w:rFonts w:ascii="Times New Roman" w:hAnsi="Times New Roman" w:cs="Times New Roman" w:hint="eastAsia"/>
          <w:szCs w:val="21"/>
        </w:rPr>
        <w:t>1</w:t>
      </w:r>
      <w:r>
        <w:rPr>
          <w:rFonts w:ascii="Times New Roman" w:hAnsi="Times New Roman" w:cs="Times New Roman" w:hint="eastAsia"/>
          <w:szCs w:val="21"/>
        </w:rPr>
        <w:t>座发电厂、</w:t>
      </w:r>
      <w:r>
        <w:rPr>
          <w:rFonts w:ascii="Times New Roman" w:hAnsi="Times New Roman" w:cs="Times New Roman" w:hint="eastAsia"/>
          <w:szCs w:val="21"/>
        </w:rPr>
        <w:t>2</w:t>
      </w:r>
      <w:r>
        <w:rPr>
          <w:rFonts w:ascii="Times New Roman" w:hAnsi="Times New Roman" w:cs="Times New Roman" w:hint="eastAsia"/>
          <w:szCs w:val="21"/>
        </w:rPr>
        <w:t>座</w:t>
      </w:r>
      <w:r>
        <w:rPr>
          <w:rFonts w:ascii="Times New Roman" w:hAnsi="Times New Roman" w:cs="Times New Roman" w:hint="eastAsia"/>
          <w:szCs w:val="21"/>
        </w:rPr>
        <w:t>500kV</w:t>
      </w:r>
      <w:r>
        <w:rPr>
          <w:rFonts w:ascii="Times New Roman" w:hAnsi="Times New Roman" w:cs="Times New Roman" w:hint="eastAsia"/>
          <w:szCs w:val="21"/>
        </w:rPr>
        <w:t>变电站、</w:t>
      </w:r>
      <w:r>
        <w:rPr>
          <w:rFonts w:ascii="Times New Roman" w:hAnsi="Times New Roman" w:cs="Times New Roman" w:hint="eastAsia"/>
          <w:szCs w:val="21"/>
        </w:rPr>
        <w:t>10</w:t>
      </w:r>
      <w:r>
        <w:rPr>
          <w:rFonts w:ascii="Times New Roman" w:hAnsi="Times New Roman" w:cs="Times New Roman" w:hint="eastAsia"/>
          <w:szCs w:val="21"/>
        </w:rPr>
        <w:t>座</w:t>
      </w:r>
      <w:r>
        <w:rPr>
          <w:rFonts w:ascii="Times New Roman" w:hAnsi="Times New Roman" w:cs="Times New Roman" w:hint="eastAsia"/>
          <w:szCs w:val="21"/>
        </w:rPr>
        <w:t>220kV</w:t>
      </w:r>
      <w:r>
        <w:rPr>
          <w:rFonts w:ascii="Times New Roman" w:hAnsi="Times New Roman" w:cs="Times New Roman" w:hint="eastAsia"/>
          <w:szCs w:val="21"/>
        </w:rPr>
        <w:t>变电站、</w:t>
      </w:r>
      <w:r>
        <w:rPr>
          <w:rFonts w:ascii="Times New Roman" w:hAnsi="Times New Roman" w:cs="Times New Roman" w:hint="eastAsia"/>
          <w:szCs w:val="21"/>
        </w:rPr>
        <w:t>20</w:t>
      </w:r>
      <w:r>
        <w:rPr>
          <w:rFonts w:ascii="Times New Roman" w:hAnsi="Times New Roman" w:cs="Times New Roman" w:hint="eastAsia"/>
          <w:szCs w:val="21"/>
        </w:rPr>
        <w:t>座</w:t>
      </w:r>
      <w:r>
        <w:rPr>
          <w:rFonts w:ascii="Times New Roman" w:hAnsi="Times New Roman" w:cs="Times New Roman" w:hint="eastAsia"/>
          <w:szCs w:val="21"/>
        </w:rPr>
        <w:t>110kV</w:t>
      </w:r>
      <w:r>
        <w:rPr>
          <w:rFonts w:ascii="Times New Roman" w:hAnsi="Times New Roman" w:cs="Times New Roman" w:hint="eastAsia"/>
          <w:szCs w:val="21"/>
        </w:rPr>
        <w:t>变电站、</w:t>
      </w:r>
      <w:r>
        <w:rPr>
          <w:rFonts w:ascii="Times New Roman" w:hAnsi="Times New Roman" w:cs="Times New Roman" w:hint="eastAsia"/>
          <w:szCs w:val="21"/>
        </w:rPr>
        <w:t>203</w:t>
      </w:r>
      <w:r>
        <w:rPr>
          <w:rFonts w:ascii="Times New Roman" w:hAnsi="Times New Roman" w:cs="Times New Roman" w:hint="eastAsia"/>
          <w:szCs w:val="21"/>
        </w:rPr>
        <w:t>个</w:t>
      </w:r>
      <w:r>
        <w:rPr>
          <w:rFonts w:ascii="Times New Roman" w:hAnsi="Times New Roman" w:cs="Times New Roman" w:hint="eastAsia"/>
          <w:szCs w:val="21"/>
        </w:rPr>
        <w:t>10kV</w:t>
      </w:r>
      <w:r>
        <w:rPr>
          <w:rFonts w:ascii="Times New Roman" w:hAnsi="Times New Roman" w:cs="Times New Roman" w:hint="eastAsia"/>
          <w:szCs w:val="21"/>
        </w:rPr>
        <w:t>开闭所以及对应的输</w:t>
      </w:r>
      <w:r>
        <w:rPr>
          <w:rFonts w:ascii="Times New Roman" w:hAnsi="Times New Roman" w:cs="Times New Roman" w:hint="eastAsia"/>
          <w:szCs w:val="21"/>
        </w:rPr>
        <w:t>/</w:t>
      </w:r>
      <w:r>
        <w:rPr>
          <w:rFonts w:ascii="Times New Roman" w:hAnsi="Times New Roman" w:cs="Times New Roman" w:hint="eastAsia"/>
          <w:szCs w:val="21"/>
        </w:rPr>
        <w:t>配电线路。</w:t>
      </w:r>
      <w:r>
        <w:rPr>
          <w:rFonts w:ascii="Times New Roman" w:hAnsi="Times New Roman" w:cs="Times New Roman"/>
          <w:szCs w:val="21"/>
        </w:rPr>
        <w:t>配电网采用典型放射状拓扑</w:t>
      </w:r>
      <w:r>
        <w:rPr>
          <w:rFonts w:ascii="Times New Roman" w:hAnsi="Times New Roman" w:cs="Times New Roman"/>
          <w:szCs w:val="21"/>
        </w:rPr>
        <w:fldChar w:fldCharType="begin"/>
      </w:r>
      <w:r>
        <w:rPr>
          <w:rFonts w:ascii="Times New Roman" w:hAnsi="Times New Roman" w:cs="Times New Roman"/>
          <w:szCs w:val="21"/>
        </w:rPr>
        <w:instrText xml:space="preserve"> REF _Ref204374100 \r \h  \* MERGEFORMAT </w:instrText>
      </w:r>
      <w:r>
        <w:rPr>
          <w:rFonts w:ascii="Times New Roman" w:hAnsi="Times New Roman" w:cs="Times New Roman"/>
          <w:szCs w:val="21"/>
        </w:rPr>
      </w:r>
      <w:r>
        <w:rPr>
          <w:rFonts w:ascii="Times New Roman" w:hAnsi="Times New Roman" w:cs="Times New Roman"/>
          <w:szCs w:val="21"/>
        </w:rPr>
        <w:fldChar w:fldCharType="separate"/>
      </w:r>
      <w:r w:rsidR="001647C5" w:rsidRPr="001647C5">
        <w:rPr>
          <w:rFonts w:ascii="Times New Roman" w:hAnsi="Times New Roman" w:cs="Times New Roman"/>
          <w:color w:val="0000FF"/>
          <w:szCs w:val="21"/>
          <w:vertAlign w:val="superscript"/>
          <w:cs/>
        </w:rPr>
        <w:t>‎</w:t>
      </w:r>
      <w:r w:rsidR="001647C5" w:rsidRPr="001647C5">
        <w:rPr>
          <w:rFonts w:ascii="Times New Roman" w:hAnsi="Times New Roman" w:cs="Times New Roman"/>
          <w:color w:val="0000FF"/>
          <w:szCs w:val="21"/>
          <w:vertAlign w:val="superscript"/>
        </w:rPr>
        <w:t>[36]</w:t>
      </w:r>
      <w:r>
        <w:rPr>
          <w:rFonts w:ascii="Times New Roman" w:hAnsi="Times New Roman" w:cs="Times New Roman"/>
          <w:szCs w:val="21"/>
        </w:rPr>
        <w:fldChar w:fldCharType="end"/>
      </w:r>
      <w:r>
        <w:rPr>
          <w:rFonts w:ascii="Times New Roman" w:hAnsi="Times New Roman" w:cs="Times New Roman"/>
          <w:szCs w:val="21"/>
        </w:rPr>
        <w:t>：</w:t>
      </w:r>
      <w:r>
        <w:rPr>
          <w:rFonts w:ascii="Times New Roman" w:hAnsi="Times New Roman" w:cs="Times New Roman"/>
          <w:szCs w:val="21"/>
        </w:rPr>
        <w:t>10kV</w:t>
      </w:r>
      <w:r>
        <w:rPr>
          <w:rFonts w:ascii="Times New Roman" w:hAnsi="Times New Roman" w:cs="Times New Roman"/>
          <w:szCs w:val="21"/>
        </w:rPr>
        <w:t>馈线由</w:t>
      </w:r>
      <w:r>
        <w:rPr>
          <w:rFonts w:ascii="Times New Roman" w:hAnsi="Times New Roman" w:cs="Times New Roman"/>
          <w:szCs w:val="21"/>
        </w:rPr>
        <w:t>110kV</w:t>
      </w:r>
      <w:r>
        <w:rPr>
          <w:rFonts w:ascii="Times New Roman" w:hAnsi="Times New Roman" w:cs="Times New Roman"/>
          <w:szCs w:val="21"/>
        </w:rPr>
        <w:t>变电站向外辐射，末端设置开闭所作为区域配电节点</w:t>
      </w:r>
      <w:r>
        <w:rPr>
          <w:rFonts w:ascii="Times New Roman" w:hAnsi="Times New Roman" w:cs="Times New Roman" w:hint="eastAsia"/>
          <w:szCs w:val="21"/>
        </w:rPr>
        <w:t>。城区内土地被城市道路划分为多个地块，将地块设定为最小供电用户单元，</w:t>
      </w:r>
      <w:r>
        <w:rPr>
          <w:rFonts w:ascii="Times New Roman" w:hAnsi="Times New Roman" w:cs="Times New Roman"/>
          <w:szCs w:val="21"/>
        </w:rPr>
        <w:t>每个开闭所</w:t>
      </w:r>
      <w:r>
        <w:rPr>
          <w:rFonts w:ascii="Times New Roman" w:hAnsi="Times New Roman" w:cs="Times New Roman" w:hint="eastAsia"/>
          <w:szCs w:val="21"/>
        </w:rPr>
        <w:t>向</w:t>
      </w:r>
      <w:r>
        <w:rPr>
          <w:rFonts w:ascii="Times New Roman" w:hAnsi="Times New Roman" w:cs="Times New Roman"/>
          <w:szCs w:val="21"/>
        </w:rPr>
        <w:t>其邻近的多个地块</w:t>
      </w:r>
      <w:r>
        <w:rPr>
          <w:rFonts w:ascii="Times New Roman" w:hAnsi="Times New Roman" w:cs="Times New Roman" w:hint="eastAsia"/>
          <w:szCs w:val="21"/>
        </w:rPr>
        <w:t>供电</w:t>
      </w:r>
      <w:r>
        <w:rPr>
          <w:rFonts w:ascii="Times New Roman" w:hAnsi="Times New Roman" w:cs="Times New Roman"/>
          <w:szCs w:val="21"/>
        </w:rPr>
        <w:t>，可视为这些地块的共同电源节点。</w:t>
      </w:r>
    </w:p>
    <w:p w14:paraId="4DD98E3C" w14:textId="7EC8101E" w:rsidR="001F7B30" w:rsidRPr="007B7AC6" w:rsidRDefault="00DA268A" w:rsidP="007B7AC6">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如</w:t>
      </w:r>
      <w:r>
        <w:rPr>
          <w:rFonts w:ascii="Times New Roman" w:hAnsi="Times New Roman" w:cs="Times New Roman"/>
          <w:color w:val="0000FF"/>
          <w:szCs w:val="21"/>
        </w:rPr>
        <w:fldChar w:fldCharType="begin"/>
      </w:r>
      <w:r>
        <w:rPr>
          <w:rFonts w:ascii="Times New Roman" w:hAnsi="Times New Roman" w:cs="Times New Roman"/>
          <w:color w:val="0000FF"/>
          <w:szCs w:val="21"/>
        </w:rPr>
        <w:instrText xml:space="preserve"> </w:instrText>
      </w:r>
      <w:r>
        <w:rPr>
          <w:rFonts w:ascii="Times New Roman" w:hAnsi="Times New Roman" w:cs="Times New Roman" w:hint="eastAsia"/>
          <w:color w:val="0000FF"/>
          <w:szCs w:val="21"/>
        </w:rPr>
        <w:instrText>REF _Ref204376271 \r \h</w:instrText>
      </w:r>
      <w:r>
        <w:rPr>
          <w:rFonts w:ascii="Times New Roman" w:hAnsi="Times New Roman" w:cs="Times New Roman"/>
          <w:color w:val="0000FF"/>
          <w:szCs w:val="21"/>
        </w:rPr>
        <w:instrText xml:space="preserve">  \* MERGEFORMAT </w:instrText>
      </w:r>
      <w:r>
        <w:rPr>
          <w:rFonts w:ascii="Times New Roman" w:hAnsi="Times New Roman" w:cs="Times New Roman"/>
          <w:color w:val="0000FF"/>
          <w:szCs w:val="21"/>
        </w:rPr>
      </w:r>
      <w:r>
        <w:rPr>
          <w:rFonts w:ascii="Times New Roman" w:hAnsi="Times New Roman" w:cs="Times New Roman"/>
          <w:color w:val="0000FF"/>
          <w:szCs w:val="21"/>
        </w:rPr>
        <w:fldChar w:fldCharType="separate"/>
      </w:r>
      <w:r w:rsidR="001647C5">
        <w:rPr>
          <w:rFonts w:ascii="Times New Roman" w:hAnsi="Times New Roman" w:cs="Times New Roman"/>
          <w:color w:val="0000FF"/>
          <w:szCs w:val="21"/>
          <w:cs/>
        </w:rPr>
        <w:t>‎</w:t>
      </w:r>
      <w:r w:rsidR="001647C5">
        <w:rPr>
          <w:rFonts w:ascii="Times New Roman" w:hAnsi="Times New Roman" w:cs="Times New Roman" w:hint="eastAsia"/>
          <w:color w:val="0000FF"/>
          <w:szCs w:val="21"/>
        </w:rPr>
        <w:t>图</w:t>
      </w:r>
      <w:r w:rsidR="001647C5">
        <w:rPr>
          <w:rFonts w:ascii="Times New Roman" w:hAnsi="Times New Roman" w:cs="Times New Roman"/>
          <w:color w:val="0000FF"/>
          <w:szCs w:val="21"/>
        </w:rPr>
        <w:t>6</w:t>
      </w:r>
      <w:r>
        <w:rPr>
          <w:rFonts w:ascii="Times New Roman" w:hAnsi="Times New Roman" w:cs="Times New Roman"/>
          <w:color w:val="0000FF"/>
          <w:szCs w:val="21"/>
        </w:rPr>
        <w:fldChar w:fldCharType="end"/>
      </w:r>
      <w:r>
        <w:rPr>
          <w:rFonts w:ascii="Times New Roman" w:hAnsi="Times New Roman" w:cs="Times New Roman" w:hint="eastAsia"/>
          <w:szCs w:val="21"/>
        </w:rPr>
        <w:t>所示，基准城市电力系统被划分为城区、域内和域外三个层级，其中城市变电站</w:t>
      </w:r>
      <w:r>
        <w:rPr>
          <w:rFonts w:ascii="Times New Roman" w:hAnsi="Times New Roman" w:cs="Times New Roman" w:hint="eastAsia"/>
          <w:szCs w:val="21"/>
        </w:rPr>
        <w:t>17</w:t>
      </w:r>
      <w:r>
        <w:rPr>
          <w:rFonts w:ascii="Times New Roman" w:hAnsi="Times New Roman" w:cs="Times New Roman" w:hint="eastAsia"/>
          <w:szCs w:val="21"/>
        </w:rPr>
        <w:t>座，电源变电站</w:t>
      </w:r>
      <w:r>
        <w:rPr>
          <w:rFonts w:ascii="Times New Roman" w:hAnsi="Times New Roman" w:cs="Times New Roman" w:hint="eastAsia"/>
          <w:szCs w:val="21"/>
        </w:rPr>
        <w:t>12</w:t>
      </w:r>
      <w:r>
        <w:rPr>
          <w:rFonts w:ascii="Times New Roman" w:hAnsi="Times New Roman" w:cs="Times New Roman" w:hint="eastAsia"/>
          <w:szCs w:val="21"/>
        </w:rPr>
        <w:t>座，负荷变电站</w:t>
      </w:r>
      <w:r>
        <w:rPr>
          <w:rFonts w:ascii="Times New Roman" w:hAnsi="Times New Roman" w:cs="Times New Roman" w:hint="eastAsia"/>
          <w:szCs w:val="21"/>
        </w:rPr>
        <w:t>4</w:t>
      </w:r>
      <w:r>
        <w:rPr>
          <w:rFonts w:ascii="Times New Roman" w:hAnsi="Times New Roman" w:cs="Times New Roman" w:hint="eastAsia"/>
          <w:szCs w:val="21"/>
        </w:rPr>
        <w:t>座。</w:t>
      </w:r>
      <w:r>
        <w:rPr>
          <w:rFonts w:ascii="Times New Roman" w:hAnsi="Times New Roman" w:cs="Times New Roman"/>
          <w:szCs w:val="21"/>
        </w:rPr>
        <w:t>根据前述拓扑等效规则，负荷变电站在拓扑结构中被简化为其上一级变电站母线所承载的负荷，因此在后续的拓扑网络建模、电力潮流计算及系统功能分析环节中不再作为独立</w:t>
      </w:r>
      <w:r>
        <w:rPr>
          <w:rFonts w:ascii="Times New Roman" w:hAnsi="Times New Roman" w:cs="Times New Roman" w:hint="eastAsia"/>
          <w:szCs w:val="21"/>
        </w:rPr>
        <w:t>的拓扑单元</w:t>
      </w:r>
      <w:r>
        <w:rPr>
          <w:rFonts w:ascii="Times New Roman" w:hAnsi="Times New Roman" w:cs="Times New Roman"/>
          <w:szCs w:val="21"/>
        </w:rPr>
        <w:t>出现。</w:t>
      </w:r>
    </w:p>
    <w:p w14:paraId="4C47AC8B" w14:textId="20EFB2CB" w:rsidR="00E0559D" w:rsidRDefault="00B12165">
      <w:pPr>
        <w:spacing w:line="240" w:lineRule="atLeast"/>
        <w:rPr>
          <w:rFonts w:ascii="Times New Roman" w:hAnsi="Times New Roman"/>
        </w:rPr>
      </w:pPr>
      <w:r w:rsidRPr="00B12165">
        <w:rPr>
          <w:noProof/>
        </w:rPr>
        <w:drawing>
          <wp:inline distT="0" distB="0" distL="0" distR="0" wp14:anchorId="2C1A25D9" wp14:editId="5F7C2DC0">
            <wp:extent cx="2996565" cy="2726690"/>
            <wp:effectExtent l="0" t="0" r="0" b="0"/>
            <wp:docPr id="104686993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96565" cy="2726690"/>
                    </a:xfrm>
                    <a:prstGeom prst="rect">
                      <a:avLst/>
                    </a:prstGeom>
                    <a:noFill/>
                    <a:ln>
                      <a:noFill/>
                    </a:ln>
                  </pic:spPr>
                </pic:pic>
              </a:graphicData>
            </a:graphic>
          </wp:inline>
        </w:drawing>
      </w:r>
    </w:p>
    <w:p w14:paraId="4336A168" w14:textId="7F889EE0" w:rsidR="00D86D43" w:rsidRPr="00E0559D" w:rsidRDefault="00D86D43">
      <w:pPr>
        <w:spacing w:line="240" w:lineRule="atLeast"/>
        <w:rPr>
          <w:rFonts w:ascii="Times New Roman" w:hAnsi="Times New Roman"/>
        </w:rPr>
      </w:pPr>
    </w:p>
    <w:p w14:paraId="2E327953" w14:textId="77777777" w:rsidR="001F7B30" w:rsidRDefault="00DA268A">
      <w:pPr>
        <w:pStyle w:val="afb"/>
        <w:numPr>
          <w:ilvl w:val="0"/>
          <w:numId w:val="2"/>
        </w:numPr>
        <w:ind w:firstLineChars="0"/>
        <w:jc w:val="center"/>
        <w:rPr>
          <w:rFonts w:ascii="Times New Roman" w:hAnsi="Times New Roman"/>
          <w:szCs w:val="21"/>
        </w:rPr>
      </w:pPr>
      <w:bookmarkStart w:id="11" w:name="_Ref177243949"/>
      <w:r>
        <w:rPr>
          <w:rFonts w:ascii="Times New Roman" w:hAnsi="Times New Roman" w:hint="eastAsia"/>
          <w:szCs w:val="21"/>
        </w:rPr>
        <w:t xml:space="preserve"> </w:t>
      </w:r>
      <w:bookmarkStart w:id="12" w:name="_Ref204376247"/>
      <w:r>
        <w:rPr>
          <w:rFonts w:ascii="Times New Roman" w:hAnsi="Times New Roman" w:hint="eastAsia"/>
          <w:szCs w:val="21"/>
        </w:rPr>
        <w:t>基准城市</w:t>
      </w:r>
      <w:bookmarkEnd w:id="11"/>
      <w:r>
        <w:rPr>
          <w:rFonts w:ascii="Times New Roman" w:hAnsi="Times New Roman" w:hint="eastAsia"/>
          <w:szCs w:val="21"/>
        </w:rPr>
        <w:t>电力系统</w:t>
      </w:r>
      <w:bookmarkEnd w:id="12"/>
    </w:p>
    <w:p w14:paraId="616543B6" w14:textId="77777777" w:rsidR="001F7B30" w:rsidRDefault="00DA268A" w:rsidP="008453EA">
      <w:pPr>
        <w:widowControl/>
        <w:spacing w:line="240" w:lineRule="atLeast"/>
        <w:outlineLvl w:val="1"/>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城市用电负荷</w:t>
      </w:r>
    </w:p>
    <w:p w14:paraId="04E37FCD" w14:textId="78D7DA27"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根据《城市用地分类与规划建设用地标准》（</w:t>
      </w:r>
      <w:r>
        <w:rPr>
          <w:rFonts w:ascii="Times New Roman" w:hAnsi="Times New Roman" w:cs="Times New Roman" w:hint="eastAsia"/>
          <w:szCs w:val="21"/>
        </w:rPr>
        <w:t>GB/T 50137-2011</w:t>
      </w:r>
      <w:r>
        <w:rPr>
          <w:rFonts w:ascii="Times New Roman" w:hAnsi="Times New Roman" w:cs="Times New Roman" w:hint="eastAsia"/>
          <w:szCs w:val="21"/>
        </w:rPr>
        <w:t>）</w:t>
      </w:r>
      <w:r>
        <w:rPr>
          <w:rFonts w:ascii="Times New Roman" w:hAnsi="Times New Roman" w:cs="Times New Roman"/>
          <w:szCs w:val="21"/>
        </w:rPr>
        <w:fldChar w:fldCharType="begin"/>
      </w:r>
      <w:r>
        <w:rPr>
          <w:rFonts w:ascii="Times New Roman" w:hAnsi="Times New Roman" w:cs="Times New Roman"/>
          <w:szCs w:val="21"/>
        </w:rPr>
        <w:instrText xml:space="preserve"> </w:instrText>
      </w:r>
      <w:r>
        <w:rPr>
          <w:rFonts w:ascii="Times New Roman" w:hAnsi="Times New Roman" w:cs="Times New Roman" w:hint="eastAsia"/>
          <w:szCs w:val="21"/>
        </w:rPr>
        <w:instrText>REF _Ref178534647 \r \h</w:instrText>
      </w:r>
      <w:r>
        <w:rPr>
          <w:rFonts w:ascii="Times New Roman" w:hAnsi="Times New Roman" w:cs="Times New Roman"/>
          <w:szCs w:val="21"/>
        </w:rPr>
        <w:instrText xml:space="preserve">  \* MERGEFORMAT </w:instrText>
      </w:r>
      <w:r>
        <w:rPr>
          <w:rFonts w:ascii="Times New Roman" w:hAnsi="Times New Roman" w:cs="Times New Roman"/>
          <w:szCs w:val="21"/>
        </w:rPr>
      </w:r>
      <w:r>
        <w:rPr>
          <w:rFonts w:ascii="Times New Roman" w:hAnsi="Times New Roman" w:cs="Times New Roman"/>
          <w:szCs w:val="21"/>
        </w:rPr>
        <w:fldChar w:fldCharType="separate"/>
      </w:r>
      <w:r w:rsidR="001647C5">
        <w:rPr>
          <w:rFonts w:ascii="Times New Roman" w:hAnsi="Times New Roman" w:cs="Times New Roman"/>
          <w:szCs w:val="21"/>
          <w:cs/>
        </w:rPr>
        <w:t>‎</w:t>
      </w:r>
      <w:r w:rsidR="001647C5" w:rsidRPr="001647C5">
        <w:rPr>
          <w:rFonts w:ascii="Times New Roman" w:hAnsi="Times New Roman" w:cs="Times New Roman"/>
          <w:color w:val="0000FF"/>
          <w:szCs w:val="21"/>
          <w:vertAlign w:val="superscript"/>
        </w:rPr>
        <w:t>[37]</w:t>
      </w:r>
      <w:r>
        <w:rPr>
          <w:rFonts w:ascii="Times New Roman" w:hAnsi="Times New Roman" w:cs="Times New Roman"/>
          <w:szCs w:val="21"/>
        </w:rPr>
        <w:fldChar w:fldCharType="end"/>
      </w:r>
      <w:r>
        <w:rPr>
          <w:rFonts w:ascii="Times New Roman" w:hAnsi="Times New Roman" w:cs="Times New Roman" w:hint="eastAsia"/>
          <w:szCs w:val="21"/>
        </w:rPr>
        <w:t>，</w:t>
      </w:r>
      <w:r>
        <w:rPr>
          <w:rFonts w:ascii="Times New Roman" w:hAnsi="Times New Roman" w:cs="Times New Roman" w:hint="eastAsia"/>
          <w:szCs w:val="21"/>
        </w:rPr>
        <w:t xml:space="preserve"> </w:t>
      </w:r>
      <w:r>
        <w:rPr>
          <w:rFonts w:ascii="Times New Roman" w:hAnsi="Times New Roman" w:cs="Times New Roman" w:hint="eastAsia"/>
          <w:szCs w:val="21"/>
        </w:rPr>
        <w:t>城市建设用地包括居住用地（</w:t>
      </w:r>
      <w:r>
        <w:rPr>
          <w:rFonts w:ascii="Times New Roman" w:hAnsi="Times New Roman" w:cs="Times New Roman" w:hint="eastAsia"/>
          <w:szCs w:val="21"/>
        </w:rPr>
        <w:t>R</w:t>
      </w:r>
      <w:r>
        <w:rPr>
          <w:rFonts w:ascii="Times New Roman" w:hAnsi="Times New Roman" w:cs="Times New Roman" w:hint="eastAsia"/>
          <w:szCs w:val="21"/>
        </w:rPr>
        <w:t>）、商业服务业设施用地（</w:t>
      </w:r>
      <w:r>
        <w:rPr>
          <w:rFonts w:ascii="Times New Roman" w:hAnsi="Times New Roman" w:cs="Times New Roman" w:hint="eastAsia"/>
          <w:szCs w:val="21"/>
        </w:rPr>
        <w:t>B</w:t>
      </w:r>
      <w:r>
        <w:rPr>
          <w:rFonts w:ascii="Times New Roman" w:hAnsi="Times New Roman" w:cs="Times New Roman" w:hint="eastAsia"/>
          <w:szCs w:val="21"/>
        </w:rPr>
        <w:t>）、公共管理与公共服务设施用地（</w:t>
      </w:r>
      <w:r>
        <w:rPr>
          <w:rFonts w:ascii="Times New Roman" w:hAnsi="Times New Roman" w:cs="Times New Roman" w:hint="eastAsia"/>
          <w:szCs w:val="21"/>
        </w:rPr>
        <w:t>A</w:t>
      </w:r>
      <w:r>
        <w:rPr>
          <w:rFonts w:ascii="Times New Roman" w:hAnsi="Times New Roman" w:cs="Times New Roman" w:hint="eastAsia"/>
          <w:szCs w:val="21"/>
        </w:rPr>
        <w:t>）、工业用地（</w:t>
      </w:r>
      <w:r>
        <w:rPr>
          <w:rFonts w:ascii="Times New Roman" w:hAnsi="Times New Roman" w:cs="Times New Roman" w:hint="eastAsia"/>
          <w:szCs w:val="21"/>
        </w:rPr>
        <w:t>M</w:t>
      </w:r>
      <w:r>
        <w:rPr>
          <w:rFonts w:ascii="Times New Roman" w:hAnsi="Times New Roman" w:cs="Times New Roman" w:hint="eastAsia"/>
          <w:szCs w:val="21"/>
        </w:rPr>
        <w:t>）、物流仓储用地（</w:t>
      </w:r>
      <w:r>
        <w:rPr>
          <w:rFonts w:ascii="Times New Roman" w:hAnsi="Times New Roman" w:cs="Times New Roman" w:hint="eastAsia"/>
          <w:szCs w:val="21"/>
        </w:rPr>
        <w:t>W</w:t>
      </w:r>
      <w:r>
        <w:rPr>
          <w:rFonts w:ascii="Times New Roman" w:hAnsi="Times New Roman" w:cs="Times New Roman" w:hint="eastAsia"/>
          <w:szCs w:val="21"/>
        </w:rPr>
        <w:t>）、与绿地与广场用地（</w:t>
      </w:r>
      <w:r>
        <w:rPr>
          <w:rFonts w:ascii="Times New Roman" w:hAnsi="Times New Roman" w:cs="Times New Roman" w:hint="eastAsia"/>
          <w:szCs w:val="21"/>
        </w:rPr>
        <w:t>G</w:t>
      </w:r>
      <w:r>
        <w:rPr>
          <w:rFonts w:ascii="Times New Roman" w:hAnsi="Times New Roman" w:cs="Times New Roman" w:hint="eastAsia"/>
          <w:szCs w:val="21"/>
        </w:rPr>
        <w:t>）等用地类型。</w:t>
      </w:r>
      <w:r>
        <w:rPr>
          <w:rFonts w:ascii="Times New Roman" w:hAnsi="Times New Roman" w:cs="Times New Roman" w:hint="eastAsia"/>
          <w:szCs w:val="21"/>
        </w:rPr>
        <w:t>基准城市的用地类型如</w:t>
      </w:r>
      <w:r>
        <w:rPr>
          <w:rFonts w:ascii="Times New Roman" w:hAnsi="Times New Roman" w:cs="Times New Roman"/>
          <w:szCs w:val="21"/>
        </w:rPr>
        <w:fldChar w:fldCharType="begin"/>
      </w:r>
      <w:r>
        <w:rPr>
          <w:rFonts w:ascii="Times New Roman" w:hAnsi="Times New Roman" w:cs="Times New Roman"/>
          <w:szCs w:val="21"/>
        </w:rPr>
        <w:instrText xml:space="preserve"> </w:instrText>
      </w:r>
      <w:r>
        <w:rPr>
          <w:rFonts w:ascii="Times New Roman" w:hAnsi="Times New Roman" w:cs="Times New Roman" w:hint="eastAsia"/>
          <w:szCs w:val="21"/>
        </w:rPr>
        <w:instrText>REF _Ref204376271 \r \h</w:instrText>
      </w:r>
      <w:r>
        <w:rPr>
          <w:rFonts w:ascii="Times New Roman" w:hAnsi="Times New Roman" w:cs="Times New Roman"/>
          <w:szCs w:val="21"/>
        </w:rPr>
        <w:instrText xml:space="preserve">  \* MERGEFORMAT </w:instrText>
      </w:r>
      <w:r>
        <w:rPr>
          <w:rFonts w:ascii="Times New Roman" w:hAnsi="Times New Roman" w:cs="Times New Roman"/>
          <w:szCs w:val="21"/>
        </w:rPr>
      </w:r>
      <w:r>
        <w:rPr>
          <w:rFonts w:ascii="Times New Roman" w:hAnsi="Times New Roman" w:cs="Times New Roman"/>
          <w:szCs w:val="21"/>
        </w:rPr>
        <w:fldChar w:fldCharType="separate"/>
      </w:r>
      <w:r w:rsidR="001647C5">
        <w:rPr>
          <w:rFonts w:ascii="Times New Roman" w:hAnsi="Times New Roman" w:cs="Times New Roman"/>
          <w:szCs w:val="21"/>
          <w:cs/>
        </w:rPr>
        <w:t>‎</w:t>
      </w:r>
      <w:r w:rsidR="001647C5">
        <w:rPr>
          <w:rFonts w:ascii="Times New Roman" w:hAnsi="Times New Roman" w:cs="Times New Roman" w:hint="eastAsia"/>
          <w:szCs w:val="21"/>
        </w:rPr>
        <w:t>图</w:t>
      </w:r>
      <w:r w:rsidR="001647C5">
        <w:rPr>
          <w:rFonts w:ascii="Times New Roman" w:hAnsi="Times New Roman" w:cs="Times New Roman"/>
          <w:szCs w:val="21"/>
        </w:rPr>
        <w:t>6</w:t>
      </w:r>
      <w:r>
        <w:rPr>
          <w:rFonts w:ascii="Times New Roman" w:hAnsi="Times New Roman" w:cs="Times New Roman"/>
          <w:szCs w:val="21"/>
        </w:rPr>
        <w:fldChar w:fldCharType="end"/>
      </w:r>
      <w:r>
        <w:rPr>
          <w:rFonts w:ascii="Times New Roman" w:hAnsi="Times New Roman" w:cs="Times New Roman" w:hint="eastAsia"/>
          <w:szCs w:val="21"/>
        </w:rPr>
        <w:t>所示，一共</w:t>
      </w:r>
      <w:r>
        <w:rPr>
          <w:rFonts w:ascii="Times New Roman" w:hAnsi="Times New Roman" w:cs="Times New Roman" w:hint="eastAsia"/>
          <w:szCs w:val="21"/>
        </w:rPr>
        <w:t>507</w:t>
      </w:r>
      <w:r>
        <w:rPr>
          <w:rFonts w:ascii="Times New Roman" w:hAnsi="Times New Roman" w:cs="Times New Roman" w:hint="eastAsia"/>
          <w:szCs w:val="21"/>
        </w:rPr>
        <w:t>块土地，其中居住用地、工业用地和绿地的面积占比前三，分别为</w:t>
      </w:r>
      <w:r>
        <w:rPr>
          <w:rFonts w:ascii="Times New Roman" w:hAnsi="Times New Roman" w:cs="Times New Roman" w:hint="eastAsia"/>
          <w:szCs w:val="21"/>
        </w:rPr>
        <w:t>43.10%</w:t>
      </w:r>
      <w:r>
        <w:rPr>
          <w:rFonts w:ascii="Times New Roman" w:hAnsi="Times New Roman" w:cs="Times New Roman" w:hint="eastAsia"/>
          <w:szCs w:val="21"/>
        </w:rPr>
        <w:t>、</w:t>
      </w:r>
      <w:r>
        <w:rPr>
          <w:rFonts w:ascii="Times New Roman" w:hAnsi="Times New Roman" w:cs="Times New Roman" w:hint="eastAsia"/>
          <w:szCs w:val="21"/>
        </w:rPr>
        <w:t>26.48%</w:t>
      </w:r>
      <w:r>
        <w:rPr>
          <w:rFonts w:ascii="Times New Roman" w:hAnsi="Times New Roman" w:cs="Times New Roman" w:hint="eastAsia"/>
          <w:szCs w:val="21"/>
        </w:rPr>
        <w:t>、</w:t>
      </w:r>
      <w:r>
        <w:rPr>
          <w:rFonts w:ascii="Times New Roman" w:hAnsi="Times New Roman" w:cs="Times New Roman" w:hint="eastAsia"/>
          <w:szCs w:val="21"/>
        </w:rPr>
        <w:t>23.98%</w:t>
      </w:r>
      <w:r>
        <w:rPr>
          <w:rFonts w:ascii="Times New Roman" w:hAnsi="Times New Roman" w:cs="Times New Roman" w:hint="eastAsia"/>
          <w:szCs w:val="21"/>
        </w:rPr>
        <w:t>。</w:t>
      </w:r>
    </w:p>
    <w:p w14:paraId="26AA976B" w14:textId="23A38D46" w:rsidR="001F7B30" w:rsidRDefault="00D13564">
      <w:pPr>
        <w:jc w:val="center"/>
        <w:rPr>
          <w:rFonts w:ascii="Times New Roman" w:hAnsi="Times New Roman"/>
          <w:sz w:val="19"/>
          <w:szCs w:val="19"/>
        </w:rPr>
      </w:pPr>
      <w:r w:rsidRPr="00D13564">
        <w:rPr>
          <w:noProof/>
        </w:rPr>
        <w:drawing>
          <wp:inline distT="0" distB="0" distL="0" distR="0" wp14:anchorId="39633AF4" wp14:editId="3F960518">
            <wp:extent cx="2996565" cy="3519805"/>
            <wp:effectExtent l="0" t="0" r="0" b="4445"/>
            <wp:docPr id="212810996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96565" cy="3519805"/>
                    </a:xfrm>
                    <a:prstGeom prst="rect">
                      <a:avLst/>
                    </a:prstGeom>
                    <a:noFill/>
                    <a:ln>
                      <a:noFill/>
                    </a:ln>
                  </pic:spPr>
                </pic:pic>
              </a:graphicData>
            </a:graphic>
          </wp:inline>
        </w:drawing>
      </w:r>
    </w:p>
    <w:p w14:paraId="797FA355" w14:textId="77777777" w:rsidR="001F7B30" w:rsidRDefault="00DA268A">
      <w:pPr>
        <w:pStyle w:val="afb"/>
        <w:numPr>
          <w:ilvl w:val="0"/>
          <w:numId w:val="2"/>
        </w:numPr>
        <w:ind w:firstLineChars="0"/>
        <w:jc w:val="center"/>
        <w:rPr>
          <w:rFonts w:ascii="Times New Roman" w:hAnsi="Times New Roman"/>
          <w:szCs w:val="21"/>
        </w:rPr>
      </w:pPr>
      <w:bookmarkStart w:id="13" w:name="_Ref204376271"/>
      <w:r>
        <w:rPr>
          <w:rFonts w:ascii="Times New Roman" w:hAnsi="Times New Roman" w:hint="eastAsia"/>
          <w:szCs w:val="21"/>
        </w:rPr>
        <w:t>电力系统层级划分与城市用地类型</w:t>
      </w:r>
      <w:bookmarkEnd w:id="13"/>
    </w:p>
    <w:p w14:paraId="0228456A" w14:textId="06ADC421"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如</w:t>
      </w:r>
      <w:r>
        <w:rPr>
          <w:rFonts w:ascii="Times New Roman" w:hAnsi="Times New Roman" w:cs="Times New Roman"/>
          <w:szCs w:val="21"/>
        </w:rPr>
        <w:fldChar w:fldCharType="begin"/>
      </w:r>
      <w:r>
        <w:rPr>
          <w:rFonts w:ascii="Times New Roman" w:hAnsi="Times New Roman" w:cs="Times New Roman"/>
          <w:szCs w:val="21"/>
        </w:rPr>
        <w:instrText xml:space="preserve"> </w:instrText>
      </w:r>
      <w:r>
        <w:rPr>
          <w:rFonts w:ascii="Times New Roman" w:hAnsi="Times New Roman" w:cs="Times New Roman" w:hint="eastAsia"/>
          <w:szCs w:val="21"/>
        </w:rPr>
        <w:instrText>REF _Ref204377006 \r \h</w:instrText>
      </w:r>
      <w:r>
        <w:rPr>
          <w:rFonts w:ascii="Times New Roman" w:hAnsi="Times New Roman" w:cs="Times New Roman"/>
          <w:szCs w:val="21"/>
        </w:rPr>
        <w:instrText xml:space="preserve">  \* MERGEFORMAT </w:instrText>
      </w:r>
      <w:r>
        <w:rPr>
          <w:rFonts w:ascii="Times New Roman" w:hAnsi="Times New Roman" w:cs="Times New Roman"/>
          <w:szCs w:val="21"/>
        </w:rPr>
      </w:r>
      <w:r>
        <w:rPr>
          <w:rFonts w:ascii="Times New Roman" w:hAnsi="Times New Roman" w:cs="Times New Roman"/>
          <w:szCs w:val="21"/>
        </w:rPr>
        <w:fldChar w:fldCharType="separate"/>
      </w:r>
      <w:r w:rsidR="00CC3C32">
        <w:rPr>
          <w:rFonts w:ascii="Times New Roman" w:hAnsi="Times New Roman" w:cs="Times New Roman"/>
          <w:szCs w:val="21"/>
          <w:cs/>
        </w:rPr>
        <w:t>‎</w:t>
      </w:r>
      <w:r w:rsidR="00CC3C32" w:rsidRPr="007947A7">
        <w:rPr>
          <w:rFonts w:ascii="Times New Roman" w:hAnsi="Times New Roman" w:cs="Times New Roman" w:hint="eastAsia"/>
          <w:color w:val="0000FF"/>
          <w:szCs w:val="21"/>
        </w:rPr>
        <w:t>表</w:t>
      </w:r>
      <w:r w:rsidR="00CC3C32" w:rsidRPr="007947A7">
        <w:rPr>
          <w:rFonts w:ascii="Times New Roman" w:hAnsi="Times New Roman" w:cs="Times New Roman"/>
          <w:color w:val="0000FF"/>
          <w:szCs w:val="21"/>
        </w:rPr>
        <w:t>3</w:t>
      </w:r>
      <w:r>
        <w:rPr>
          <w:rFonts w:ascii="Times New Roman" w:hAnsi="Times New Roman" w:cs="Times New Roman"/>
          <w:szCs w:val="21"/>
        </w:rPr>
        <w:fldChar w:fldCharType="end"/>
      </w:r>
      <w:r>
        <w:rPr>
          <w:rFonts w:ascii="Times New Roman" w:hAnsi="Times New Roman" w:cs="Times New Roman" w:hint="eastAsia"/>
          <w:szCs w:val="21"/>
        </w:rPr>
        <w:t>所示，参照《城市电力规划规范》（</w:t>
      </w:r>
      <w:r>
        <w:rPr>
          <w:rFonts w:ascii="Times New Roman" w:hAnsi="Times New Roman" w:cs="Times New Roman" w:hint="eastAsia"/>
          <w:szCs w:val="21"/>
        </w:rPr>
        <w:t>GB/T 50293-2014</w:t>
      </w:r>
      <w:r>
        <w:rPr>
          <w:rFonts w:ascii="Times New Roman" w:hAnsi="Times New Roman" w:cs="Times New Roman" w:hint="eastAsia"/>
          <w:szCs w:val="21"/>
        </w:rPr>
        <w:t>）</w:t>
      </w:r>
      <w:r>
        <w:rPr>
          <w:rFonts w:ascii="Times New Roman" w:hAnsi="Times New Roman" w:cs="Times New Roman"/>
          <w:color w:val="0000FF"/>
          <w:szCs w:val="21"/>
          <w:vertAlign w:val="superscript"/>
        </w:rPr>
        <w:fldChar w:fldCharType="begin"/>
      </w:r>
      <w:r>
        <w:rPr>
          <w:rFonts w:ascii="Times New Roman" w:hAnsi="Times New Roman" w:cs="Times New Roman"/>
          <w:color w:val="0000FF"/>
          <w:szCs w:val="21"/>
          <w:vertAlign w:val="superscript"/>
        </w:rPr>
        <w:instrText xml:space="preserve"> </w:instrText>
      </w:r>
      <w:r>
        <w:rPr>
          <w:rFonts w:ascii="Times New Roman" w:hAnsi="Times New Roman" w:cs="Times New Roman" w:hint="eastAsia"/>
          <w:color w:val="0000FF"/>
          <w:szCs w:val="21"/>
          <w:vertAlign w:val="superscript"/>
        </w:rPr>
        <w:instrText>REF _Ref204374138 \r \h</w:instrText>
      </w:r>
      <w:r>
        <w:rPr>
          <w:rFonts w:ascii="Times New Roman" w:hAnsi="Times New Roman" w:cs="Times New Roman"/>
          <w:color w:val="0000FF"/>
          <w:szCs w:val="21"/>
          <w:vertAlign w:val="superscript"/>
        </w:rPr>
        <w:instrText xml:space="preserve">  \* MERGEFORMAT </w:instrText>
      </w:r>
      <w:r>
        <w:rPr>
          <w:rFonts w:ascii="Times New Roman" w:hAnsi="Times New Roman" w:cs="Times New Roman"/>
          <w:color w:val="0000FF"/>
          <w:szCs w:val="21"/>
          <w:vertAlign w:val="superscript"/>
        </w:rPr>
      </w:r>
      <w:r>
        <w:rPr>
          <w:rFonts w:ascii="Times New Roman" w:hAnsi="Times New Roman" w:cs="Times New Roman"/>
          <w:color w:val="0000FF"/>
          <w:szCs w:val="21"/>
          <w:vertAlign w:val="superscript"/>
        </w:rPr>
        <w:fldChar w:fldCharType="separate"/>
      </w:r>
      <w:r w:rsidR="00CC3C32">
        <w:rPr>
          <w:rFonts w:ascii="Times New Roman" w:hAnsi="Times New Roman" w:cs="Times New Roman"/>
          <w:color w:val="0000FF"/>
          <w:szCs w:val="21"/>
          <w:vertAlign w:val="superscript"/>
          <w:cs/>
        </w:rPr>
        <w:t>‎</w:t>
      </w:r>
      <w:r w:rsidR="00CC3C32">
        <w:rPr>
          <w:rFonts w:ascii="Times New Roman" w:hAnsi="Times New Roman" w:cs="Times New Roman"/>
          <w:color w:val="0000FF"/>
          <w:szCs w:val="21"/>
          <w:vertAlign w:val="superscript"/>
        </w:rPr>
        <w:t>[23]</w:t>
      </w:r>
      <w:r>
        <w:rPr>
          <w:rFonts w:ascii="Times New Roman" w:hAnsi="Times New Roman" w:cs="Times New Roman"/>
          <w:color w:val="0000FF"/>
          <w:szCs w:val="21"/>
          <w:vertAlign w:val="superscript"/>
        </w:rPr>
        <w:fldChar w:fldCharType="end"/>
      </w:r>
      <w:r>
        <w:rPr>
          <w:rFonts w:ascii="Times New Roman" w:hAnsi="Times New Roman" w:cs="Times New Roman" w:hint="eastAsia"/>
          <w:szCs w:val="21"/>
        </w:rPr>
        <w:t>，采用单位建设用地负荷密度法进行确定负荷，负荷密度取值参照负荷指标与城市规划进行确定，经过计算，中心城区的总预测负荷约为</w:t>
      </w:r>
      <w:r>
        <w:rPr>
          <w:rFonts w:ascii="Times New Roman" w:hAnsi="Times New Roman" w:cs="Times New Roman" w:hint="eastAsia"/>
          <w:szCs w:val="21"/>
        </w:rPr>
        <w:t>3345MW</w:t>
      </w:r>
      <w:r>
        <w:rPr>
          <w:rFonts w:ascii="Times New Roman" w:hAnsi="Times New Roman" w:cs="Times New Roman" w:hint="eastAsia"/>
          <w:szCs w:val="21"/>
        </w:rPr>
        <w:t>，取综合需要系数</w:t>
      </w:r>
      <w:r>
        <w:rPr>
          <w:rFonts w:ascii="Times New Roman" w:hAnsi="Times New Roman" w:cs="Times New Roman" w:hint="eastAsia"/>
          <w:szCs w:val="21"/>
        </w:rPr>
        <w:t>0.8</w:t>
      </w:r>
      <w:r>
        <w:rPr>
          <w:rFonts w:ascii="Times New Roman" w:hAnsi="Times New Roman" w:cs="Times New Roman" w:hint="eastAsia"/>
          <w:szCs w:val="21"/>
        </w:rPr>
        <w:t>，同时系数</w:t>
      </w:r>
      <w:r>
        <w:rPr>
          <w:rFonts w:ascii="Times New Roman" w:hAnsi="Times New Roman" w:cs="Times New Roman" w:hint="eastAsia"/>
          <w:szCs w:val="21"/>
        </w:rPr>
        <w:t>0.7</w:t>
      </w:r>
      <w:r>
        <w:rPr>
          <w:rFonts w:ascii="Times New Roman" w:hAnsi="Times New Roman" w:cs="Times New Roman" w:hint="eastAsia"/>
          <w:szCs w:val="21"/>
        </w:rPr>
        <w:t>，得到计算负荷为</w:t>
      </w:r>
      <w:r>
        <w:rPr>
          <w:rFonts w:ascii="Times New Roman" w:hAnsi="Times New Roman" w:cs="Times New Roman" w:hint="eastAsia"/>
          <w:szCs w:val="21"/>
        </w:rPr>
        <w:t>1873.46MW</w:t>
      </w:r>
      <w:r>
        <w:rPr>
          <w:rFonts w:ascii="Times New Roman" w:hAnsi="Times New Roman" w:cs="Times New Roman" w:hint="eastAsia"/>
          <w:szCs w:val="21"/>
        </w:rPr>
        <w:t>。</w:t>
      </w:r>
    </w:p>
    <w:p w14:paraId="5DFB9885" w14:textId="77777777"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进一步地，根据供电可靠性要求、中断供电对人身安全、经济损失及其造成影响的程度，对各类型用户进行供电分级，其中：</w:t>
      </w:r>
      <w:r>
        <w:rPr>
          <w:rFonts w:ascii="Times New Roman" w:hAnsi="Times New Roman" w:cs="Times New Roman"/>
          <w:szCs w:val="21"/>
        </w:rPr>
        <w:t>公共管理与公共服务设施用地（</w:t>
      </w:r>
      <w:r>
        <w:rPr>
          <w:rFonts w:ascii="Times New Roman" w:hAnsi="Times New Roman" w:cs="Times New Roman"/>
          <w:szCs w:val="21"/>
        </w:rPr>
        <w:t>A</w:t>
      </w:r>
      <w:r>
        <w:rPr>
          <w:rFonts w:ascii="Times New Roman" w:hAnsi="Times New Roman" w:cs="Times New Roman"/>
          <w:szCs w:val="21"/>
        </w:rPr>
        <w:t>）在日常承担医疗、行政管理、公共安全等职能，震后则涉及应急指挥、伤员救治等核心任务，供电中断可能严重影响生命保障与应急响应，因而划为一级供电保障对象，需优先保障其电力供应连续性</w:t>
      </w:r>
      <w:r>
        <w:rPr>
          <w:rFonts w:ascii="Times New Roman" w:hAnsi="Times New Roman" w:cs="Times New Roman" w:hint="eastAsia"/>
          <w:szCs w:val="21"/>
        </w:rPr>
        <w:t>；</w:t>
      </w:r>
      <w:r>
        <w:rPr>
          <w:rFonts w:ascii="Times New Roman" w:hAnsi="Times New Roman" w:cs="Times New Roman"/>
          <w:szCs w:val="21"/>
        </w:rPr>
        <w:t>物流仓储用地（</w:t>
      </w:r>
      <w:r>
        <w:rPr>
          <w:rFonts w:ascii="Times New Roman" w:hAnsi="Times New Roman" w:cs="Times New Roman" w:hint="eastAsia"/>
          <w:szCs w:val="21"/>
        </w:rPr>
        <w:t>W</w:t>
      </w:r>
      <w:r>
        <w:rPr>
          <w:rFonts w:ascii="Times New Roman" w:hAnsi="Times New Roman" w:cs="Times New Roman"/>
          <w:szCs w:val="21"/>
        </w:rPr>
        <w:t>）在平时支持城市物资周转与供应链运行，震后作为应急物资集散和救援物资中转的关键节点，其运行依赖于持续电力支持，因此同样划为一级供电保障对象</w:t>
      </w:r>
      <w:r>
        <w:rPr>
          <w:rFonts w:ascii="Times New Roman" w:hAnsi="Times New Roman" w:cs="Times New Roman" w:hint="eastAsia"/>
          <w:szCs w:val="21"/>
        </w:rPr>
        <w:t>；</w:t>
      </w:r>
      <w:r>
        <w:rPr>
          <w:szCs w:val="21"/>
        </w:rPr>
        <w:t>工业用地（</w:t>
      </w:r>
      <w:r>
        <w:rPr>
          <w:rFonts w:ascii="Times New Roman" w:hAnsi="Times New Roman" w:cs="Times New Roman" w:hint="eastAsia"/>
          <w:szCs w:val="21"/>
        </w:rPr>
        <w:t>M</w:t>
      </w:r>
      <w:r>
        <w:rPr>
          <w:szCs w:val="21"/>
        </w:rPr>
        <w:t>）在日常为城市经济运行的主体，负荷密集、生产连续性要求高，</w:t>
      </w:r>
      <w:r>
        <w:rPr>
          <w:rFonts w:hint="eastAsia"/>
          <w:szCs w:val="21"/>
        </w:rPr>
        <w:t>供电</w:t>
      </w:r>
      <w:r>
        <w:rPr>
          <w:szCs w:val="21"/>
        </w:rPr>
        <w:t>如遭中断将造成显著经济损失，需在保证一级用户后优先恢复，划为二级供电保障对象</w:t>
      </w:r>
      <w:r>
        <w:rPr>
          <w:rFonts w:hint="eastAsia"/>
          <w:szCs w:val="21"/>
        </w:rPr>
        <w:t>；</w:t>
      </w:r>
      <w:r>
        <w:rPr>
          <w:rFonts w:ascii="Times New Roman" w:hAnsi="Times New Roman" w:cs="Times New Roman"/>
          <w:szCs w:val="21"/>
        </w:rPr>
        <w:t>居住用地（</w:t>
      </w:r>
      <w:r>
        <w:rPr>
          <w:rFonts w:ascii="Times New Roman" w:hAnsi="Times New Roman" w:cs="Times New Roman"/>
          <w:szCs w:val="21"/>
        </w:rPr>
        <w:t>R</w:t>
      </w:r>
      <w:r>
        <w:rPr>
          <w:rFonts w:ascii="Times New Roman" w:hAnsi="Times New Roman" w:cs="Times New Roman"/>
          <w:szCs w:val="21"/>
        </w:rPr>
        <w:t>）、商业服务设施用地（</w:t>
      </w:r>
      <w:r>
        <w:rPr>
          <w:rFonts w:ascii="Times New Roman" w:hAnsi="Times New Roman" w:cs="Times New Roman"/>
          <w:szCs w:val="21"/>
        </w:rPr>
        <w:t>B</w:t>
      </w:r>
      <w:r>
        <w:rPr>
          <w:rFonts w:ascii="Times New Roman" w:hAnsi="Times New Roman" w:cs="Times New Roman"/>
          <w:szCs w:val="21"/>
        </w:rPr>
        <w:t>）、</w:t>
      </w:r>
      <w:r>
        <w:rPr>
          <w:rFonts w:ascii="Times New Roman" w:hAnsi="Times New Roman" w:hint="eastAsia"/>
          <w:kern w:val="0"/>
          <w:szCs w:val="21"/>
        </w:rPr>
        <w:t>绿地与广场用地（</w:t>
      </w:r>
      <w:r>
        <w:rPr>
          <w:rFonts w:ascii="Times New Roman" w:hAnsi="Times New Roman" w:hint="eastAsia"/>
          <w:kern w:val="0"/>
          <w:szCs w:val="21"/>
        </w:rPr>
        <w:t>G</w:t>
      </w:r>
      <w:r>
        <w:rPr>
          <w:rFonts w:ascii="Times New Roman" w:hAnsi="Times New Roman" w:hint="eastAsia"/>
          <w:kern w:val="0"/>
          <w:szCs w:val="21"/>
        </w:rPr>
        <w:t>）</w:t>
      </w:r>
      <w:r>
        <w:rPr>
          <w:rFonts w:ascii="Times New Roman" w:hAnsi="Times New Roman" w:cs="Times New Roman"/>
          <w:szCs w:val="21"/>
        </w:rPr>
        <w:t>等以满足日常生活与</w:t>
      </w:r>
      <w:r>
        <w:rPr>
          <w:rFonts w:ascii="Times New Roman" w:hAnsi="Times New Roman" w:cs="Times New Roman"/>
          <w:szCs w:val="21"/>
        </w:rPr>
        <w:lastRenderedPageBreak/>
        <w:t>社会运行需求为主，划为三级供电保障对象。</w:t>
      </w:r>
    </w:p>
    <w:p w14:paraId="18171C2F" w14:textId="77777777" w:rsidR="001F7B30" w:rsidRDefault="00DA268A" w:rsidP="008453EA">
      <w:pPr>
        <w:widowControl/>
        <w:spacing w:line="240" w:lineRule="atLeast"/>
        <w:outlineLvl w:val="1"/>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拓扑模型</w:t>
      </w:r>
    </w:p>
    <w:p w14:paraId="49A0F6D7" w14:textId="1A4AB8F6" w:rsidR="001F7B30" w:rsidRDefault="00DA268A">
      <w:pPr>
        <w:spacing w:line="240" w:lineRule="atLeast"/>
        <w:ind w:firstLineChars="200" w:firstLine="420"/>
        <w:rPr>
          <w:rFonts w:ascii="Times New Roman" w:hAnsi="Times New Roman"/>
          <w:szCs w:val="21"/>
        </w:rPr>
      </w:pPr>
      <w:r>
        <w:rPr>
          <w:rFonts w:ascii="Times New Roman" w:hAnsi="Times New Roman" w:cs="Times New Roman"/>
          <w:szCs w:val="21"/>
        </w:rPr>
        <w:t>在明确电力系统构成及其建模原则的基础上，</w:t>
      </w:r>
      <w:r>
        <w:rPr>
          <w:rFonts w:ascii="Times New Roman" w:hAnsi="Times New Roman" w:cs="Times New Roman" w:hint="eastAsia"/>
          <w:szCs w:val="21"/>
        </w:rPr>
        <w:t>城市电力系统</w:t>
      </w:r>
      <w:r>
        <w:rPr>
          <w:rFonts w:ascii="Times New Roman" w:hAnsi="Times New Roman"/>
          <w:szCs w:val="21"/>
        </w:rPr>
        <w:t>的拓扑结构</w:t>
      </w:r>
      <w:r>
        <w:rPr>
          <w:rFonts w:ascii="Times New Roman" w:hAnsi="Times New Roman" w:hint="eastAsia"/>
          <w:szCs w:val="21"/>
        </w:rPr>
        <w:t>如</w:t>
      </w:r>
      <w:r w:rsidRPr="008453EA">
        <w:rPr>
          <w:rFonts w:ascii="Times New Roman" w:hAnsi="Times New Roman" w:cs="Times New Roman"/>
          <w:color w:val="0000FF"/>
          <w:szCs w:val="21"/>
        </w:rPr>
        <w:fldChar w:fldCharType="begin"/>
      </w:r>
      <w:r w:rsidRPr="008453EA">
        <w:rPr>
          <w:rFonts w:ascii="Times New Roman" w:hAnsi="Times New Roman" w:cs="Times New Roman"/>
          <w:color w:val="0000FF"/>
          <w:szCs w:val="21"/>
        </w:rPr>
        <w:instrText xml:space="preserve"> REF _Ref204376304 \r \h  \* MERGEFORMAT </w:instrText>
      </w:r>
      <w:r w:rsidRPr="008453EA">
        <w:rPr>
          <w:rFonts w:ascii="Times New Roman" w:hAnsi="Times New Roman" w:cs="Times New Roman"/>
          <w:color w:val="0000FF"/>
          <w:szCs w:val="21"/>
        </w:rPr>
      </w:r>
      <w:r w:rsidRPr="008453EA">
        <w:rPr>
          <w:rFonts w:ascii="Times New Roman" w:hAnsi="Times New Roman" w:cs="Times New Roman"/>
          <w:color w:val="0000FF"/>
          <w:szCs w:val="21"/>
        </w:rPr>
        <w:fldChar w:fldCharType="separate"/>
      </w:r>
      <w:r w:rsidR="00CC3C32">
        <w:rPr>
          <w:rFonts w:ascii="Times New Roman" w:hAnsi="Times New Roman" w:cs="Times New Roman"/>
          <w:color w:val="0000FF"/>
          <w:szCs w:val="21"/>
          <w:cs/>
        </w:rPr>
        <w:t>‎</w:t>
      </w:r>
      <w:r w:rsidR="00CC3C32">
        <w:rPr>
          <w:rFonts w:ascii="Times New Roman" w:hAnsi="Times New Roman" w:cs="Times New Roman" w:hint="eastAsia"/>
          <w:color w:val="0000FF"/>
          <w:szCs w:val="21"/>
        </w:rPr>
        <w:t>图</w:t>
      </w:r>
      <w:r w:rsidR="00CC3C32">
        <w:rPr>
          <w:rFonts w:ascii="Times New Roman" w:hAnsi="Times New Roman" w:cs="Times New Roman"/>
          <w:color w:val="0000FF"/>
          <w:szCs w:val="21"/>
        </w:rPr>
        <w:t>7</w:t>
      </w:r>
      <w:r w:rsidRPr="008453EA">
        <w:rPr>
          <w:rFonts w:ascii="Times New Roman" w:hAnsi="Times New Roman" w:cs="Times New Roman"/>
          <w:color w:val="0000FF"/>
          <w:szCs w:val="21"/>
        </w:rPr>
        <w:fldChar w:fldCharType="end"/>
      </w:r>
      <w:r>
        <w:rPr>
          <w:rFonts w:ascii="Times New Roman" w:hAnsi="Times New Roman" w:hint="eastAsia"/>
          <w:szCs w:val="21"/>
        </w:rPr>
        <w:t>所示，</w:t>
      </w:r>
      <w:r>
        <w:rPr>
          <w:rFonts w:ascii="Times New Roman" w:hAnsi="Times New Roman"/>
          <w:szCs w:val="21"/>
        </w:rPr>
        <w:t>图中以加粗短横线表示母线，母线之间通过线路</w:t>
      </w:r>
      <w:r>
        <w:rPr>
          <w:rFonts w:ascii="Times New Roman" w:hAnsi="Times New Roman" w:hint="eastAsia"/>
          <w:szCs w:val="21"/>
        </w:rPr>
        <w:t>或变压器</w:t>
      </w:r>
      <w:r>
        <w:rPr>
          <w:rFonts w:ascii="Times New Roman" w:hAnsi="Times New Roman"/>
          <w:szCs w:val="21"/>
        </w:rPr>
        <w:t>连接，反映各级电力设施之间的</w:t>
      </w:r>
      <w:r>
        <w:rPr>
          <w:rFonts w:ascii="Times New Roman" w:hAnsi="Times New Roman" w:hint="eastAsia"/>
          <w:szCs w:val="21"/>
        </w:rPr>
        <w:t>电气</w:t>
      </w:r>
      <w:r>
        <w:rPr>
          <w:rFonts w:ascii="Times New Roman" w:hAnsi="Times New Roman"/>
          <w:szCs w:val="21"/>
        </w:rPr>
        <w:t>接线关系。</w:t>
      </w:r>
    </w:p>
    <w:p w14:paraId="3F2A5FAF" w14:textId="0B0A3076" w:rsidR="001F7B30" w:rsidRDefault="00DA268A">
      <w:pPr>
        <w:spacing w:line="240" w:lineRule="atLeast"/>
        <w:ind w:firstLineChars="200" w:firstLine="420"/>
        <w:rPr>
          <w:rFonts w:ascii="Times New Roman" w:hAnsi="Times New Roman"/>
          <w:szCs w:val="21"/>
        </w:rPr>
      </w:pPr>
      <w:r>
        <w:rPr>
          <w:rFonts w:ascii="Times New Roman" w:hAnsi="Times New Roman" w:cs="Times New Roman"/>
          <w:szCs w:val="21"/>
        </w:rPr>
        <w:t>从图中可见，电源节点在全网中处于上游位置，</w:t>
      </w:r>
      <w:r>
        <w:rPr>
          <w:rFonts w:ascii="Times New Roman" w:hAnsi="Times New Roman" w:cs="Times New Roman"/>
          <w:szCs w:val="21"/>
        </w:rPr>
        <w:t>并通过多条线路向不同区域供电，形成多个功率注入点。不同电压等级间通过变压器连接，构成逐级降压的</w:t>
      </w:r>
      <w:r>
        <w:rPr>
          <w:rFonts w:ascii="Times New Roman" w:hAnsi="Times New Roman" w:cs="Times New Roman" w:hint="eastAsia"/>
          <w:szCs w:val="21"/>
        </w:rPr>
        <w:t>电网</w:t>
      </w:r>
      <w:r>
        <w:rPr>
          <w:rFonts w:ascii="Times New Roman" w:hAnsi="Times New Roman" w:cs="Times New Roman"/>
          <w:szCs w:val="21"/>
        </w:rPr>
        <w:t>结构</w:t>
      </w:r>
      <w:r>
        <w:rPr>
          <w:rFonts w:ascii="Times New Roman" w:hAnsi="Times New Roman" w:cs="Times New Roman" w:hint="eastAsia"/>
          <w:szCs w:val="21"/>
        </w:rPr>
        <w:t>。</w:t>
      </w:r>
      <w:r>
        <w:rPr>
          <w:rFonts w:ascii="Times New Roman" w:hAnsi="Times New Roman" w:cs="Times New Roman"/>
          <w:szCs w:val="21"/>
        </w:rPr>
        <w:t>部分区域的母线之间形成环状或放射状连接，增强了局部网络的互联性。负荷节点集中连接于</w:t>
      </w:r>
      <w:r>
        <w:rPr>
          <w:rFonts w:ascii="Times New Roman" w:hAnsi="Times New Roman" w:cs="Times New Roman" w:hint="eastAsia"/>
          <w:szCs w:val="21"/>
        </w:rPr>
        <w:t>末端</w:t>
      </w:r>
      <w:r>
        <w:rPr>
          <w:rFonts w:ascii="Times New Roman" w:hAnsi="Times New Roman" w:cs="Times New Roman"/>
          <w:szCs w:val="21"/>
        </w:rPr>
        <w:t>母线，构成典型的配电结构，其分布密度和联接位置体现了城市内部用电负荷的空间集中特征。</w:t>
      </w:r>
    </w:p>
    <w:p w14:paraId="57A5A4A6" w14:textId="77777777" w:rsidR="001F7B30" w:rsidRDefault="001F7B30">
      <w:pPr>
        <w:spacing w:line="240" w:lineRule="atLeast"/>
        <w:ind w:firstLineChars="200" w:firstLine="420"/>
        <w:rPr>
          <w:rFonts w:ascii="Times New Roman" w:hAnsi="Times New Roman" w:cs="Times New Roman"/>
          <w:szCs w:val="21"/>
        </w:rPr>
        <w:sectPr w:rsidR="001F7B30">
          <w:type w:val="continuous"/>
          <w:pgSz w:w="11906" w:h="16838"/>
          <w:pgMar w:top="1985" w:right="1021" w:bottom="1021" w:left="1021" w:header="851" w:footer="992" w:gutter="0"/>
          <w:cols w:num="2" w:space="425"/>
          <w:titlePg/>
          <w:docGrid w:type="lines" w:linePitch="312"/>
        </w:sectPr>
      </w:pPr>
    </w:p>
    <w:p w14:paraId="08AA599D" w14:textId="77777777" w:rsidR="001F7B30" w:rsidRDefault="00DA268A">
      <w:pPr>
        <w:pStyle w:val="a"/>
        <w:numPr>
          <w:ilvl w:val="0"/>
          <w:numId w:val="3"/>
        </w:numPr>
        <w:ind w:left="0" w:firstLine="0"/>
        <w:jc w:val="center"/>
        <w:rPr>
          <w:rFonts w:ascii="Times New Roman" w:hAnsi="Times New Roman"/>
          <w:szCs w:val="21"/>
        </w:rPr>
      </w:pPr>
      <w:bookmarkStart w:id="14" w:name="_Ref204377006"/>
      <w:r>
        <w:rPr>
          <w:rFonts w:ascii="Times New Roman" w:hAnsi="Times New Roman" w:hint="eastAsia"/>
        </w:rPr>
        <w:t>单位建设用地负荷密度取值</w:t>
      </w:r>
      <w:bookmarkEnd w:id="14"/>
    </w:p>
    <w:tbl>
      <w:tblPr>
        <w:tblW w:w="5000" w:type="pct"/>
        <w:jc w:val="center"/>
        <w:tblLayout w:type="fixed"/>
        <w:tblLook w:val="04A0" w:firstRow="1" w:lastRow="0" w:firstColumn="1" w:lastColumn="0" w:noHBand="0" w:noVBand="1"/>
      </w:tblPr>
      <w:tblGrid>
        <w:gridCol w:w="3543"/>
        <w:gridCol w:w="1559"/>
        <w:gridCol w:w="2062"/>
        <w:gridCol w:w="1351"/>
        <w:gridCol w:w="1349"/>
      </w:tblGrid>
      <w:tr w:rsidR="001F7B30" w14:paraId="08929192" w14:textId="77777777">
        <w:trPr>
          <w:trHeight w:val="20"/>
          <w:jc w:val="center"/>
        </w:trPr>
        <w:tc>
          <w:tcPr>
            <w:tcW w:w="1796" w:type="pct"/>
            <w:tcBorders>
              <w:top w:val="single" w:sz="12" w:space="0" w:color="auto"/>
              <w:left w:val="nil"/>
              <w:bottom w:val="single" w:sz="6" w:space="0" w:color="auto"/>
              <w:right w:val="nil"/>
            </w:tcBorders>
            <w:vAlign w:val="center"/>
          </w:tcPr>
          <w:p w14:paraId="0A3C7F54"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用地类别及代码</w:t>
            </w:r>
          </w:p>
        </w:tc>
        <w:tc>
          <w:tcPr>
            <w:tcW w:w="790" w:type="pct"/>
            <w:tcBorders>
              <w:top w:val="single" w:sz="12" w:space="0" w:color="auto"/>
              <w:left w:val="nil"/>
              <w:bottom w:val="single" w:sz="6" w:space="0" w:color="auto"/>
              <w:right w:val="nil"/>
            </w:tcBorders>
            <w:vAlign w:val="center"/>
          </w:tcPr>
          <w:p w14:paraId="4DED8232"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规范负荷指标</w:t>
            </w:r>
            <w:r>
              <w:rPr>
                <w:rFonts w:ascii="Times New Roman" w:hAnsi="Times New Roman" w:hint="eastAsia"/>
                <w:kern w:val="0"/>
                <w:szCs w:val="21"/>
              </w:rPr>
              <w:t>/(</w:t>
            </w:r>
            <w:r>
              <w:rPr>
                <w:rFonts w:ascii="Times New Roman" w:eastAsia="黑体" w:hAnsi="Times New Roman" w:hint="eastAsia"/>
                <w:sz w:val="19"/>
                <w:szCs w:val="19"/>
              </w:rPr>
              <w:t>kW</w:t>
            </w:r>
            <w:r>
              <w:rPr>
                <w:rFonts w:ascii="Times New Roman" w:eastAsia="黑体" w:hAnsi="Times New Roman"/>
                <w:sz w:val="19"/>
                <w:szCs w:val="19"/>
              </w:rPr>
              <w:t>·</w:t>
            </w:r>
            <w:r>
              <w:rPr>
                <w:rFonts w:ascii="Times New Roman" w:eastAsia="黑体" w:hAnsi="Times New Roman" w:hint="eastAsia"/>
                <w:sz w:val="19"/>
                <w:szCs w:val="19"/>
              </w:rPr>
              <w:t>hm</w:t>
            </w:r>
            <w:r>
              <w:rPr>
                <w:rFonts w:ascii="Times New Roman" w:eastAsia="黑体" w:hAnsi="Times New Roman" w:hint="eastAsia"/>
                <w:sz w:val="19"/>
                <w:szCs w:val="19"/>
                <w:vertAlign w:val="superscript"/>
              </w:rPr>
              <w:t>-2</w:t>
            </w:r>
            <w:r>
              <w:rPr>
                <w:rFonts w:ascii="Times New Roman" w:eastAsia="黑体" w:hAnsi="Times New Roman" w:hint="eastAsia"/>
                <w:sz w:val="19"/>
                <w:szCs w:val="19"/>
              </w:rPr>
              <w:t>)</w:t>
            </w:r>
          </w:p>
        </w:tc>
        <w:tc>
          <w:tcPr>
            <w:tcW w:w="1045" w:type="pct"/>
            <w:tcBorders>
              <w:top w:val="single" w:sz="12" w:space="0" w:color="auto"/>
              <w:left w:val="nil"/>
              <w:bottom w:val="single" w:sz="6" w:space="0" w:color="auto"/>
              <w:right w:val="nil"/>
            </w:tcBorders>
            <w:vAlign w:val="center"/>
          </w:tcPr>
          <w:p w14:paraId="2BA89959"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负荷密度取值</w:t>
            </w:r>
            <w:r>
              <w:rPr>
                <w:rFonts w:ascii="Times New Roman" w:hAnsi="Times New Roman" w:hint="eastAsia"/>
                <w:kern w:val="0"/>
                <w:szCs w:val="21"/>
              </w:rPr>
              <w:t>/(</w:t>
            </w:r>
            <w:r>
              <w:rPr>
                <w:rFonts w:ascii="Times New Roman" w:eastAsia="黑体" w:hAnsi="Times New Roman" w:hint="eastAsia"/>
                <w:sz w:val="19"/>
                <w:szCs w:val="19"/>
              </w:rPr>
              <w:t>kW</w:t>
            </w:r>
            <w:r>
              <w:rPr>
                <w:rFonts w:ascii="Times New Roman" w:eastAsia="黑体" w:hAnsi="Times New Roman"/>
                <w:sz w:val="19"/>
                <w:szCs w:val="19"/>
              </w:rPr>
              <w:t>·</w:t>
            </w:r>
            <w:r>
              <w:rPr>
                <w:rFonts w:ascii="Times New Roman" w:eastAsia="黑体" w:hAnsi="Times New Roman" w:hint="eastAsia"/>
                <w:sz w:val="19"/>
                <w:szCs w:val="19"/>
              </w:rPr>
              <w:t>hm</w:t>
            </w:r>
            <w:r>
              <w:rPr>
                <w:rFonts w:ascii="Times New Roman" w:eastAsia="黑体" w:hAnsi="Times New Roman" w:hint="eastAsia"/>
                <w:sz w:val="19"/>
                <w:szCs w:val="19"/>
                <w:vertAlign w:val="superscript"/>
              </w:rPr>
              <w:t>-2</w:t>
            </w:r>
            <w:r>
              <w:rPr>
                <w:rFonts w:ascii="Times New Roman" w:eastAsia="黑体" w:hAnsi="Times New Roman" w:hint="eastAsia"/>
                <w:sz w:val="19"/>
                <w:szCs w:val="19"/>
              </w:rPr>
              <w:t>)</w:t>
            </w:r>
          </w:p>
        </w:tc>
        <w:tc>
          <w:tcPr>
            <w:tcW w:w="685" w:type="pct"/>
            <w:tcBorders>
              <w:top w:val="single" w:sz="12" w:space="0" w:color="auto"/>
              <w:left w:val="nil"/>
              <w:bottom w:val="single" w:sz="6" w:space="0" w:color="auto"/>
              <w:right w:val="nil"/>
            </w:tcBorders>
            <w:vAlign w:val="center"/>
          </w:tcPr>
          <w:p w14:paraId="7E0FB55C"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计算负荷</w:t>
            </w:r>
            <w:r>
              <w:rPr>
                <w:rFonts w:ascii="Times New Roman" w:hAnsi="Times New Roman" w:hint="eastAsia"/>
                <w:kern w:val="0"/>
                <w:szCs w:val="21"/>
              </w:rPr>
              <w:t>/MW</w:t>
            </w:r>
          </w:p>
        </w:tc>
        <w:tc>
          <w:tcPr>
            <w:tcW w:w="684" w:type="pct"/>
            <w:tcBorders>
              <w:top w:val="single" w:sz="12" w:space="0" w:color="auto"/>
              <w:left w:val="nil"/>
              <w:bottom w:val="single" w:sz="6" w:space="0" w:color="auto"/>
              <w:right w:val="nil"/>
            </w:tcBorders>
            <w:vAlign w:val="center"/>
          </w:tcPr>
          <w:p w14:paraId="3BAD75F2"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供电分级</w:t>
            </w:r>
          </w:p>
        </w:tc>
      </w:tr>
      <w:tr w:rsidR="001F7B30" w14:paraId="4E6E8E1C" w14:textId="77777777">
        <w:trPr>
          <w:trHeight w:val="20"/>
          <w:jc w:val="center"/>
        </w:trPr>
        <w:tc>
          <w:tcPr>
            <w:tcW w:w="1796" w:type="pct"/>
            <w:tcBorders>
              <w:top w:val="single" w:sz="6" w:space="0" w:color="auto"/>
              <w:left w:val="nil"/>
              <w:bottom w:val="nil"/>
              <w:right w:val="nil"/>
            </w:tcBorders>
            <w:vAlign w:val="center"/>
          </w:tcPr>
          <w:p w14:paraId="79E73A8B"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居住用地（</w:t>
            </w:r>
            <w:r>
              <w:rPr>
                <w:rFonts w:ascii="Times New Roman" w:hAnsi="Times New Roman" w:hint="eastAsia"/>
                <w:kern w:val="0"/>
                <w:szCs w:val="21"/>
              </w:rPr>
              <w:t>R</w:t>
            </w:r>
            <w:r>
              <w:rPr>
                <w:rFonts w:ascii="Times New Roman" w:hAnsi="Times New Roman" w:hint="eastAsia"/>
                <w:kern w:val="0"/>
                <w:szCs w:val="21"/>
              </w:rPr>
              <w:t>）</w:t>
            </w:r>
          </w:p>
        </w:tc>
        <w:tc>
          <w:tcPr>
            <w:tcW w:w="790" w:type="pct"/>
            <w:tcBorders>
              <w:top w:val="single" w:sz="6" w:space="0" w:color="auto"/>
              <w:left w:val="nil"/>
              <w:bottom w:val="nil"/>
              <w:right w:val="nil"/>
            </w:tcBorders>
            <w:vAlign w:val="center"/>
          </w:tcPr>
          <w:p w14:paraId="36BDE2A7"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100~400</w:t>
            </w:r>
          </w:p>
        </w:tc>
        <w:tc>
          <w:tcPr>
            <w:tcW w:w="1045" w:type="pct"/>
            <w:tcBorders>
              <w:top w:val="single" w:sz="6" w:space="0" w:color="auto"/>
              <w:left w:val="nil"/>
              <w:bottom w:val="nil"/>
              <w:right w:val="nil"/>
            </w:tcBorders>
            <w:vAlign w:val="center"/>
          </w:tcPr>
          <w:p w14:paraId="2DACF9C2"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200</w:t>
            </w:r>
          </w:p>
        </w:tc>
        <w:tc>
          <w:tcPr>
            <w:tcW w:w="685" w:type="pct"/>
            <w:tcBorders>
              <w:top w:val="single" w:sz="6" w:space="0" w:color="auto"/>
              <w:left w:val="nil"/>
              <w:bottom w:val="nil"/>
              <w:right w:val="nil"/>
            </w:tcBorders>
            <w:vAlign w:val="center"/>
          </w:tcPr>
          <w:p w14:paraId="5FF66031"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805.25</w:t>
            </w:r>
          </w:p>
        </w:tc>
        <w:tc>
          <w:tcPr>
            <w:tcW w:w="684" w:type="pct"/>
            <w:tcBorders>
              <w:top w:val="single" w:sz="6" w:space="0" w:color="auto"/>
              <w:left w:val="nil"/>
              <w:bottom w:val="nil"/>
              <w:right w:val="nil"/>
            </w:tcBorders>
            <w:vAlign w:val="center"/>
          </w:tcPr>
          <w:p w14:paraId="09D5140B"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三级</w:t>
            </w:r>
          </w:p>
        </w:tc>
      </w:tr>
      <w:tr w:rsidR="001F7B30" w14:paraId="1F42D5D6" w14:textId="77777777">
        <w:trPr>
          <w:trHeight w:val="20"/>
          <w:jc w:val="center"/>
        </w:trPr>
        <w:tc>
          <w:tcPr>
            <w:tcW w:w="1796" w:type="pct"/>
            <w:vAlign w:val="center"/>
          </w:tcPr>
          <w:p w14:paraId="024EB725"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商业服务业设施用地（</w:t>
            </w:r>
            <w:r>
              <w:rPr>
                <w:rFonts w:ascii="Times New Roman" w:hAnsi="Times New Roman" w:hint="eastAsia"/>
                <w:kern w:val="0"/>
                <w:szCs w:val="21"/>
              </w:rPr>
              <w:t>B</w:t>
            </w:r>
            <w:r>
              <w:rPr>
                <w:rFonts w:ascii="Times New Roman" w:hAnsi="Times New Roman" w:hint="eastAsia"/>
                <w:kern w:val="0"/>
                <w:szCs w:val="21"/>
              </w:rPr>
              <w:t>）</w:t>
            </w:r>
          </w:p>
        </w:tc>
        <w:tc>
          <w:tcPr>
            <w:tcW w:w="790" w:type="pct"/>
            <w:vAlign w:val="center"/>
          </w:tcPr>
          <w:p w14:paraId="20D4BA4B"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400~1200</w:t>
            </w:r>
          </w:p>
        </w:tc>
        <w:tc>
          <w:tcPr>
            <w:tcW w:w="1045" w:type="pct"/>
            <w:vAlign w:val="center"/>
          </w:tcPr>
          <w:p w14:paraId="1BFB9D67"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800</w:t>
            </w:r>
          </w:p>
        </w:tc>
        <w:tc>
          <w:tcPr>
            <w:tcW w:w="685" w:type="pct"/>
            <w:vAlign w:val="center"/>
          </w:tcPr>
          <w:p w14:paraId="1ED22DD8"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185.37</w:t>
            </w:r>
          </w:p>
        </w:tc>
        <w:tc>
          <w:tcPr>
            <w:tcW w:w="684" w:type="pct"/>
            <w:vAlign w:val="center"/>
          </w:tcPr>
          <w:p w14:paraId="00357E81"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三级</w:t>
            </w:r>
          </w:p>
        </w:tc>
      </w:tr>
      <w:tr w:rsidR="001F7B30" w14:paraId="14EF7530" w14:textId="77777777">
        <w:trPr>
          <w:trHeight w:val="20"/>
          <w:jc w:val="center"/>
        </w:trPr>
        <w:tc>
          <w:tcPr>
            <w:tcW w:w="1796" w:type="pct"/>
            <w:vAlign w:val="center"/>
          </w:tcPr>
          <w:p w14:paraId="62122458"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公共管理与公共服务设施用地（</w:t>
            </w:r>
            <w:r>
              <w:rPr>
                <w:rFonts w:ascii="Times New Roman" w:hAnsi="Times New Roman" w:hint="eastAsia"/>
                <w:kern w:val="0"/>
                <w:szCs w:val="21"/>
              </w:rPr>
              <w:t>A</w:t>
            </w:r>
            <w:r>
              <w:rPr>
                <w:rFonts w:ascii="Times New Roman" w:hAnsi="Times New Roman" w:hint="eastAsia"/>
                <w:kern w:val="0"/>
                <w:szCs w:val="21"/>
              </w:rPr>
              <w:t>）</w:t>
            </w:r>
          </w:p>
        </w:tc>
        <w:tc>
          <w:tcPr>
            <w:tcW w:w="790" w:type="pct"/>
            <w:vAlign w:val="center"/>
          </w:tcPr>
          <w:p w14:paraId="6D0935A2"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300~800</w:t>
            </w:r>
          </w:p>
        </w:tc>
        <w:tc>
          <w:tcPr>
            <w:tcW w:w="1045" w:type="pct"/>
            <w:vAlign w:val="center"/>
          </w:tcPr>
          <w:p w14:paraId="155B76C0"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500</w:t>
            </w:r>
          </w:p>
        </w:tc>
        <w:tc>
          <w:tcPr>
            <w:tcW w:w="685" w:type="pct"/>
            <w:vAlign w:val="center"/>
          </w:tcPr>
          <w:p w14:paraId="70E750A1"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35.84</w:t>
            </w:r>
          </w:p>
        </w:tc>
        <w:tc>
          <w:tcPr>
            <w:tcW w:w="684" w:type="pct"/>
            <w:vAlign w:val="center"/>
          </w:tcPr>
          <w:p w14:paraId="750D291F"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一级</w:t>
            </w:r>
          </w:p>
        </w:tc>
      </w:tr>
      <w:tr w:rsidR="001F7B30" w14:paraId="4732BECC" w14:textId="77777777">
        <w:trPr>
          <w:trHeight w:val="20"/>
          <w:jc w:val="center"/>
        </w:trPr>
        <w:tc>
          <w:tcPr>
            <w:tcW w:w="1796" w:type="pct"/>
            <w:vAlign w:val="center"/>
          </w:tcPr>
          <w:p w14:paraId="416F6DB5"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工业用地（</w:t>
            </w:r>
            <w:r>
              <w:rPr>
                <w:rFonts w:ascii="Times New Roman" w:hAnsi="Times New Roman" w:hint="eastAsia"/>
                <w:kern w:val="0"/>
                <w:szCs w:val="21"/>
              </w:rPr>
              <w:t>M</w:t>
            </w:r>
            <w:r>
              <w:rPr>
                <w:rFonts w:ascii="Times New Roman" w:hAnsi="Times New Roman" w:hint="eastAsia"/>
                <w:kern w:val="0"/>
                <w:szCs w:val="21"/>
              </w:rPr>
              <w:t>）</w:t>
            </w:r>
          </w:p>
        </w:tc>
        <w:tc>
          <w:tcPr>
            <w:tcW w:w="790" w:type="pct"/>
            <w:vAlign w:val="center"/>
          </w:tcPr>
          <w:p w14:paraId="6AD0863A"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200~800</w:t>
            </w:r>
          </w:p>
        </w:tc>
        <w:tc>
          <w:tcPr>
            <w:tcW w:w="1045" w:type="pct"/>
            <w:vAlign w:val="center"/>
          </w:tcPr>
          <w:p w14:paraId="5CBA583A"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500</w:t>
            </w:r>
          </w:p>
        </w:tc>
        <w:tc>
          <w:tcPr>
            <w:tcW w:w="685" w:type="pct"/>
            <w:vAlign w:val="center"/>
          </w:tcPr>
          <w:p w14:paraId="73D79E55"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821.12</w:t>
            </w:r>
          </w:p>
        </w:tc>
        <w:tc>
          <w:tcPr>
            <w:tcW w:w="684" w:type="pct"/>
            <w:vAlign w:val="center"/>
          </w:tcPr>
          <w:p w14:paraId="31E206FC"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二级</w:t>
            </w:r>
          </w:p>
        </w:tc>
      </w:tr>
      <w:tr w:rsidR="001F7B30" w14:paraId="4D12B925" w14:textId="77777777">
        <w:trPr>
          <w:trHeight w:val="20"/>
          <w:jc w:val="center"/>
        </w:trPr>
        <w:tc>
          <w:tcPr>
            <w:tcW w:w="1796" w:type="pct"/>
            <w:vAlign w:val="center"/>
          </w:tcPr>
          <w:p w14:paraId="00CE7C5E" w14:textId="77777777" w:rsidR="001F7B30" w:rsidRDefault="00DA268A">
            <w:pPr>
              <w:widowControl/>
              <w:jc w:val="center"/>
              <w:rPr>
                <w:rFonts w:ascii="Times New Roman" w:hAnsi="Times New Roman"/>
                <w:kern w:val="0"/>
                <w:szCs w:val="21"/>
              </w:rPr>
            </w:pPr>
            <w:bookmarkStart w:id="15" w:name="_Hlk176343903"/>
            <w:r>
              <w:rPr>
                <w:rFonts w:ascii="Times New Roman" w:hAnsi="Times New Roman" w:hint="eastAsia"/>
                <w:kern w:val="0"/>
                <w:szCs w:val="21"/>
              </w:rPr>
              <w:t>物流仓储用地（</w:t>
            </w:r>
            <w:r>
              <w:rPr>
                <w:rFonts w:ascii="Times New Roman" w:hAnsi="Times New Roman" w:hint="eastAsia"/>
                <w:kern w:val="0"/>
                <w:szCs w:val="21"/>
              </w:rPr>
              <w:t>W</w:t>
            </w:r>
            <w:r>
              <w:rPr>
                <w:rFonts w:ascii="Times New Roman" w:hAnsi="Times New Roman" w:hint="eastAsia"/>
                <w:kern w:val="0"/>
                <w:szCs w:val="21"/>
              </w:rPr>
              <w:t>）</w:t>
            </w:r>
            <w:bookmarkEnd w:id="15"/>
          </w:p>
        </w:tc>
        <w:tc>
          <w:tcPr>
            <w:tcW w:w="790" w:type="pct"/>
            <w:vAlign w:val="center"/>
          </w:tcPr>
          <w:p w14:paraId="0C85D6FA"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20~40</w:t>
            </w:r>
          </w:p>
        </w:tc>
        <w:tc>
          <w:tcPr>
            <w:tcW w:w="1045" w:type="pct"/>
            <w:vAlign w:val="center"/>
          </w:tcPr>
          <w:p w14:paraId="0594EA79"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100</w:t>
            </w:r>
          </w:p>
        </w:tc>
        <w:tc>
          <w:tcPr>
            <w:tcW w:w="685" w:type="pct"/>
            <w:vAlign w:val="center"/>
          </w:tcPr>
          <w:p w14:paraId="3CF3E508"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10.95</w:t>
            </w:r>
          </w:p>
        </w:tc>
        <w:tc>
          <w:tcPr>
            <w:tcW w:w="684" w:type="pct"/>
            <w:vAlign w:val="center"/>
          </w:tcPr>
          <w:p w14:paraId="73A64785"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一级</w:t>
            </w:r>
          </w:p>
        </w:tc>
      </w:tr>
      <w:tr w:rsidR="001F7B30" w14:paraId="70E0FB46" w14:textId="77777777">
        <w:trPr>
          <w:trHeight w:val="20"/>
          <w:jc w:val="center"/>
        </w:trPr>
        <w:tc>
          <w:tcPr>
            <w:tcW w:w="1796" w:type="pct"/>
            <w:tcBorders>
              <w:top w:val="nil"/>
              <w:left w:val="nil"/>
              <w:bottom w:val="single" w:sz="12" w:space="0" w:color="auto"/>
              <w:right w:val="nil"/>
            </w:tcBorders>
            <w:vAlign w:val="center"/>
          </w:tcPr>
          <w:p w14:paraId="625595C8"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绿地与广场用地（</w:t>
            </w:r>
            <w:r>
              <w:rPr>
                <w:rFonts w:ascii="Times New Roman" w:hAnsi="Times New Roman" w:hint="eastAsia"/>
                <w:kern w:val="0"/>
                <w:szCs w:val="21"/>
              </w:rPr>
              <w:t>G</w:t>
            </w:r>
            <w:r>
              <w:rPr>
                <w:rFonts w:ascii="Times New Roman" w:hAnsi="Times New Roman" w:hint="eastAsia"/>
                <w:kern w:val="0"/>
                <w:szCs w:val="21"/>
              </w:rPr>
              <w:t>）</w:t>
            </w:r>
          </w:p>
        </w:tc>
        <w:tc>
          <w:tcPr>
            <w:tcW w:w="790" w:type="pct"/>
            <w:tcBorders>
              <w:top w:val="nil"/>
              <w:left w:val="nil"/>
              <w:bottom w:val="single" w:sz="12" w:space="0" w:color="auto"/>
              <w:right w:val="nil"/>
            </w:tcBorders>
            <w:vAlign w:val="center"/>
          </w:tcPr>
          <w:p w14:paraId="08601597"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10~30</w:t>
            </w:r>
          </w:p>
        </w:tc>
        <w:tc>
          <w:tcPr>
            <w:tcW w:w="1045" w:type="pct"/>
            <w:tcBorders>
              <w:top w:val="nil"/>
              <w:left w:val="nil"/>
              <w:bottom w:val="single" w:sz="12" w:space="0" w:color="auto"/>
              <w:right w:val="nil"/>
            </w:tcBorders>
            <w:vAlign w:val="center"/>
          </w:tcPr>
          <w:p w14:paraId="692905F7"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10</w:t>
            </w:r>
          </w:p>
        </w:tc>
        <w:tc>
          <w:tcPr>
            <w:tcW w:w="685" w:type="pct"/>
            <w:tcBorders>
              <w:top w:val="nil"/>
              <w:left w:val="nil"/>
              <w:bottom w:val="single" w:sz="12" w:space="0" w:color="auto"/>
              <w:right w:val="nil"/>
            </w:tcBorders>
            <w:vAlign w:val="center"/>
          </w:tcPr>
          <w:p w14:paraId="65D6B2D7"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14.93</w:t>
            </w:r>
          </w:p>
        </w:tc>
        <w:tc>
          <w:tcPr>
            <w:tcW w:w="684" w:type="pct"/>
            <w:tcBorders>
              <w:top w:val="nil"/>
              <w:left w:val="nil"/>
              <w:bottom w:val="single" w:sz="12" w:space="0" w:color="auto"/>
              <w:right w:val="nil"/>
            </w:tcBorders>
            <w:vAlign w:val="center"/>
          </w:tcPr>
          <w:p w14:paraId="7897C156" w14:textId="77777777" w:rsidR="001F7B30" w:rsidRDefault="00DA268A">
            <w:pPr>
              <w:widowControl/>
              <w:jc w:val="center"/>
              <w:rPr>
                <w:rFonts w:ascii="Times New Roman" w:hAnsi="Times New Roman"/>
                <w:kern w:val="0"/>
                <w:szCs w:val="21"/>
              </w:rPr>
            </w:pPr>
            <w:r>
              <w:rPr>
                <w:rFonts w:ascii="Times New Roman" w:hAnsi="Times New Roman" w:hint="eastAsia"/>
                <w:kern w:val="0"/>
                <w:szCs w:val="21"/>
              </w:rPr>
              <w:t>三级</w:t>
            </w:r>
          </w:p>
        </w:tc>
      </w:tr>
    </w:tbl>
    <w:p w14:paraId="0214902A" w14:textId="77777777" w:rsidR="001F7B30" w:rsidRDefault="00DA268A">
      <w:pPr>
        <w:rPr>
          <w:rFonts w:ascii="Times New Roman" w:hAnsi="Times New Roman"/>
          <w:sz w:val="15"/>
          <w:szCs w:val="15"/>
        </w:rPr>
      </w:pPr>
      <w:r>
        <w:rPr>
          <w:rFonts w:ascii="Times New Roman" w:hAnsi="Times New Roman"/>
          <w:sz w:val="15"/>
          <w:szCs w:val="15"/>
        </w:rPr>
        <w:t>注：</w:t>
      </w:r>
      <w:r>
        <w:rPr>
          <w:rFonts w:ascii="Times New Roman" w:hAnsi="Times New Roman" w:hint="eastAsia"/>
          <w:sz w:val="15"/>
          <w:szCs w:val="15"/>
        </w:rPr>
        <w:t>考虑到物流行业的发展与灾后应急用途，</w:t>
      </w:r>
      <w:r>
        <w:rPr>
          <w:rFonts w:ascii="Times New Roman" w:hAnsi="Times New Roman" w:hint="eastAsia"/>
          <w:kern w:val="0"/>
          <w:sz w:val="15"/>
          <w:szCs w:val="15"/>
        </w:rPr>
        <w:t>物流仓储用地（</w:t>
      </w:r>
      <w:r>
        <w:rPr>
          <w:rFonts w:ascii="Times New Roman" w:hAnsi="Times New Roman" w:hint="eastAsia"/>
          <w:kern w:val="0"/>
          <w:sz w:val="15"/>
          <w:szCs w:val="15"/>
        </w:rPr>
        <w:t>S</w:t>
      </w:r>
      <w:r>
        <w:rPr>
          <w:rFonts w:ascii="Times New Roman" w:hAnsi="Times New Roman" w:hint="eastAsia"/>
          <w:kern w:val="0"/>
          <w:sz w:val="15"/>
          <w:szCs w:val="15"/>
        </w:rPr>
        <w:t>）的负荷密度取值</w:t>
      </w:r>
      <w:r>
        <w:rPr>
          <w:rFonts w:ascii="Times New Roman" w:hAnsi="Times New Roman" w:hint="eastAsia"/>
          <w:sz w:val="15"/>
          <w:szCs w:val="15"/>
        </w:rPr>
        <w:t>虽超过了规范的指标范围，但实际上反映了更高的用电需求。</w:t>
      </w:r>
    </w:p>
    <w:p w14:paraId="69EB45BD" w14:textId="77777777" w:rsidR="001F7B30" w:rsidRDefault="001F7B30">
      <w:pPr>
        <w:rPr>
          <w:rFonts w:ascii="Times New Roman" w:hAnsi="Times New Roman"/>
          <w:sz w:val="15"/>
          <w:szCs w:val="15"/>
        </w:rPr>
      </w:pPr>
    </w:p>
    <w:p w14:paraId="01DF637F" w14:textId="77777777" w:rsidR="001F7B30" w:rsidRDefault="00DA268A">
      <w:pPr>
        <w:spacing w:line="240" w:lineRule="atLeast"/>
        <w:rPr>
          <w:rFonts w:ascii="Times New Roman" w:hAnsi="Times New Roman" w:cs="Times New Roman"/>
          <w:szCs w:val="21"/>
        </w:rPr>
      </w:pPr>
      <w:r>
        <w:rPr>
          <w:noProof/>
        </w:rPr>
        <w:drawing>
          <wp:inline distT="0" distB="0" distL="0" distR="0" wp14:anchorId="5CB90ACB" wp14:editId="41E0070E">
            <wp:extent cx="6263640" cy="2352675"/>
            <wp:effectExtent l="0" t="0" r="3810" b="0"/>
            <wp:docPr id="41315033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150338" name="图片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6263640" cy="2352675"/>
                    </a:xfrm>
                    <a:prstGeom prst="rect">
                      <a:avLst/>
                    </a:prstGeom>
                    <a:noFill/>
                    <a:ln>
                      <a:noFill/>
                    </a:ln>
                  </pic:spPr>
                </pic:pic>
              </a:graphicData>
            </a:graphic>
          </wp:inline>
        </w:drawing>
      </w:r>
    </w:p>
    <w:p w14:paraId="388CC1D7" w14:textId="04D41B30" w:rsidR="00CB07E5" w:rsidRDefault="006E309C" w:rsidP="00CB07E5">
      <w:pPr>
        <w:pStyle w:val="afb"/>
        <w:numPr>
          <w:ilvl w:val="0"/>
          <w:numId w:val="2"/>
        </w:numPr>
        <w:snapToGrid w:val="0"/>
        <w:spacing w:afterLines="50" w:after="156" w:line="240" w:lineRule="atLeast"/>
        <w:ind w:left="442" w:firstLineChars="0" w:hanging="442"/>
        <w:jc w:val="center"/>
        <w:rPr>
          <w:rFonts w:ascii="Times New Roman" w:hAnsi="Times New Roman" w:cs="Times New Roman"/>
          <w:szCs w:val="21"/>
        </w:rPr>
      </w:pPr>
      <w:bookmarkStart w:id="16" w:name="_Ref204659152"/>
      <w:bookmarkStart w:id="17" w:name="_Ref204376304"/>
      <w:r>
        <w:rPr>
          <w:rFonts w:ascii="Times New Roman" w:hAnsi="Times New Roman" w:cs="Times New Roman" w:hint="eastAsia"/>
          <w:szCs w:val="21"/>
        </w:rPr>
        <w:t>基准城市电力系统拓扑</w:t>
      </w:r>
      <w:bookmarkEnd w:id="16"/>
      <w:r>
        <w:rPr>
          <w:rFonts w:ascii="Times New Roman" w:hAnsi="Times New Roman" w:cs="Times New Roman" w:hint="eastAsia"/>
          <w:szCs w:val="21"/>
        </w:rPr>
        <w:t>结构图</w:t>
      </w:r>
    </w:p>
    <w:bookmarkEnd w:id="17"/>
    <w:p w14:paraId="01D532D4" w14:textId="77777777" w:rsidR="001F7B30" w:rsidRDefault="001F7B30" w:rsidP="008453EA">
      <w:pPr>
        <w:pStyle w:val="afb"/>
        <w:numPr>
          <w:ilvl w:val="0"/>
          <w:numId w:val="2"/>
        </w:numPr>
        <w:ind w:firstLineChars="0"/>
        <w:jc w:val="center"/>
        <w:rPr>
          <w:rFonts w:cs="Times New Roman"/>
          <w:szCs w:val="21"/>
        </w:rPr>
        <w:sectPr w:rsidR="001F7B30">
          <w:type w:val="continuous"/>
          <w:pgSz w:w="11906" w:h="16838"/>
          <w:pgMar w:top="1985" w:right="1021" w:bottom="1021" w:left="1021" w:header="851" w:footer="992" w:gutter="0"/>
          <w:cols w:space="425"/>
          <w:titlePg/>
          <w:docGrid w:type="lines" w:linePitch="312"/>
        </w:sectPr>
      </w:pPr>
    </w:p>
    <w:p w14:paraId="6B0BA8C8" w14:textId="77777777" w:rsidR="001F7B30" w:rsidRDefault="00DA268A" w:rsidP="008453EA">
      <w:pPr>
        <w:widowControl/>
        <w:spacing w:line="240" w:lineRule="atLeast"/>
        <w:outlineLvl w:val="1"/>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4</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地震动场构建</w:t>
      </w:r>
    </w:p>
    <w:p w14:paraId="39570296" w14:textId="3DA1CE05" w:rsidR="001F7B30" w:rsidRDefault="004C7EF7">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本文</w:t>
      </w:r>
      <w:r w:rsidR="00DA268A">
        <w:rPr>
          <w:rFonts w:ascii="Times New Roman" w:hAnsi="Times New Roman" w:cs="Times New Roman" w:hint="eastAsia"/>
          <w:szCs w:val="21"/>
        </w:rPr>
        <w:t>使用《地震动参数衰减关系》（</w:t>
      </w:r>
      <w:r w:rsidR="00DA268A">
        <w:rPr>
          <w:rFonts w:ascii="Times New Roman" w:hAnsi="Times New Roman" w:cs="Times New Roman" w:hint="eastAsia"/>
          <w:szCs w:val="21"/>
        </w:rPr>
        <w:t>GB18306-2015</w:t>
      </w:r>
      <w:r w:rsidR="00DA268A">
        <w:rPr>
          <w:rFonts w:ascii="Times New Roman" w:hAnsi="Times New Roman" w:cs="Times New Roman" w:hint="eastAsia"/>
          <w:szCs w:val="21"/>
        </w:rPr>
        <w:t>）</w:t>
      </w:r>
      <w:r w:rsidR="00DA268A">
        <w:rPr>
          <w:rFonts w:ascii="Times New Roman" w:hAnsi="Times New Roman" w:cs="Times New Roman"/>
          <w:szCs w:val="21"/>
        </w:rPr>
        <w:fldChar w:fldCharType="begin"/>
      </w:r>
      <w:r w:rsidR="00DA268A">
        <w:rPr>
          <w:rFonts w:ascii="Times New Roman" w:hAnsi="Times New Roman" w:cs="Times New Roman"/>
          <w:szCs w:val="21"/>
        </w:rPr>
        <w:instrText xml:space="preserve"> </w:instrText>
      </w:r>
      <w:r w:rsidR="00DA268A">
        <w:rPr>
          <w:rFonts w:ascii="Times New Roman" w:hAnsi="Times New Roman" w:cs="Times New Roman" w:hint="eastAsia"/>
          <w:szCs w:val="21"/>
        </w:rPr>
        <w:instrText>REF _Ref204374507 \r \h</w:instrText>
      </w:r>
      <w:r w:rsidR="00DA268A">
        <w:rPr>
          <w:rFonts w:ascii="Times New Roman" w:hAnsi="Times New Roman" w:cs="Times New Roman"/>
          <w:szCs w:val="21"/>
        </w:rPr>
        <w:instrText xml:space="preserve">  \* MERGEFORMAT </w:instrText>
      </w:r>
      <w:r w:rsidR="00DA268A">
        <w:rPr>
          <w:rFonts w:ascii="Times New Roman" w:hAnsi="Times New Roman" w:cs="Times New Roman"/>
          <w:szCs w:val="21"/>
        </w:rPr>
      </w:r>
      <w:r w:rsidR="00DA268A">
        <w:rPr>
          <w:rFonts w:ascii="Times New Roman" w:hAnsi="Times New Roman" w:cs="Times New Roman"/>
          <w:szCs w:val="21"/>
        </w:rPr>
        <w:fldChar w:fldCharType="separate"/>
      </w:r>
      <w:r w:rsidR="0013403A">
        <w:rPr>
          <w:rFonts w:ascii="Times New Roman" w:hAnsi="Times New Roman" w:cs="Times New Roman"/>
          <w:szCs w:val="21"/>
          <w:cs/>
        </w:rPr>
        <w:t>‎</w:t>
      </w:r>
      <w:r w:rsidR="0013403A" w:rsidRPr="008453EA">
        <w:rPr>
          <w:rFonts w:ascii="Times New Roman" w:hAnsi="Times New Roman" w:cs="Times New Roman"/>
          <w:color w:val="0000FF"/>
          <w:szCs w:val="21"/>
          <w:vertAlign w:val="superscript"/>
        </w:rPr>
        <w:t>[39]</w:t>
      </w:r>
      <w:r w:rsidR="00DA268A">
        <w:rPr>
          <w:rFonts w:ascii="Times New Roman" w:hAnsi="Times New Roman" w:cs="Times New Roman"/>
          <w:szCs w:val="21"/>
        </w:rPr>
        <w:fldChar w:fldCharType="end"/>
      </w:r>
      <w:r w:rsidR="00DA268A">
        <w:rPr>
          <w:rFonts w:ascii="Times New Roman" w:hAnsi="Times New Roman" w:cs="Times New Roman" w:hint="eastAsia"/>
          <w:szCs w:val="21"/>
        </w:rPr>
        <w:t>中的衰减关系模型建立该城市的地震动场：</w:t>
      </w:r>
    </w:p>
    <w:p w14:paraId="5A0AFDB2" w14:textId="6A782BFA" w:rsidR="001F7B30" w:rsidRDefault="00DA268A">
      <w:pPr>
        <w:wordWrap w:val="0"/>
        <w:jc w:val="right"/>
        <w:rPr>
          <w:rFonts w:ascii="Times New Roman" w:hAnsi="Times New Roman" w:cs="Times New Roman"/>
          <w:sz w:val="19"/>
          <w:szCs w:val="19"/>
        </w:rPr>
      </w:pPr>
      <m:oMath>
        <m:r>
          <w:rPr>
            <w:rFonts w:ascii="Cambria Math" w:hAnsi="Cambria Math"/>
            <w:sz w:val="19"/>
            <w:szCs w:val="19"/>
          </w:rPr>
          <m:t>lgY=A+BM+Clg(R+D</m:t>
        </m:r>
        <m:sSup>
          <m:sSupPr>
            <m:ctrlPr>
              <w:rPr>
                <w:rFonts w:ascii="Cambria Math" w:hAnsi="Cambria Math"/>
                <w:i/>
                <w:sz w:val="19"/>
                <w:szCs w:val="19"/>
              </w:rPr>
            </m:ctrlPr>
          </m:sSupPr>
          <m:e>
            <m:r>
              <w:rPr>
                <w:rFonts w:ascii="Cambria Math" w:hAnsi="Cambria Math"/>
                <w:sz w:val="19"/>
                <w:szCs w:val="19"/>
              </w:rPr>
              <m:t>e</m:t>
            </m:r>
          </m:e>
          <m:sup>
            <m:r>
              <w:rPr>
                <w:rFonts w:ascii="Cambria Math" w:hAnsi="Cambria Math"/>
                <w:sz w:val="19"/>
                <w:szCs w:val="19"/>
              </w:rPr>
              <m:t>EM</m:t>
            </m:r>
          </m:sup>
        </m:sSup>
        <m:r>
          <w:rPr>
            <w:rFonts w:ascii="Cambria Math" w:hAnsi="Cambria Math"/>
            <w:sz w:val="19"/>
            <w:szCs w:val="19"/>
          </w:rPr>
          <m:t>)</m:t>
        </m:r>
      </m:oMath>
      <w:r>
        <w:rPr>
          <w:rFonts w:ascii="Times New Roman" w:hAnsi="Times New Roman"/>
          <w:sz w:val="19"/>
          <w:szCs w:val="19"/>
        </w:rPr>
        <w:t xml:space="preserve">         </w:t>
      </w:r>
      <w:r>
        <w:rPr>
          <w:rFonts w:ascii="Times New Roman" w:hAnsi="Times New Roman"/>
          <w:sz w:val="19"/>
          <w:szCs w:val="19"/>
        </w:rPr>
        <w:tab/>
        <w:t xml:space="preserve">  </w:t>
      </w:r>
      <w:r>
        <w:rPr>
          <w:rFonts w:ascii="Times New Roman" w:hAnsi="Times New Roman"/>
          <w:sz w:val="19"/>
          <w:szCs w:val="19"/>
        </w:rPr>
        <w:fldChar w:fldCharType="begin"/>
      </w:r>
      <w:r>
        <w:rPr>
          <w:rFonts w:ascii="Times New Roman" w:hAnsi="Times New Roman"/>
          <w:sz w:val="19"/>
          <w:szCs w:val="19"/>
        </w:rPr>
        <w:instrText xml:space="preserve"> MACROBUTTON MTPlaceRef \* MERGEFORMAT </w:instrText>
      </w:r>
      <w:r>
        <w:rPr>
          <w:rFonts w:ascii="Times New Roman" w:hAnsi="Times New Roman"/>
          <w:sz w:val="19"/>
          <w:szCs w:val="19"/>
        </w:rPr>
        <w:fldChar w:fldCharType="begin"/>
      </w:r>
      <w:r>
        <w:rPr>
          <w:rFonts w:ascii="Times New Roman" w:hAnsi="Times New Roman"/>
          <w:sz w:val="19"/>
          <w:szCs w:val="19"/>
        </w:rPr>
        <w:instrText xml:space="preserve"> SEQ MTEqn \h \* MERGEFORMAT </w:instrText>
      </w:r>
      <w:r>
        <w:rPr>
          <w:rFonts w:ascii="Times New Roman" w:hAnsi="Times New Roman"/>
          <w:sz w:val="19"/>
          <w:szCs w:val="19"/>
        </w:rPr>
        <w:fldChar w:fldCharType="end"/>
      </w:r>
      <w:r>
        <w:rPr>
          <w:rFonts w:ascii="Times New Roman" w:hAnsi="Times New Roman"/>
          <w:sz w:val="19"/>
          <w:szCs w:val="19"/>
        </w:rPr>
        <w:instrText>(</w:instrText>
      </w:r>
      <w:r>
        <w:rPr>
          <w:rFonts w:ascii="Times New Roman" w:hAnsi="Times New Roman"/>
          <w:sz w:val="19"/>
          <w:szCs w:val="19"/>
        </w:rPr>
        <w:fldChar w:fldCharType="begin"/>
      </w:r>
      <w:r>
        <w:rPr>
          <w:rFonts w:ascii="Times New Roman" w:hAnsi="Times New Roman"/>
          <w:sz w:val="19"/>
          <w:szCs w:val="19"/>
        </w:rPr>
        <w:instrText xml:space="preserve"> SEQ MTEqn \c \* Arabic \* MERGEFORMAT </w:instrText>
      </w:r>
      <w:r>
        <w:rPr>
          <w:rFonts w:ascii="Times New Roman" w:hAnsi="Times New Roman"/>
          <w:sz w:val="19"/>
          <w:szCs w:val="19"/>
        </w:rPr>
        <w:fldChar w:fldCharType="separate"/>
      </w:r>
      <w:r w:rsidR="0013403A">
        <w:rPr>
          <w:rFonts w:ascii="Times New Roman" w:hAnsi="Times New Roman"/>
          <w:noProof/>
          <w:sz w:val="19"/>
          <w:szCs w:val="19"/>
        </w:rPr>
        <w:instrText>2</w:instrText>
      </w:r>
      <w:r>
        <w:rPr>
          <w:rFonts w:ascii="Times New Roman" w:hAnsi="Times New Roman"/>
          <w:sz w:val="19"/>
          <w:szCs w:val="19"/>
        </w:rPr>
        <w:fldChar w:fldCharType="end"/>
      </w:r>
      <w:r>
        <w:rPr>
          <w:rFonts w:ascii="Times New Roman" w:hAnsi="Times New Roman"/>
          <w:sz w:val="19"/>
          <w:szCs w:val="19"/>
        </w:rPr>
        <w:instrText>)</w:instrText>
      </w:r>
      <w:r>
        <w:rPr>
          <w:rFonts w:ascii="Times New Roman" w:hAnsi="Times New Roman"/>
          <w:sz w:val="19"/>
          <w:szCs w:val="19"/>
        </w:rPr>
        <w:fldChar w:fldCharType="end"/>
      </w:r>
    </w:p>
    <w:p w14:paraId="4CBB4F44" w14:textId="2470E654" w:rsidR="004C7EF7" w:rsidRDefault="00DA268A" w:rsidP="004C7EF7">
      <w:pPr>
        <w:spacing w:line="240" w:lineRule="atLeast"/>
        <w:rPr>
          <w:rFonts w:ascii="Times New Roman" w:hAnsi="Times New Roman" w:cs="Times New Roman"/>
          <w:szCs w:val="21"/>
        </w:rPr>
      </w:pPr>
      <w:r>
        <w:rPr>
          <w:rFonts w:ascii="Times New Roman" w:hAnsi="Times New Roman" w:cs="Times New Roman" w:hint="eastAsia"/>
          <w:szCs w:val="21"/>
        </w:rPr>
        <w:t>式中，</w:t>
      </w:r>
      <w:r>
        <w:rPr>
          <w:rFonts w:ascii="Times New Roman" w:hAnsi="Times New Roman" w:cs="Times New Roman" w:hint="eastAsia"/>
          <w:i/>
          <w:iCs/>
          <w:szCs w:val="21"/>
        </w:rPr>
        <w:t>Y</w:t>
      </w:r>
      <w:r>
        <w:rPr>
          <w:rFonts w:ascii="Times New Roman" w:hAnsi="Times New Roman" w:cs="Times New Roman" w:hint="eastAsia"/>
          <w:szCs w:val="21"/>
        </w:rPr>
        <w:t>是工程需求参数，在本文中选择</w:t>
      </w:r>
      <w:r>
        <w:rPr>
          <w:rFonts w:ascii="Times New Roman" w:hAnsi="Times New Roman" w:cs="Times New Roman" w:hint="eastAsia"/>
          <w:i/>
          <w:iCs/>
          <w:szCs w:val="21"/>
        </w:rPr>
        <w:t>PGA</w:t>
      </w:r>
      <w:r>
        <w:rPr>
          <w:rFonts w:ascii="Times New Roman" w:hAnsi="Times New Roman" w:cs="Times New Roman" w:hint="eastAsia"/>
          <w:szCs w:val="21"/>
        </w:rPr>
        <w:t>；</w:t>
      </w:r>
      <w:r>
        <w:rPr>
          <w:rFonts w:ascii="Times New Roman" w:hAnsi="Times New Roman" w:cs="Times New Roman" w:hint="eastAsia"/>
          <w:i/>
          <w:iCs/>
          <w:szCs w:val="21"/>
        </w:rPr>
        <w:t>M</w:t>
      </w:r>
      <w:r>
        <w:rPr>
          <w:rFonts w:ascii="Times New Roman" w:hAnsi="Times New Roman" w:cs="Times New Roman" w:hint="eastAsia"/>
          <w:szCs w:val="21"/>
        </w:rPr>
        <w:t>为面波震级；</w:t>
      </w:r>
      <w:r>
        <w:rPr>
          <w:rFonts w:ascii="Times New Roman" w:hAnsi="Times New Roman" w:cs="Times New Roman" w:hint="eastAsia"/>
          <w:i/>
          <w:iCs/>
          <w:szCs w:val="21"/>
        </w:rPr>
        <w:t>R</w:t>
      </w:r>
      <w:r>
        <w:rPr>
          <w:rFonts w:ascii="Times New Roman" w:hAnsi="Times New Roman" w:cs="Times New Roman" w:hint="eastAsia"/>
          <w:szCs w:val="21"/>
        </w:rPr>
        <w:t>为震中距，定义为城市中心点与震源的距离；</w:t>
      </w:r>
      <w:r>
        <w:rPr>
          <w:rFonts w:ascii="Times New Roman" w:hAnsi="Times New Roman" w:cs="Times New Roman" w:hint="eastAsia"/>
          <w:i/>
          <w:iCs/>
          <w:szCs w:val="21"/>
        </w:rPr>
        <w:t>A, B, C, D</w:t>
      </w:r>
      <w:r>
        <w:rPr>
          <w:rFonts w:ascii="Times New Roman" w:hAnsi="Times New Roman" w:cs="Times New Roman" w:hint="eastAsia"/>
          <w:szCs w:val="21"/>
        </w:rPr>
        <w:t>和</w:t>
      </w:r>
      <w:r>
        <w:rPr>
          <w:rFonts w:ascii="Times New Roman" w:hAnsi="Times New Roman" w:cs="Times New Roman" w:hint="eastAsia"/>
          <w:i/>
          <w:iCs/>
          <w:szCs w:val="21"/>
        </w:rPr>
        <w:t>E</w:t>
      </w:r>
      <w:r>
        <w:rPr>
          <w:rFonts w:ascii="Times New Roman" w:hAnsi="Times New Roman" w:cs="Times New Roman" w:hint="eastAsia"/>
          <w:szCs w:val="21"/>
        </w:rPr>
        <w:t>是回归参数</w:t>
      </w:r>
      <w:r w:rsidR="004C7EF7">
        <w:rPr>
          <w:rFonts w:ascii="Times New Roman" w:hAnsi="Times New Roman" w:cs="Times New Roman" w:hint="eastAsia"/>
          <w:szCs w:val="21"/>
        </w:rPr>
        <w:t>。</w:t>
      </w:r>
    </w:p>
    <w:p w14:paraId="72B38142" w14:textId="7EF9B5AB" w:rsidR="001F7B30" w:rsidRDefault="00DA268A" w:rsidP="004C7EF7">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由于基准城市模型</w:t>
      </w:r>
      <w:r>
        <w:rPr>
          <w:rFonts w:ascii="Times New Roman" w:hAnsi="Times New Roman" w:cs="Times New Roman"/>
          <w:szCs w:val="21"/>
        </w:rPr>
        <w:t>位于东南沿海，远离</w:t>
      </w:r>
      <w:r>
        <w:rPr>
          <w:rFonts w:ascii="Times New Roman" w:hAnsi="Times New Roman" w:cs="Times New Roman" w:hint="eastAsia"/>
          <w:szCs w:val="21"/>
        </w:rPr>
        <w:t>所在区域的</w:t>
      </w:r>
      <w:r>
        <w:rPr>
          <w:rFonts w:ascii="Times New Roman" w:hAnsi="Times New Roman" w:cs="Times New Roman"/>
          <w:szCs w:val="21"/>
        </w:rPr>
        <w:t>主要断裂带延伸方向，地震构造稳定，故选用短轴参数</w:t>
      </w:r>
      <w:r>
        <w:rPr>
          <w:rFonts w:ascii="Times New Roman" w:hAnsi="Times New Roman" w:cs="Times New Roman" w:hint="eastAsia"/>
          <w:szCs w:val="21"/>
        </w:rPr>
        <w:t>。当</w:t>
      </w:r>
      <w:r>
        <w:rPr>
          <w:rFonts w:ascii="Times New Roman" w:hAnsi="Times New Roman" w:cs="Times New Roman" w:hint="eastAsia"/>
          <w:i/>
          <w:iCs/>
          <w:szCs w:val="21"/>
        </w:rPr>
        <w:t>M</w:t>
      </w:r>
      <w:r>
        <w:rPr>
          <w:rFonts w:ascii="Times New Roman" w:hAnsi="Times New Roman" w:cs="Times New Roman" w:hint="eastAsia"/>
          <w:szCs w:val="21"/>
        </w:rPr>
        <w:t>≤</w:t>
      </w:r>
      <w:r>
        <w:rPr>
          <w:rFonts w:ascii="Times New Roman" w:hAnsi="Times New Roman" w:cs="Times New Roman" w:hint="eastAsia"/>
          <w:szCs w:val="21"/>
        </w:rPr>
        <w:t>6.5</w:t>
      </w:r>
      <w:r>
        <w:rPr>
          <w:rFonts w:ascii="Times New Roman" w:hAnsi="Times New Roman" w:cs="Times New Roman" w:hint="eastAsia"/>
          <w:szCs w:val="21"/>
        </w:rPr>
        <w:t>时，回归参数分别为</w:t>
      </w:r>
      <w:r>
        <w:rPr>
          <w:rFonts w:ascii="Times New Roman" w:hAnsi="Times New Roman" w:cs="Times New Roman" w:hint="eastAsia"/>
          <w:szCs w:val="21"/>
        </w:rPr>
        <w:t>1.176, 0.660, -2.004, 0.944</w:t>
      </w:r>
      <w:r>
        <w:rPr>
          <w:rFonts w:ascii="Times New Roman" w:hAnsi="Times New Roman" w:cs="Times New Roman" w:hint="eastAsia"/>
          <w:szCs w:val="21"/>
        </w:rPr>
        <w:t>和</w:t>
      </w:r>
      <w:r>
        <w:rPr>
          <w:rFonts w:ascii="Times New Roman" w:hAnsi="Times New Roman" w:cs="Times New Roman" w:hint="eastAsia"/>
          <w:szCs w:val="21"/>
        </w:rPr>
        <w:t>0.447</w:t>
      </w:r>
      <w:r>
        <w:rPr>
          <w:rFonts w:ascii="Times New Roman" w:hAnsi="Times New Roman" w:cs="Times New Roman" w:hint="eastAsia"/>
          <w:szCs w:val="21"/>
        </w:rPr>
        <w:t>；当</w:t>
      </w:r>
      <w:r>
        <w:rPr>
          <w:rFonts w:ascii="Times New Roman" w:hAnsi="Times New Roman" w:cs="Times New Roman" w:hint="eastAsia"/>
          <w:i/>
          <w:iCs/>
          <w:szCs w:val="21"/>
        </w:rPr>
        <w:t>M</w:t>
      </w:r>
      <w:r>
        <w:rPr>
          <w:rFonts w:ascii="Times New Roman" w:hAnsi="Times New Roman" w:cs="Times New Roman" w:hint="eastAsia"/>
          <w:szCs w:val="21"/>
        </w:rPr>
        <w:t>＞</w:t>
      </w:r>
      <w:r>
        <w:rPr>
          <w:rFonts w:ascii="Times New Roman" w:hAnsi="Times New Roman" w:cs="Times New Roman" w:hint="eastAsia"/>
          <w:szCs w:val="21"/>
        </w:rPr>
        <w:t>6.5</w:t>
      </w:r>
      <w:r>
        <w:rPr>
          <w:rFonts w:ascii="Times New Roman" w:hAnsi="Times New Roman" w:cs="Times New Roman" w:hint="eastAsia"/>
          <w:szCs w:val="21"/>
        </w:rPr>
        <w:t>时，回归参数分别为</w:t>
      </w:r>
      <w:r>
        <w:rPr>
          <w:rFonts w:ascii="Times New Roman" w:hAnsi="Times New Roman" w:cs="Times New Roman" w:hint="eastAsia"/>
          <w:szCs w:val="21"/>
        </w:rPr>
        <w:t>2.753, 0.418, -2.004, 0.944</w:t>
      </w:r>
      <w:r>
        <w:rPr>
          <w:rFonts w:ascii="Times New Roman" w:hAnsi="Times New Roman" w:cs="Times New Roman" w:hint="eastAsia"/>
          <w:szCs w:val="21"/>
        </w:rPr>
        <w:t>和</w:t>
      </w:r>
      <w:r>
        <w:rPr>
          <w:rFonts w:ascii="Times New Roman" w:hAnsi="Times New Roman" w:cs="Times New Roman" w:hint="eastAsia"/>
          <w:szCs w:val="21"/>
        </w:rPr>
        <w:t>0.447</w:t>
      </w:r>
      <w:r>
        <w:rPr>
          <w:rFonts w:ascii="Times New Roman" w:hAnsi="Times New Roman" w:cs="Times New Roman" w:hint="eastAsia"/>
          <w:szCs w:val="21"/>
        </w:rPr>
        <w:t>。</w:t>
      </w:r>
    </w:p>
    <w:p w14:paraId="6B72BAE2" w14:textId="77777777" w:rsidR="001F7B30" w:rsidRDefault="00DA268A" w:rsidP="008453EA">
      <w:pPr>
        <w:widowControl/>
        <w:spacing w:line="240" w:lineRule="atLeast"/>
        <w:outlineLvl w:val="0"/>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3</w:t>
      </w:r>
      <w:r>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潮流分析参数确定</w:t>
      </w:r>
    </w:p>
    <w:p w14:paraId="2B785E53" w14:textId="77777777" w:rsidR="001F7B30" w:rsidRDefault="00DA268A" w:rsidP="008453EA">
      <w:pPr>
        <w:widowControl/>
        <w:spacing w:line="240" w:lineRule="atLeast"/>
        <w:outlineLvl w:val="1"/>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 xml:space="preserve">.1  </w:t>
      </w:r>
      <w:r>
        <w:rPr>
          <w:rFonts w:ascii="Times New Roman" w:eastAsia="宋体" w:hAnsi="Times New Roman" w:cs="Times New Roman" w:hint="eastAsia"/>
          <w:b/>
          <w:kern w:val="0"/>
          <w:szCs w:val="21"/>
        </w:rPr>
        <w:t>直流潮流算法</w:t>
      </w:r>
    </w:p>
    <w:p w14:paraId="43C7511F" w14:textId="2B5FF149"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潮流分析是研究电力系统稳态运行状态的一种方法，通常用于计算电力网络的功率分布等情况</w:t>
      </w:r>
      <w:r>
        <w:rPr>
          <w:rFonts w:ascii="Times New Roman" w:hAnsi="Times New Roman" w:cs="Times New Roman"/>
          <w:szCs w:val="21"/>
        </w:rPr>
        <w:fldChar w:fldCharType="begin"/>
      </w:r>
      <w:r>
        <w:rPr>
          <w:rFonts w:ascii="Times New Roman" w:hAnsi="Times New Roman" w:cs="Times New Roman"/>
          <w:szCs w:val="21"/>
        </w:rPr>
        <w:instrText xml:space="preserve"> </w:instrText>
      </w:r>
      <w:r>
        <w:rPr>
          <w:rFonts w:ascii="Times New Roman" w:hAnsi="Times New Roman" w:cs="Times New Roman" w:hint="eastAsia"/>
          <w:szCs w:val="21"/>
        </w:rPr>
        <w:instrText>REF _Ref177305194 \r \h</w:instrText>
      </w:r>
      <w:r>
        <w:rPr>
          <w:rFonts w:ascii="Times New Roman" w:hAnsi="Times New Roman" w:cs="Times New Roman"/>
          <w:szCs w:val="21"/>
        </w:rPr>
        <w:instrText xml:space="preserve">  \* MERGEFORMAT </w:instrText>
      </w:r>
      <w:r>
        <w:rPr>
          <w:rFonts w:ascii="Times New Roman" w:hAnsi="Times New Roman" w:cs="Times New Roman"/>
          <w:szCs w:val="21"/>
        </w:rPr>
      </w:r>
      <w:r>
        <w:rPr>
          <w:rFonts w:ascii="Times New Roman" w:hAnsi="Times New Roman" w:cs="Times New Roman"/>
          <w:szCs w:val="21"/>
        </w:rPr>
        <w:fldChar w:fldCharType="separate"/>
      </w:r>
      <w:r w:rsidR="00CC3C32">
        <w:rPr>
          <w:rFonts w:ascii="Times New Roman" w:hAnsi="Times New Roman" w:cs="Times New Roman"/>
          <w:szCs w:val="21"/>
          <w:cs/>
        </w:rPr>
        <w:t>‎</w:t>
      </w:r>
      <w:r w:rsidR="00CC3C32" w:rsidRPr="007947A7">
        <w:rPr>
          <w:rFonts w:ascii="Times New Roman" w:hAnsi="Times New Roman" w:cs="Times New Roman"/>
          <w:color w:val="0000FF"/>
          <w:szCs w:val="21"/>
          <w:vertAlign w:val="superscript"/>
        </w:rPr>
        <w:t>[39]</w:t>
      </w:r>
      <w:r>
        <w:rPr>
          <w:rFonts w:ascii="Times New Roman" w:hAnsi="Times New Roman" w:cs="Times New Roman"/>
          <w:szCs w:val="21"/>
        </w:rPr>
        <w:fldChar w:fldCharType="end"/>
      </w:r>
      <w:r>
        <w:rPr>
          <w:rFonts w:ascii="Times New Roman" w:hAnsi="Times New Roman" w:cs="Times New Roman" w:hint="eastAsia"/>
          <w:szCs w:val="21"/>
        </w:rPr>
        <w:t>。直流潮流是一种简化的潮流分析方法，它忽略线路电阻和两端电压相角，不考虑无功功率和接地支路的影响，将非线性的潮流方程转化为一组线性方程</w:t>
      </w:r>
      <w:r>
        <w:rPr>
          <w:rFonts w:ascii="Times New Roman" w:hAnsi="Times New Roman" w:cs="Times New Roman"/>
          <w:szCs w:val="21"/>
        </w:rPr>
        <w:fldChar w:fldCharType="begin"/>
      </w:r>
      <w:r>
        <w:rPr>
          <w:rFonts w:ascii="Times New Roman" w:hAnsi="Times New Roman" w:cs="Times New Roman"/>
          <w:szCs w:val="21"/>
        </w:rPr>
        <w:instrText xml:space="preserve"> </w:instrText>
      </w:r>
      <w:r>
        <w:rPr>
          <w:rFonts w:ascii="Times New Roman" w:hAnsi="Times New Roman" w:cs="Times New Roman" w:hint="eastAsia"/>
          <w:szCs w:val="21"/>
        </w:rPr>
        <w:instrText>REF _Ref177305201 \r \h</w:instrText>
      </w:r>
      <w:r>
        <w:rPr>
          <w:rFonts w:ascii="Times New Roman" w:hAnsi="Times New Roman" w:cs="Times New Roman"/>
          <w:szCs w:val="21"/>
        </w:rPr>
        <w:instrText xml:space="preserve">  \* MERGEFORMAT </w:instrText>
      </w:r>
      <w:r>
        <w:rPr>
          <w:rFonts w:ascii="Times New Roman" w:hAnsi="Times New Roman" w:cs="Times New Roman"/>
          <w:szCs w:val="21"/>
        </w:rPr>
      </w:r>
      <w:r>
        <w:rPr>
          <w:rFonts w:ascii="Times New Roman" w:hAnsi="Times New Roman" w:cs="Times New Roman"/>
          <w:szCs w:val="21"/>
        </w:rPr>
        <w:fldChar w:fldCharType="separate"/>
      </w:r>
      <w:r w:rsidR="00CC3C32">
        <w:rPr>
          <w:rFonts w:ascii="Times New Roman" w:hAnsi="Times New Roman" w:cs="Times New Roman"/>
          <w:szCs w:val="21"/>
          <w:cs/>
        </w:rPr>
        <w:t>‎</w:t>
      </w:r>
      <w:r w:rsidR="00CC3C32" w:rsidRPr="007947A7">
        <w:rPr>
          <w:rFonts w:ascii="Times New Roman" w:hAnsi="Times New Roman" w:cs="Times New Roman"/>
          <w:color w:val="0000FF"/>
          <w:szCs w:val="21"/>
          <w:vertAlign w:val="superscript"/>
        </w:rPr>
        <w:t>[40]</w:t>
      </w:r>
      <w:r>
        <w:rPr>
          <w:rFonts w:ascii="Times New Roman" w:hAnsi="Times New Roman" w:cs="Times New Roman"/>
          <w:szCs w:val="21"/>
        </w:rPr>
        <w:fldChar w:fldCharType="end"/>
      </w:r>
      <w:r>
        <w:rPr>
          <w:rFonts w:ascii="Times New Roman" w:hAnsi="Times New Roman" w:cs="Times New Roman" w:hint="eastAsia"/>
          <w:szCs w:val="21"/>
        </w:rPr>
        <w:t>，不存在收敛的问题，计算效率高，</w:t>
      </w:r>
      <w:r>
        <w:rPr>
          <w:rFonts w:ascii="Times New Roman" w:hAnsi="Times New Roman" w:cs="Times New Roman"/>
          <w:szCs w:val="21"/>
        </w:rPr>
        <w:t>适用于</w:t>
      </w:r>
      <w:r w:rsidR="004C7EF7">
        <w:rPr>
          <w:rFonts w:ascii="Times New Roman" w:hAnsi="Times New Roman" w:cs="Times New Roman" w:hint="eastAsia"/>
          <w:szCs w:val="21"/>
        </w:rPr>
        <w:t>震害</w:t>
      </w:r>
      <w:r>
        <w:rPr>
          <w:rFonts w:ascii="Times New Roman" w:hAnsi="Times New Roman" w:cs="Times New Roman"/>
          <w:szCs w:val="21"/>
        </w:rPr>
        <w:t>场景下的多次迭代、快速响应与实时评估</w:t>
      </w:r>
      <w:r>
        <w:rPr>
          <w:rFonts w:ascii="Times New Roman" w:hAnsi="Times New Roman" w:cs="Times New Roman" w:hint="eastAsia"/>
          <w:szCs w:val="21"/>
        </w:rPr>
        <w:t>。</w:t>
      </w:r>
    </w:p>
    <w:p w14:paraId="507FEA3A" w14:textId="1AB83498" w:rsidR="001F7B30" w:rsidRDefault="00DA268A">
      <w:pPr>
        <w:spacing w:line="240" w:lineRule="atLeast"/>
        <w:ind w:firstLineChars="200" w:firstLine="420"/>
        <w:rPr>
          <w:rFonts w:ascii="Times New Roman" w:hAnsi="Times New Roman" w:cs="Times New Roman"/>
          <w:szCs w:val="21"/>
        </w:rPr>
      </w:pPr>
      <w:r>
        <w:rPr>
          <w:rFonts w:ascii="Times New Roman" w:hAnsi="Times New Roman" w:hint="eastAsia"/>
          <w:szCs w:val="21"/>
        </w:rPr>
        <w:t>基于直流潮流算法的假设，对母线</w:t>
      </w:r>
      <w:r>
        <w:rPr>
          <w:rFonts w:ascii="Times New Roman" w:hAnsi="Times New Roman" w:hint="eastAsia"/>
          <w:i/>
          <w:iCs/>
          <w:szCs w:val="21"/>
        </w:rPr>
        <w:t>i</w:t>
      </w:r>
      <w:r>
        <w:rPr>
          <w:rFonts w:ascii="Times New Roman" w:hAnsi="Times New Roman" w:hint="eastAsia"/>
          <w:szCs w:val="21"/>
        </w:rPr>
        <w:t>应用基尔霍夫定律可得到式</w:t>
      </w:r>
      <w:r>
        <w:rPr>
          <w:rFonts w:ascii="Times New Roman" w:hAnsi="Times New Roman" w:cs="Times New Roman"/>
          <w:iCs/>
          <w:szCs w:val="21"/>
        </w:rPr>
        <w:fldChar w:fldCharType="begin"/>
      </w:r>
      <w:r>
        <w:rPr>
          <w:rFonts w:ascii="Times New Roman" w:hAnsi="Times New Roman" w:cs="Times New Roman"/>
          <w:iCs/>
          <w:szCs w:val="21"/>
        </w:rPr>
        <w:instrText xml:space="preserve"> </w:instrText>
      </w:r>
      <w:r>
        <w:rPr>
          <w:rFonts w:ascii="Times New Roman" w:hAnsi="Times New Roman" w:cs="Times New Roman" w:hint="eastAsia"/>
          <w:iCs/>
          <w:szCs w:val="21"/>
        </w:rPr>
        <w:instrText>GOTOBUTTON ZEqnNum873279  \* MERGEFORMAT</w:instrText>
      </w:r>
      <w:r>
        <w:rPr>
          <w:rFonts w:ascii="Times New Roman" w:hAnsi="Times New Roman" w:cs="Times New Roman"/>
          <w:iCs/>
          <w:szCs w:val="21"/>
        </w:rPr>
        <w:instrText xml:space="preserve"> </w:instrText>
      </w:r>
      <w:r>
        <w:rPr>
          <w:rFonts w:ascii="Times New Roman" w:hAnsi="Times New Roman" w:cs="Times New Roman"/>
          <w:iCs/>
          <w:szCs w:val="21"/>
        </w:rPr>
        <w:fldChar w:fldCharType="begin"/>
      </w:r>
      <w:r>
        <w:rPr>
          <w:rFonts w:ascii="Times New Roman" w:hAnsi="Times New Roman" w:cs="Times New Roman"/>
          <w:iCs/>
          <w:szCs w:val="21"/>
        </w:rPr>
        <w:instrText xml:space="preserve"> REF ZEqnNum873279 \* Charformat \! \* MERGEFORMAT </w:instrText>
      </w:r>
      <w:r>
        <w:rPr>
          <w:rFonts w:ascii="Times New Roman" w:hAnsi="Times New Roman" w:cs="Times New Roman"/>
          <w:iCs/>
          <w:szCs w:val="21"/>
        </w:rPr>
        <w:fldChar w:fldCharType="separate"/>
      </w:r>
      <w:r w:rsidR="00CC3C32" w:rsidRPr="005A42B9">
        <w:rPr>
          <w:rFonts w:ascii="Times New Roman" w:hAnsi="Times New Roman" w:cs="Times New Roman"/>
          <w:iCs/>
          <w:szCs w:val="21"/>
        </w:rPr>
        <w:instrText>(</w:instrText>
      </w:r>
      <w:r w:rsidR="00CC3C32" w:rsidRPr="007947A7">
        <w:rPr>
          <w:rFonts w:ascii="Times New Roman" w:hAnsi="Times New Roman" w:cs="Times New Roman"/>
          <w:iCs/>
          <w:szCs w:val="21"/>
        </w:rPr>
        <w:instrText>3)</w:instrText>
      </w:r>
      <w:r>
        <w:rPr>
          <w:rFonts w:ascii="Times New Roman" w:hAnsi="Times New Roman" w:cs="Times New Roman"/>
          <w:iCs/>
          <w:szCs w:val="21"/>
        </w:rPr>
        <w:fldChar w:fldCharType="end"/>
      </w:r>
      <w:r>
        <w:rPr>
          <w:rFonts w:ascii="Times New Roman" w:hAnsi="Times New Roman" w:cs="Times New Roman"/>
          <w:iCs/>
          <w:szCs w:val="21"/>
        </w:rPr>
        <w:fldChar w:fldCharType="end"/>
      </w:r>
      <w:r>
        <w:rPr>
          <w:rFonts w:ascii="Times New Roman" w:hAnsi="Times New Roman" w:cs="Times New Roman" w:hint="eastAsia"/>
          <w:iCs/>
          <w:szCs w:val="21"/>
        </w:rPr>
        <w:t>：</w:t>
      </w:r>
    </w:p>
    <w:p w14:paraId="56499659" w14:textId="215A83FA" w:rsidR="001F7B30" w:rsidRDefault="00000000">
      <w:pPr>
        <w:wordWrap w:val="0"/>
        <w:jc w:val="right"/>
        <w:rPr>
          <w:rFonts w:ascii="Times New Roman" w:hAnsi="Times New Roman" w:cs="Times New Roman"/>
          <w:sz w:val="19"/>
          <w:szCs w:val="19"/>
        </w:rPr>
      </w:pPr>
      <m:oMath>
        <m:sSub>
          <m:sSubPr>
            <m:ctrlPr>
              <w:rPr>
                <w:rFonts w:ascii="Cambria Math" w:hAnsi="Times New Roman"/>
                <w:i/>
                <w:sz w:val="19"/>
                <w:szCs w:val="19"/>
              </w:rPr>
            </m:ctrlPr>
          </m:sSubPr>
          <m:e>
            <m:r>
              <w:rPr>
                <w:rFonts w:ascii="Cambria Math" w:hAnsi="Times New Roman"/>
                <w:sz w:val="19"/>
                <w:szCs w:val="19"/>
              </w:rPr>
              <m:t>P</m:t>
            </m:r>
          </m:e>
          <m:sub>
            <m:r>
              <w:rPr>
                <w:rFonts w:ascii="Cambria Math" w:hAnsi="Times New Roman"/>
                <w:sz w:val="19"/>
                <w:szCs w:val="19"/>
              </w:rPr>
              <m:t>i</m:t>
            </m:r>
          </m:sub>
        </m:sSub>
        <m:r>
          <w:rPr>
            <w:rFonts w:ascii="Cambria Math" w:hAnsi="Times New Roman"/>
            <w:sz w:val="19"/>
            <w:szCs w:val="19"/>
          </w:rPr>
          <m:t>=</m:t>
        </m:r>
        <m:nary>
          <m:naryPr>
            <m:chr m:val="∑"/>
            <m:ctrlPr>
              <w:rPr>
                <w:rFonts w:ascii="Cambria Math" w:hAnsi="Times New Roman"/>
                <w:i/>
                <w:sz w:val="19"/>
                <w:szCs w:val="19"/>
              </w:rPr>
            </m:ctrlPr>
          </m:naryPr>
          <m:sub>
            <m:eqArr>
              <m:eqArrPr>
                <m:ctrlPr>
                  <w:rPr>
                    <w:rFonts w:ascii="Cambria Math" w:hAnsi="Times New Roman"/>
                    <w:i/>
                    <w:sz w:val="19"/>
                    <w:szCs w:val="19"/>
                  </w:rPr>
                </m:ctrlPr>
              </m:eqArrPr>
              <m:e>
                <m:r>
                  <w:rPr>
                    <w:rFonts w:ascii="Cambria Math" w:hAnsi="Times New Roman"/>
                    <w:sz w:val="19"/>
                    <w:szCs w:val="19"/>
                  </w:rPr>
                  <m:t>&amp;j=1</m:t>
                </m:r>
              </m:e>
              <m:e>
                <m:r>
                  <w:rPr>
                    <w:rFonts w:ascii="Cambria Math" w:hAnsi="Times New Roman"/>
                    <w:sz w:val="19"/>
                    <w:szCs w:val="19"/>
                  </w:rPr>
                  <m:t>&amp;j</m:t>
                </m:r>
                <m:r>
                  <w:rPr>
                    <w:rFonts w:ascii="Cambria Math" w:hAnsi="Times New Roman"/>
                    <w:sz w:val="19"/>
                    <w:szCs w:val="19"/>
                  </w:rPr>
                  <m:t>≠</m:t>
                </m:r>
                <m:r>
                  <w:rPr>
                    <w:rFonts w:ascii="Cambria Math" w:hAnsi="Times New Roman"/>
                    <w:sz w:val="19"/>
                    <w:szCs w:val="19"/>
                  </w:rPr>
                  <m:t>i</m:t>
                </m:r>
              </m:e>
            </m:eqArr>
          </m:sub>
          <m:sup>
            <m:r>
              <w:rPr>
                <w:rFonts w:ascii="Cambria Math" w:hAnsi="Times New Roman"/>
                <w:sz w:val="19"/>
                <w:szCs w:val="19"/>
              </w:rPr>
              <m:t>M</m:t>
            </m:r>
          </m:sup>
          <m:e>
            <m:sSub>
              <m:sSubPr>
                <m:ctrlPr>
                  <w:rPr>
                    <w:rFonts w:ascii="Cambria Math" w:hAnsi="Times New Roman"/>
                    <w:i/>
                    <w:sz w:val="19"/>
                    <w:szCs w:val="19"/>
                  </w:rPr>
                </m:ctrlPr>
              </m:sSubPr>
              <m:e>
                <m:r>
                  <w:rPr>
                    <w:rFonts w:ascii="Cambria Math" w:hAnsi="Times New Roman"/>
                    <w:sz w:val="19"/>
                    <w:szCs w:val="19"/>
                  </w:rPr>
                  <m:t>B</m:t>
                </m:r>
              </m:e>
              <m:sub>
                <m:r>
                  <w:rPr>
                    <w:rFonts w:ascii="Cambria Math" w:hAnsi="Times New Roman"/>
                    <w:sz w:val="19"/>
                    <w:szCs w:val="19"/>
                  </w:rPr>
                  <m:t>ij</m:t>
                </m:r>
              </m:sub>
            </m:sSub>
            <m:ctrlPr>
              <w:rPr>
                <w:rFonts w:ascii="Cambria Math" w:hAnsi="Cambria Math"/>
                <w:i/>
                <w:sz w:val="19"/>
                <w:szCs w:val="19"/>
              </w:rPr>
            </m:ctrlPr>
          </m:e>
        </m:nary>
        <m:d>
          <m:dPr>
            <m:ctrlPr>
              <w:rPr>
                <w:rFonts w:ascii="Cambria Math" w:hAnsi="Times New Roman"/>
                <w:i/>
                <w:sz w:val="19"/>
                <w:szCs w:val="19"/>
              </w:rPr>
            </m:ctrlPr>
          </m:dPr>
          <m:e>
            <m:sSub>
              <m:sSubPr>
                <m:ctrlPr>
                  <w:rPr>
                    <w:rFonts w:ascii="Cambria Math" w:hAnsi="Times New Roman"/>
                    <w:i/>
                    <w:sz w:val="19"/>
                    <w:szCs w:val="19"/>
                  </w:rPr>
                </m:ctrlPr>
              </m:sSubPr>
              <m:e>
                <m:r>
                  <w:rPr>
                    <w:rFonts w:ascii="Cambria Math" w:hAnsi="Times New Roman"/>
                    <w:sz w:val="19"/>
                    <w:szCs w:val="19"/>
                  </w:rPr>
                  <m:t>θ</m:t>
                </m:r>
              </m:e>
              <m:sub>
                <m:r>
                  <w:rPr>
                    <w:rFonts w:ascii="Cambria Math" w:hAnsi="Times New Roman"/>
                    <w:sz w:val="19"/>
                    <w:szCs w:val="19"/>
                  </w:rPr>
                  <m:t>i</m:t>
                </m:r>
              </m:sub>
            </m:sSub>
            <m:r>
              <w:rPr>
                <w:rFonts w:ascii="Cambria Math" w:hAnsi="Times New Roman"/>
                <w:sz w:val="19"/>
                <w:szCs w:val="19"/>
              </w:rPr>
              <m:t>-</m:t>
            </m:r>
            <m:sSub>
              <m:sSubPr>
                <m:ctrlPr>
                  <w:rPr>
                    <w:rFonts w:ascii="Cambria Math" w:hAnsi="Times New Roman"/>
                    <w:i/>
                    <w:sz w:val="19"/>
                    <w:szCs w:val="19"/>
                  </w:rPr>
                </m:ctrlPr>
              </m:sSubPr>
              <m:e>
                <m:r>
                  <w:rPr>
                    <w:rFonts w:ascii="Cambria Math" w:hAnsi="Times New Roman"/>
                    <w:sz w:val="19"/>
                    <w:szCs w:val="19"/>
                  </w:rPr>
                  <m:t>θ</m:t>
                </m:r>
              </m:e>
              <m:sub>
                <m:r>
                  <w:rPr>
                    <w:rFonts w:ascii="Cambria Math" w:hAnsi="Times New Roman"/>
                    <w:sz w:val="19"/>
                    <w:szCs w:val="19"/>
                  </w:rPr>
                  <m:t>j</m:t>
                </m:r>
              </m:sub>
            </m:sSub>
            <m:ctrlPr>
              <w:rPr>
                <w:rFonts w:ascii="Cambria Math" w:hAnsi="Cambria Math"/>
                <w:i/>
                <w:sz w:val="19"/>
                <w:szCs w:val="19"/>
              </w:rPr>
            </m:ctrlPr>
          </m:e>
        </m:d>
      </m:oMath>
      <w:r w:rsidR="00DA268A">
        <w:rPr>
          <w:rFonts w:ascii="Times New Roman" w:hAnsi="Times New Roman"/>
          <w:sz w:val="19"/>
          <w:szCs w:val="19"/>
        </w:rPr>
        <w:t xml:space="preserve">         </w:t>
      </w:r>
      <w:r w:rsidR="00DA268A">
        <w:rPr>
          <w:rFonts w:ascii="Times New Roman" w:hAnsi="Times New Roman"/>
          <w:sz w:val="19"/>
          <w:szCs w:val="19"/>
        </w:rPr>
        <w:tab/>
      </w:r>
      <w:r w:rsidR="00DA268A">
        <w:rPr>
          <w:rFonts w:ascii="Times New Roman" w:hAnsi="Times New Roman"/>
          <w:sz w:val="19"/>
          <w:szCs w:val="19"/>
        </w:rPr>
        <w:tab/>
        <w:t xml:space="preserve">  </w:t>
      </w:r>
      <w:r w:rsidR="00DA268A">
        <w:rPr>
          <w:rFonts w:ascii="Times New Roman" w:hAnsi="Times New Roman"/>
          <w:szCs w:val="21"/>
        </w:rPr>
        <w:fldChar w:fldCharType="begin"/>
      </w:r>
      <w:r w:rsidR="00DA268A">
        <w:rPr>
          <w:rFonts w:ascii="Times New Roman" w:hAnsi="Times New Roman"/>
          <w:szCs w:val="21"/>
        </w:rPr>
        <w:instrText xml:space="preserve"> MACROBUTTON MTPlaceRef \* MERGEFORMAT </w:instrText>
      </w:r>
      <w:r w:rsidR="00DA268A">
        <w:rPr>
          <w:rFonts w:ascii="Times New Roman" w:hAnsi="Times New Roman"/>
          <w:szCs w:val="21"/>
        </w:rPr>
        <w:fldChar w:fldCharType="begin"/>
      </w:r>
      <w:r w:rsidR="00DA268A">
        <w:rPr>
          <w:rFonts w:ascii="Times New Roman" w:hAnsi="Times New Roman"/>
          <w:szCs w:val="21"/>
        </w:rPr>
        <w:instrText xml:space="preserve"> SEQ MTEqn \h \* MERGEFORMAT </w:instrText>
      </w:r>
      <w:r w:rsidR="00DA268A">
        <w:rPr>
          <w:rFonts w:ascii="Times New Roman" w:hAnsi="Times New Roman"/>
          <w:szCs w:val="21"/>
        </w:rPr>
        <w:fldChar w:fldCharType="end"/>
      </w:r>
      <w:bookmarkStart w:id="18" w:name="ZEqnNum873279"/>
      <w:r w:rsidR="00DA268A">
        <w:rPr>
          <w:rFonts w:ascii="Times New Roman" w:hAnsi="Times New Roman"/>
          <w:szCs w:val="21"/>
        </w:rPr>
        <w:instrText>(</w:instrText>
      </w:r>
      <w:r w:rsidR="00DA268A">
        <w:rPr>
          <w:rFonts w:ascii="Times New Roman" w:hAnsi="Times New Roman"/>
          <w:szCs w:val="21"/>
        </w:rPr>
        <w:fldChar w:fldCharType="begin"/>
      </w:r>
      <w:r w:rsidR="00DA268A">
        <w:rPr>
          <w:rFonts w:ascii="Times New Roman" w:hAnsi="Times New Roman"/>
          <w:szCs w:val="21"/>
        </w:rPr>
        <w:instrText xml:space="preserve"> SEQ MTEqn \c \* Arabic \* MERGEFORMAT </w:instrText>
      </w:r>
      <w:r w:rsidR="00DA268A">
        <w:rPr>
          <w:rFonts w:ascii="Times New Roman" w:hAnsi="Times New Roman"/>
          <w:szCs w:val="21"/>
        </w:rPr>
        <w:fldChar w:fldCharType="separate"/>
      </w:r>
      <w:r w:rsidR="00CC3C32">
        <w:rPr>
          <w:rFonts w:ascii="Times New Roman" w:hAnsi="Times New Roman"/>
          <w:noProof/>
          <w:szCs w:val="21"/>
        </w:rPr>
        <w:instrText>3</w:instrText>
      </w:r>
      <w:r w:rsidR="00DA268A">
        <w:rPr>
          <w:rFonts w:ascii="Times New Roman" w:hAnsi="Times New Roman"/>
          <w:szCs w:val="21"/>
        </w:rPr>
        <w:fldChar w:fldCharType="end"/>
      </w:r>
      <w:r w:rsidR="00DA268A">
        <w:rPr>
          <w:rFonts w:ascii="Times New Roman" w:hAnsi="Times New Roman"/>
          <w:szCs w:val="21"/>
        </w:rPr>
        <w:instrText>)</w:instrText>
      </w:r>
      <w:bookmarkEnd w:id="18"/>
      <w:r w:rsidR="00DA268A">
        <w:rPr>
          <w:rFonts w:ascii="Times New Roman" w:hAnsi="Times New Roman"/>
          <w:szCs w:val="21"/>
        </w:rPr>
        <w:fldChar w:fldCharType="end"/>
      </w:r>
    </w:p>
    <w:p w14:paraId="6019C805" w14:textId="77777777"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式中：</w:t>
      </w:r>
      <w:r>
        <w:rPr>
          <w:rFonts w:ascii="Times New Roman" w:hAnsi="Times New Roman" w:cs="Times New Roman" w:hint="eastAsia"/>
          <w:i/>
          <w:iCs/>
          <w:szCs w:val="21"/>
        </w:rPr>
        <w:t>i</w:t>
      </w:r>
      <w:r>
        <w:rPr>
          <w:rFonts w:ascii="Times New Roman" w:hAnsi="Times New Roman" w:cs="Times New Roman" w:hint="eastAsia"/>
          <w:szCs w:val="21"/>
        </w:rPr>
        <w:t>和</w:t>
      </w:r>
      <w:r>
        <w:rPr>
          <w:rFonts w:ascii="Times New Roman" w:hAnsi="Times New Roman" w:cs="Times New Roman" w:hint="eastAsia"/>
          <w:i/>
          <w:iCs/>
          <w:szCs w:val="21"/>
        </w:rPr>
        <w:t>j</w:t>
      </w:r>
      <w:r>
        <w:rPr>
          <w:rFonts w:ascii="Times New Roman" w:hAnsi="Times New Roman" w:cs="Times New Roman" w:hint="eastAsia"/>
          <w:szCs w:val="21"/>
        </w:rPr>
        <w:t>分别表示母线编号，母线总数为</w:t>
      </w:r>
      <w:r>
        <w:rPr>
          <w:rFonts w:ascii="Times New Roman" w:hAnsi="Times New Roman" w:cs="Times New Roman" w:hint="eastAsia"/>
          <w:i/>
          <w:iCs/>
          <w:szCs w:val="21"/>
        </w:rPr>
        <w:t>M</w:t>
      </w:r>
      <w:r>
        <w:rPr>
          <w:rFonts w:ascii="Times New Roman" w:hAnsi="Times New Roman" w:cs="Times New Roman" w:hint="eastAsia"/>
          <w:szCs w:val="21"/>
        </w:rPr>
        <w:t>；</w:t>
      </w:r>
      <w:r>
        <w:rPr>
          <w:rFonts w:ascii="Times New Roman" w:hAnsi="Times New Roman" w:cs="Times New Roman" w:hint="eastAsia"/>
          <w:i/>
          <w:iCs/>
          <w:szCs w:val="21"/>
        </w:rPr>
        <w:lastRenderedPageBreak/>
        <w:t>P</w:t>
      </w:r>
      <w:r>
        <w:rPr>
          <w:rFonts w:ascii="Times New Roman" w:hAnsi="Times New Roman" w:cs="Times New Roman" w:hint="eastAsia"/>
          <w:i/>
          <w:iCs/>
          <w:szCs w:val="21"/>
          <w:vertAlign w:val="subscript"/>
        </w:rPr>
        <w:t>i</w:t>
      </w:r>
      <w:r>
        <w:rPr>
          <w:rFonts w:ascii="Times New Roman" w:hAnsi="Times New Roman" w:cs="Times New Roman" w:hint="eastAsia"/>
          <w:szCs w:val="21"/>
        </w:rPr>
        <w:t>表示第</w:t>
      </w:r>
      <w:r>
        <w:rPr>
          <w:rFonts w:ascii="Times New Roman" w:hAnsi="Times New Roman" w:cs="Times New Roman" w:hint="eastAsia"/>
          <w:i/>
          <w:iCs/>
          <w:szCs w:val="21"/>
        </w:rPr>
        <w:t>i</w:t>
      </w:r>
      <w:r>
        <w:rPr>
          <w:rFonts w:ascii="Times New Roman" w:hAnsi="Times New Roman" w:cs="Times New Roman" w:hint="eastAsia"/>
          <w:szCs w:val="21"/>
        </w:rPr>
        <w:t>个母线的注入功率，其值为母线的发电功率减去负荷；</w:t>
      </w:r>
      <w:r>
        <w:rPr>
          <w:rFonts w:ascii="Times New Roman" w:hAnsi="Times New Roman" w:cs="Times New Roman" w:hint="eastAsia"/>
          <w:i/>
          <w:iCs/>
          <w:szCs w:val="21"/>
        </w:rPr>
        <w:t>B</w:t>
      </w:r>
      <w:r>
        <w:rPr>
          <w:rFonts w:ascii="Times New Roman" w:hAnsi="Times New Roman" w:cs="Times New Roman" w:hint="eastAsia"/>
          <w:i/>
          <w:iCs/>
          <w:szCs w:val="21"/>
          <w:vertAlign w:val="subscript"/>
        </w:rPr>
        <w:t>ij</w:t>
      </w:r>
      <w:r>
        <w:rPr>
          <w:rFonts w:ascii="Times New Roman" w:hAnsi="Times New Roman" w:cs="Times New Roman" w:hint="eastAsia"/>
          <w:szCs w:val="21"/>
        </w:rPr>
        <w:t>为</w:t>
      </w:r>
      <w:r>
        <w:rPr>
          <w:rFonts w:ascii="Times New Roman" w:hAnsi="Times New Roman" w:cs="Times New Roman" w:hint="eastAsia"/>
          <w:i/>
          <w:iCs/>
          <w:szCs w:val="21"/>
        </w:rPr>
        <w:t>ij</w:t>
      </w:r>
      <w:r>
        <w:rPr>
          <w:rFonts w:ascii="Times New Roman" w:hAnsi="Times New Roman" w:cs="Times New Roman" w:hint="eastAsia"/>
          <w:szCs w:val="21"/>
        </w:rPr>
        <w:t>线路的导纳值；</w:t>
      </w:r>
      <w:r>
        <w:rPr>
          <w:rFonts w:ascii="Times New Roman" w:hAnsi="Times New Roman" w:cs="Times New Roman"/>
          <w:i/>
          <w:iCs/>
          <w:szCs w:val="21"/>
        </w:rPr>
        <w:t>θ</w:t>
      </w:r>
      <w:r>
        <w:rPr>
          <w:rFonts w:ascii="Times New Roman" w:hAnsi="Times New Roman" w:cs="Times New Roman"/>
          <w:i/>
          <w:iCs/>
          <w:szCs w:val="21"/>
          <w:vertAlign w:val="subscript"/>
        </w:rPr>
        <w:t>i</w:t>
      </w:r>
      <w:r>
        <w:rPr>
          <w:rFonts w:ascii="Times New Roman" w:hAnsi="Times New Roman" w:cs="Times New Roman" w:hint="eastAsia"/>
          <w:szCs w:val="21"/>
        </w:rPr>
        <w:t>为母线</w:t>
      </w:r>
      <w:r>
        <w:rPr>
          <w:rFonts w:ascii="Times New Roman" w:hAnsi="Times New Roman" w:cs="Times New Roman" w:hint="eastAsia"/>
          <w:i/>
          <w:iCs/>
          <w:szCs w:val="21"/>
          <w:vertAlign w:val="subscript"/>
        </w:rPr>
        <w:t>i</w:t>
      </w:r>
      <w:r>
        <w:rPr>
          <w:rFonts w:ascii="Times New Roman" w:hAnsi="Times New Roman" w:cs="Times New Roman" w:hint="eastAsia"/>
          <w:szCs w:val="21"/>
        </w:rPr>
        <w:t>的相角，</w:t>
      </w:r>
      <w:r>
        <w:rPr>
          <w:rFonts w:ascii="Times New Roman" w:hAnsi="Times New Roman" w:cs="Times New Roman"/>
          <w:i/>
          <w:iCs/>
          <w:szCs w:val="21"/>
        </w:rPr>
        <w:t>θ</w:t>
      </w:r>
      <w:r>
        <w:rPr>
          <w:rFonts w:ascii="Times New Roman" w:hAnsi="Times New Roman" w:cs="Times New Roman"/>
          <w:i/>
          <w:iCs/>
          <w:szCs w:val="21"/>
          <w:vertAlign w:val="subscript"/>
        </w:rPr>
        <w:t>j</w:t>
      </w:r>
      <w:r>
        <w:rPr>
          <w:rFonts w:ascii="Times New Roman" w:hAnsi="Times New Roman" w:cs="Times New Roman" w:hint="eastAsia"/>
          <w:szCs w:val="21"/>
        </w:rPr>
        <w:t>为母线</w:t>
      </w:r>
      <w:r>
        <w:rPr>
          <w:rFonts w:ascii="Times New Roman" w:hAnsi="Times New Roman" w:cs="Times New Roman" w:hint="eastAsia"/>
          <w:i/>
          <w:iCs/>
          <w:szCs w:val="21"/>
        </w:rPr>
        <w:t>j</w:t>
      </w:r>
      <w:r>
        <w:rPr>
          <w:rFonts w:ascii="Times New Roman" w:hAnsi="Times New Roman" w:cs="Times New Roman" w:hint="eastAsia"/>
          <w:szCs w:val="21"/>
        </w:rPr>
        <w:t>的相角。</w:t>
      </w:r>
    </w:p>
    <w:p w14:paraId="581B530A" w14:textId="27C6721A" w:rsidR="001F7B30" w:rsidRDefault="00DA268A">
      <w:pPr>
        <w:spacing w:line="240" w:lineRule="atLeast"/>
        <w:ind w:firstLineChars="200" w:firstLine="420"/>
        <w:rPr>
          <w:rFonts w:ascii="Times New Roman" w:hAnsi="Times New Roman" w:cs="Times New Roman"/>
          <w:szCs w:val="21"/>
        </w:rPr>
      </w:pPr>
      <w:r>
        <w:rPr>
          <w:rFonts w:ascii="Times New Roman" w:hAnsi="Times New Roman" w:hint="eastAsia"/>
          <w:szCs w:val="21"/>
        </w:rPr>
        <w:t>写成矩阵形式的直流潮流方程如式</w:t>
      </w:r>
      <w:r>
        <w:rPr>
          <w:rFonts w:ascii="Times New Roman" w:hAnsi="Times New Roman"/>
          <w:iCs/>
          <w:szCs w:val="21"/>
        </w:rPr>
        <w:t xml:space="preserve"> </w:t>
      </w:r>
      <w:r>
        <w:rPr>
          <w:rFonts w:ascii="Times New Roman" w:hAnsi="Times New Roman"/>
          <w:iCs/>
          <w:szCs w:val="21"/>
        </w:rPr>
        <w:fldChar w:fldCharType="begin"/>
      </w:r>
      <w:r>
        <w:rPr>
          <w:rFonts w:ascii="Times New Roman" w:hAnsi="Times New Roman"/>
          <w:iCs/>
          <w:szCs w:val="21"/>
        </w:rPr>
        <w:instrText xml:space="preserve"> </w:instrText>
      </w:r>
      <w:r>
        <w:rPr>
          <w:rFonts w:ascii="Times New Roman" w:hAnsi="Times New Roman" w:hint="eastAsia"/>
          <w:iCs/>
          <w:szCs w:val="21"/>
        </w:rPr>
        <w:instrText>GOTOBUTTON ZEqnNum243189  \* MERGEFORMAT</w:instrText>
      </w:r>
      <w:r>
        <w:rPr>
          <w:rFonts w:ascii="Times New Roman" w:hAnsi="Times New Roman"/>
          <w:iCs/>
          <w:szCs w:val="21"/>
        </w:rPr>
        <w:instrText xml:space="preserve"> </w:instrText>
      </w:r>
      <w:r>
        <w:rPr>
          <w:rFonts w:ascii="Times New Roman" w:hAnsi="Times New Roman"/>
          <w:iCs/>
          <w:szCs w:val="21"/>
        </w:rPr>
        <w:fldChar w:fldCharType="begin"/>
      </w:r>
      <w:r>
        <w:rPr>
          <w:rFonts w:ascii="Times New Roman" w:hAnsi="Times New Roman"/>
          <w:iCs/>
          <w:szCs w:val="21"/>
        </w:rPr>
        <w:instrText xml:space="preserve"> REF ZEqnNum243189 \* Charformat \! \* MERGEFORMAT </w:instrText>
      </w:r>
      <w:r>
        <w:rPr>
          <w:rFonts w:ascii="Times New Roman" w:hAnsi="Times New Roman"/>
          <w:iCs/>
          <w:szCs w:val="21"/>
        </w:rPr>
        <w:fldChar w:fldCharType="separate"/>
      </w:r>
      <w:r w:rsidR="00CC3C32" w:rsidRPr="007947A7">
        <w:rPr>
          <w:rFonts w:ascii="Times New Roman" w:hAnsi="Times New Roman"/>
          <w:iCs/>
          <w:szCs w:val="21"/>
        </w:rPr>
        <w:instrText>(4)</w:instrText>
      </w:r>
      <w:r>
        <w:rPr>
          <w:rFonts w:ascii="Times New Roman" w:hAnsi="Times New Roman"/>
          <w:iCs/>
          <w:szCs w:val="21"/>
        </w:rPr>
        <w:fldChar w:fldCharType="end"/>
      </w:r>
      <w:r>
        <w:rPr>
          <w:rFonts w:ascii="Times New Roman" w:hAnsi="Times New Roman"/>
          <w:iCs/>
          <w:szCs w:val="21"/>
        </w:rPr>
        <w:fldChar w:fldCharType="end"/>
      </w:r>
      <w:r>
        <w:rPr>
          <w:rFonts w:ascii="Times New Roman" w:hAnsi="Times New Roman" w:hint="eastAsia"/>
          <w:iCs/>
          <w:szCs w:val="21"/>
        </w:rPr>
        <w:t>所示</w:t>
      </w:r>
    </w:p>
    <w:p w14:paraId="2B4D7DB3" w14:textId="5F360925" w:rsidR="001F7B30" w:rsidRDefault="00DA268A">
      <w:pPr>
        <w:spacing w:line="240" w:lineRule="atLeast"/>
        <w:ind w:firstLineChars="200" w:firstLine="381"/>
        <w:jc w:val="right"/>
        <w:rPr>
          <w:rFonts w:ascii="Times New Roman" w:hAnsi="Times New Roman" w:cs="Times New Roman"/>
          <w:szCs w:val="21"/>
        </w:rPr>
      </w:pPr>
      <m:oMath>
        <m:r>
          <m:rPr>
            <m:sty m:val="bi"/>
          </m:rPr>
          <w:rPr>
            <w:rFonts w:ascii="Cambria Math" w:hAnsi="Times New Roman"/>
            <w:sz w:val="19"/>
            <w:szCs w:val="19"/>
          </w:rPr>
          <m:t>P</m:t>
        </m:r>
        <m:r>
          <w:rPr>
            <w:rFonts w:ascii="Cambria Math" w:hAnsi="Times New Roman"/>
            <w:sz w:val="19"/>
            <w:szCs w:val="19"/>
          </w:rPr>
          <m:t>=</m:t>
        </m:r>
        <m:r>
          <m:rPr>
            <m:sty m:val="bi"/>
          </m:rPr>
          <w:rPr>
            <w:rFonts w:ascii="Cambria Math" w:hAnsi="Times New Roman"/>
            <w:sz w:val="19"/>
            <w:szCs w:val="19"/>
          </w:rPr>
          <m:t>Bθ</m:t>
        </m:r>
      </m:oMath>
      <w:r>
        <w:rPr>
          <w:rFonts w:ascii="Times New Roman" w:hAnsi="Times New Roman"/>
          <w:sz w:val="19"/>
          <w:szCs w:val="19"/>
        </w:rPr>
        <w:t xml:space="preserve">     </w:t>
      </w:r>
      <w:r>
        <w:rPr>
          <w:rFonts w:ascii="Times New Roman" w:hAnsi="Times New Roman"/>
          <w:sz w:val="19"/>
          <w:szCs w:val="19"/>
        </w:rPr>
        <w:tab/>
      </w:r>
      <w:r>
        <w:rPr>
          <w:rFonts w:ascii="Times New Roman" w:hAnsi="Times New Roman"/>
          <w:sz w:val="19"/>
          <w:szCs w:val="19"/>
        </w:rPr>
        <w:tab/>
      </w:r>
      <w:r>
        <w:rPr>
          <w:rFonts w:ascii="Times New Roman" w:hAnsi="Times New Roman"/>
          <w:sz w:val="19"/>
          <w:szCs w:val="19"/>
        </w:rPr>
        <w:tab/>
        <w:t xml:space="preserve">   </w:t>
      </w:r>
      <w:r>
        <w:rPr>
          <w:rFonts w:ascii="Times New Roman" w:hAnsi="Times New Roman" w:hint="eastAsia"/>
          <w:sz w:val="19"/>
          <w:szCs w:val="19"/>
        </w:rPr>
        <w:t xml:space="preserve">      </w:t>
      </w:r>
      <w:r>
        <w:rPr>
          <w:rFonts w:ascii="Times New Roman" w:hAnsi="Times New Roman"/>
          <w:sz w:val="19"/>
          <w:szCs w:val="19"/>
        </w:rPr>
        <w:t xml:space="preserve"> </w:t>
      </w:r>
      <w:r>
        <w:rPr>
          <w:rFonts w:ascii="Times New Roman" w:hAnsi="Times New Roman"/>
          <w:sz w:val="19"/>
          <w:szCs w:val="19"/>
        </w:rPr>
        <w:fldChar w:fldCharType="begin"/>
      </w:r>
      <w:r>
        <w:rPr>
          <w:rFonts w:ascii="Times New Roman" w:hAnsi="Times New Roman"/>
          <w:sz w:val="19"/>
          <w:szCs w:val="19"/>
        </w:rPr>
        <w:instrText xml:space="preserve"> MACROBUTTON MTPlaceRef \* MERGEFORMAT </w:instrText>
      </w:r>
      <w:r>
        <w:rPr>
          <w:rFonts w:ascii="Times New Roman" w:hAnsi="Times New Roman"/>
          <w:sz w:val="19"/>
          <w:szCs w:val="19"/>
        </w:rPr>
        <w:fldChar w:fldCharType="begin"/>
      </w:r>
      <w:r>
        <w:rPr>
          <w:rFonts w:ascii="Times New Roman" w:hAnsi="Times New Roman"/>
          <w:sz w:val="19"/>
          <w:szCs w:val="19"/>
        </w:rPr>
        <w:instrText xml:space="preserve"> SEQ MTEqn \h \* MERGEFORMAT </w:instrText>
      </w:r>
      <w:r>
        <w:rPr>
          <w:rFonts w:ascii="Times New Roman" w:hAnsi="Times New Roman"/>
          <w:sz w:val="19"/>
          <w:szCs w:val="19"/>
        </w:rPr>
        <w:fldChar w:fldCharType="end"/>
      </w:r>
      <w:bookmarkStart w:id="19" w:name="ZEqnNum243189"/>
      <w:r>
        <w:rPr>
          <w:rFonts w:ascii="Times New Roman" w:hAnsi="Times New Roman"/>
          <w:sz w:val="19"/>
          <w:szCs w:val="19"/>
        </w:rPr>
        <w:instrText>(</w:instrText>
      </w:r>
      <w:r>
        <w:rPr>
          <w:rFonts w:ascii="Times New Roman" w:hAnsi="Times New Roman"/>
          <w:sz w:val="19"/>
          <w:szCs w:val="19"/>
        </w:rPr>
        <w:fldChar w:fldCharType="begin"/>
      </w:r>
      <w:r>
        <w:rPr>
          <w:rFonts w:ascii="Times New Roman" w:hAnsi="Times New Roman"/>
          <w:sz w:val="19"/>
          <w:szCs w:val="19"/>
        </w:rPr>
        <w:instrText xml:space="preserve"> SEQ MTEqn \c \* Arabic \* MERGEFORMAT </w:instrText>
      </w:r>
      <w:r>
        <w:rPr>
          <w:rFonts w:ascii="Times New Roman" w:hAnsi="Times New Roman"/>
          <w:sz w:val="19"/>
          <w:szCs w:val="19"/>
        </w:rPr>
        <w:fldChar w:fldCharType="separate"/>
      </w:r>
      <w:r w:rsidR="00CC3C32">
        <w:rPr>
          <w:rFonts w:ascii="Times New Roman" w:hAnsi="Times New Roman"/>
          <w:noProof/>
          <w:sz w:val="19"/>
          <w:szCs w:val="19"/>
        </w:rPr>
        <w:instrText>4</w:instrText>
      </w:r>
      <w:r>
        <w:rPr>
          <w:rFonts w:ascii="Times New Roman" w:hAnsi="Times New Roman"/>
          <w:sz w:val="19"/>
          <w:szCs w:val="19"/>
        </w:rPr>
        <w:fldChar w:fldCharType="end"/>
      </w:r>
      <w:r>
        <w:rPr>
          <w:rFonts w:ascii="Times New Roman" w:hAnsi="Times New Roman"/>
          <w:sz w:val="19"/>
          <w:szCs w:val="19"/>
        </w:rPr>
        <w:instrText>)</w:instrText>
      </w:r>
      <w:bookmarkEnd w:id="19"/>
      <w:r>
        <w:rPr>
          <w:rFonts w:ascii="Times New Roman" w:hAnsi="Times New Roman"/>
          <w:sz w:val="19"/>
          <w:szCs w:val="19"/>
        </w:rPr>
        <w:fldChar w:fldCharType="end"/>
      </w:r>
    </w:p>
    <w:p w14:paraId="56DC186A" w14:textId="031422D8" w:rsidR="001F7B30" w:rsidRDefault="00DA268A">
      <w:pPr>
        <w:ind w:firstLineChars="200" w:firstLine="420"/>
        <w:rPr>
          <w:rFonts w:ascii="Times New Roman" w:hAnsi="Times New Roman"/>
          <w:szCs w:val="21"/>
        </w:rPr>
      </w:pPr>
      <w:r>
        <w:rPr>
          <w:rFonts w:ascii="Times New Roman" w:hAnsi="Times New Roman" w:hint="eastAsia"/>
          <w:szCs w:val="21"/>
        </w:rPr>
        <w:t>式中：母线注入功率</w:t>
      </w:r>
      <w:r>
        <w:rPr>
          <w:rFonts w:ascii="Times New Roman" w:hAnsi="Times New Roman" w:hint="eastAsia"/>
          <w:b/>
          <w:bCs/>
          <w:i/>
          <w:iCs/>
          <w:szCs w:val="21"/>
        </w:rPr>
        <w:t>P</w:t>
      </w:r>
      <w:r>
        <w:rPr>
          <w:rFonts w:ascii="Times New Roman" w:hAnsi="Times New Roman" w:hint="eastAsia"/>
          <w:szCs w:val="21"/>
        </w:rPr>
        <w:t>是已知信息，母线电压相角向量</w:t>
      </w:r>
      <w:r>
        <w:rPr>
          <w:rFonts w:ascii="Times New Roman" w:hAnsi="Times New Roman" w:hint="eastAsia"/>
          <w:b/>
          <w:bCs/>
          <w:i/>
          <w:iCs/>
          <w:szCs w:val="21"/>
        </w:rPr>
        <w:t>θ</w:t>
      </w:r>
      <w:r>
        <w:rPr>
          <w:rFonts w:ascii="Times New Roman" w:hAnsi="Times New Roman" w:hint="eastAsia"/>
          <w:szCs w:val="21"/>
        </w:rPr>
        <w:t>是待求量，导纳矩阵</w:t>
      </w:r>
      <w:r>
        <w:rPr>
          <w:rFonts w:ascii="Times New Roman" w:hAnsi="Times New Roman" w:hint="eastAsia"/>
          <w:b/>
          <w:bCs/>
          <w:i/>
          <w:iCs/>
          <w:szCs w:val="21"/>
        </w:rPr>
        <w:t>B</w:t>
      </w:r>
      <w:r>
        <w:rPr>
          <w:rFonts w:ascii="Times New Roman" w:hAnsi="Times New Roman" w:hint="eastAsia"/>
          <w:szCs w:val="21"/>
        </w:rPr>
        <w:t>按照式</w:t>
      </w:r>
      <w:r>
        <w:rPr>
          <w:rFonts w:ascii="Times New Roman" w:hAnsi="Times New Roman"/>
          <w:iCs/>
          <w:szCs w:val="21"/>
        </w:rPr>
        <w:fldChar w:fldCharType="begin"/>
      </w:r>
      <w:r>
        <w:rPr>
          <w:rFonts w:ascii="Times New Roman" w:hAnsi="Times New Roman"/>
          <w:iCs/>
          <w:szCs w:val="21"/>
        </w:rPr>
        <w:instrText xml:space="preserve"> </w:instrText>
      </w:r>
      <w:r>
        <w:rPr>
          <w:rFonts w:ascii="Times New Roman" w:hAnsi="Times New Roman" w:hint="eastAsia"/>
          <w:iCs/>
          <w:szCs w:val="21"/>
        </w:rPr>
        <w:instrText>GOTOBUTTON ZEqnNum151316  \* MERGEFORMAT</w:instrText>
      </w:r>
      <w:r>
        <w:rPr>
          <w:rFonts w:ascii="Times New Roman" w:hAnsi="Times New Roman"/>
          <w:iCs/>
          <w:szCs w:val="21"/>
        </w:rPr>
        <w:instrText xml:space="preserve"> </w:instrText>
      </w:r>
      <w:r>
        <w:rPr>
          <w:rFonts w:ascii="Times New Roman" w:hAnsi="Times New Roman"/>
          <w:iCs/>
          <w:szCs w:val="21"/>
        </w:rPr>
        <w:fldChar w:fldCharType="begin"/>
      </w:r>
      <w:r>
        <w:rPr>
          <w:rFonts w:ascii="Times New Roman" w:hAnsi="Times New Roman"/>
          <w:iCs/>
          <w:szCs w:val="21"/>
        </w:rPr>
        <w:instrText xml:space="preserve"> REF ZEqnNum151316 \* Charformat \! \* MERGEFORMAT </w:instrText>
      </w:r>
      <w:r>
        <w:rPr>
          <w:rFonts w:ascii="Times New Roman" w:hAnsi="Times New Roman"/>
          <w:iCs/>
          <w:szCs w:val="21"/>
        </w:rPr>
        <w:fldChar w:fldCharType="separate"/>
      </w:r>
      <w:r w:rsidR="00CC3C32" w:rsidRPr="005A42B9">
        <w:rPr>
          <w:rFonts w:ascii="Times New Roman" w:hAnsi="Times New Roman"/>
          <w:iCs/>
          <w:szCs w:val="21"/>
        </w:rPr>
        <w:instrText>(</w:instrText>
      </w:r>
      <w:r w:rsidR="00CC3C32" w:rsidRPr="007947A7">
        <w:rPr>
          <w:rFonts w:ascii="Times New Roman" w:hAnsi="Times New Roman"/>
          <w:iCs/>
          <w:szCs w:val="21"/>
        </w:rPr>
        <w:instrText>5)</w:instrText>
      </w:r>
      <w:r>
        <w:rPr>
          <w:rFonts w:ascii="Times New Roman" w:hAnsi="Times New Roman"/>
          <w:iCs/>
          <w:szCs w:val="21"/>
        </w:rPr>
        <w:fldChar w:fldCharType="end"/>
      </w:r>
      <w:r>
        <w:rPr>
          <w:rFonts w:ascii="Times New Roman" w:hAnsi="Times New Roman"/>
          <w:iCs/>
          <w:szCs w:val="21"/>
        </w:rPr>
        <w:fldChar w:fldCharType="end"/>
      </w:r>
      <w:r>
        <w:rPr>
          <w:rFonts w:ascii="Times New Roman" w:hAnsi="Times New Roman" w:hint="eastAsia"/>
          <w:szCs w:val="21"/>
        </w:rPr>
        <w:t>计算。</w:t>
      </w:r>
    </w:p>
    <w:p w14:paraId="54A172EC" w14:textId="16187181" w:rsidR="001F7B30" w:rsidRDefault="00000000">
      <w:pPr>
        <w:ind w:left="1110" w:firstLineChars="300" w:firstLine="630"/>
        <w:jc w:val="right"/>
        <w:rPr>
          <w:rFonts w:ascii="Times New Roman" w:hAnsi="Times New Roman"/>
          <w:szCs w:val="21"/>
        </w:rPr>
      </w:pPr>
      <m:oMath>
        <m:d>
          <m:dPr>
            <m:begChr m:val="{"/>
            <m:endChr m:val=""/>
            <m:ctrlPr>
              <w:rPr>
                <w:rFonts w:ascii="Cambria Math" w:hAnsi="Times New Roman"/>
                <w:i/>
                <w:szCs w:val="21"/>
              </w:rPr>
            </m:ctrlPr>
          </m:dPr>
          <m:e>
            <m:eqArr>
              <m:eqArrPr>
                <m:ctrlPr>
                  <w:rPr>
                    <w:rFonts w:ascii="Cambria Math" w:hAnsi="Times New Roman"/>
                    <w:i/>
                    <w:szCs w:val="21"/>
                  </w:rPr>
                </m:ctrlPr>
              </m:eqArrPr>
              <m:e>
                <m:sSub>
                  <m:sSubPr>
                    <m:ctrlPr>
                      <w:rPr>
                        <w:rFonts w:ascii="Cambria Math" w:hAnsi="Times New Roman"/>
                        <w:i/>
                        <w:szCs w:val="21"/>
                      </w:rPr>
                    </m:ctrlPr>
                  </m:sSubPr>
                  <m:e>
                    <m:r>
                      <w:rPr>
                        <w:rFonts w:ascii="Cambria Math" w:hAnsi="Times New Roman"/>
                        <w:szCs w:val="21"/>
                      </w:rPr>
                      <m:t>B</m:t>
                    </m:r>
                  </m:e>
                  <m:sub>
                    <m:r>
                      <w:rPr>
                        <w:rFonts w:ascii="Cambria Math" w:hAnsi="Times New Roman"/>
                        <w:szCs w:val="21"/>
                      </w:rPr>
                      <m:t>ij</m:t>
                    </m:r>
                  </m:sub>
                </m:sSub>
                <m:r>
                  <w:rPr>
                    <w:rFonts w:ascii="Cambria Math" w:hAnsi="Times New Roman"/>
                    <w:szCs w:val="21"/>
                  </w:rPr>
                  <m:t>=</m:t>
                </m:r>
                <m:r>
                  <w:rPr>
                    <w:rFonts w:ascii="Cambria Math" w:hAnsi="Times New Roman"/>
                    <w:szCs w:val="21"/>
                  </w:rPr>
                  <m:t>-</m:t>
                </m:r>
                <m:f>
                  <m:fPr>
                    <m:ctrlPr>
                      <w:rPr>
                        <w:rFonts w:ascii="Cambria Math" w:hAnsi="Times New Roman"/>
                        <w:i/>
                        <w:szCs w:val="21"/>
                      </w:rPr>
                    </m:ctrlPr>
                  </m:fPr>
                  <m:num>
                    <m:r>
                      <w:rPr>
                        <w:rFonts w:ascii="Cambria Math" w:hAnsi="Times New Roman"/>
                        <w:szCs w:val="21"/>
                      </w:rPr>
                      <m:t>1</m:t>
                    </m:r>
                  </m:num>
                  <m:den>
                    <m:sSub>
                      <m:sSubPr>
                        <m:ctrlPr>
                          <w:rPr>
                            <w:rFonts w:ascii="Cambria Math" w:hAnsi="Times New Roman"/>
                            <w:i/>
                            <w:szCs w:val="21"/>
                          </w:rPr>
                        </m:ctrlPr>
                      </m:sSubPr>
                      <m:e>
                        <m:r>
                          <w:rPr>
                            <w:rFonts w:ascii="Cambria Math" w:hAnsi="Times New Roman"/>
                            <w:szCs w:val="21"/>
                          </w:rPr>
                          <m:t>X</m:t>
                        </m:r>
                      </m:e>
                      <m:sub>
                        <m:r>
                          <w:rPr>
                            <w:rFonts w:ascii="Cambria Math" w:hAnsi="Times New Roman"/>
                            <w:szCs w:val="21"/>
                          </w:rPr>
                          <m:t>ij</m:t>
                        </m:r>
                      </m:sub>
                    </m:sSub>
                  </m:den>
                </m:f>
              </m:e>
              <m:e>
                <m:sSub>
                  <m:sSubPr>
                    <m:ctrlPr>
                      <w:rPr>
                        <w:rFonts w:ascii="Cambria Math" w:hAnsi="Times New Roman"/>
                        <w:i/>
                        <w:szCs w:val="21"/>
                      </w:rPr>
                    </m:ctrlPr>
                  </m:sSubPr>
                  <m:e>
                    <m:r>
                      <w:rPr>
                        <w:rFonts w:ascii="Cambria Math" w:hAnsi="Times New Roman"/>
                        <w:szCs w:val="21"/>
                      </w:rPr>
                      <m:t>B</m:t>
                    </m:r>
                  </m:e>
                  <m:sub>
                    <m:r>
                      <w:rPr>
                        <w:rFonts w:ascii="Cambria Math" w:hAnsi="Times New Roman"/>
                        <w:szCs w:val="21"/>
                      </w:rPr>
                      <m:t>ii</m:t>
                    </m:r>
                  </m:sub>
                </m:sSub>
                <m:r>
                  <w:rPr>
                    <w:rFonts w:ascii="Cambria Math" w:hAnsi="Times New Roman"/>
                    <w:szCs w:val="21"/>
                  </w:rPr>
                  <m:t>=</m:t>
                </m:r>
                <m:nary>
                  <m:naryPr>
                    <m:chr m:val="∑"/>
                    <m:ctrlPr>
                      <w:rPr>
                        <w:rFonts w:ascii="Cambria Math" w:hAnsi="Times New Roman"/>
                        <w:i/>
                        <w:szCs w:val="21"/>
                      </w:rPr>
                    </m:ctrlPr>
                  </m:naryPr>
                  <m:sub>
                    <m:eqArr>
                      <m:eqArrPr>
                        <m:ctrlPr>
                          <w:rPr>
                            <w:rFonts w:ascii="Cambria Math" w:hAnsi="Times New Roman"/>
                            <w:i/>
                            <w:szCs w:val="21"/>
                          </w:rPr>
                        </m:ctrlPr>
                      </m:eqArrPr>
                      <m:e>
                        <m:r>
                          <w:rPr>
                            <w:rFonts w:ascii="Cambria Math" w:hAnsi="Times New Roman"/>
                            <w:szCs w:val="21"/>
                          </w:rPr>
                          <m:t>&amp;j=1</m:t>
                        </m:r>
                      </m:e>
                      <m:e>
                        <m:r>
                          <w:rPr>
                            <w:rFonts w:ascii="Cambria Math" w:hAnsi="Times New Roman"/>
                            <w:szCs w:val="21"/>
                          </w:rPr>
                          <m:t>&amp;j</m:t>
                        </m:r>
                        <m:r>
                          <w:rPr>
                            <w:rFonts w:ascii="Cambria Math" w:hAnsi="Times New Roman"/>
                            <w:szCs w:val="21"/>
                          </w:rPr>
                          <m:t>≠</m:t>
                        </m:r>
                        <m:r>
                          <w:rPr>
                            <w:rFonts w:ascii="Cambria Math" w:hAnsi="Times New Roman"/>
                            <w:szCs w:val="21"/>
                          </w:rPr>
                          <m:t>i</m:t>
                        </m:r>
                      </m:e>
                    </m:eqArr>
                  </m:sub>
                  <m:sup>
                    <m:r>
                      <w:rPr>
                        <w:rFonts w:ascii="Cambria Math" w:hAnsi="Times New Roman" w:hint="eastAsia"/>
                        <w:szCs w:val="21"/>
                      </w:rPr>
                      <m:t>M</m:t>
                    </m:r>
                  </m:sup>
                  <m:e>
                    <m:r>
                      <w:rPr>
                        <w:rFonts w:ascii="Cambria Math" w:hAnsi="Times New Roman"/>
                        <w:szCs w:val="21"/>
                      </w:rPr>
                      <m:t>-</m:t>
                    </m:r>
                    <m:sSub>
                      <m:sSubPr>
                        <m:ctrlPr>
                          <w:rPr>
                            <w:rFonts w:ascii="Cambria Math" w:hAnsi="Times New Roman"/>
                            <w:i/>
                            <w:szCs w:val="21"/>
                          </w:rPr>
                        </m:ctrlPr>
                      </m:sSubPr>
                      <m:e>
                        <m:r>
                          <w:rPr>
                            <w:rFonts w:ascii="Cambria Math" w:hAnsi="Times New Roman"/>
                            <w:szCs w:val="21"/>
                          </w:rPr>
                          <m:t>B</m:t>
                        </m:r>
                      </m:e>
                      <m:sub>
                        <m:r>
                          <w:rPr>
                            <w:rFonts w:ascii="Cambria Math" w:hAnsi="Times New Roman"/>
                            <w:szCs w:val="21"/>
                          </w:rPr>
                          <m:t>ij</m:t>
                        </m:r>
                      </m:sub>
                    </m:sSub>
                    <m:ctrlPr>
                      <w:rPr>
                        <w:rFonts w:ascii="Cambria Math" w:hAnsi="Cambria Math"/>
                        <w:i/>
                        <w:szCs w:val="21"/>
                      </w:rPr>
                    </m:ctrlPr>
                  </m:e>
                </m:nary>
              </m:e>
            </m:eqArr>
          </m:e>
        </m:d>
      </m:oMath>
      <w:r w:rsidR="00DA268A">
        <w:rPr>
          <w:rFonts w:ascii="Times New Roman" w:hAnsi="Times New Roman"/>
          <w:szCs w:val="21"/>
        </w:rPr>
        <w:tab/>
      </w:r>
      <w:r w:rsidR="00DA268A">
        <w:rPr>
          <w:rFonts w:ascii="Times New Roman" w:hAnsi="Times New Roman" w:hint="eastAsia"/>
          <w:szCs w:val="21"/>
        </w:rPr>
        <w:t xml:space="preserve">    </w:t>
      </w:r>
      <w:r w:rsidR="00DA268A">
        <w:rPr>
          <w:rFonts w:ascii="Times New Roman" w:hAnsi="Times New Roman"/>
          <w:szCs w:val="21"/>
        </w:rPr>
        <w:tab/>
      </w:r>
      <w:r w:rsidR="00DA268A">
        <w:rPr>
          <w:rFonts w:ascii="Times New Roman" w:hAnsi="Times New Roman" w:hint="eastAsia"/>
          <w:szCs w:val="21"/>
        </w:rPr>
        <w:t xml:space="preserve">            </w:t>
      </w:r>
      <w:r w:rsidR="00DA268A">
        <w:rPr>
          <w:rFonts w:ascii="Times New Roman" w:hAnsi="Times New Roman"/>
          <w:szCs w:val="21"/>
        </w:rPr>
        <w:fldChar w:fldCharType="begin"/>
      </w:r>
      <w:r w:rsidR="00DA268A">
        <w:rPr>
          <w:rFonts w:ascii="Times New Roman" w:hAnsi="Times New Roman"/>
          <w:szCs w:val="21"/>
        </w:rPr>
        <w:instrText xml:space="preserve"> MACROBUTTON MTPlaceRef \* MERGEFORMAT </w:instrText>
      </w:r>
      <w:r w:rsidR="00DA268A">
        <w:rPr>
          <w:rFonts w:ascii="Times New Roman" w:hAnsi="Times New Roman"/>
          <w:szCs w:val="21"/>
        </w:rPr>
        <w:fldChar w:fldCharType="begin"/>
      </w:r>
      <w:r w:rsidR="00DA268A">
        <w:rPr>
          <w:rFonts w:ascii="Times New Roman" w:hAnsi="Times New Roman"/>
          <w:szCs w:val="21"/>
        </w:rPr>
        <w:instrText xml:space="preserve"> SEQ MTEqn \h \* MERGEFORMAT </w:instrText>
      </w:r>
      <w:r w:rsidR="00DA268A">
        <w:rPr>
          <w:rFonts w:ascii="Times New Roman" w:hAnsi="Times New Roman"/>
          <w:szCs w:val="21"/>
        </w:rPr>
        <w:fldChar w:fldCharType="end"/>
      </w:r>
      <w:bookmarkStart w:id="20" w:name="ZEqnNum151316"/>
      <w:r w:rsidR="00DA268A">
        <w:rPr>
          <w:rFonts w:ascii="Times New Roman" w:hAnsi="Times New Roman"/>
          <w:szCs w:val="21"/>
        </w:rPr>
        <w:instrText>(</w:instrText>
      </w:r>
      <w:r w:rsidR="00DA268A">
        <w:rPr>
          <w:rFonts w:ascii="Times New Roman" w:hAnsi="Times New Roman"/>
          <w:szCs w:val="21"/>
        </w:rPr>
        <w:fldChar w:fldCharType="begin"/>
      </w:r>
      <w:r w:rsidR="00DA268A">
        <w:rPr>
          <w:rFonts w:ascii="Times New Roman" w:hAnsi="Times New Roman"/>
          <w:szCs w:val="21"/>
        </w:rPr>
        <w:instrText xml:space="preserve"> SEQ MTEqn \c \* Arabic \* MERGEFORMAT </w:instrText>
      </w:r>
      <w:r w:rsidR="00DA268A">
        <w:rPr>
          <w:rFonts w:ascii="Times New Roman" w:hAnsi="Times New Roman"/>
          <w:szCs w:val="21"/>
        </w:rPr>
        <w:fldChar w:fldCharType="separate"/>
      </w:r>
      <w:r w:rsidR="00CC3C32">
        <w:rPr>
          <w:rFonts w:ascii="Times New Roman" w:hAnsi="Times New Roman"/>
          <w:noProof/>
          <w:szCs w:val="21"/>
        </w:rPr>
        <w:instrText>5</w:instrText>
      </w:r>
      <w:r w:rsidR="00DA268A">
        <w:rPr>
          <w:rFonts w:ascii="Times New Roman" w:hAnsi="Times New Roman"/>
          <w:szCs w:val="21"/>
        </w:rPr>
        <w:fldChar w:fldCharType="end"/>
      </w:r>
      <w:r w:rsidR="00DA268A">
        <w:rPr>
          <w:rFonts w:ascii="Times New Roman" w:hAnsi="Times New Roman"/>
          <w:szCs w:val="21"/>
        </w:rPr>
        <w:instrText>)</w:instrText>
      </w:r>
      <w:bookmarkEnd w:id="20"/>
      <w:r w:rsidR="00DA268A">
        <w:rPr>
          <w:rFonts w:ascii="Times New Roman" w:hAnsi="Times New Roman"/>
          <w:szCs w:val="21"/>
        </w:rPr>
        <w:fldChar w:fldCharType="end"/>
      </w:r>
    </w:p>
    <w:p w14:paraId="50C2AE76" w14:textId="7794F4FF" w:rsidR="001F7B30" w:rsidRDefault="00DA268A">
      <w:pPr>
        <w:ind w:firstLineChars="200" w:firstLine="420"/>
        <w:rPr>
          <w:rFonts w:ascii="Times New Roman" w:hAnsi="Times New Roman"/>
          <w:szCs w:val="21"/>
        </w:rPr>
      </w:pPr>
      <w:r>
        <w:rPr>
          <w:rFonts w:ascii="Times New Roman" w:hAnsi="Times New Roman" w:hint="eastAsia"/>
          <w:szCs w:val="21"/>
        </w:rPr>
        <w:t>由于直流潮流的假设中忽略了线路电阻，导纳矩阵仅与线路的电抗有关，非对角线元素为对应线路电抗的负倒数，对角线元素为该母线相连的所有线路电抗倒数之和。求解各母线相角之后，按照式</w:t>
      </w:r>
      <w:r>
        <w:rPr>
          <w:rFonts w:ascii="Times New Roman" w:hAnsi="Times New Roman"/>
          <w:iCs/>
          <w:szCs w:val="21"/>
        </w:rPr>
        <w:fldChar w:fldCharType="begin"/>
      </w:r>
      <w:r>
        <w:rPr>
          <w:rFonts w:ascii="Times New Roman" w:hAnsi="Times New Roman"/>
          <w:iCs/>
          <w:szCs w:val="21"/>
        </w:rPr>
        <w:instrText xml:space="preserve"> </w:instrText>
      </w:r>
      <w:r>
        <w:rPr>
          <w:rFonts w:ascii="Times New Roman" w:hAnsi="Times New Roman" w:hint="eastAsia"/>
          <w:iCs/>
          <w:szCs w:val="21"/>
        </w:rPr>
        <w:instrText>GOTOBUTTON ZEqnNum749274  \* MERGEFORMAT</w:instrText>
      </w:r>
      <w:r>
        <w:rPr>
          <w:rFonts w:ascii="Times New Roman" w:hAnsi="Times New Roman"/>
          <w:iCs/>
          <w:szCs w:val="21"/>
        </w:rPr>
        <w:instrText xml:space="preserve"> </w:instrText>
      </w:r>
      <w:r>
        <w:rPr>
          <w:rFonts w:ascii="Times New Roman" w:hAnsi="Times New Roman"/>
          <w:iCs/>
          <w:szCs w:val="21"/>
        </w:rPr>
        <w:fldChar w:fldCharType="begin"/>
      </w:r>
      <w:r>
        <w:rPr>
          <w:rFonts w:ascii="Times New Roman" w:hAnsi="Times New Roman"/>
          <w:iCs/>
          <w:szCs w:val="21"/>
        </w:rPr>
        <w:instrText xml:space="preserve"> REF ZEqnNum749274 \* Charformat \! \* MERGEFORMAT </w:instrText>
      </w:r>
      <w:r>
        <w:rPr>
          <w:rFonts w:ascii="Times New Roman" w:hAnsi="Times New Roman"/>
          <w:iCs/>
          <w:szCs w:val="21"/>
        </w:rPr>
        <w:fldChar w:fldCharType="separate"/>
      </w:r>
      <w:r w:rsidR="005702C9" w:rsidRPr="005702C9">
        <w:rPr>
          <w:rFonts w:ascii="Times New Roman" w:hAnsi="Times New Roman"/>
          <w:iCs/>
          <w:szCs w:val="21"/>
        </w:rPr>
        <w:instrText>(6)</w:instrText>
      </w:r>
      <w:r>
        <w:rPr>
          <w:rFonts w:ascii="Times New Roman" w:hAnsi="Times New Roman"/>
          <w:iCs/>
          <w:szCs w:val="21"/>
        </w:rPr>
        <w:fldChar w:fldCharType="end"/>
      </w:r>
      <w:r>
        <w:rPr>
          <w:rFonts w:ascii="Times New Roman" w:hAnsi="Times New Roman"/>
          <w:iCs/>
          <w:szCs w:val="21"/>
        </w:rPr>
        <w:fldChar w:fldCharType="end"/>
      </w:r>
      <w:r>
        <w:rPr>
          <w:rFonts w:ascii="Times New Roman" w:hAnsi="Times New Roman" w:hint="eastAsia"/>
          <w:szCs w:val="21"/>
        </w:rPr>
        <w:t>可计算每条线路上的功率分布，</w:t>
      </w:r>
      <w:r>
        <w:rPr>
          <w:rFonts w:ascii="Times New Roman" w:hAnsi="Times New Roman"/>
          <w:szCs w:val="21"/>
        </w:rPr>
        <w:t>进一步以此为基础评估系统运行状态，并据此量化电力系统的整体功能表现</w:t>
      </w:r>
      <w:r>
        <w:rPr>
          <w:rFonts w:ascii="Times New Roman" w:hAnsi="Times New Roman" w:hint="eastAsia"/>
          <w:szCs w:val="21"/>
        </w:rPr>
        <w:t>。</w:t>
      </w:r>
    </w:p>
    <w:p w14:paraId="57ABBFD4" w14:textId="3CB05A0F" w:rsidR="001F7B30" w:rsidRDefault="00000000">
      <w:pPr>
        <w:wordWrap w:val="0"/>
        <w:ind w:firstLineChars="298" w:firstLine="626"/>
        <w:jc w:val="right"/>
        <w:rPr>
          <w:rFonts w:ascii="Times New Roman" w:hAnsi="Times New Roman"/>
          <w:szCs w:val="21"/>
        </w:rPr>
      </w:pPr>
      <m:oMath>
        <m:sSub>
          <m:sSubPr>
            <m:ctrlPr>
              <w:rPr>
                <w:rFonts w:ascii="Cambria Math" w:hAnsi="Times New Roman"/>
                <w:i/>
                <w:szCs w:val="21"/>
              </w:rPr>
            </m:ctrlPr>
          </m:sSubPr>
          <m:e>
            <m:r>
              <w:rPr>
                <w:rFonts w:ascii="Cambria Math" w:hAnsi="Times New Roman"/>
                <w:szCs w:val="21"/>
              </w:rPr>
              <m:t>P</m:t>
            </m:r>
          </m:e>
          <m:sub>
            <m:r>
              <w:rPr>
                <w:rFonts w:ascii="Cambria Math" w:hAnsi="Times New Roman"/>
                <w:szCs w:val="21"/>
              </w:rPr>
              <m:t>ij</m:t>
            </m:r>
          </m:sub>
        </m:sSub>
        <m:r>
          <w:rPr>
            <w:rFonts w:ascii="Cambria Math" w:hAnsi="Times New Roman"/>
            <w:szCs w:val="21"/>
          </w:rPr>
          <m:t>=</m:t>
        </m:r>
        <m:sSub>
          <m:sSubPr>
            <m:ctrlPr>
              <w:rPr>
                <w:rFonts w:ascii="Cambria Math" w:hAnsi="Times New Roman"/>
                <w:i/>
                <w:szCs w:val="21"/>
              </w:rPr>
            </m:ctrlPr>
          </m:sSubPr>
          <m:e>
            <m:r>
              <w:rPr>
                <w:rFonts w:ascii="Cambria Math" w:hAnsi="Times New Roman"/>
                <w:szCs w:val="21"/>
              </w:rPr>
              <m:t>B</m:t>
            </m:r>
          </m:e>
          <m:sub>
            <m:r>
              <w:rPr>
                <w:rFonts w:ascii="Cambria Math" w:hAnsi="Times New Roman"/>
                <w:szCs w:val="21"/>
              </w:rPr>
              <m:t>ij</m:t>
            </m:r>
          </m:sub>
        </m:sSub>
        <m:d>
          <m:dPr>
            <m:ctrlPr>
              <w:rPr>
                <w:rFonts w:ascii="Cambria Math" w:hAnsi="Times New Roman"/>
                <w:i/>
                <w:szCs w:val="21"/>
              </w:rPr>
            </m:ctrlPr>
          </m:dPr>
          <m:e>
            <m:sSub>
              <m:sSubPr>
                <m:ctrlPr>
                  <w:rPr>
                    <w:rFonts w:ascii="Cambria Math" w:hAnsi="Times New Roman"/>
                    <w:i/>
                    <w:szCs w:val="21"/>
                  </w:rPr>
                </m:ctrlPr>
              </m:sSubPr>
              <m:e>
                <m:r>
                  <w:rPr>
                    <w:rFonts w:ascii="Cambria Math" w:hAnsi="Times New Roman"/>
                    <w:szCs w:val="21"/>
                  </w:rPr>
                  <m:t>θ</m:t>
                </m:r>
              </m:e>
              <m:sub>
                <m:r>
                  <w:rPr>
                    <w:rFonts w:ascii="Cambria Math" w:hAnsi="Times New Roman"/>
                    <w:szCs w:val="21"/>
                  </w:rPr>
                  <m:t>i</m:t>
                </m:r>
              </m:sub>
            </m:sSub>
            <m:r>
              <w:rPr>
                <w:rFonts w:ascii="Cambria Math" w:hAnsi="Times New Roman"/>
                <w:szCs w:val="21"/>
              </w:rPr>
              <m:t>-</m:t>
            </m:r>
            <m:sSub>
              <m:sSubPr>
                <m:ctrlPr>
                  <w:rPr>
                    <w:rFonts w:ascii="Cambria Math" w:hAnsi="Times New Roman"/>
                    <w:i/>
                    <w:szCs w:val="21"/>
                  </w:rPr>
                </m:ctrlPr>
              </m:sSubPr>
              <m:e>
                <m:r>
                  <w:rPr>
                    <w:rFonts w:ascii="Cambria Math" w:hAnsi="Times New Roman"/>
                    <w:szCs w:val="21"/>
                  </w:rPr>
                  <m:t>θ</m:t>
                </m:r>
              </m:e>
              <m:sub>
                <m:r>
                  <w:rPr>
                    <w:rFonts w:ascii="Cambria Math" w:hAnsi="Times New Roman"/>
                    <w:szCs w:val="21"/>
                  </w:rPr>
                  <m:t>j</m:t>
                </m:r>
              </m:sub>
            </m:sSub>
            <m:ctrlPr>
              <w:rPr>
                <w:rFonts w:ascii="Cambria Math" w:hAnsi="Cambria Math"/>
                <w:i/>
                <w:szCs w:val="21"/>
              </w:rPr>
            </m:ctrlPr>
          </m:e>
        </m:d>
      </m:oMath>
      <w:r w:rsidR="00DA268A">
        <w:rPr>
          <w:rFonts w:ascii="Times New Roman" w:hAnsi="Times New Roman"/>
          <w:szCs w:val="21"/>
        </w:rPr>
        <w:t xml:space="preserve">     </w:t>
      </w:r>
      <w:r w:rsidR="00DA268A">
        <w:rPr>
          <w:rFonts w:ascii="Times New Roman" w:hAnsi="Times New Roman"/>
          <w:szCs w:val="21"/>
        </w:rPr>
        <w:tab/>
      </w:r>
      <w:r w:rsidR="00DA268A">
        <w:rPr>
          <w:rFonts w:ascii="Times New Roman" w:hAnsi="Times New Roman"/>
          <w:szCs w:val="21"/>
        </w:rPr>
        <w:tab/>
        <w:t xml:space="preserve">      </w:t>
      </w:r>
      <w:r w:rsidR="00DA268A">
        <w:rPr>
          <w:rFonts w:ascii="Times New Roman" w:hAnsi="Times New Roman"/>
          <w:szCs w:val="21"/>
        </w:rPr>
        <w:fldChar w:fldCharType="begin"/>
      </w:r>
      <w:r w:rsidR="00DA268A">
        <w:rPr>
          <w:rFonts w:ascii="Times New Roman" w:hAnsi="Times New Roman"/>
          <w:szCs w:val="21"/>
        </w:rPr>
        <w:instrText xml:space="preserve"> MACROBUTTON MTPlaceRef \* MERGEFORMAT </w:instrText>
      </w:r>
      <w:r w:rsidR="00DA268A">
        <w:rPr>
          <w:rFonts w:ascii="Times New Roman" w:hAnsi="Times New Roman"/>
          <w:szCs w:val="21"/>
        </w:rPr>
        <w:fldChar w:fldCharType="begin"/>
      </w:r>
      <w:r w:rsidR="00DA268A">
        <w:rPr>
          <w:rFonts w:ascii="Times New Roman" w:hAnsi="Times New Roman"/>
          <w:szCs w:val="21"/>
        </w:rPr>
        <w:instrText xml:space="preserve"> SEQ MTEqn \h \* MERGEFORMAT </w:instrText>
      </w:r>
      <w:r w:rsidR="00DA268A">
        <w:rPr>
          <w:rFonts w:ascii="Times New Roman" w:hAnsi="Times New Roman"/>
          <w:szCs w:val="21"/>
        </w:rPr>
        <w:fldChar w:fldCharType="end"/>
      </w:r>
      <w:bookmarkStart w:id="21" w:name="ZEqnNum749274"/>
      <w:r w:rsidR="00DA268A">
        <w:rPr>
          <w:rFonts w:ascii="Times New Roman" w:hAnsi="Times New Roman"/>
          <w:szCs w:val="21"/>
        </w:rPr>
        <w:instrText>(</w:instrText>
      </w:r>
      <w:r w:rsidR="00DA268A">
        <w:rPr>
          <w:rFonts w:ascii="Times New Roman" w:hAnsi="Times New Roman"/>
          <w:szCs w:val="21"/>
        </w:rPr>
        <w:fldChar w:fldCharType="begin"/>
      </w:r>
      <w:r w:rsidR="00DA268A">
        <w:rPr>
          <w:rFonts w:ascii="Times New Roman" w:hAnsi="Times New Roman"/>
          <w:szCs w:val="21"/>
        </w:rPr>
        <w:instrText xml:space="preserve"> SEQ MTEqn \c \* Arabic \* MERGEFORMAT </w:instrText>
      </w:r>
      <w:r w:rsidR="00DA268A">
        <w:rPr>
          <w:rFonts w:ascii="Times New Roman" w:hAnsi="Times New Roman"/>
          <w:szCs w:val="21"/>
        </w:rPr>
        <w:fldChar w:fldCharType="separate"/>
      </w:r>
      <w:r w:rsidR="005702C9">
        <w:rPr>
          <w:rFonts w:ascii="Times New Roman" w:hAnsi="Times New Roman"/>
          <w:noProof/>
          <w:szCs w:val="21"/>
        </w:rPr>
        <w:instrText>6</w:instrText>
      </w:r>
      <w:r w:rsidR="00DA268A">
        <w:rPr>
          <w:rFonts w:ascii="Times New Roman" w:hAnsi="Times New Roman"/>
          <w:szCs w:val="21"/>
        </w:rPr>
        <w:fldChar w:fldCharType="end"/>
      </w:r>
      <w:r w:rsidR="00DA268A">
        <w:rPr>
          <w:rFonts w:ascii="Times New Roman" w:hAnsi="Times New Roman"/>
          <w:szCs w:val="21"/>
        </w:rPr>
        <w:instrText>)</w:instrText>
      </w:r>
      <w:bookmarkEnd w:id="21"/>
      <w:r w:rsidR="00DA268A">
        <w:rPr>
          <w:rFonts w:ascii="Times New Roman" w:hAnsi="Times New Roman"/>
          <w:szCs w:val="21"/>
        </w:rPr>
        <w:fldChar w:fldCharType="end"/>
      </w:r>
    </w:p>
    <w:p w14:paraId="72EB157C" w14:textId="77777777" w:rsidR="001F7B30" w:rsidRDefault="00DA268A" w:rsidP="008453EA">
      <w:pPr>
        <w:widowControl/>
        <w:spacing w:line="240" w:lineRule="atLeast"/>
        <w:outlineLvl w:val="1"/>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潮流计算参数</w:t>
      </w:r>
    </w:p>
    <w:p w14:paraId="3FA41E59" w14:textId="2A751B9A" w:rsidR="001F7B30" w:rsidRDefault="00DA268A">
      <w:pPr>
        <w:ind w:firstLineChars="200" w:firstLine="420"/>
        <w:rPr>
          <w:rFonts w:ascii="Times New Roman" w:hAnsi="Times New Roman"/>
          <w:szCs w:val="21"/>
        </w:rPr>
      </w:pPr>
      <w:r>
        <w:rPr>
          <w:rFonts w:ascii="Times New Roman" w:hAnsi="Times New Roman" w:hint="eastAsia"/>
          <w:szCs w:val="21"/>
        </w:rPr>
        <w:t>由前述可知，直流潮流计算需要的电气参数是母线的发电功率和负荷，以及线路的电抗值。前者由发电厂的发电功率和各地块的预测负荷决定，而线路的电抗值</w:t>
      </w:r>
      <w:r>
        <w:rPr>
          <w:rFonts w:ascii="Times New Roman" w:hAnsi="Times New Roman"/>
          <w:szCs w:val="21"/>
        </w:rPr>
        <w:t>则需统一</w:t>
      </w:r>
      <w:r>
        <w:rPr>
          <w:rFonts w:ascii="Times New Roman" w:hAnsi="Times New Roman" w:hint="eastAsia"/>
          <w:szCs w:val="21"/>
        </w:rPr>
        <w:t>至</w:t>
      </w:r>
      <w:r>
        <w:rPr>
          <w:rFonts w:ascii="Times New Roman" w:hAnsi="Times New Roman"/>
          <w:szCs w:val="21"/>
        </w:rPr>
        <w:t>共同</w:t>
      </w:r>
      <w:r>
        <w:rPr>
          <w:rFonts w:ascii="Times New Roman" w:hAnsi="Times New Roman" w:hint="eastAsia"/>
          <w:szCs w:val="21"/>
        </w:rPr>
        <w:t>的</w:t>
      </w:r>
      <w:r>
        <w:rPr>
          <w:rFonts w:ascii="Times New Roman" w:hAnsi="Times New Roman"/>
          <w:szCs w:val="21"/>
        </w:rPr>
        <w:t>参考基准下进行归算处理</w:t>
      </w:r>
      <w:r>
        <w:rPr>
          <w:rFonts w:ascii="Times New Roman" w:hAnsi="Times New Roman" w:cs="Times New Roman"/>
          <w:color w:val="0000FF"/>
          <w:szCs w:val="21"/>
          <w:vertAlign w:val="superscript"/>
        </w:rPr>
        <w:fldChar w:fldCharType="begin"/>
      </w:r>
      <w:r>
        <w:rPr>
          <w:rFonts w:ascii="Times New Roman" w:hAnsi="Times New Roman" w:cs="Times New Roman"/>
          <w:color w:val="0000FF"/>
          <w:szCs w:val="21"/>
          <w:vertAlign w:val="superscript"/>
        </w:rPr>
        <w:instrText xml:space="preserve"> REF _Ref177438368 \r \h  \* MERGEFORMAT </w:instrText>
      </w:r>
      <w:r>
        <w:rPr>
          <w:rFonts w:ascii="Times New Roman" w:hAnsi="Times New Roman" w:cs="Times New Roman"/>
          <w:color w:val="0000FF"/>
          <w:szCs w:val="21"/>
          <w:vertAlign w:val="superscript"/>
        </w:rPr>
      </w:r>
      <w:r>
        <w:rPr>
          <w:rFonts w:ascii="Times New Roman" w:hAnsi="Times New Roman" w:cs="Times New Roman"/>
          <w:color w:val="0000FF"/>
          <w:szCs w:val="21"/>
          <w:vertAlign w:val="superscript"/>
        </w:rPr>
        <w:fldChar w:fldCharType="separate"/>
      </w:r>
      <w:r w:rsidR="005702C9">
        <w:rPr>
          <w:rFonts w:ascii="Times New Roman" w:hAnsi="Times New Roman" w:cs="Times New Roman"/>
          <w:color w:val="0000FF"/>
          <w:szCs w:val="21"/>
          <w:vertAlign w:val="superscript"/>
          <w:cs/>
        </w:rPr>
        <w:t>‎</w:t>
      </w:r>
      <w:r w:rsidR="005702C9">
        <w:rPr>
          <w:rFonts w:ascii="Times New Roman" w:hAnsi="Times New Roman" w:cs="Times New Roman"/>
          <w:color w:val="0000FF"/>
          <w:szCs w:val="21"/>
          <w:vertAlign w:val="superscript"/>
        </w:rPr>
        <w:t>[40]</w:t>
      </w:r>
      <w:r>
        <w:rPr>
          <w:rFonts w:ascii="Times New Roman" w:hAnsi="Times New Roman" w:cs="Times New Roman"/>
          <w:color w:val="0000FF"/>
          <w:szCs w:val="21"/>
          <w:vertAlign w:val="superscript"/>
        </w:rPr>
        <w:fldChar w:fldCharType="end"/>
      </w:r>
      <w:r>
        <w:rPr>
          <w:rFonts w:ascii="Times New Roman" w:hAnsi="Times New Roman" w:hint="eastAsia"/>
          <w:szCs w:val="21"/>
        </w:rPr>
        <w:t>。</w:t>
      </w:r>
    </w:p>
    <w:p w14:paraId="162D102E" w14:textId="65E6EB4C" w:rsidR="001F7B30" w:rsidRDefault="00DA268A">
      <w:pPr>
        <w:ind w:firstLineChars="200" w:firstLine="420"/>
        <w:rPr>
          <w:rFonts w:ascii="Times New Roman" w:hAnsi="Times New Roman"/>
          <w:szCs w:val="21"/>
        </w:rPr>
      </w:pPr>
      <w:r>
        <w:rPr>
          <w:rFonts w:ascii="Times New Roman" w:hAnsi="Times New Roman" w:hint="eastAsia"/>
          <w:szCs w:val="21"/>
        </w:rPr>
        <w:t>电力系统包含多个电压等级，各元件的电气参数一般以自身额定值为基准值，在实际计算时需要按照统一的基准值进行归算，以标幺值表示。标幺值是电力系统计算中广泛采用的一种相对单位制，将各电气参数表示为无量纲的数</w:t>
      </w:r>
      <w:r>
        <w:rPr>
          <w:rFonts w:ascii="Times New Roman" w:hAnsi="Times New Roman" w:cs="Times New Roman"/>
          <w:color w:val="0000FF"/>
          <w:szCs w:val="21"/>
          <w:vertAlign w:val="superscript"/>
        </w:rPr>
        <w:fldChar w:fldCharType="begin"/>
      </w:r>
      <w:r>
        <w:rPr>
          <w:rFonts w:ascii="Times New Roman" w:hAnsi="Times New Roman" w:cs="Times New Roman"/>
          <w:color w:val="0000FF"/>
          <w:szCs w:val="21"/>
          <w:vertAlign w:val="superscript"/>
        </w:rPr>
        <w:instrText xml:space="preserve"> </w:instrText>
      </w:r>
      <w:r>
        <w:rPr>
          <w:rFonts w:ascii="Times New Roman" w:hAnsi="Times New Roman" w:cs="Times New Roman" w:hint="eastAsia"/>
          <w:color w:val="0000FF"/>
          <w:szCs w:val="21"/>
          <w:vertAlign w:val="superscript"/>
        </w:rPr>
        <w:instrText>REF _Ref177437040 \r \h</w:instrText>
      </w:r>
      <w:r>
        <w:rPr>
          <w:rFonts w:ascii="Times New Roman" w:hAnsi="Times New Roman" w:cs="Times New Roman"/>
          <w:color w:val="0000FF"/>
          <w:szCs w:val="21"/>
          <w:vertAlign w:val="superscript"/>
        </w:rPr>
        <w:instrText xml:space="preserve">  \* MERGEFORMAT </w:instrText>
      </w:r>
      <w:r>
        <w:rPr>
          <w:rFonts w:ascii="Times New Roman" w:hAnsi="Times New Roman" w:cs="Times New Roman"/>
          <w:color w:val="0000FF"/>
          <w:szCs w:val="21"/>
          <w:vertAlign w:val="superscript"/>
        </w:rPr>
      </w:r>
      <w:r>
        <w:rPr>
          <w:rFonts w:ascii="Times New Roman" w:hAnsi="Times New Roman" w:cs="Times New Roman"/>
          <w:color w:val="0000FF"/>
          <w:szCs w:val="21"/>
          <w:vertAlign w:val="superscript"/>
        </w:rPr>
        <w:fldChar w:fldCharType="separate"/>
      </w:r>
      <w:r w:rsidR="005702C9">
        <w:rPr>
          <w:rFonts w:ascii="Times New Roman" w:hAnsi="Times New Roman" w:cs="Times New Roman"/>
          <w:color w:val="0000FF"/>
          <w:szCs w:val="21"/>
          <w:vertAlign w:val="superscript"/>
          <w:cs/>
        </w:rPr>
        <w:t>‎</w:t>
      </w:r>
      <w:r w:rsidR="005702C9">
        <w:rPr>
          <w:rFonts w:ascii="Times New Roman" w:hAnsi="Times New Roman" w:cs="Times New Roman"/>
          <w:color w:val="0000FF"/>
          <w:szCs w:val="21"/>
          <w:vertAlign w:val="superscript"/>
        </w:rPr>
        <w:t>[41]</w:t>
      </w:r>
      <w:r>
        <w:rPr>
          <w:rFonts w:ascii="Times New Roman" w:hAnsi="Times New Roman" w:cs="Times New Roman"/>
          <w:color w:val="0000FF"/>
          <w:szCs w:val="21"/>
          <w:vertAlign w:val="superscript"/>
        </w:rPr>
        <w:fldChar w:fldCharType="end"/>
      </w:r>
      <w:r>
        <w:rPr>
          <w:rFonts w:ascii="Times New Roman" w:hAnsi="Times New Roman" w:hint="eastAsia"/>
          <w:szCs w:val="21"/>
        </w:rPr>
        <w:t>，如式</w:t>
      </w:r>
      <w:r>
        <w:rPr>
          <w:rFonts w:ascii="Times New Roman" w:hAnsi="Times New Roman"/>
          <w:iCs/>
          <w:szCs w:val="21"/>
        </w:rPr>
        <w:fldChar w:fldCharType="begin"/>
      </w:r>
      <w:r>
        <w:rPr>
          <w:rFonts w:ascii="Times New Roman" w:hAnsi="Times New Roman"/>
          <w:iCs/>
          <w:szCs w:val="21"/>
        </w:rPr>
        <w:instrText xml:space="preserve"> </w:instrText>
      </w:r>
      <w:r>
        <w:rPr>
          <w:rFonts w:ascii="Times New Roman" w:hAnsi="Times New Roman" w:hint="eastAsia"/>
          <w:iCs/>
          <w:szCs w:val="21"/>
        </w:rPr>
        <w:instrText>GOTOBUTTON ZEqnNum457638  \* MERGEFORMAT</w:instrText>
      </w:r>
      <w:r>
        <w:rPr>
          <w:rFonts w:ascii="Times New Roman" w:hAnsi="Times New Roman"/>
          <w:iCs/>
          <w:szCs w:val="21"/>
        </w:rPr>
        <w:instrText xml:space="preserve"> </w:instrText>
      </w:r>
      <w:r>
        <w:rPr>
          <w:rFonts w:ascii="Times New Roman" w:hAnsi="Times New Roman"/>
          <w:iCs/>
          <w:szCs w:val="21"/>
        </w:rPr>
        <w:fldChar w:fldCharType="begin"/>
      </w:r>
      <w:r>
        <w:rPr>
          <w:rFonts w:ascii="Times New Roman" w:hAnsi="Times New Roman"/>
          <w:iCs/>
          <w:szCs w:val="21"/>
        </w:rPr>
        <w:instrText xml:space="preserve"> REF ZEqnNum457638 \* Charformat \! \* MERGEFORMAT </w:instrText>
      </w:r>
      <w:r>
        <w:rPr>
          <w:rFonts w:ascii="Times New Roman" w:hAnsi="Times New Roman"/>
          <w:iCs/>
          <w:szCs w:val="21"/>
        </w:rPr>
        <w:fldChar w:fldCharType="separate"/>
      </w:r>
      <w:r w:rsidR="005702C9" w:rsidRPr="005702C9">
        <w:rPr>
          <w:rFonts w:ascii="Times New Roman" w:hAnsi="Times New Roman"/>
          <w:iCs/>
          <w:szCs w:val="21"/>
        </w:rPr>
        <w:instrText>(7)</w:instrText>
      </w:r>
      <w:r>
        <w:rPr>
          <w:rFonts w:ascii="Times New Roman" w:hAnsi="Times New Roman"/>
          <w:iCs/>
          <w:szCs w:val="21"/>
        </w:rPr>
        <w:fldChar w:fldCharType="end"/>
      </w:r>
      <w:r>
        <w:rPr>
          <w:rFonts w:ascii="Times New Roman" w:hAnsi="Times New Roman"/>
          <w:iCs/>
          <w:szCs w:val="21"/>
        </w:rPr>
        <w:fldChar w:fldCharType="end"/>
      </w:r>
      <w:r>
        <w:rPr>
          <w:rFonts w:ascii="Times New Roman" w:hAnsi="Times New Roman" w:hint="eastAsia"/>
          <w:szCs w:val="21"/>
        </w:rPr>
        <w:t>所示，式中</w:t>
      </w:r>
      <w:r>
        <w:rPr>
          <w:rFonts w:ascii="Times New Roman" w:hAnsi="Times New Roman"/>
          <w:i/>
          <w:iCs/>
          <w:szCs w:val="21"/>
        </w:rPr>
        <w:t>V</w:t>
      </w:r>
      <w:r>
        <w:rPr>
          <w:rFonts w:ascii="Times New Roman" w:hAnsi="Times New Roman"/>
          <w:i/>
          <w:iCs/>
          <w:szCs w:val="21"/>
          <w:vertAlign w:val="subscript"/>
        </w:rPr>
        <w:t>*</w:t>
      </w:r>
      <w:r>
        <w:rPr>
          <w:rFonts w:ascii="Times New Roman" w:hAnsi="Times New Roman" w:hint="eastAsia"/>
          <w:szCs w:val="21"/>
        </w:rPr>
        <w:t>是某物理量的标幺值，</w:t>
      </w:r>
      <w:r>
        <w:rPr>
          <w:rFonts w:ascii="Times New Roman" w:hAnsi="Times New Roman"/>
          <w:i/>
          <w:iCs/>
          <w:szCs w:val="21"/>
        </w:rPr>
        <w:t>V</w:t>
      </w:r>
      <w:r>
        <w:rPr>
          <w:rFonts w:ascii="Times New Roman" w:hAnsi="Times New Roman" w:hint="eastAsia"/>
          <w:i/>
          <w:iCs/>
          <w:szCs w:val="21"/>
          <w:vertAlign w:val="subscript"/>
        </w:rPr>
        <w:t>N</w:t>
      </w:r>
      <w:r>
        <w:rPr>
          <w:rFonts w:ascii="Times New Roman" w:hAnsi="Times New Roman" w:hint="eastAsia"/>
          <w:szCs w:val="21"/>
        </w:rPr>
        <w:t>为实际有名值，</w:t>
      </w:r>
      <w:r>
        <w:rPr>
          <w:rFonts w:ascii="Times New Roman" w:hAnsi="Times New Roman"/>
          <w:i/>
          <w:iCs/>
          <w:szCs w:val="21"/>
        </w:rPr>
        <w:t>V</w:t>
      </w:r>
      <w:r>
        <w:rPr>
          <w:rFonts w:ascii="Times New Roman" w:hAnsi="Times New Roman" w:hint="eastAsia"/>
          <w:i/>
          <w:iCs/>
          <w:szCs w:val="21"/>
          <w:vertAlign w:val="subscript"/>
        </w:rPr>
        <w:t>B</w:t>
      </w:r>
      <w:r>
        <w:rPr>
          <w:rFonts w:ascii="Times New Roman" w:hAnsi="Times New Roman" w:hint="eastAsia"/>
          <w:szCs w:val="21"/>
        </w:rPr>
        <w:t>是进行归算时选择的基准值。对于同一个实际有名值，标幺值随着基准值的变化而变化。</w:t>
      </w:r>
    </w:p>
    <w:p w14:paraId="59D27200" w14:textId="5EC3BE7E" w:rsidR="001F7B30" w:rsidRDefault="00000000">
      <w:pPr>
        <w:wordWrap w:val="0"/>
        <w:ind w:firstLineChars="298" w:firstLine="626"/>
        <w:jc w:val="right"/>
        <w:rPr>
          <w:rFonts w:ascii="Times New Roman" w:hAnsi="Times New Roman"/>
          <w:szCs w:val="21"/>
        </w:rPr>
      </w:pPr>
      <m:oMath>
        <m:sSub>
          <m:sSubPr>
            <m:ctrlPr>
              <w:rPr>
                <w:rFonts w:ascii="Cambria Math" w:hAnsi="Times New Roman"/>
                <w:i/>
                <w:szCs w:val="21"/>
              </w:rPr>
            </m:ctrlPr>
          </m:sSubPr>
          <m:e>
            <m:r>
              <w:rPr>
                <w:rFonts w:ascii="Cambria Math" w:hAnsi="Times New Roman"/>
                <w:szCs w:val="21"/>
              </w:rPr>
              <m:t>V</m:t>
            </m:r>
          </m:e>
          <m:sub>
            <m:r>
              <w:rPr>
                <w:rFonts w:ascii="Cambria Math" w:hAnsi="Times New Roman"/>
                <w:szCs w:val="21"/>
              </w:rPr>
              <m:t>*</m:t>
            </m:r>
          </m:sub>
        </m:sSub>
        <m:r>
          <w:rPr>
            <w:rFonts w:ascii="Cambria Math" w:hAnsi="Times New Roman"/>
            <w:szCs w:val="21"/>
          </w:rPr>
          <m:t>=</m:t>
        </m:r>
        <m:f>
          <m:fPr>
            <m:ctrlPr>
              <w:rPr>
                <w:rFonts w:ascii="Cambria Math" w:hAnsi="Times New Roman"/>
                <w:i/>
                <w:szCs w:val="21"/>
              </w:rPr>
            </m:ctrlPr>
          </m:fPr>
          <m:num>
            <m:sSub>
              <m:sSubPr>
                <m:ctrlPr>
                  <w:rPr>
                    <w:rFonts w:ascii="Cambria Math" w:hAnsi="Times New Roman"/>
                    <w:i/>
                    <w:szCs w:val="21"/>
                  </w:rPr>
                </m:ctrlPr>
              </m:sSubPr>
              <m:e>
                <m:r>
                  <w:rPr>
                    <w:rFonts w:ascii="Cambria Math" w:hAnsi="Times New Roman"/>
                    <w:szCs w:val="21"/>
                  </w:rPr>
                  <m:t>V</m:t>
                </m:r>
              </m:e>
              <m:sub>
                <m:r>
                  <w:rPr>
                    <w:rFonts w:ascii="Cambria Math" w:hAnsi="Times New Roman"/>
                    <w:szCs w:val="21"/>
                  </w:rPr>
                  <m:t>N</m:t>
                </m:r>
              </m:sub>
            </m:sSub>
          </m:num>
          <m:den>
            <m:sSub>
              <m:sSubPr>
                <m:ctrlPr>
                  <w:rPr>
                    <w:rFonts w:ascii="Cambria Math" w:hAnsi="Times New Roman"/>
                    <w:i/>
                    <w:szCs w:val="21"/>
                  </w:rPr>
                </m:ctrlPr>
              </m:sSubPr>
              <m:e>
                <m:r>
                  <w:rPr>
                    <w:rFonts w:ascii="Cambria Math" w:hAnsi="Times New Roman"/>
                    <w:szCs w:val="21"/>
                  </w:rPr>
                  <m:t>V</m:t>
                </m:r>
              </m:e>
              <m:sub>
                <m:r>
                  <w:rPr>
                    <w:rFonts w:ascii="Cambria Math" w:hAnsi="Times New Roman"/>
                    <w:szCs w:val="21"/>
                  </w:rPr>
                  <m:t>B</m:t>
                </m:r>
              </m:sub>
            </m:sSub>
            <m:ctrlPr>
              <w:rPr>
                <w:rFonts w:ascii="Cambria Math" w:hAnsi="Cambria Math"/>
                <w:i/>
                <w:szCs w:val="21"/>
              </w:rPr>
            </m:ctrlPr>
          </m:den>
        </m:f>
      </m:oMath>
      <w:r w:rsidR="00DA268A">
        <w:rPr>
          <w:rFonts w:ascii="Times New Roman" w:hAnsi="Times New Roman"/>
          <w:szCs w:val="21"/>
        </w:rPr>
        <w:t xml:space="preserve">  </w:t>
      </w:r>
      <w:r w:rsidR="00DA268A">
        <w:rPr>
          <w:rFonts w:ascii="Times New Roman" w:hAnsi="Times New Roman" w:hint="eastAsia"/>
          <w:szCs w:val="21"/>
        </w:rPr>
        <w:t xml:space="preserve">       </w:t>
      </w:r>
      <w:r w:rsidR="00DA268A">
        <w:rPr>
          <w:rFonts w:ascii="Times New Roman" w:hAnsi="Times New Roman"/>
          <w:szCs w:val="21"/>
        </w:rPr>
        <w:t xml:space="preserve"> </w:t>
      </w:r>
      <w:r w:rsidR="00DA268A">
        <w:rPr>
          <w:rFonts w:ascii="Times New Roman" w:hAnsi="Times New Roman"/>
          <w:szCs w:val="21"/>
        </w:rPr>
        <w:tab/>
      </w:r>
      <w:r w:rsidR="00DA268A">
        <w:rPr>
          <w:rFonts w:ascii="Times New Roman" w:hAnsi="Times New Roman"/>
          <w:szCs w:val="21"/>
        </w:rPr>
        <w:tab/>
        <w:t xml:space="preserve">     </w:t>
      </w:r>
      <w:r w:rsidR="00DA268A">
        <w:rPr>
          <w:rFonts w:ascii="Times New Roman" w:hAnsi="Times New Roman" w:hint="eastAsia"/>
          <w:szCs w:val="21"/>
        </w:rPr>
        <w:t xml:space="preserve"> </w:t>
      </w:r>
      <w:r w:rsidR="00DA268A">
        <w:rPr>
          <w:rFonts w:ascii="Times New Roman" w:hAnsi="Times New Roman"/>
          <w:szCs w:val="21"/>
        </w:rPr>
        <w:fldChar w:fldCharType="begin"/>
      </w:r>
      <w:r w:rsidR="00DA268A">
        <w:rPr>
          <w:rFonts w:ascii="Times New Roman" w:hAnsi="Times New Roman"/>
          <w:szCs w:val="21"/>
        </w:rPr>
        <w:instrText xml:space="preserve"> MACROBUTTON MTPlaceRef \* MERGEFORMAT </w:instrText>
      </w:r>
      <w:r w:rsidR="00DA268A">
        <w:rPr>
          <w:rFonts w:ascii="Times New Roman" w:hAnsi="Times New Roman"/>
          <w:szCs w:val="21"/>
        </w:rPr>
        <w:fldChar w:fldCharType="begin"/>
      </w:r>
      <w:r w:rsidR="00DA268A">
        <w:rPr>
          <w:rFonts w:ascii="Times New Roman" w:hAnsi="Times New Roman"/>
          <w:szCs w:val="21"/>
        </w:rPr>
        <w:instrText xml:space="preserve"> SEQ MTEqn \h \* MERGEFORMAT </w:instrText>
      </w:r>
      <w:r w:rsidR="00DA268A">
        <w:rPr>
          <w:rFonts w:ascii="Times New Roman" w:hAnsi="Times New Roman"/>
          <w:szCs w:val="21"/>
        </w:rPr>
        <w:fldChar w:fldCharType="end"/>
      </w:r>
      <w:bookmarkStart w:id="22" w:name="ZEqnNum457638"/>
      <w:r w:rsidR="00DA268A">
        <w:rPr>
          <w:rFonts w:ascii="Times New Roman" w:hAnsi="Times New Roman"/>
          <w:szCs w:val="21"/>
        </w:rPr>
        <w:instrText>(</w:instrText>
      </w:r>
      <w:r w:rsidR="00DA268A">
        <w:rPr>
          <w:rFonts w:ascii="Times New Roman" w:hAnsi="Times New Roman"/>
          <w:szCs w:val="21"/>
        </w:rPr>
        <w:fldChar w:fldCharType="begin"/>
      </w:r>
      <w:r w:rsidR="00DA268A">
        <w:rPr>
          <w:rFonts w:ascii="Times New Roman" w:hAnsi="Times New Roman"/>
          <w:szCs w:val="21"/>
        </w:rPr>
        <w:instrText xml:space="preserve"> SEQ MTEqn \c \* Arabic \* MERGEFORMAT </w:instrText>
      </w:r>
      <w:r w:rsidR="00DA268A">
        <w:rPr>
          <w:rFonts w:ascii="Times New Roman" w:hAnsi="Times New Roman"/>
          <w:szCs w:val="21"/>
        </w:rPr>
        <w:fldChar w:fldCharType="separate"/>
      </w:r>
      <w:r w:rsidR="005702C9">
        <w:rPr>
          <w:rFonts w:ascii="Times New Roman" w:hAnsi="Times New Roman"/>
          <w:noProof/>
          <w:szCs w:val="21"/>
        </w:rPr>
        <w:instrText>7</w:instrText>
      </w:r>
      <w:r w:rsidR="00DA268A">
        <w:rPr>
          <w:rFonts w:ascii="Times New Roman" w:hAnsi="Times New Roman"/>
          <w:szCs w:val="21"/>
        </w:rPr>
        <w:fldChar w:fldCharType="end"/>
      </w:r>
      <w:r w:rsidR="00DA268A">
        <w:rPr>
          <w:rFonts w:ascii="Times New Roman" w:hAnsi="Times New Roman"/>
          <w:szCs w:val="21"/>
        </w:rPr>
        <w:instrText>)</w:instrText>
      </w:r>
      <w:bookmarkEnd w:id="22"/>
      <w:r w:rsidR="00DA268A">
        <w:rPr>
          <w:rFonts w:ascii="Times New Roman" w:hAnsi="Times New Roman"/>
          <w:szCs w:val="21"/>
        </w:rPr>
        <w:fldChar w:fldCharType="end"/>
      </w:r>
    </w:p>
    <w:p w14:paraId="796C5A2A" w14:textId="5C6B6747" w:rsidR="001F7B30" w:rsidRDefault="00DA268A">
      <w:pPr>
        <w:ind w:firstLineChars="200" w:firstLine="420"/>
        <w:rPr>
          <w:rFonts w:ascii="Times New Roman" w:hAnsi="Times New Roman"/>
          <w:szCs w:val="21"/>
        </w:rPr>
      </w:pPr>
      <w:r>
        <w:rPr>
          <w:rFonts w:ascii="Times New Roman" w:hAnsi="Times New Roman" w:hint="eastAsia"/>
          <w:szCs w:val="21"/>
        </w:rPr>
        <w:t>对于基准城市电力系统，选定基准功率</w:t>
      </w:r>
      <m:oMath>
        <m:sSub>
          <m:sSubPr>
            <m:ctrlPr>
              <w:rPr>
                <w:rFonts w:ascii="Cambria Math" w:hAnsi="Cambria Math"/>
                <w:i/>
                <w:szCs w:val="21"/>
              </w:rPr>
            </m:ctrlPr>
          </m:sSubPr>
          <m:e>
            <m:r>
              <w:rPr>
                <w:rFonts w:ascii="Cambria Math" w:hAnsi="Cambria Math"/>
                <w:szCs w:val="21"/>
              </w:rPr>
              <m:t>S</m:t>
            </m:r>
          </m:e>
          <m:sub>
            <m:r>
              <w:rPr>
                <w:rFonts w:ascii="Cambria Math" w:hAnsi="Cambria Math"/>
                <w:szCs w:val="21"/>
              </w:rPr>
              <m:t>B</m:t>
            </m:r>
          </m:sub>
        </m:sSub>
        <m:r>
          <m:rPr>
            <m:sty m:val="p"/>
          </m:rPr>
          <w:rPr>
            <w:rFonts w:ascii="Cambria Math" w:hAnsi="Cambria Math" w:hint="eastAsia"/>
            <w:szCs w:val="21"/>
          </w:rPr>
          <m:t>=100MVA</m:t>
        </m:r>
      </m:oMath>
      <w:r>
        <w:rPr>
          <w:rFonts w:ascii="Times New Roman" w:hAnsi="Times New Roman" w:hint="eastAsia"/>
          <w:szCs w:val="21"/>
        </w:rPr>
        <w:t>。选择基准电压时，由于不同电压网络之间仅通过磁路耦合而没有直接的电气联系，需要分别选择基准电压</w:t>
      </w:r>
      <w:r>
        <w:rPr>
          <w:rFonts w:ascii="Times New Roman" w:hAnsi="Times New Roman" w:cs="Times New Roman"/>
          <w:color w:val="0000FF"/>
          <w:szCs w:val="21"/>
          <w:vertAlign w:val="superscript"/>
        </w:rPr>
        <w:fldChar w:fldCharType="begin"/>
      </w:r>
      <w:r>
        <w:rPr>
          <w:rFonts w:ascii="Times New Roman" w:hAnsi="Times New Roman" w:cs="Times New Roman"/>
          <w:color w:val="0000FF"/>
          <w:szCs w:val="21"/>
          <w:vertAlign w:val="superscript"/>
        </w:rPr>
        <w:instrText xml:space="preserve"> </w:instrText>
      </w:r>
      <w:r>
        <w:rPr>
          <w:rFonts w:ascii="Times New Roman" w:hAnsi="Times New Roman" w:cs="Times New Roman" w:hint="eastAsia"/>
          <w:color w:val="0000FF"/>
          <w:szCs w:val="21"/>
          <w:vertAlign w:val="superscript"/>
        </w:rPr>
        <w:instrText>REF _Ref177437040 \r \h</w:instrText>
      </w:r>
      <w:r>
        <w:rPr>
          <w:rFonts w:ascii="Times New Roman" w:hAnsi="Times New Roman" w:cs="Times New Roman"/>
          <w:color w:val="0000FF"/>
          <w:szCs w:val="21"/>
          <w:vertAlign w:val="superscript"/>
        </w:rPr>
        <w:instrText xml:space="preserve">  \* MERGEFORMAT </w:instrText>
      </w:r>
      <w:r>
        <w:rPr>
          <w:rFonts w:ascii="Times New Roman" w:hAnsi="Times New Roman" w:cs="Times New Roman"/>
          <w:color w:val="0000FF"/>
          <w:szCs w:val="21"/>
          <w:vertAlign w:val="superscript"/>
        </w:rPr>
      </w:r>
      <w:r>
        <w:rPr>
          <w:rFonts w:ascii="Times New Roman" w:hAnsi="Times New Roman" w:cs="Times New Roman"/>
          <w:color w:val="0000FF"/>
          <w:szCs w:val="21"/>
          <w:vertAlign w:val="superscript"/>
        </w:rPr>
        <w:fldChar w:fldCharType="separate"/>
      </w:r>
      <w:r w:rsidR="005702C9">
        <w:rPr>
          <w:rFonts w:ascii="Times New Roman" w:hAnsi="Times New Roman" w:cs="Times New Roman"/>
          <w:color w:val="0000FF"/>
          <w:szCs w:val="21"/>
          <w:vertAlign w:val="superscript"/>
          <w:cs/>
        </w:rPr>
        <w:t>‎</w:t>
      </w:r>
      <w:r w:rsidR="005702C9">
        <w:rPr>
          <w:rFonts w:ascii="Times New Roman" w:hAnsi="Times New Roman" w:cs="Times New Roman"/>
          <w:color w:val="0000FF"/>
          <w:szCs w:val="21"/>
          <w:vertAlign w:val="superscript"/>
        </w:rPr>
        <w:t>[41]</w:t>
      </w:r>
      <w:r>
        <w:rPr>
          <w:rFonts w:ascii="Times New Roman" w:hAnsi="Times New Roman" w:cs="Times New Roman"/>
          <w:color w:val="0000FF"/>
          <w:szCs w:val="21"/>
          <w:vertAlign w:val="superscript"/>
        </w:rPr>
        <w:fldChar w:fldCharType="end"/>
      </w:r>
      <w:r>
        <w:rPr>
          <w:rFonts w:ascii="Times New Roman" w:hAnsi="Times New Roman" w:hint="eastAsia"/>
          <w:szCs w:val="21"/>
        </w:rPr>
        <w:t>：参照我国现行电压等级，基准电压按照各级平均额定电压来取。该城市电力系统的电压等级分别为</w:t>
      </w:r>
      <w:r>
        <w:rPr>
          <w:rFonts w:ascii="Times New Roman" w:hAnsi="Times New Roman" w:hint="eastAsia"/>
          <w:szCs w:val="21"/>
        </w:rPr>
        <w:t>220kV</w:t>
      </w:r>
      <w:r>
        <w:rPr>
          <w:rFonts w:ascii="Times New Roman" w:hAnsi="Times New Roman" w:hint="eastAsia"/>
          <w:szCs w:val="21"/>
        </w:rPr>
        <w:t>、</w:t>
      </w:r>
      <w:r>
        <w:rPr>
          <w:rFonts w:ascii="Times New Roman" w:hAnsi="Times New Roman" w:hint="eastAsia"/>
          <w:szCs w:val="21"/>
        </w:rPr>
        <w:t>110kV</w:t>
      </w:r>
      <w:r>
        <w:rPr>
          <w:rFonts w:ascii="Times New Roman" w:hAnsi="Times New Roman" w:hint="eastAsia"/>
          <w:szCs w:val="21"/>
        </w:rPr>
        <w:t>和</w:t>
      </w:r>
      <w:r>
        <w:rPr>
          <w:rFonts w:ascii="Times New Roman" w:hAnsi="Times New Roman" w:hint="eastAsia"/>
          <w:szCs w:val="21"/>
        </w:rPr>
        <w:t>10kV</w:t>
      </w:r>
      <w:r>
        <w:rPr>
          <w:rFonts w:ascii="Times New Roman" w:hAnsi="Times New Roman" w:hint="eastAsia"/>
          <w:szCs w:val="21"/>
        </w:rPr>
        <w:t>，则基准电压为</w:t>
      </w:r>
      <w:r>
        <w:rPr>
          <w:rFonts w:ascii="Times New Roman" w:hAnsi="Times New Roman" w:hint="eastAsia"/>
          <w:i/>
          <w:iCs/>
          <w:szCs w:val="21"/>
        </w:rPr>
        <w:t>U</w:t>
      </w:r>
      <w:r>
        <w:rPr>
          <w:rFonts w:ascii="Times New Roman" w:hAnsi="Times New Roman" w:hint="eastAsia"/>
          <w:i/>
          <w:iCs/>
          <w:szCs w:val="21"/>
          <w:vertAlign w:val="subscript"/>
        </w:rPr>
        <w:t>B</w:t>
      </w:r>
      <w:r>
        <w:rPr>
          <w:rFonts w:ascii="Times New Roman" w:hAnsi="Times New Roman" w:hint="eastAsia"/>
          <w:szCs w:val="21"/>
          <w:vertAlign w:val="subscript"/>
        </w:rPr>
        <w:t>(</w:t>
      </w:r>
      <w:r>
        <w:rPr>
          <w:rFonts w:ascii="Times New Roman" w:hAnsi="Times New Roman" w:hint="eastAsia"/>
          <w:szCs w:val="21"/>
          <w:vertAlign w:val="subscript"/>
        </w:rPr>
        <w:t>Ⅰ</w:t>
      </w:r>
      <w:r>
        <w:rPr>
          <w:rFonts w:ascii="Times New Roman" w:hAnsi="Times New Roman" w:hint="eastAsia"/>
          <w:szCs w:val="21"/>
          <w:vertAlign w:val="subscript"/>
        </w:rPr>
        <w:t>)</w:t>
      </w:r>
      <w:r>
        <w:rPr>
          <w:rFonts w:ascii="Times New Roman" w:hAnsi="Times New Roman" w:hint="eastAsia"/>
          <w:i/>
          <w:iCs/>
          <w:szCs w:val="21"/>
        </w:rPr>
        <w:t xml:space="preserve"> </w:t>
      </w:r>
      <w:r>
        <w:rPr>
          <w:rFonts w:ascii="Times New Roman" w:hAnsi="Times New Roman" w:hint="eastAsia"/>
          <w:szCs w:val="21"/>
        </w:rPr>
        <w:t>=230kV</w:t>
      </w:r>
      <w:r>
        <w:rPr>
          <w:rFonts w:ascii="Times New Roman" w:hAnsi="Times New Roman" w:hint="eastAsia"/>
          <w:szCs w:val="21"/>
        </w:rPr>
        <w:t>、</w:t>
      </w:r>
      <w:r>
        <w:rPr>
          <w:rFonts w:ascii="Times New Roman" w:hAnsi="Times New Roman" w:hint="eastAsia"/>
          <w:i/>
          <w:iCs/>
          <w:szCs w:val="21"/>
        </w:rPr>
        <w:t>U</w:t>
      </w:r>
      <w:r>
        <w:rPr>
          <w:rFonts w:ascii="Times New Roman" w:hAnsi="Times New Roman" w:hint="eastAsia"/>
          <w:i/>
          <w:iCs/>
          <w:szCs w:val="21"/>
          <w:vertAlign w:val="subscript"/>
        </w:rPr>
        <w:t>B</w:t>
      </w:r>
      <w:r>
        <w:rPr>
          <w:rFonts w:ascii="Times New Roman" w:hAnsi="Times New Roman" w:hint="eastAsia"/>
          <w:szCs w:val="21"/>
          <w:vertAlign w:val="subscript"/>
        </w:rPr>
        <w:t>(</w:t>
      </w:r>
      <w:r>
        <w:rPr>
          <w:rFonts w:ascii="Times New Roman" w:hAnsi="Times New Roman" w:hint="eastAsia"/>
          <w:szCs w:val="21"/>
          <w:vertAlign w:val="subscript"/>
        </w:rPr>
        <w:t>Ⅱ</w:t>
      </w:r>
      <w:r>
        <w:rPr>
          <w:rFonts w:ascii="Times New Roman" w:hAnsi="Times New Roman" w:hint="eastAsia"/>
          <w:szCs w:val="21"/>
          <w:vertAlign w:val="subscript"/>
        </w:rPr>
        <w:t>)</w:t>
      </w:r>
      <w:r>
        <w:rPr>
          <w:rFonts w:ascii="Times New Roman" w:hAnsi="Times New Roman" w:hint="eastAsia"/>
          <w:szCs w:val="21"/>
        </w:rPr>
        <w:t xml:space="preserve"> =115kV</w:t>
      </w:r>
      <w:r>
        <w:rPr>
          <w:rFonts w:ascii="Times New Roman" w:hAnsi="Times New Roman" w:hint="eastAsia"/>
          <w:szCs w:val="21"/>
        </w:rPr>
        <w:t>和</w:t>
      </w:r>
      <w:r>
        <w:rPr>
          <w:rFonts w:ascii="Times New Roman" w:hAnsi="Times New Roman" w:hint="eastAsia"/>
          <w:i/>
          <w:iCs/>
          <w:szCs w:val="21"/>
        </w:rPr>
        <w:t>U</w:t>
      </w:r>
      <w:r>
        <w:rPr>
          <w:rFonts w:ascii="Times New Roman" w:hAnsi="Times New Roman" w:hint="eastAsia"/>
          <w:i/>
          <w:iCs/>
          <w:szCs w:val="21"/>
          <w:vertAlign w:val="subscript"/>
        </w:rPr>
        <w:t>B</w:t>
      </w:r>
      <w:r>
        <w:rPr>
          <w:rFonts w:ascii="Times New Roman" w:hAnsi="Times New Roman" w:hint="eastAsia"/>
          <w:szCs w:val="21"/>
          <w:vertAlign w:val="subscript"/>
        </w:rPr>
        <w:t>(</w:t>
      </w:r>
      <w:r>
        <w:rPr>
          <w:rFonts w:ascii="Times New Roman" w:hAnsi="Times New Roman" w:hint="eastAsia"/>
          <w:szCs w:val="21"/>
          <w:vertAlign w:val="subscript"/>
        </w:rPr>
        <w:t>Ⅲ</w:t>
      </w:r>
      <w:r>
        <w:rPr>
          <w:rFonts w:ascii="Times New Roman" w:hAnsi="Times New Roman" w:hint="eastAsia"/>
          <w:szCs w:val="21"/>
          <w:vertAlign w:val="subscript"/>
        </w:rPr>
        <w:t>)</w:t>
      </w:r>
      <w:r>
        <w:rPr>
          <w:rFonts w:ascii="Times New Roman" w:hAnsi="Times New Roman" w:hint="eastAsia"/>
          <w:i/>
          <w:iCs/>
          <w:szCs w:val="21"/>
        </w:rPr>
        <w:t xml:space="preserve"> </w:t>
      </w:r>
      <w:r>
        <w:rPr>
          <w:rFonts w:ascii="Times New Roman" w:hAnsi="Times New Roman" w:hint="eastAsia"/>
          <w:szCs w:val="21"/>
        </w:rPr>
        <w:t>=10.5kV</w:t>
      </w:r>
      <w:r>
        <w:rPr>
          <w:rFonts w:ascii="Times New Roman" w:hAnsi="Times New Roman" w:hint="eastAsia"/>
          <w:szCs w:val="21"/>
        </w:rPr>
        <w:t>。</w:t>
      </w:r>
    </w:p>
    <w:p w14:paraId="4CCBFA3D" w14:textId="77777777" w:rsidR="001F7B30" w:rsidRDefault="00DA268A">
      <w:pPr>
        <w:ind w:firstLineChars="200" w:firstLine="420"/>
        <w:rPr>
          <w:rFonts w:ascii="Times New Roman" w:hAnsi="Times New Roman"/>
          <w:szCs w:val="21"/>
        </w:rPr>
      </w:pPr>
      <w:r>
        <w:rPr>
          <w:rFonts w:ascii="Times New Roman" w:hAnsi="Times New Roman" w:hint="eastAsia"/>
          <w:szCs w:val="21"/>
        </w:rPr>
        <w:t>1</w:t>
      </w:r>
      <w:r>
        <w:rPr>
          <w:rFonts w:ascii="Times New Roman" w:hAnsi="Times New Roman" w:hint="eastAsia"/>
          <w:szCs w:val="21"/>
        </w:rPr>
        <w:t>）输</w:t>
      </w:r>
      <w:r>
        <w:rPr>
          <w:rFonts w:ascii="Times New Roman" w:hAnsi="Times New Roman" w:hint="eastAsia"/>
          <w:szCs w:val="21"/>
        </w:rPr>
        <w:t>/</w:t>
      </w:r>
      <w:r>
        <w:rPr>
          <w:rFonts w:ascii="Times New Roman" w:hAnsi="Times New Roman" w:hint="eastAsia"/>
          <w:szCs w:val="21"/>
        </w:rPr>
        <w:t>配电线路电抗</w:t>
      </w:r>
    </w:p>
    <w:p w14:paraId="484BCF1A" w14:textId="6458E18C" w:rsidR="001F7B30" w:rsidRDefault="00DA268A">
      <w:pPr>
        <w:ind w:firstLineChars="200" w:firstLine="420"/>
        <w:rPr>
          <w:rFonts w:ascii="Times New Roman" w:hAnsi="Times New Roman"/>
          <w:szCs w:val="21"/>
        </w:rPr>
      </w:pPr>
      <w:r>
        <w:rPr>
          <w:rFonts w:ascii="Times New Roman" w:hAnsi="Times New Roman" w:hint="eastAsia"/>
          <w:szCs w:val="21"/>
        </w:rPr>
        <w:t>具体的，输</w:t>
      </w:r>
      <w:r>
        <w:rPr>
          <w:rFonts w:ascii="Times New Roman" w:hAnsi="Times New Roman" w:hint="eastAsia"/>
          <w:szCs w:val="21"/>
        </w:rPr>
        <w:t>/</w:t>
      </w:r>
      <w:r>
        <w:rPr>
          <w:rFonts w:ascii="Times New Roman" w:hAnsi="Times New Roman" w:hint="eastAsia"/>
          <w:szCs w:val="21"/>
        </w:rPr>
        <w:t>配电线路的电抗标幺值</w:t>
      </w:r>
      <w:r>
        <w:rPr>
          <w:rFonts w:ascii="Times New Roman" w:hAnsi="Times New Roman"/>
          <w:i/>
          <w:iCs/>
          <w:szCs w:val="21"/>
        </w:rPr>
        <w:t>X</w:t>
      </w:r>
      <w:r>
        <w:rPr>
          <w:rFonts w:ascii="Times New Roman" w:hAnsi="Times New Roman"/>
          <w:i/>
          <w:iCs/>
          <w:szCs w:val="21"/>
          <w:vertAlign w:val="subscript"/>
        </w:rPr>
        <w:t>L*</w:t>
      </w:r>
      <w:r>
        <w:rPr>
          <w:rFonts w:ascii="Times New Roman" w:hAnsi="Times New Roman" w:hint="eastAsia"/>
          <w:szCs w:val="21"/>
        </w:rPr>
        <w:t>按照式</w:t>
      </w:r>
      <w:r>
        <w:rPr>
          <w:rFonts w:ascii="Times New Roman" w:hAnsi="Times New Roman"/>
          <w:iCs/>
          <w:szCs w:val="21"/>
        </w:rPr>
        <w:fldChar w:fldCharType="begin"/>
      </w:r>
      <w:r>
        <w:rPr>
          <w:rFonts w:ascii="Times New Roman" w:hAnsi="Times New Roman"/>
          <w:iCs/>
          <w:szCs w:val="21"/>
        </w:rPr>
        <w:instrText xml:space="preserve"> </w:instrText>
      </w:r>
      <w:r>
        <w:rPr>
          <w:rFonts w:ascii="Times New Roman" w:hAnsi="Times New Roman" w:hint="eastAsia"/>
          <w:iCs/>
          <w:szCs w:val="21"/>
        </w:rPr>
        <w:instrText>GOTOBUTTON ZEqnNum456469  \* MERGEFORMAT</w:instrText>
      </w:r>
      <w:r>
        <w:rPr>
          <w:rFonts w:ascii="Times New Roman" w:hAnsi="Times New Roman"/>
          <w:iCs/>
          <w:szCs w:val="21"/>
        </w:rPr>
        <w:instrText xml:space="preserve"> </w:instrText>
      </w:r>
      <w:r>
        <w:rPr>
          <w:rFonts w:ascii="Times New Roman" w:hAnsi="Times New Roman"/>
          <w:iCs/>
          <w:szCs w:val="21"/>
        </w:rPr>
        <w:fldChar w:fldCharType="begin"/>
      </w:r>
      <w:r>
        <w:rPr>
          <w:rFonts w:ascii="Times New Roman" w:hAnsi="Times New Roman"/>
          <w:iCs/>
          <w:szCs w:val="21"/>
        </w:rPr>
        <w:instrText xml:space="preserve"> REF ZEqnNum456469 \* Charformat \! \* MERGEFORMAT </w:instrText>
      </w:r>
      <w:r>
        <w:rPr>
          <w:rFonts w:ascii="Times New Roman" w:hAnsi="Times New Roman"/>
          <w:iCs/>
          <w:szCs w:val="21"/>
        </w:rPr>
        <w:fldChar w:fldCharType="separate"/>
      </w:r>
      <w:r w:rsidR="005702C9" w:rsidRPr="005702C9">
        <w:rPr>
          <w:rFonts w:ascii="Times New Roman" w:hAnsi="Times New Roman"/>
          <w:iCs/>
          <w:szCs w:val="21"/>
        </w:rPr>
        <w:instrText>(8)</w:instrText>
      </w:r>
      <w:r>
        <w:rPr>
          <w:rFonts w:ascii="Times New Roman" w:hAnsi="Times New Roman"/>
          <w:iCs/>
          <w:szCs w:val="21"/>
        </w:rPr>
        <w:fldChar w:fldCharType="end"/>
      </w:r>
      <w:r>
        <w:rPr>
          <w:rFonts w:ascii="Times New Roman" w:hAnsi="Times New Roman"/>
          <w:iCs/>
          <w:szCs w:val="21"/>
        </w:rPr>
        <w:fldChar w:fldCharType="end"/>
      </w:r>
      <w:r>
        <w:rPr>
          <w:rFonts w:ascii="Times New Roman" w:hAnsi="Times New Roman" w:hint="eastAsia"/>
          <w:iCs/>
          <w:szCs w:val="21"/>
        </w:rPr>
        <w:t>计算：</w:t>
      </w:r>
    </w:p>
    <w:p w14:paraId="1F54E33A" w14:textId="0A73338A" w:rsidR="001F7B30" w:rsidRDefault="00000000">
      <w:pPr>
        <w:wordWrap w:val="0"/>
        <w:ind w:firstLineChars="298" w:firstLine="626"/>
        <w:jc w:val="right"/>
        <w:rPr>
          <w:rFonts w:ascii="Times New Roman" w:hAnsi="Times New Roman"/>
          <w:szCs w:val="21"/>
        </w:rPr>
      </w:pPr>
      <m:oMath>
        <m:sSub>
          <m:sSubPr>
            <m:ctrlPr>
              <w:rPr>
                <w:rFonts w:ascii="Cambria Math" w:hAnsi="Times New Roman"/>
                <w:i/>
                <w:szCs w:val="21"/>
              </w:rPr>
            </m:ctrlPr>
          </m:sSubPr>
          <m:e>
            <m:r>
              <w:rPr>
                <w:rFonts w:ascii="Cambria Math" w:hAnsi="Times New Roman"/>
                <w:szCs w:val="21"/>
              </w:rPr>
              <m:t>X</m:t>
            </m:r>
          </m:e>
          <m:sub>
            <m:r>
              <w:rPr>
                <w:rFonts w:ascii="Cambria Math" w:hAnsi="Times New Roman"/>
                <w:szCs w:val="21"/>
              </w:rPr>
              <m:t>L</m:t>
            </m:r>
            <m:r>
              <w:rPr>
                <w:rFonts w:ascii="Cambria Math" w:hAnsi="Times New Roman"/>
                <w:szCs w:val="21"/>
              </w:rPr>
              <m:t>*</m:t>
            </m:r>
          </m:sub>
        </m:sSub>
        <m:r>
          <w:rPr>
            <w:rFonts w:ascii="Cambria Math" w:hAnsi="Times New Roman"/>
            <w:szCs w:val="21"/>
          </w:rPr>
          <m:t>=</m:t>
        </m:r>
        <m:sSub>
          <m:sSubPr>
            <m:ctrlPr>
              <w:rPr>
                <w:rFonts w:ascii="Cambria Math" w:hAnsi="Times New Roman"/>
                <w:i/>
                <w:szCs w:val="21"/>
              </w:rPr>
            </m:ctrlPr>
          </m:sSubPr>
          <m:e>
            <m:r>
              <w:rPr>
                <w:rFonts w:ascii="Cambria Math" w:hAnsi="Times New Roman"/>
                <w:szCs w:val="21"/>
              </w:rPr>
              <m:t>X</m:t>
            </m:r>
          </m:e>
          <m:sub>
            <m:r>
              <w:rPr>
                <w:rFonts w:ascii="Cambria Math" w:hAnsi="Times New Roman"/>
                <w:szCs w:val="21"/>
              </w:rPr>
              <m:t>LN</m:t>
            </m:r>
          </m:sub>
        </m:sSub>
        <m:f>
          <m:fPr>
            <m:ctrlPr>
              <w:rPr>
                <w:rFonts w:ascii="Cambria Math" w:hAnsi="Times New Roman"/>
                <w:i/>
                <w:szCs w:val="21"/>
              </w:rPr>
            </m:ctrlPr>
          </m:fPr>
          <m:num>
            <m:sSub>
              <m:sSubPr>
                <m:ctrlPr>
                  <w:rPr>
                    <w:rFonts w:ascii="Cambria Math" w:hAnsi="Times New Roman"/>
                    <w:i/>
                    <w:szCs w:val="21"/>
                  </w:rPr>
                </m:ctrlPr>
              </m:sSubPr>
              <m:e>
                <m:r>
                  <w:rPr>
                    <w:rFonts w:ascii="Cambria Math" w:hAnsi="Times New Roman"/>
                    <w:szCs w:val="21"/>
                  </w:rPr>
                  <m:t>S</m:t>
                </m:r>
              </m:e>
              <m:sub>
                <m:r>
                  <w:rPr>
                    <w:rFonts w:ascii="Cambria Math" w:hAnsi="Times New Roman"/>
                    <w:szCs w:val="21"/>
                  </w:rPr>
                  <m:t>B</m:t>
                </m:r>
              </m:sub>
            </m:sSub>
          </m:num>
          <m:den>
            <m:sSubSup>
              <m:sSubSupPr>
                <m:ctrlPr>
                  <w:rPr>
                    <w:rFonts w:ascii="Cambria Math" w:hAnsi="Times New Roman"/>
                    <w:i/>
                    <w:szCs w:val="21"/>
                  </w:rPr>
                </m:ctrlPr>
              </m:sSubSupPr>
              <m:e>
                <m:r>
                  <w:rPr>
                    <w:rFonts w:ascii="Cambria Math" w:hAnsi="Times New Roman"/>
                    <w:szCs w:val="21"/>
                  </w:rPr>
                  <m:t>U</m:t>
                </m:r>
              </m:e>
              <m:sub>
                <m:r>
                  <w:rPr>
                    <w:rFonts w:ascii="Cambria Math" w:hAnsi="Times New Roman"/>
                    <w:szCs w:val="21"/>
                  </w:rPr>
                  <m:t>B</m:t>
                </m:r>
                <m:d>
                  <m:dPr>
                    <m:ctrlPr>
                      <w:rPr>
                        <w:rFonts w:ascii="Cambria Math" w:hAnsi="Times New Roman"/>
                        <w:i/>
                        <w:szCs w:val="21"/>
                      </w:rPr>
                    </m:ctrlPr>
                  </m:dPr>
                  <m:e>
                    <m:r>
                      <w:rPr>
                        <w:rFonts w:ascii="Cambria Math" w:hAnsi="Times New Roman" w:hint="eastAsia"/>
                        <w:szCs w:val="21"/>
                      </w:rPr>
                      <m:t>i</m:t>
                    </m:r>
                  </m:e>
                </m:d>
              </m:sub>
              <m:sup>
                <m:r>
                  <w:rPr>
                    <w:rFonts w:ascii="Cambria Math" w:hAnsi="Times New Roman"/>
                    <w:szCs w:val="21"/>
                  </w:rPr>
                  <m:t>2</m:t>
                </m:r>
              </m:sup>
            </m:sSubSup>
            <m:ctrlPr>
              <w:rPr>
                <w:rFonts w:ascii="Cambria Math" w:hAnsi="Cambria Math"/>
                <w:i/>
                <w:szCs w:val="21"/>
              </w:rPr>
            </m:ctrlPr>
          </m:den>
        </m:f>
      </m:oMath>
      <w:r w:rsidR="00DA268A">
        <w:rPr>
          <w:rFonts w:ascii="Times New Roman" w:hAnsi="Times New Roman"/>
          <w:szCs w:val="21"/>
        </w:rPr>
        <w:t xml:space="preserve">   </w:t>
      </w:r>
      <w:r w:rsidR="00DA268A">
        <w:rPr>
          <w:rFonts w:ascii="Times New Roman" w:hAnsi="Times New Roman" w:hint="eastAsia"/>
          <w:szCs w:val="21"/>
        </w:rPr>
        <w:t xml:space="preserve">                </w:t>
      </w:r>
      <w:r w:rsidR="00DA268A">
        <w:rPr>
          <w:rFonts w:ascii="Times New Roman" w:hAnsi="Times New Roman"/>
          <w:szCs w:val="21"/>
        </w:rPr>
        <w:t xml:space="preserve">     </w:t>
      </w:r>
      <w:r w:rsidR="00DA268A">
        <w:rPr>
          <w:rFonts w:ascii="Times New Roman" w:hAnsi="Times New Roman"/>
          <w:szCs w:val="21"/>
        </w:rPr>
        <w:fldChar w:fldCharType="begin"/>
      </w:r>
      <w:r w:rsidR="00DA268A">
        <w:rPr>
          <w:rFonts w:ascii="Times New Roman" w:hAnsi="Times New Roman"/>
          <w:szCs w:val="21"/>
        </w:rPr>
        <w:instrText xml:space="preserve"> MACROBUTTON MTPlaceRef \* MERGEFORMAT </w:instrText>
      </w:r>
      <w:r w:rsidR="00DA268A">
        <w:rPr>
          <w:rFonts w:ascii="Times New Roman" w:hAnsi="Times New Roman"/>
          <w:szCs w:val="21"/>
        </w:rPr>
        <w:fldChar w:fldCharType="begin"/>
      </w:r>
      <w:r w:rsidR="00DA268A">
        <w:rPr>
          <w:rFonts w:ascii="Times New Roman" w:hAnsi="Times New Roman"/>
          <w:szCs w:val="21"/>
        </w:rPr>
        <w:instrText xml:space="preserve"> SEQ MTEqn \h \* MERGEFORMAT </w:instrText>
      </w:r>
      <w:r w:rsidR="00DA268A">
        <w:rPr>
          <w:rFonts w:ascii="Times New Roman" w:hAnsi="Times New Roman"/>
          <w:szCs w:val="21"/>
        </w:rPr>
        <w:fldChar w:fldCharType="end"/>
      </w:r>
      <w:bookmarkStart w:id="23" w:name="ZEqnNum456469"/>
      <w:r w:rsidR="00DA268A">
        <w:rPr>
          <w:rFonts w:ascii="Times New Roman" w:hAnsi="Times New Roman"/>
          <w:szCs w:val="21"/>
        </w:rPr>
        <w:instrText>(</w:instrText>
      </w:r>
      <w:r w:rsidR="00DA268A">
        <w:rPr>
          <w:rFonts w:ascii="Times New Roman" w:hAnsi="Times New Roman"/>
          <w:szCs w:val="21"/>
        </w:rPr>
        <w:fldChar w:fldCharType="begin"/>
      </w:r>
      <w:r w:rsidR="00DA268A">
        <w:rPr>
          <w:rFonts w:ascii="Times New Roman" w:hAnsi="Times New Roman"/>
          <w:szCs w:val="21"/>
        </w:rPr>
        <w:instrText xml:space="preserve"> SEQ MTEqn \c \* Arabic \* MERGEFORMAT </w:instrText>
      </w:r>
      <w:r w:rsidR="00DA268A">
        <w:rPr>
          <w:rFonts w:ascii="Times New Roman" w:hAnsi="Times New Roman"/>
          <w:szCs w:val="21"/>
        </w:rPr>
        <w:fldChar w:fldCharType="separate"/>
      </w:r>
      <w:r w:rsidR="005702C9">
        <w:rPr>
          <w:rFonts w:ascii="Times New Roman" w:hAnsi="Times New Roman"/>
          <w:noProof/>
          <w:szCs w:val="21"/>
        </w:rPr>
        <w:instrText>8</w:instrText>
      </w:r>
      <w:r w:rsidR="00DA268A">
        <w:rPr>
          <w:rFonts w:ascii="Times New Roman" w:hAnsi="Times New Roman"/>
          <w:szCs w:val="21"/>
        </w:rPr>
        <w:fldChar w:fldCharType="end"/>
      </w:r>
      <w:r w:rsidR="00DA268A">
        <w:rPr>
          <w:rFonts w:ascii="Times New Roman" w:hAnsi="Times New Roman"/>
          <w:szCs w:val="21"/>
        </w:rPr>
        <w:instrText>)</w:instrText>
      </w:r>
      <w:bookmarkEnd w:id="23"/>
      <w:r w:rsidR="00DA268A">
        <w:rPr>
          <w:rFonts w:ascii="Times New Roman" w:hAnsi="Times New Roman"/>
          <w:szCs w:val="21"/>
        </w:rPr>
        <w:fldChar w:fldCharType="end"/>
      </w:r>
    </w:p>
    <w:p w14:paraId="169DE630" w14:textId="485CB266" w:rsidR="001F7B30" w:rsidRDefault="00DA268A" w:rsidP="006C04D4">
      <w:pPr>
        <w:rPr>
          <w:rFonts w:ascii="Times New Roman" w:hAnsi="Times New Roman"/>
          <w:szCs w:val="21"/>
        </w:rPr>
      </w:pPr>
      <w:r>
        <w:rPr>
          <w:rFonts w:ascii="Times New Roman" w:hAnsi="Times New Roman" w:hint="eastAsia"/>
          <w:szCs w:val="21"/>
        </w:rPr>
        <w:t>式中</w:t>
      </w:r>
      <w:r w:rsidR="004C7EF7">
        <w:rPr>
          <w:rFonts w:ascii="Times New Roman" w:hAnsi="Times New Roman" w:hint="eastAsia"/>
          <w:szCs w:val="21"/>
        </w:rPr>
        <w:t>，</w:t>
      </w:r>
      <w:r>
        <w:rPr>
          <w:rFonts w:ascii="Times New Roman" w:hAnsi="Times New Roman" w:hint="eastAsia"/>
          <w:szCs w:val="21"/>
        </w:rPr>
        <w:t>下标</w:t>
      </w:r>
      <w:r>
        <w:rPr>
          <w:rFonts w:ascii="Times New Roman" w:hAnsi="Times New Roman" w:hint="eastAsia"/>
          <w:szCs w:val="21"/>
        </w:rPr>
        <w:t>*</w:t>
      </w:r>
      <w:r>
        <w:rPr>
          <w:rFonts w:ascii="Times New Roman" w:hAnsi="Times New Roman" w:hint="eastAsia"/>
          <w:szCs w:val="21"/>
        </w:rPr>
        <w:t>表示标幺值，下标</w:t>
      </w:r>
      <w:r>
        <w:rPr>
          <w:rFonts w:ascii="Times New Roman" w:hAnsi="Times New Roman" w:hint="eastAsia"/>
          <w:i/>
          <w:iCs/>
          <w:szCs w:val="21"/>
        </w:rPr>
        <w:t>B</w:t>
      </w:r>
      <w:r>
        <w:rPr>
          <w:rFonts w:ascii="Times New Roman" w:hAnsi="Times New Roman" w:hint="eastAsia"/>
          <w:szCs w:val="21"/>
        </w:rPr>
        <w:t>表示基准值，下标</w:t>
      </w:r>
      <w:r>
        <w:rPr>
          <w:rFonts w:ascii="Times New Roman" w:hAnsi="Times New Roman" w:hint="eastAsia"/>
          <w:i/>
          <w:iCs/>
          <w:szCs w:val="21"/>
        </w:rPr>
        <w:t>N</w:t>
      </w:r>
      <w:r>
        <w:rPr>
          <w:rFonts w:ascii="Times New Roman" w:hAnsi="Times New Roman" w:hint="eastAsia"/>
          <w:szCs w:val="21"/>
        </w:rPr>
        <w:t>为</w:t>
      </w:r>
      <w:r>
        <w:rPr>
          <w:rFonts w:ascii="Times New Roman" w:hAnsi="Times New Roman" w:hint="eastAsia"/>
          <w:szCs w:val="21"/>
        </w:rPr>
        <w:t>nominal</w:t>
      </w:r>
      <w:r>
        <w:rPr>
          <w:rFonts w:ascii="Times New Roman" w:hAnsi="Times New Roman" w:hint="eastAsia"/>
          <w:szCs w:val="21"/>
        </w:rPr>
        <w:t>的简写，表示实际有名值；</w:t>
      </w:r>
      <w:r>
        <w:rPr>
          <w:rFonts w:ascii="Times New Roman" w:hAnsi="Times New Roman" w:hint="eastAsia"/>
          <w:i/>
          <w:iCs/>
          <w:szCs w:val="21"/>
        </w:rPr>
        <w:t>i</w:t>
      </w:r>
      <w:r>
        <w:rPr>
          <w:rFonts w:ascii="Times New Roman" w:hAnsi="Times New Roman" w:hint="eastAsia"/>
          <w:szCs w:val="21"/>
        </w:rPr>
        <w:t>表示该线路的电压等级，</w:t>
      </w:r>
      <w:r>
        <w:rPr>
          <w:rFonts w:ascii="Times New Roman" w:hAnsi="Times New Roman" w:hint="eastAsia"/>
          <w:i/>
          <w:iCs/>
          <w:szCs w:val="21"/>
        </w:rPr>
        <w:t>i</w:t>
      </w:r>
      <w:r>
        <w:rPr>
          <w:rFonts w:ascii="Times New Roman" w:hAnsi="Times New Roman" w:hint="eastAsia"/>
          <w:szCs w:val="21"/>
        </w:rPr>
        <w:t>取Ⅰ，Ⅱ，Ⅲ</w:t>
      </w:r>
      <w:r>
        <w:rPr>
          <w:rFonts w:ascii="Times New Roman" w:hAnsi="Times New Roman" w:hint="eastAsia"/>
          <w:iCs/>
          <w:szCs w:val="21"/>
        </w:rPr>
        <w:t>；</w:t>
      </w:r>
      <w:r>
        <w:rPr>
          <w:rFonts w:ascii="Times New Roman" w:hAnsi="Times New Roman"/>
          <w:i/>
          <w:iCs/>
          <w:szCs w:val="21"/>
        </w:rPr>
        <w:t>X</w:t>
      </w:r>
      <w:r>
        <w:rPr>
          <w:rFonts w:ascii="Times New Roman" w:hAnsi="Times New Roman"/>
          <w:i/>
          <w:iCs/>
          <w:szCs w:val="21"/>
          <w:vertAlign w:val="subscript"/>
        </w:rPr>
        <w:t>LN</w:t>
      </w:r>
      <w:r>
        <w:rPr>
          <w:rFonts w:ascii="Times New Roman" w:hAnsi="Times New Roman" w:hint="eastAsia"/>
          <w:szCs w:val="21"/>
        </w:rPr>
        <w:t>是输电线路电抗的有名值，与型号、长度有关，此处按照常见型号进行取值，对于</w:t>
      </w:r>
      <w:r>
        <w:rPr>
          <w:rFonts w:ascii="Times New Roman" w:hAnsi="Times New Roman" w:hint="eastAsia"/>
          <w:szCs w:val="21"/>
        </w:rPr>
        <w:t>10kV</w:t>
      </w:r>
      <w:r>
        <w:rPr>
          <w:rFonts w:ascii="Times New Roman" w:hAnsi="Times New Roman" w:hint="eastAsia"/>
          <w:szCs w:val="21"/>
        </w:rPr>
        <w:t>输电线路，一般为单导线，其单位长度电抗有名值取</w:t>
      </w:r>
      <w:r>
        <w:rPr>
          <w:rFonts w:ascii="Times New Roman" w:hAnsi="Times New Roman" w:hint="eastAsia"/>
          <w:szCs w:val="21"/>
        </w:rPr>
        <w:t>0.4</w:t>
      </w:r>
      <w:r>
        <w:rPr>
          <w:rFonts w:ascii="Times New Roman" w:hAnsi="Times New Roman" w:hint="eastAsia"/>
          <w:szCs w:val="21"/>
        </w:rPr>
        <w:t>Ω</w:t>
      </w:r>
      <w:r>
        <w:rPr>
          <w:rFonts w:ascii="Times New Roman" w:hAnsi="Times New Roman" w:hint="eastAsia"/>
          <w:szCs w:val="21"/>
        </w:rPr>
        <w:t>/km</w:t>
      </w:r>
      <w:r>
        <w:rPr>
          <w:rFonts w:ascii="Times New Roman" w:hAnsi="Times New Roman" w:hint="eastAsia"/>
          <w:szCs w:val="21"/>
        </w:rPr>
        <w:t>；对于</w:t>
      </w:r>
      <w:r>
        <w:rPr>
          <w:rFonts w:ascii="Times New Roman" w:hAnsi="Times New Roman" w:hint="eastAsia"/>
          <w:szCs w:val="21"/>
        </w:rPr>
        <w:t>110kV</w:t>
      </w:r>
      <w:r>
        <w:rPr>
          <w:rFonts w:ascii="Times New Roman" w:hAnsi="Times New Roman" w:hint="eastAsia"/>
          <w:szCs w:val="21"/>
        </w:rPr>
        <w:t>和</w:t>
      </w:r>
      <w:r>
        <w:rPr>
          <w:rFonts w:ascii="Times New Roman" w:hAnsi="Times New Roman" w:hint="eastAsia"/>
          <w:szCs w:val="21"/>
        </w:rPr>
        <w:t>220kV</w:t>
      </w:r>
      <w:r>
        <w:rPr>
          <w:rFonts w:ascii="Times New Roman" w:hAnsi="Times New Roman" w:hint="eastAsia"/>
          <w:szCs w:val="21"/>
        </w:rPr>
        <w:t>输电线路，均假设为双分裂导线，取</w:t>
      </w:r>
      <w:r>
        <w:rPr>
          <w:rFonts w:ascii="Times New Roman" w:hAnsi="Times New Roman" w:hint="eastAsia"/>
          <w:szCs w:val="21"/>
        </w:rPr>
        <w:t>0.33</w:t>
      </w:r>
      <w:r>
        <w:rPr>
          <w:rFonts w:ascii="Times New Roman" w:hAnsi="Times New Roman" w:hint="eastAsia"/>
          <w:szCs w:val="21"/>
        </w:rPr>
        <w:t>Ω</w:t>
      </w:r>
      <w:r>
        <w:rPr>
          <w:rFonts w:ascii="Times New Roman" w:hAnsi="Times New Roman" w:hint="eastAsia"/>
          <w:szCs w:val="21"/>
        </w:rPr>
        <w:t>/km</w:t>
      </w:r>
      <w:r>
        <w:rPr>
          <w:rFonts w:ascii="Times New Roman" w:hAnsi="Times New Roman" w:hint="eastAsia"/>
          <w:szCs w:val="21"/>
        </w:rPr>
        <w:t>。</w:t>
      </w:r>
    </w:p>
    <w:p w14:paraId="4294892B" w14:textId="1A44A6C2"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2</w:t>
      </w:r>
      <w:r>
        <w:rPr>
          <w:rFonts w:ascii="Times New Roman" w:hAnsi="Times New Roman" w:cs="Times New Roman" w:hint="eastAsia"/>
          <w:szCs w:val="21"/>
        </w:rPr>
        <w:t>）变压器电抗</w:t>
      </w:r>
    </w:p>
    <w:p w14:paraId="575F0645" w14:textId="24C089A3" w:rsidR="001F7B30" w:rsidRDefault="00DA268A">
      <w:pPr>
        <w:ind w:firstLineChars="200" w:firstLine="420"/>
        <w:rPr>
          <w:rFonts w:ascii="Times New Roman" w:hAnsi="Times New Roman"/>
          <w:szCs w:val="21"/>
        </w:rPr>
      </w:pPr>
      <w:r>
        <w:rPr>
          <w:rFonts w:ascii="Times New Roman" w:hAnsi="Times New Roman" w:hint="eastAsia"/>
          <w:szCs w:val="21"/>
        </w:rPr>
        <w:t>变压器的变比（两侧额定电压之比）标幺值</w:t>
      </w:r>
      <w:r>
        <w:rPr>
          <w:rFonts w:ascii="Times New Roman" w:hAnsi="Times New Roman" w:hint="eastAsia"/>
          <w:i/>
          <w:iCs/>
          <w:szCs w:val="21"/>
        </w:rPr>
        <w:t>k</w:t>
      </w:r>
      <w:r>
        <w:rPr>
          <w:rFonts w:ascii="Times New Roman" w:hAnsi="Times New Roman"/>
          <w:i/>
          <w:iCs/>
          <w:szCs w:val="21"/>
          <w:vertAlign w:val="subscript"/>
        </w:rPr>
        <w:t>T*</w:t>
      </w:r>
      <w:r>
        <w:rPr>
          <w:rFonts w:ascii="Times New Roman" w:hAnsi="Times New Roman" w:hint="eastAsia"/>
          <w:szCs w:val="21"/>
        </w:rPr>
        <w:t>由式</w:t>
      </w:r>
      <w:r>
        <w:rPr>
          <w:rFonts w:ascii="Times New Roman" w:hAnsi="Times New Roman"/>
          <w:iCs/>
          <w:szCs w:val="21"/>
        </w:rPr>
        <w:fldChar w:fldCharType="begin"/>
      </w:r>
      <w:r>
        <w:rPr>
          <w:rFonts w:ascii="Times New Roman" w:hAnsi="Times New Roman"/>
          <w:iCs/>
          <w:szCs w:val="21"/>
        </w:rPr>
        <w:instrText xml:space="preserve"> </w:instrText>
      </w:r>
      <w:r>
        <w:rPr>
          <w:rFonts w:ascii="Times New Roman" w:hAnsi="Times New Roman" w:hint="eastAsia"/>
          <w:iCs/>
          <w:szCs w:val="21"/>
        </w:rPr>
        <w:instrText>GOTOBUTTON ZEqnNum509347  \* MERGEFORMAT</w:instrText>
      </w:r>
      <w:r>
        <w:rPr>
          <w:rFonts w:ascii="Times New Roman" w:hAnsi="Times New Roman"/>
          <w:iCs/>
          <w:szCs w:val="21"/>
        </w:rPr>
        <w:instrText xml:space="preserve"> </w:instrText>
      </w:r>
      <w:r>
        <w:rPr>
          <w:rFonts w:ascii="Times New Roman" w:hAnsi="Times New Roman"/>
          <w:iCs/>
          <w:szCs w:val="21"/>
        </w:rPr>
        <w:fldChar w:fldCharType="begin"/>
      </w:r>
      <w:r>
        <w:rPr>
          <w:rFonts w:ascii="Times New Roman" w:hAnsi="Times New Roman"/>
          <w:iCs/>
          <w:szCs w:val="21"/>
        </w:rPr>
        <w:instrText xml:space="preserve"> REF ZEqnNum509347 \* Charformat \! \* MERGEFORMAT </w:instrText>
      </w:r>
      <w:r>
        <w:rPr>
          <w:rFonts w:ascii="Times New Roman" w:hAnsi="Times New Roman"/>
          <w:iCs/>
          <w:szCs w:val="21"/>
        </w:rPr>
        <w:fldChar w:fldCharType="separate"/>
      </w:r>
      <w:r w:rsidR="005702C9" w:rsidRPr="005702C9">
        <w:rPr>
          <w:rFonts w:ascii="Times New Roman" w:hAnsi="Times New Roman"/>
          <w:iCs/>
          <w:szCs w:val="21"/>
        </w:rPr>
        <w:instrText>(9)</w:instrText>
      </w:r>
      <w:r>
        <w:rPr>
          <w:rFonts w:ascii="Times New Roman" w:hAnsi="Times New Roman"/>
          <w:iCs/>
          <w:szCs w:val="21"/>
        </w:rPr>
        <w:fldChar w:fldCharType="end"/>
      </w:r>
      <w:r>
        <w:rPr>
          <w:rFonts w:ascii="Times New Roman" w:hAnsi="Times New Roman"/>
          <w:iCs/>
          <w:szCs w:val="21"/>
        </w:rPr>
        <w:fldChar w:fldCharType="end"/>
      </w:r>
      <w:r>
        <w:rPr>
          <w:rFonts w:ascii="Times New Roman" w:hAnsi="Times New Roman" w:hint="eastAsia"/>
          <w:szCs w:val="21"/>
        </w:rPr>
        <w:t>计算：</w:t>
      </w:r>
    </w:p>
    <w:p w14:paraId="73806220" w14:textId="0DE7EFCC" w:rsidR="001F7B30" w:rsidRDefault="00000000">
      <w:pPr>
        <w:wordWrap w:val="0"/>
        <w:ind w:firstLineChars="298" w:firstLine="626"/>
        <w:jc w:val="right"/>
        <w:rPr>
          <w:rFonts w:ascii="Times New Roman" w:hAnsi="Times New Roman"/>
          <w:szCs w:val="21"/>
        </w:rPr>
      </w:pPr>
      <m:oMath>
        <m:sSub>
          <m:sSubPr>
            <m:ctrlPr>
              <w:rPr>
                <w:rFonts w:ascii="Cambria Math" w:hAnsi="Times New Roman"/>
                <w:i/>
                <w:szCs w:val="21"/>
              </w:rPr>
            </m:ctrlPr>
          </m:sSubPr>
          <m:e>
            <m:r>
              <w:rPr>
                <w:rFonts w:ascii="Cambria Math" w:hAnsi="Times New Roman"/>
                <w:szCs w:val="21"/>
              </w:rPr>
              <m:t>k</m:t>
            </m:r>
          </m:e>
          <m:sub>
            <m:r>
              <w:rPr>
                <w:rFonts w:ascii="Cambria Math" w:hAnsi="Times New Roman"/>
                <w:szCs w:val="21"/>
              </w:rPr>
              <m:t>T</m:t>
            </m:r>
            <m:r>
              <w:rPr>
                <w:rFonts w:ascii="Cambria Math" w:hAnsi="Times New Roman"/>
                <w:szCs w:val="21"/>
              </w:rPr>
              <m:t>*</m:t>
            </m:r>
          </m:sub>
        </m:sSub>
        <m:r>
          <w:rPr>
            <w:rFonts w:ascii="Cambria Math" w:hAnsi="Times New Roman"/>
            <w:szCs w:val="21"/>
          </w:rPr>
          <m:t>=</m:t>
        </m:r>
        <m:f>
          <m:fPr>
            <m:ctrlPr>
              <w:rPr>
                <w:rFonts w:ascii="Cambria Math" w:hAnsi="Times New Roman"/>
                <w:i/>
                <w:szCs w:val="21"/>
              </w:rPr>
            </m:ctrlPr>
          </m:fPr>
          <m:num>
            <m:sSub>
              <m:sSubPr>
                <m:ctrlPr>
                  <w:rPr>
                    <w:rFonts w:ascii="Cambria Math" w:hAnsi="Times New Roman"/>
                    <w:i/>
                    <w:szCs w:val="21"/>
                  </w:rPr>
                </m:ctrlPr>
              </m:sSubPr>
              <m:e>
                <m:r>
                  <w:rPr>
                    <w:rFonts w:ascii="Cambria Math" w:hAnsi="Times New Roman"/>
                    <w:szCs w:val="21"/>
                  </w:rPr>
                  <m:t>k</m:t>
                </m:r>
              </m:e>
              <m:sub>
                <m:r>
                  <w:rPr>
                    <w:rFonts w:ascii="Cambria Math" w:hAnsi="Times New Roman"/>
                    <w:szCs w:val="21"/>
                  </w:rPr>
                  <m:t>T</m:t>
                </m:r>
              </m:sub>
            </m:sSub>
          </m:num>
          <m:den>
            <m:sSub>
              <m:sSubPr>
                <m:ctrlPr>
                  <w:rPr>
                    <w:rFonts w:ascii="Cambria Math" w:hAnsi="Times New Roman"/>
                    <w:i/>
                    <w:szCs w:val="21"/>
                  </w:rPr>
                </m:ctrlPr>
              </m:sSubPr>
              <m:e>
                <m:r>
                  <w:rPr>
                    <w:rFonts w:ascii="Cambria Math" w:hAnsi="Times New Roman"/>
                    <w:szCs w:val="21"/>
                  </w:rPr>
                  <m:t>k</m:t>
                </m:r>
              </m:e>
              <m:sub>
                <m:r>
                  <w:rPr>
                    <w:rFonts w:ascii="Cambria Math" w:hAnsi="Times New Roman"/>
                    <w:szCs w:val="21"/>
                  </w:rPr>
                  <m:t>B</m:t>
                </m:r>
                <m:d>
                  <m:dPr>
                    <m:ctrlPr>
                      <w:rPr>
                        <w:rFonts w:ascii="Cambria Math" w:hAnsi="Times New Roman"/>
                        <w:i/>
                        <w:szCs w:val="21"/>
                      </w:rPr>
                    </m:ctrlPr>
                  </m:dPr>
                  <m:e>
                    <m:r>
                      <w:rPr>
                        <w:rFonts w:ascii="Cambria Math" w:hAnsi="Times New Roman"/>
                        <w:szCs w:val="21"/>
                      </w:rPr>
                      <m:t>Ι</m:t>
                    </m:r>
                    <m:r>
                      <w:rPr>
                        <w:rFonts w:ascii="Cambria Math" w:hAnsi="Times New Roman"/>
                        <w:szCs w:val="21"/>
                      </w:rPr>
                      <m:t>-</m:t>
                    </m:r>
                    <m:r>
                      <w:rPr>
                        <w:rFonts w:ascii="Cambria Math" w:hAnsi="Times New Roman"/>
                        <w:szCs w:val="21"/>
                      </w:rPr>
                      <m:t>ΙΙ</m:t>
                    </m:r>
                  </m:e>
                </m:d>
              </m:sub>
            </m:sSub>
            <m:ctrlPr>
              <w:rPr>
                <w:rFonts w:ascii="Cambria Math" w:hAnsi="Cambria Math"/>
                <w:i/>
                <w:szCs w:val="21"/>
              </w:rPr>
            </m:ctrlPr>
          </m:den>
        </m:f>
        <m:r>
          <w:rPr>
            <w:rFonts w:ascii="Cambria Math" w:hAnsi="Times New Roman"/>
            <w:szCs w:val="21"/>
          </w:rPr>
          <m:t>=</m:t>
        </m:r>
        <m:f>
          <m:fPr>
            <m:ctrlPr>
              <w:rPr>
                <w:rFonts w:ascii="Cambria Math" w:hAnsi="Times New Roman"/>
                <w:i/>
                <w:szCs w:val="21"/>
              </w:rPr>
            </m:ctrlPr>
          </m:fPr>
          <m:num>
            <m:f>
              <m:fPr>
                <m:type m:val="skw"/>
                <m:ctrlPr>
                  <w:rPr>
                    <w:rFonts w:ascii="Cambria Math" w:hAnsi="Times New Roman"/>
                    <w:i/>
                    <w:szCs w:val="21"/>
                  </w:rPr>
                </m:ctrlPr>
              </m:fPr>
              <m:num>
                <m:sSub>
                  <m:sSubPr>
                    <m:ctrlPr>
                      <w:rPr>
                        <w:rFonts w:ascii="Cambria Math" w:hAnsi="Times New Roman"/>
                        <w:i/>
                        <w:szCs w:val="21"/>
                      </w:rPr>
                    </m:ctrlPr>
                  </m:sSubPr>
                  <m:e>
                    <m:r>
                      <w:rPr>
                        <w:rFonts w:ascii="Cambria Math" w:hAnsi="Times New Roman"/>
                        <w:szCs w:val="21"/>
                      </w:rPr>
                      <m:t>U</m:t>
                    </m:r>
                  </m:e>
                  <m:sub>
                    <m:r>
                      <w:rPr>
                        <w:rFonts w:ascii="Cambria Math" w:hAnsi="Times New Roman"/>
                        <w:szCs w:val="21"/>
                      </w:rPr>
                      <m:t>N(Ι)</m:t>
                    </m:r>
                  </m:sub>
                </m:sSub>
              </m:num>
              <m:den>
                <m:sSub>
                  <m:sSubPr>
                    <m:ctrlPr>
                      <w:rPr>
                        <w:rFonts w:ascii="Cambria Math" w:hAnsi="Times New Roman"/>
                        <w:i/>
                        <w:szCs w:val="21"/>
                      </w:rPr>
                    </m:ctrlPr>
                  </m:sSubPr>
                  <m:e>
                    <m:r>
                      <w:rPr>
                        <w:rFonts w:ascii="Cambria Math" w:hAnsi="Times New Roman"/>
                        <w:szCs w:val="21"/>
                      </w:rPr>
                      <m:t>U</m:t>
                    </m:r>
                  </m:e>
                  <m:sub>
                    <m:r>
                      <w:rPr>
                        <w:rFonts w:ascii="Cambria Math" w:hAnsi="Times New Roman"/>
                        <w:szCs w:val="21"/>
                      </w:rPr>
                      <m:t>N</m:t>
                    </m:r>
                    <m:d>
                      <m:dPr>
                        <m:ctrlPr>
                          <w:rPr>
                            <w:rFonts w:ascii="Cambria Math" w:hAnsi="Times New Roman"/>
                            <w:i/>
                            <w:szCs w:val="21"/>
                          </w:rPr>
                        </m:ctrlPr>
                      </m:dPr>
                      <m:e>
                        <m:r>
                          <w:rPr>
                            <w:rFonts w:ascii="Cambria Math" w:hAnsi="Times New Roman"/>
                            <w:szCs w:val="21"/>
                          </w:rPr>
                          <m:t>ΙΙ</m:t>
                        </m:r>
                      </m:e>
                    </m:d>
                  </m:sub>
                </m:sSub>
                <m:ctrlPr>
                  <w:rPr>
                    <w:rFonts w:ascii="Cambria Math" w:hAnsi="Cambria Math"/>
                    <w:i/>
                    <w:szCs w:val="21"/>
                  </w:rPr>
                </m:ctrlPr>
              </m:den>
            </m:f>
            <m:ctrlPr>
              <w:rPr>
                <w:rFonts w:ascii="Cambria Math" w:hAnsi="Cambria Math"/>
                <w:i/>
                <w:szCs w:val="21"/>
              </w:rPr>
            </m:ctrlPr>
          </m:num>
          <m:den>
            <m:f>
              <m:fPr>
                <m:type m:val="skw"/>
                <m:ctrlPr>
                  <w:rPr>
                    <w:rFonts w:ascii="Cambria Math" w:hAnsi="Times New Roman"/>
                    <w:i/>
                    <w:szCs w:val="21"/>
                  </w:rPr>
                </m:ctrlPr>
              </m:fPr>
              <m:num>
                <m:sSub>
                  <m:sSubPr>
                    <m:ctrlPr>
                      <w:rPr>
                        <w:rFonts w:ascii="Cambria Math" w:hAnsi="Times New Roman"/>
                        <w:i/>
                        <w:szCs w:val="21"/>
                      </w:rPr>
                    </m:ctrlPr>
                  </m:sSubPr>
                  <m:e>
                    <m:r>
                      <w:rPr>
                        <w:rFonts w:ascii="Cambria Math" w:hAnsi="Times New Roman"/>
                        <w:szCs w:val="21"/>
                      </w:rPr>
                      <m:t>U</m:t>
                    </m:r>
                  </m:e>
                  <m:sub>
                    <m:r>
                      <w:rPr>
                        <w:rFonts w:ascii="Cambria Math" w:hAnsi="Times New Roman"/>
                        <w:szCs w:val="21"/>
                      </w:rPr>
                      <m:t>B</m:t>
                    </m:r>
                    <m:d>
                      <m:dPr>
                        <m:ctrlPr>
                          <w:rPr>
                            <w:rFonts w:ascii="Cambria Math" w:hAnsi="Times New Roman"/>
                            <w:i/>
                            <w:szCs w:val="21"/>
                          </w:rPr>
                        </m:ctrlPr>
                      </m:dPr>
                      <m:e>
                        <m:r>
                          <w:rPr>
                            <w:rFonts w:ascii="Cambria Math" w:hAnsi="Times New Roman"/>
                            <w:szCs w:val="21"/>
                          </w:rPr>
                          <m:t>Ι</m:t>
                        </m:r>
                      </m:e>
                    </m:d>
                  </m:sub>
                </m:sSub>
              </m:num>
              <m:den>
                <m:sSub>
                  <m:sSubPr>
                    <m:ctrlPr>
                      <w:rPr>
                        <w:rFonts w:ascii="Cambria Math" w:hAnsi="Times New Roman"/>
                        <w:i/>
                        <w:szCs w:val="21"/>
                      </w:rPr>
                    </m:ctrlPr>
                  </m:sSubPr>
                  <m:e>
                    <m:r>
                      <w:rPr>
                        <w:rFonts w:ascii="Cambria Math" w:hAnsi="Times New Roman"/>
                        <w:szCs w:val="21"/>
                      </w:rPr>
                      <m:t>U</m:t>
                    </m:r>
                  </m:e>
                  <m:sub>
                    <m:r>
                      <w:rPr>
                        <w:rFonts w:ascii="Cambria Math" w:hAnsi="Times New Roman"/>
                        <w:szCs w:val="21"/>
                      </w:rPr>
                      <m:t>B</m:t>
                    </m:r>
                    <m:d>
                      <m:dPr>
                        <m:ctrlPr>
                          <w:rPr>
                            <w:rFonts w:ascii="Cambria Math" w:hAnsi="Times New Roman"/>
                            <w:i/>
                            <w:szCs w:val="21"/>
                          </w:rPr>
                        </m:ctrlPr>
                      </m:dPr>
                      <m:e>
                        <m:r>
                          <w:rPr>
                            <w:rFonts w:ascii="Cambria Math" w:hAnsi="Times New Roman"/>
                            <w:szCs w:val="21"/>
                          </w:rPr>
                          <m:t>ΙΙ</m:t>
                        </m:r>
                      </m:e>
                    </m:d>
                  </m:sub>
                </m:sSub>
                <m:ctrlPr>
                  <w:rPr>
                    <w:rFonts w:ascii="Cambria Math" w:hAnsi="Cambria Math"/>
                    <w:i/>
                    <w:szCs w:val="21"/>
                  </w:rPr>
                </m:ctrlPr>
              </m:den>
            </m:f>
            <m:ctrlPr>
              <w:rPr>
                <w:rFonts w:ascii="Cambria Math" w:hAnsi="Cambria Math"/>
                <w:i/>
                <w:szCs w:val="21"/>
              </w:rPr>
            </m:ctrlPr>
          </m:den>
        </m:f>
      </m:oMath>
      <w:r w:rsidR="00DA268A">
        <w:rPr>
          <w:rFonts w:ascii="Times New Roman" w:hAnsi="Times New Roman"/>
          <w:szCs w:val="21"/>
        </w:rPr>
        <w:t xml:space="preserve">   </w:t>
      </w:r>
      <w:r w:rsidR="00DA268A">
        <w:rPr>
          <w:rFonts w:ascii="Times New Roman" w:hAnsi="Times New Roman" w:hint="eastAsia"/>
          <w:szCs w:val="21"/>
        </w:rPr>
        <w:t xml:space="preserve"> </w:t>
      </w:r>
      <w:r w:rsidR="00DA268A">
        <w:rPr>
          <w:rFonts w:ascii="Times New Roman" w:hAnsi="Times New Roman"/>
          <w:szCs w:val="21"/>
        </w:rPr>
        <w:t xml:space="preserve"> </w:t>
      </w:r>
      <w:r w:rsidR="00DA268A">
        <w:rPr>
          <w:rFonts w:ascii="Times New Roman" w:hAnsi="Times New Roman" w:hint="eastAsia"/>
          <w:szCs w:val="21"/>
        </w:rPr>
        <w:t xml:space="preserve">         </w:t>
      </w:r>
      <w:r w:rsidR="00DA268A">
        <w:rPr>
          <w:rFonts w:ascii="Times New Roman" w:hAnsi="Times New Roman"/>
          <w:szCs w:val="21"/>
        </w:rPr>
        <w:t xml:space="preserve">  </w:t>
      </w:r>
      <w:r w:rsidR="00DA268A">
        <w:rPr>
          <w:rFonts w:ascii="Times New Roman" w:hAnsi="Times New Roman"/>
          <w:szCs w:val="21"/>
        </w:rPr>
        <w:fldChar w:fldCharType="begin"/>
      </w:r>
      <w:r w:rsidR="00DA268A">
        <w:rPr>
          <w:rFonts w:ascii="Times New Roman" w:hAnsi="Times New Roman"/>
          <w:szCs w:val="21"/>
        </w:rPr>
        <w:instrText xml:space="preserve"> MACROBUTTON MTPlaceRef \* MERGEFORMAT </w:instrText>
      </w:r>
      <w:r w:rsidR="00DA268A">
        <w:rPr>
          <w:rFonts w:ascii="Times New Roman" w:hAnsi="Times New Roman"/>
          <w:szCs w:val="21"/>
        </w:rPr>
        <w:fldChar w:fldCharType="begin"/>
      </w:r>
      <w:r w:rsidR="00DA268A">
        <w:rPr>
          <w:rFonts w:ascii="Times New Roman" w:hAnsi="Times New Roman"/>
          <w:szCs w:val="21"/>
        </w:rPr>
        <w:instrText xml:space="preserve"> SEQ MTEqn \h \* MERGEFORMAT </w:instrText>
      </w:r>
      <w:r w:rsidR="00DA268A">
        <w:rPr>
          <w:rFonts w:ascii="Times New Roman" w:hAnsi="Times New Roman"/>
          <w:szCs w:val="21"/>
        </w:rPr>
        <w:fldChar w:fldCharType="end"/>
      </w:r>
      <w:bookmarkStart w:id="24" w:name="ZEqnNum509347"/>
      <w:r w:rsidR="00DA268A">
        <w:rPr>
          <w:rFonts w:ascii="Times New Roman" w:hAnsi="Times New Roman"/>
          <w:szCs w:val="21"/>
        </w:rPr>
        <w:instrText>(</w:instrText>
      </w:r>
      <w:r w:rsidR="00DA268A">
        <w:rPr>
          <w:rFonts w:ascii="Times New Roman" w:hAnsi="Times New Roman"/>
          <w:szCs w:val="21"/>
        </w:rPr>
        <w:fldChar w:fldCharType="begin"/>
      </w:r>
      <w:r w:rsidR="00DA268A">
        <w:rPr>
          <w:rFonts w:ascii="Times New Roman" w:hAnsi="Times New Roman"/>
          <w:szCs w:val="21"/>
        </w:rPr>
        <w:instrText xml:space="preserve"> SEQ MTEqn \c \* Arabic \* MERGEFORMAT </w:instrText>
      </w:r>
      <w:r w:rsidR="00DA268A">
        <w:rPr>
          <w:rFonts w:ascii="Times New Roman" w:hAnsi="Times New Roman"/>
          <w:szCs w:val="21"/>
        </w:rPr>
        <w:fldChar w:fldCharType="separate"/>
      </w:r>
      <w:r w:rsidR="005702C9">
        <w:rPr>
          <w:rFonts w:ascii="Times New Roman" w:hAnsi="Times New Roman"/>
          <w:noProof/>
          <w:szCs w:val="21"/>
        </w:rPr>
        <w:instrText>9</w:instrText>
      </w:r>
      <w:r w:rsidR="00DA268A">
        <w:rPr>
          <w:rFonts w:ascii="Times New Roman" w:hAnsi="Times New Roman"/>
          <w:szCs w:val="21"/>
        </w:rPr>
        <w:fldChar w:fldCharType="end"/>
      </w:r>
      <w:r w:rsidR="00DA268A">
        <w:rPr>
          <w:rFonts w:ascii="Times New Roman" w:hAnsi="Times New Roman"/>
          <w:szCs w:val="21"/>
        </w:rPr>
        <w:instrText>)</w:instrText>
      </w:r>
      <w:bookmarkEnd w:id="24"/>
      <w:r w:rsidR="00DA268A">
        <w:rPr>
          <w:rFonts w:ascii="Times New Roman" w:hAnsi="Times New Roman"/>
          <w:szCs w:val="21"/>
        </w:rPr>
        <w:fldChar w:fldCharType="end"/>
      </w:r>
    </w:p>
    <w:p w14:paraId="1F415665" w14:textId="77777777" w:rsidR="001F7B30" w:rsidRDefault="00DA268A" w:rsidP="006C04D4">
      <w:pPr>
        <w:rPr>
          <w:rFonts w:ascii="Times New Roman" w:hAnsi="Times New Roman"/>
          <w:szCs w:val="21"/>
        </w:rPr>
      </w:pPr>
      <w:r>
        <w:rPr>
          <w:rFonts w:ascii="Times New Roman" w:hAnsi="Times New Roman" w:hint="eastAsia"/>
          <w:szCs w:val="21"/>
        </w:rPr>
        <w:t>式中：</w:t>
      </w:r>
      <w:r>
        <w:rPr>
          <w:rFonts w:ascii="Times New Roman" w:hAnsi="Times New Roman"/>
          <w:i/>
          <w:iCs/>
          <w:szCs w:val="21"/>
        </w:rPr>
        <w:t>U</w:t>
      </w:r>
      <w:r>
        <w:rPr>
          <w:rFonts w:ascii="Times New Roman" w:hAnsi="Times New Roman" w:hint="eastAsia"/>
          <w:i/>
          <w:iCs/>
          <w:szCs w:val="21"/>
          <w:vertAlign w:val="subscript"/>
        </w:rPr>
        <w:t>N</w:t>
      </w:r>
      <w:r>
        <w:rPr>
          <w:rFonts w:ascii="Times New Roman" w:hAnsi="Times New Roman"/>
          <w:i/>
          <w:iCs/>
          <w:szCs w:val="21"/>
          <w:vertAlign w:val="subscript"/>
        </w:rPr>
        <w:t>(Ι)</w:t>
      </w:r>
      <w:r>
        <w:rPr>
          <w:rFonts w:ascii="Times New Roman" w:hAnsi="Times New Roman" w:hint="eastAsia"/>
          <w:szCs w:val="21"/>
        </w:rPr>
        <w:t>、</w:t>
      </w:r>
      <w:r>
        <w:rPr>
          <w:rFonts w:ascii="Times New Roman" w:hAnsi="Times New Roman"/>
          <w:i/>
          <w:iCs/>
          <w:szCs w:val="21"/>
        </w:rPr>
        <w:t>U</w:t>
      </w:r>
      <w:r>
        <w:rPr>
          <w:rFonts w:ascii="Times New Roman" w:hAnsi="Times New Roman" w:hint="eastAsia"/>
          <w:i/>
          <w:iCs/>
          <w:szCs w:val="21"/>
          <w:vertAlign w:val="subscript"/>
        </w:rPr>
        <w:t>N</w:t>
      </w:r>
      <w:r>
        <w:rPr>
          <w:rFonts w:ascii="Times New Roman" w:hAnsi="Times New Roman"/>
          <w:i/>
          <w:iCs/>
          <w:szCs w:val="21"/>
          <w:vertAlign w:val="subscript"/>
        </w:rPr>
        <w:t>(ΙΙ)</w:t>
      </w:r>
      <w:r>
        <w:rPr>
          <w:rFonts w:ascii="Times New Roman" w:hAnsi="Times New Roman" w:hint="eastAsia"/>
          <w:szCs w:val="21"/>
        </w:rPr>
        <w:t>为高压侧、低压侧的电压有名值；</w:t>
      </w:r>
      <w:r>
        <w:rPr>
          <w:rFonts w:ascii="Times New Roman" w:hAnsi="Times New Roman"/>
          <w:i/>
          <w:iCs/>
          <w:szCs w:val="21"/>
        </w:rPr>
        <w:t>U</w:t>
      </w:r>
      <w:r>
        <w:rPr>
          <w:rFonts w:ascii="Times New Roman" w:hAnsi="Times New Roman" w:hint="eastAsia"/>
          <w:i/>
          <w:iCs/>
          <w:szCs w:val="21"/>
          <w:vertAlign w:val="subscript"/>
        </w:rPr>
        <w:t>B</w:t>
      </w:r>
      <w:r>
        <w:rPr>
          <w:rFonts w:ascii="Times New Roman" w:hAnsi="Times New Roman"/>
          <w:i/>
          <w:iCs/>
          <w:szCs w:val="21"/>
          <w:vertAlign w:val="subscript"/>
        </w:rPr>
        <w:t>(Ι)</w:t>
      </w:r>
      <w:r>
        <w:rPr>
          <w:rFonts w:ascii="Times New Roman" w:hAnsi="Times New Roman" w:hint="eastAsia"/>
          <w:szCs w:val="21"/>
        </w:rPr>
        <w:t>、</w:t>
      </w:r>
      <w:r>
        <w:rPr>
          <w:rFonts w:ascii="Times New Roman" w:hAnsi="Times New Roman"/>
          <w:i/>
          <w:iCs/>
          <w:szCs w:val="21"/>
        </w:rPr>
        <w:t>U</w:t>
      </w:r>
      <w:r>
        <w:rPr>
          <w:rFonts w:ascii="Times New Roman" w:hAnsi="Times New Roman" w:hint="eastAsia"/>
          <w:i/>
          <w:iCs/>
          <w:szCs w:val="21"/>
          <w:vertAlign w:val="subscript"/>
        </w:rPr>
        <w:t>B</w:t>
      </w:r>
      <w:r>
        <w:rPr>
          <w:rFonts w:ascii="Times New Roman" w:hAnsi="Times New Roman"/>
          <w:i/>
          <w:iCs/>
          <w:szCs w:val="21"/>
          <w:vertAlign w:val="subscript"/>
        </w:rPr>
        <w:t>(ΙΙ)</w:t>
      </w:r>
      <w:r>
        <w:rPr>
          <w:rFonts w:ascii="Times New Roman" w:hAnsi="Times New Roman" w:hint="eastAsia"/>
          <w:i/>
          <w:iCs/>
          <w:szCs w:val="21"/>
          <w:vertAlign w:val="subscript"/>
        </w:rPr>
        <w:t xml:space="preserve"> </w:t>
      </w:r>
      <w:r>
        <w:rPr>
          <w:rFonts w:ascii="Times New Roman" w:hAnsi="Times New Roman" w:hint="eastAsia"/>
          <w:szCs w:val="21"/>
        </w:rPr>
        <w:t>为高压侧、低压侧的电压基准值。</w:t>
      </w:r>
    </w:p>
    <w:p w14:paraId="289C2268" w14:textId="77777777" w:rsidR="001F7B30" w:rsidRDefault="00DA268A">
      <w:pPr>
        <w:ind w:firstLineChars="202" w:firstLine="424"/>
        <w:jc w:val="left"/>
        <w:rPr>
          <w:rFonts w:ascii="Times New Roman" w:hAnsi="Times New Roman"/>
          <w:szCs w:val="21"/>
        </w:rPr>
      </w:pPr>
      <w:r>
        <w:rPr>
          <w:rFonts w:ascii="Times New Roman" w:hAnsi="Times New Roman" w:hint="eastAsia"/>
          <w:szCs w:val="21"/>
        </w:rPr>
        <w:t>电抗标幺值</w:t>
      </w:r>
      <w:r>
        <w:rPr>
          <w:rFonts w:ascii="Times New Roman" w:hAnsi="Times New Roman"/>
          <w:i/>
          <w:iCs/>
          <w:szCs w:val="21"/>
        </w:rPr>
        <w:t>X</w:t>
      </w:r>
      <w:r>
        <w:rPr>
          <w:rFonts w:ascii="Times New Roman" w:hAnsi="Times New Roman"/>
          <w:i/>
          <w:iCs/>
          <w:szCs w:val="21"/>
          <w:vertAlign w:val="subscript"/>
        </w:rPr>
        <w:t>T*</w:t>
      </w:r>
      <w:r>
        <w:rPr>
          <w:rFonts w:ascii="Times New Roman" w:hAnsi="Times New Roman" w:hint="eastAsia"/>
          <w:szCs w:val="21"/>
        </w:rPr>
        <w:t>按照式（</w:t>
      </w:r>
      <w:r>
        <w:rPr>
          <w:rFonts w:ascii="Times New Roman" w:hAnsi="Times New Roman" w:hint="eastAsia"/>
          <w:szCs w:val="21"/>
        </w:rPr>
        <w:t>9</w:t>
      </w:r>
      <w:r>
        <w:rPr>
          <w:rFonts w:ascii="Times New Roman" w:hAnsi="Times New Roman" w:hint="eastAsia"/>
          <w:szCs w:val="21"/>
        </w:rPr>
        <w:t>）计算</w:t>
      </w:r>
    </w:p>
    <w:p w14:paraId="08E0AEBA" w14:textId="0DEF28B6" w:rsidR="001F7B30" w:rsidRDefault="00000000">
      <w:pPr>
        <w:ind w:firstLineChars="298" w:firstLine="626"/>
        <w:jc w:val="right"/>
        <w:rPr>
          <w:rFonts w:ascii="Times New Roman" w:hAnsi="Times New Roman"/>
          <w:szCs w:val="21"/>
        </w:rPr>
      </w:pPr>
      <m:oMath>
        <m:sSub>
          <m:sSubPr>
            <m:ctrlPr>
              <w:rPr>
                <w:rFonts w:ascii="Cambria Math" w:hAnsi="Times New Roman"/>
                <w:i/>
                <w:szCs w:val="21"/>
              </w:rPr>
            </m:ctrlPr>
          </m:sSubPr>
          <m:e>
            <m:r>
              <w:rPr>
                <w:rFonts w:ascii="Cambria Math" w:hAnsi="Times New Roman"/>
                <w:szCs w:val="21"/>
              </w:rPr>
              <m:t>X</m:t>
            </m:r>
          </m:e>
          <m:sub>
            <m:r>
              <w:rPr>
                <w:rFonts w:ascii="Cambria Math" w:hAnsi="Times New Roman"/>
                <w:szCs w:val="21"/>
              </w:rPr>
              <m:t>T</m:t>
            </m:r>
            <m:r>
              <w:rPr>
                <w:rFonts w:ascii="Cambria Math" w:hAnsi="Times New Roman"/>
                <w:szCs w:val="21"/>
              </w:rPr>
              <m:t>*</m:t>
            </m:r>
          </m:sub>
        </m:sSub>
        <m:r>
          <w:rPr>
            <w:rFonts w:ascii="Cambria Math" w:hAnsi="Times New Roman"/>
            <w:szCs w:val="21"/>
          </w:rPr>
          <m:t>=</m:t>
        </m:r>
        <m:sSub>
          <m:sSubPr>
            <m:ctrlPr>
              <w:rPr>
                <w:rFonts w:ascii="Cambria Math" w:hAnsi="Times New Roman"/>
                <w:i/>
                <w:szCs w:val="21"/>
              </w:rPr>
            </m:ctrlPr>
          </m:sSubPr>
          <m:e>
            <m:r>
              <w:rPr>
                <w:rFonts w:ascii="Cambria Math" w:hAnsi="Times New Roman"/>
                <w:szCs w:val="21"/>
              </w:rPr>
              <m:t>X</m:t>
            </m:r>
          </m:e>
          <m:sub>
            <m:r>
              <w:rPr>
                <w:rFonts w:ascii="Cambria Math" w:hAnsi="Times New Roman"/>
                <w:szCs w:val="21"/>
              </w:rPr>
              <m:t>T</m:t>
            </m:r>
          </m:sub>
        </m:sSub>
        <m:f>
          <m:fPr>
            <m:ctrlPr>
              <w:rPr>
                <w:rFonts w:ascii="Cambria Math" w:hAnsi="Times New Roman"/>
                <w:i/>
                <w:szCs w:val="21"/>
              </w:rPr>
            </m:ctrlPr>
          </m:fPr>
          <m:num>
            <m:sSub>
              <m:sSubPr>
                <m:ctrlPr>
                  <w:rPr>
                    <w:rFonts w:ascii="Cambria Math" w:hAnsi="Times New Roman"/>
                    <w:i/>
                    <w:szCs w:val="21"/>
                  </w:rPr>
                </m:ctrlPr>
              </m:sSubPr>
              <m:e>
                <m:r>
                  <w:rPr>
                    <w:rFonts w:ascii="Cambria Math" w:hAnsi="Times New Roman"/>
                    <w:szCs w:val="21"/>
                  </w:rPr>
                  <m:t>S</m:t>
                </m:r>
              </m:e>
              <m:sub>
                <m:r>
                  <w:rPr>
                    <w:rFonts w:ascii="Cambria Math" w:hAnsi="Times New Roman"/>
                    <w:szCs w:val="21"/>
                  </w:rPr>
                  <m:t>B</m:t>
                </m:r>
              </m:sub>
            </m:sSub>
          </m:num>
          <m:den>
            <m:sSubSup>
              <m:sSubSupPr>
                <m:ctrlPr>
                  <w:rPr>
                    <w:rFonts w:ascii="Cambria Math" w:hAnsi="Times New Roman"/>
                    <w:i/>
                    <w:szCs w:val="21"/>
                  </w:rPr>
                </m:ctrlPr>
              </m:sSubSupPr>
              <m:e>
                <m:r>
                  <w:rPr>
                    <w:rFonts w:ascii="Cambria Math" w:hAnsi="Times New Roman"/>
                    <w:szCs w:val="21"/>
                  </w:rPr>
                  <m:t>U</m:t>
                </m:r>
              </m:e>
              <m:sub>
                <m:r>
                  <w:rPr>
                    <w:rFonts w:ascii="Cambria Math" w:hAnsi="Times New Roman"/>
                    <w:szCs w:val="21"/>
                  </w:rPr>
                  <m:t>B</m:t>
                </m:r>
                <m:d>
                  <m:dPr>
                    <m:ctrlPr>
                      <w:rPr>
                        <w:rFonts w:ascii="Cambria Math" w:hAnsi="Times New Roman"/>
                        <w:i/>
                        <w:szCs w:val="21"/>
                      </w:rPr>
                    </m:ctrlPr>
                  </m:dPr>
                  <m:e>
                    <m:r>
                      <w:rPr>
                        <w:rFonts w:ascii="Cambria Math" w:hAnsi="Times New Roman"/>
                        <w:szCs w:val="21"/>
                      </w:rPr>
                      <m:t>Ι</m:t>
                    </m:r>
                  </m:e>
                </m:d>
              </m:sub>
              <m:sup>
                <m:r>
                  <w:rPr>
                    <w:rFonts w:ascii="Cambria Math" w:hAnsi="Times New Roman"/>
                    <w:szCs w:val="21"/>
                  </w:rPr>
                  <m:t>2</m:t>
                </m:r>
              </m:sup>
            </m:sSubSup>
            <m:ctrlPr>
              <w:rPr>
                <w:rFonts w:ascii="Cambria Math" w:hAnsi="Cambria Math"/>
                <w:i/>
                <w:szCs w:val="21"/>
              </w:rPr>
            </m:ctrlPr>
          </m:den>
        </m:f>
        <m:r>
          <w:rPr>
            <w:rFonts w:ascii="Cambria Math" w:hAnsi="Times New Roman"/>
            <w:szCs w:val="21"/>
          </w:rPr>
          <m:t>=</m:t>
        </m:r>
        <m:f>
          <m:fPr>
            <m:ctrlPr>
              <w:rPr>
                <w:rFonts w:ascii="Cambria Math" w:hAnsi="Times New Roman"/>
                <w:i/>
                <w:szCs w:val="21"/>
              </w:rPr>
            </m:ctrlPr>
          </m:fPr>
          <m:num>
            <m:sSub>
              <m:sSubPr>
                <m:ctrlPr>
                  <w:rPr>
                    <w:rFonts w:ascii="Cambria Math" w:hAnsi="Times New Roman"/>
                    <w:i/>
                    <w:szCs w:val="21"/>
                  </w:rPr>
                </m:ctrlPr>
              </m:sSubPr>
              <m:e>
                <m:r>
                  <w:rPr>
                    <w:rFonts w:ascii="Cambria Math" w:hAnsi="Times New Roman"/>
                    <w:szCs w:val="21"/>
                  </w:rPr>
                  <m:t>U</m:t>
                </m:r>
              </m:e>
              <m:sub>
                <m:r>
                  <w:rPr>
                    <w:rFonts w:ascii="Cambria Math" w:hAnsi="Times New Roman"/>
                    <w:szCs w:val="21"/>
                  </w:rPr>
                  <m:t>s</m:t>
                </m:r>
              </m:sub>
            </m:sSub>
            <m:r>
              <w:rPr>
                <w:rFonts w:ascii="Cambria Math" w:hAnsi="Times New Roman"/>
                <w:szCs w:val="21"/>
              </w:rPr>
              <m:t>%</m:t>
            </m:r>
          </m:num>
          <m:den>
            <m:r>
              <w:rPr>
                <w:rFonts w:ascii="Cambria Math" w:hAnsi="Times New Roman"/>
                <w:szCs w:val="21"/>
              </w:rPr>
              <m:t>100</m:t>
            </m:r>
          </m:den>
        </m:f>
        <m:f>
          <m:fPr>
            <m:ctrlPr>
              <w:rPr>
                <w:rFonts w:ascii="Cambria Math" w:hAnsi="Times New Roman"/>
                <w:i/>
                <w:szCs w:val="21"/>
              </w:rPr>
            </m:ctrlPr>
          </m:fPr>
          <m:num>
            <m:sSubSup>
              <m:sSubSupPr>
                <m:ctrlPr>
                  <w:rPr>
                    <w:rFonts w:ascii="Cambria Math" w:hAnsi="Times New Roman"/>
                    <w:i/>
                    <w:szCs w:val="21"/>
                  </w:rPr>
                </m:ctrlPr>
              </m:sSubSupPr>
              <m:e>
                <m:r>
                  <w:rPr>
                    <w:rFonts w:ascii="Cambria Math" w:hAnsi="Times New Roman"/>
                    <w:szCs w:val="21"/>
                  </w:rPr>
                  <m:t>U</m:t>
                </m:r>
              </m:e>
              <m:sub>
                <m:r>
                  <w:rPr>
                    <w:rFonts w:ascii="Cambria Math" w:hAnsi="Times New Roman"/>
                    <w:szCs w:val="21"/>
                  </w:rPr>
                  <m:t>N</m:t>
                </m:r>
              </m:sub>
              <m:sup>
                <m:r>
                  <w:rPr>
                    <w:rFonts w:ascii="Cambria Math" w:hAnsi="Times New Roman"/>
                    <w:szCs w:val="21"/>
                  </w:rPr>
                  <m:t>2</m:t>
                </m:r>
              </m:sup>
            </m:sSubSup>
          </m:num>
          <m:den>
            <m:sSub>
              <m:sSubPr>
                <m:ctrlPr>
                  <w:rPr>
                    <w:rFonts w:ascii="Cambria Math" w:hAnsi="Times New Roman"/>
                    <w:i/>
                    <w:szCs w:val="21"/>
                  </w:rPr>
                </m:ctrlPr>
              </m:sSubPr>
              <m:e>
                <m:r>
                  <w:rPr>
                    <w:rFonts w:ascii="Cambria Math" w:hAnsi="Times New Roman"/>
                    <w:szCs w:val="21"/>
                  </w:rPr>
                  <m:t>S</m:t>
                </m:r>
              </m:e>
              <m:sub>
                <m:r>
                  <w:rPr>
                    <w:rFonts w:ascii="Cambria Math" w:hAnsi="Times New Roman"/>
                    <w:szCs w:val="21"/>
                  </w:rPr>
                  <m:t>N</m:t>
                </m:r>
              </m:sub>
            </m:sSub>
            <m:ctrlPr>
              <w:rPr>
                <w:rFonts w:ascii="Cambria Math" w:hAnsi="Cambria Math"/>
                <w:i/>
                <w:szCs w:val="21"/>
              </w:rPr>
            </m:ctrlPr>
          </m:den>
        </m:f>
        <m:f>
          <m:fPr>
            <m:ctrlPr>
              <w:rPr>
                <w:rFonts w:ascii="Cambria Math" w:hAnsi="Times New Roman"/>
                <w:i/>
                <w:szCs w:val="21"/>
              </w:rPr>
            </m:ctrlPr>
          </m:fPr>
          <m:num>
            <m:sSub>
              <m:sSubPr>
                <m:ctrlPr>
                  <w:rPr>
                    <w:rFonts w:ascii="Cambria Math" w:hAnsi="Times New Roman"/>
                    <w:i/>
                    <w:szCs w:val="21"/>
                  </w:rPr>
                </m:ctrlPr>
              </m:sSubPr>
              <m:e>
                <m:r>
                  <w:rPr>
                    <w:rFonts w:ascii="Cambria Math" w:hAnsi="Times New Roman"/>
                    <w:szCs w:val="21"/>
                  </w:rPr>
                  <m:t>S</m:t>
                </m:r>
              </m:e>
              <m:sub>
                <m:r>
                  <w:rPr>
                    <w:rFonts w:ascii="Cambria Math" w:hAnsi="Times New Roman"/>
                    <w:szCs w:val="21"/>
                  </w:rPr>
                  <m:t>B</m:t>
                </m:r>
              </m:sub>
            </m:sSub>
          </m:num>
          <m:den>
            <m:sSubSup>
              <m:sSubSupPr>
                <m:ctrlPr>
                  <w:rPr>
                    <w:rFonts w:ascii="Cambria Math" w:hAnsi="Times New Roman"/>
                    <w:i/>
                    <w:szCs w:val="21"/>
                  </w:rPr>
                </m:ctrlPr>
              </m:sSubSupPr>
              <m:e>
                <m:r>
                  <w:rPr>
                    <w:rFonts w:ascii="Cambria Math" w:hAnsi="Times New Roman"/>
                    <w:szCs w:val="21"/>
                  </w:rPr>
                  <m:t>U</m:t>
                </m:r>
              </m:e>
              <m:sub>
                <m:r>
                  <w:rPr>
                    <w:rFonts w:ascii="Cambria Math" w:hAnsi="Times New Roman"/>
                    <w:szCs w:val="21"/>
                  </w:rPr>
                  <m:t>B</m:t>
                </m:r>
                <m:d>
                  <m:dPr>
                    <m:ctrlPr>
                      <w:rPr>
                        <w:rFonts w:ascii="Cambria Math" w:hAnsi="Times New Roman"/>
                        <w:i/>
                        <w:szCs w:val="21"/>
                      </w:rPr>
                    </m:ctrlPr>
                  </m:dPr>
                  <m:e>
                    <m:r>
                      <w:rPr>
                        <w:rFonts w:ascii="Cambria Math" w:hAnsi="Times New Roman"/>
                        <w:szCs w:val="21"/>
                      </w:rPr>
                      <m:t>Ι</m:t>
                    </m:r>
                  </m:e>
                </m:d>
              </m:sub>
              <m:sup>
                <m:r>
                  <w:rPr>
                    <w:rFonts w:ascii="Cambria Math" w:hAnsi="Times New Roman"/>
                    <w:szCs w:val="21"/>
                  </w:rPr>
                  <m:t>2</m:t>
                </m:r>
              </m:sup>
            </m:sSubSup>
            <m:ctrlPr>
              <w:rPr>
                <w:rFonts w:ascii="Cambria Math" w:hAnsi="Cambria Math"/>
                <w:i/>
                <w:szCs w:val="21"/>
              </w:rPr>
            </m:ctrlPr>
          </m:den>
        </m:f>
      </m:oMath>
      <w:r w:rsidR="00DA268A">
        <w:rPr>
          <w:rFonts w:ascii="Times New Roman" w:hAnsi="Times New Roman"/>
          <w:szCs w:val="21"/>
        </w:rPr>
        <w:t xml:space="preserve"> </w:t>
      </w:r>
      <w:r w:rsidR="00DA268A">
        <w:rPr>
          <w:rFonts w:ascii="Times New Roman" w:hAnsi="Times New Roman" w:hint="eastAsia"/>
          <w:szCs w:val="21"/>
        </w:rPr>
        <w:t xml:space="preserve">            </w:t>
      </w:r>
      <w:r w:rsidR="00DA268A">
        <w:rPr>
          <w:rFonts w:ascii="Times New Roman" w:hAnsi="Times New Roman"/>
          <w:szCs w:val="21"/>
        </w:rPr>
        <w:t xml:space="preserve"> </w:t>
      </w:r>
      <w:r w:rsidR="00DA268A">
        <w:rPr>
          <w:rFonts w:ascii="Times New Roman" w:hAnsi="Times New Roman"/>
          <w:szCs w:val="21"/>
        </w:rPr>
        <w:fldChar w:fldCharType="begin"/>
      </w:r>
      <w:r w:rsidR="00DA268A">
        <w:rPr>
          <w:rFonts w:ascii="Times New Roman" w:hAnsi="Times New Roman"/>
          <w:szCs w:val="21"/>
        </w:rPr>
        <w:instrText xml:space="preserve"> MACROBUTTON MTPlaceRef \* MERGEFORMAT </w:instrText>
      </w:r>
      <w:r w:rsidR="00DA268A">
        <w:rPr>
          <w:rFonts w:ascii="Times New Roman" w:hAnsi="Times New Roman"/>
          <w:szCs w:val="21"/>
        </w:rPr>
        <w:fldChar w:fldCharType="begin"/>
      </w:r>
      <w:r w:rsidR="00DA268A">
        <w:rPr>
          <w:rFonts w:ascii="Times New Roman" w:hAnsi="Times New Roman"/>
          <w:szCs w:val="21"/>
        </w:rPr>
        <w:instrText xml:space="preserve"> SEQ MTEqn \h \* MERGEFORMAT </w:instrText>
      </w:r>
      <w:r w:rsidR="00DA268A">
        <w:rPr>
          <w:rFonts w:ascii="Times New Roman" w:hAnsi="Times New Roman"/>
          <w:szCs w:val="21"/>
        </w:rPr>
        <w:fldChar w:fldCharType="end"/>
      </w:r>
      <w:r w:rsidR="00DA268A">
        <w:rPr>
          <w:rFonts w:ascii="Times New Roman" w:hAnsi="Times New Roman"/>
          <w:szCs w:val="21"/>
        </w:rPr>
        <w:instrText>(</w:instrText>
      </w:r>
      <w:r w:rsidR="00DA268A">
        <w:rPr>
          <w:rFonts w:ascii="Times New Roman" w:hAnsi="Times New Roman"/>
          <w:szCs w:val="21"/>
        </w:rPr>
        <w:fldChar w:fldCharType="begin"/>
      </w:r>
      <w:r w:rsidR="00DA268A">
        <w:rPr>
          <w:rFonts w:ascii="Times New Roman" w:hAnsi="Times New Roman"/>
          <w:szCs w:val="21"/>
        </w:rPr>
        <w:instrText xml:space="preserve"> SEQ MTEqn \c \* Arabic \* MERGEFORMAT </w:instrText>
      </w:r>
      <w:r w:rsidR="00DA268A">
        <w:rPr>
          <w:rFonts w:ascii="Times New Roman" w:hAnsi="Times New Roman"/>
          <w:szCs w:val="21"/>
        </w:rPr>
        <w:fldChar w:fldCharType="separate"/>
      </w:r>
      <w:r w:rsidR="005702C9">
        <w:rPr>
          <w:rFonts w:ascii="Times New Roman" w:hAnsi="Times New Roman"/>
          <w:noProof/>
          <w:szCs w:val="21"/>
        </w:rPr>
        <w:instrText>10</w:instrText>
      </w:r>
      <w:r w:rsidR="00DA268A">
        <w:rPr>
          <w:rFonts w:ascii="Times New Roman" w:hAnsi="Times New Roman"/>
          <w:szCs w:val="21"/>
        </w:rPr>
        <w:fldChar w:fldCharType="end"/>
      </w:r>
      <w:r w:rsidR="00DA268A">
        <w:rPr>
          <w:rFonts w:ascii="Times New Roman" w:hAnsi="Times New Roman"/>
          <w:szCs w:val="21"/>
        </w:rPr>
        <w:instrText>)</w:instrText>
      </w:r>
      <w:r w:rsidR="00DA268A">
        <w:rPr>
          <w:rFonts w:ascii="Times New Roman" w:hAnsi="Times New Roman"/>
          <w:szCs w:val="21"/>
        </w:rPr>
        <w:fldChar w:fldCharType="end"/>
      </w:r>
      <w:r w:rsidR="00DA268A">
        <w:rPr>
          <w:rFonts w:ascii="Times New Roman" w:hAnsi="Times New Roman" w:hint="eastAsia"/>
          <w:szCs w:val="21"/>
        </w:rPr>
        <w:t xml:space="preserve"> </w:t>
      </w:r>
      <w:r w:rsidR="00DA268A">
        <w:rPr>
          <w:rFonts w:ascii="Times New Roman" w:hAnsi="Times New Roman"/>
          <w:szCs w:val="21"/>
        </w:rPr>
        <w:t xml:space="preserve"> </w:t>
      </w:r>
    </w:p>
    <w:p w14:paraId="2E9BB8DD" w14:textId="41F8C9DD" w:rsidR="001F7B30" w:rsidRDefault="00DA268A" w:rsidP="006C04D4">
      <w:pPr>
        <w:rPr>
          <w:rFonts w:ascii="Times New Roman" w:hAnsi="Times New Roman"/>
          <w:szCs w:val="21"/>
        </w:rPr>
      </w:pPr>
      <w:r>
        <w:rPr>
          <w:rFonts w:ascii="Times New Roman" w:hAnsi="Times New Roman" w:hint="eastAsia"/>
          <w:szCs w:val="21"/>
        </w:rPr>
        <w:t>式中：</w:t>
      </w:r>
      <w:r>
        <w:rPr>
          <w:rFonts w:ascii="Times New Roman" w:hAnsi="Times New Roman"/>
          <w:i/>
          <w:iCs/>
          <w:szCs w:val="21"/>
        </w:rPr>
        <w:t>U</w:t>
      </w:r>
      <w:r>
        <w:rPr>
          <w:rFonts w:ascii="Times New Roman" w:hAnsi="Times New Roman" w:hint="eastAsia"/>
          <w:i/>
          <w:iCs/>
          <w:szCs w:val="21"/>
        </w:rPr>
        <w:t>s</w:t>
      </w:r>
      <w:r>
        <w:rPr>
          <w:rFonts w:ascii="Times New Roman" w:hAnsi="Times New Roman"/>
          <w:szCs w:val="21"/>
        </w:rPr>
        <w:t>%</w:t>
      </w:r>
      <w:r>
        <w:rPr>
          <w:rFonts w:ascii="Times New Roman" w:hAnsi="Times New Roman" w:hint="eastAsia"/>
          <w:szCs w:val="21"/>
        </w:rPr>
        <w:t>为短路电压百分值（变压器的出厂参数之一），对于</w:t>
      </w:r>
      <w:r>
        <w:rPr>
          <w:rFonts w:ascii="Times New Roman" w:hAnsi="Times New Roman" w:hint="eastAsia"/>
          <w:szCs w:val="21"/>
        </w:rPr>
        <w:t>220/110kV</w:t>
      </w:r>
      <w:r>
        <w:rPr>
          <w:rFonts w:ascii="Times New Roman" w:hAnsi="Times New Roman" w:hint="eastAsia"/>
          <w:szCs w:val="21"/>
        </w:rPr>
        <w:t>变压器、</w:t>
      </w:r>
      <w:r>
        <w:rPr>
          <w:rFonts w:ascii="Times New Roman" w:hAnsi="Times New Roman" w:hint="eastAsia"/>
          <w:szCs w:val="21"/>
        </w:rPr>
        <w:t>220/10kV</w:t>
      </w:r>
      <w:r>
        <w:rPr>
          <w:rFonts w:ascii="Times New Roman" w:hAnsi="Times New Roman" w:hint="eastAsia"/>
          <w:szCs w:val="21"/>
        </w:rPr>
        <w:t>变压器和</w:t>
      </w:r>
      <w:r>
        <w:rPr>
          <w:rFonts w:ascii="Times New Roman" w:hAnsi="Times New Roman" w:hint="eastAsia"/>
          <w:szCs w:val="21"/>
        </w:rPr>
        <w:t>110/10kV</w:t>
      </w:r>
      <w:r>
        <w:rPr>
          <w:rFonts w:ascii="Times New Roman" w:hAnsi="Times New Roman" w:hint="eastAsia"/>
          <w:szCs w:val="21"/>
        </w:rPr>
        <w:t>变压器，</w:t>
      </w:r>
      <w:r>
        <w:rPr>
          <w:rFonts w:ascii="Times New Roman" w:hAnsi="Times New Roman"/>
          <w:i/>
          <w:iCs/>
          <w:szCs w:val="21"/>
        </w:rPr>
        <w:t>U</w:t>
      </w:r>
      <w:r>
        <w:rPr>
          <w:rFonts w:ascii="Times New Roman" w:hAnsi="Times New Roman" w:hint="eastAsia"/>
          <w:i/>
          <w:iCs/>
          <w:szCs w:val="21"/>
        </w:rPr>
        <w:t>s</w:t>
      </w:r>
      <w:r>
        <w:rPr>
          <w:rFonts w:ascii="Times New Roman" w:hAnsi="Times New Roman"/>
          <w:szCs w:val="21"/>
        </w:rPr>
        <w:t>%</w:t>
      </w:r>
      <w:r>
        <w:rPr>
          <w:rFonts w:ascii="Times New Roman" w:hAnsi="Times New Roman" w:hint="eastAsia"/>
          <w:szCs w:val="21"/>
        </w:rPr>
        <w:t>分别取</w:t>
      </w:r>
      <w:r>
        <w:rPr>
          <w:rFonts w:ascii="Times New Roman" w:hAnsi="Times New Roman" w:hint="eastAsia"/>
          <w:szCs w:val="21"/>
        </w:rPr>
        <w:t>13</w:t>
      </w:r>
      <w:r>
        <w:rPr>
          <w:rFonts w:ascii="Times New Roman" w:hAnsi="Times New Roman" w:hint="eastAsia"/>
          <w:szCs w:val="21"/>
        </w:rPr>
        <w:t>、</w:t>
      </w:r>
      <w:r>
        <w:rPr>
          <w:rFonts w:ascii="Times New Roman" w:hAnsi="Times New Roman" w:hint="eastAsia"/>
          <w:szCs w:val="21"/>
        </w:rPr>
        <w:t>23</w:t>
      </w:r>
      <w:r>
        <w:rPr>
          <w:rFonts w:ascii="Times New Roman" w:hAnsi="Times New Roman" w:hint="eastAsia"/>
          <w:szCs w:val="21"/>
        </w:rPr>
        <w:t>和</w:t>
      </w:r>
      <w:r>
        <w:rPr>
          <w:rFonts w:ascii="Times New Roman" w:hAnsi="Times New Roman" w:hint="eastAsia"/>
          <w:szCs w:val="21"/>
        </w:rPr>
        <w:t>10.5</w:t>
      </w:r>
      <w:r>
        <w:rPr>
          <w:rFonts w:ascii="Times New Roman" w:hAnsi="Times New Roman" w:hint="eastAsia"/>
          <w:szCs w:val="21"/>
        </w:rPr>
        <w:t>。</w:t>
      </w:r>
      <w:r>
        <w:rPr>
          <w:rFonts w:ascii="Times New Roman" w:hAnsi="Times New Roman"/>
          <w:szCs w:val="21"/>
          <w:vertAlign w:val="superscript"/>
        </w:rPr>
        <w:fldChar w:fldCharType="begin"/>
      </w:r>
      <w:r>
        <w:rPr>
          <w:rFonts w:ascii="Times New Roman" w:hAnsi="Times New Roman"/>
          <w:szCs w:val="21"/>
          <w:vertAlign w:val="superscript"/>
        </w:rPr>
        <w:instrText xml:space="preserve"> </w:instrText>
      </w:r>
      <w:r>
        <w:rPr>
          <w:rFonts w:ascii="Times New Roman" w:hAnsi="Times New Roman" w:hint="eastAsia"/>
          <w:szCs w:val="21"/>
          <w:vertAlign w:val="superscript"/>
        </w:rPr>
        <w:instrText>REF _Ref177438368 \r \h</w:instrText>
      </w:r>
      <w:r>
        <w:rPr>
          <w:rFonts w:ascii="Times New Roman" w:hAnsi="Times New Roman"/>
          <w:szCs w:val="21"/>
          <w:vertAlign w:val="superscript"/>
        </w:rPr>
        <w:instrText xml:space="preserve">  \* MERGEFORMAT </w:instrText>
      </w:r>
      <w:r>
        <w:rPr>
          <w:rFonts w:ascii="Times New Roman" w:hAnsi="Times New Roman"/>
          <w:szCs w:val="21"/>
          <w:vertAlign w:val="superscript"/>
        </w:rPr>
      </w:r>
      <w:r>
        <w:rPr>
          <w:rFonts w:ascii="Times New Roman" w:hAnsi="Times New Roman"/>
          <w:szCs w:val="21"/>
          <w:vertAlign w:val="superscript"/>
        </w:rPr>
        <w:fldChar w:fldCharType="separate"/>
      </w:r>
      <w:r w:rsidR="005702C9">
        <w:rPr>
          <w:rFonts w:ascii="Times New Roman" w:hAnsi="Times New Roman"/>
          <w:szCs w:val="21"/>
          <w:vertAlign w:val="superscript"/>
          <w:cs/>
        </w:rPr>
        <w:t>‎</w:t>
      </w:r>
      <w:r w:rsidR="005702C9" w:rsidRPr="005702C9">
        <w:rPr>
          <w:rFonts w:ascii="Times New Roman" w:hAnsi="Times New Roman"/>
          <w:color w:val="0000FF"/>
          <w:szCs w:val="21"/>
          <w:vertAlign w:val="superscript"/>
        </w:rPr>
        <w:t>[40]</w:t>
      </w:r>
      <w:r>
        <w:rPr>
          <w:rFonts w:ascii="Times New Roman" w:hAnsi="Times New Roman"/>
          <w:szCs w:val="21"/>
          <w:vertAlign w:val="superscript"/>
        </w:rPr>
        <w:fldChar w:fldCharType="end"/>
      </w:r>
      <w:r>
        <w:rPr>
          <w:rFonts w:ascii="Times New Roman" w:hAnsi="Times New Roman" w:hint="eastAsia"/>
          <w:szCs w:val="21"/>
        </w:rPr>
        <w:t>当</w:t>
      </w:r>
      <w:r>
        <w:rPr>
          <w:rFonts w:ascii="Times New Roman" w:hAnsi="Times New Roman" w:hint="eastAsia"/>
          <w:i/>
          <w:iCs/>
          <w:szCs w:val="21"/>
        </w:rPr>
        <w:t>k</w:t>
      </w:r>
      <w:r>
        <w:rPr>
          <w:rFonts w:ascii="Times New Roman" w:hAnsi="Times New Roman"/>
          <w:i/>
          <w:iCs/>
          <w:szCs w:val="21"/>
          <w:vertAlign w:val="subscript"/>
        </w:rPr>
        <w:t>T*</w:t>
      </w:r>
      <w:r>
        <w:rPr>
          <w:rFonts w:ascii="Times New Roman" w:hAnsi="Times New Roman" w:hint="eastAsia"/>
          <w:szCs w:val="21"/>
        </w:rPr>
        <w:t>≠</w:t>
      </w:r>
      <w:r>
        <w:rPr>
          <w:rFonts w:ascii="Times New Roman" w:hAnsi="Times New Roman" w:hint="eastAsia"/>
          <w:szCs w:val="21"/>
        </w:rPr>
        <w:t>1</w:t>
      </w:r>
      <w:r>
        <w:rPr>
          <w:rFonts w:ascii="Times New Roman" w:hAnsi="Times New Roman" w:hint="eastAsia"/>
          <w:szCs w:val="21"/>
        </w:rPr>
        <w:t>时，称该变压器为非基准变比变压器，其电抗标幺值需要乘以变比标幺值以进行修正。</w:t>
      </w:r>
    </w:p>
    <w:p w14:paraId="270FBEF8" w14:textId="77777777" w:rsidR="001F7B30" w:rsidRDefault="00DA268A" w:rsidP="008453EA">
      <w:pPr>
        <w:widowControl/>
        <w:spacing w:line="240" w:lineRule="atLeast"/>
        <w:outlineLvl w:val="0"/>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4</w:t>
      </w:r>
      <w:r>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震后功能评价</w:t>
      </w:r>
    </w:p>
    <w:p w14:paraId="221DEAEA" w14:textId="1089C9E5" w:rsidR="001F7B30" w:rsidRDefault="00DA268A" w:rsidP="008453EA">
      <w:pPr>
        <w:widowControl/>
        <w:spacing w:line="240" w:lineRule="atLeast"/>
        <w:outlineLvl w:val="1"/>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4</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1</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震损场景</w:t>
      </w:r>
    </w:p>
    <w:p w14:paraId="70C9DD09" w14:textId="7CE6F3BA" w:rsidR="001F7B30" w:rsidRDefault="00DA268A">
      <w:pPr>
        <w:ind w:firstLineChars="200" w:firstLine="420"/>
        <w:rPr>
          <w:rFonts w:ascii="Times New Roman" w:hAnsi="Times New Roman"/>
          <w:szCs w:val="21"/>
        </w:rPr>
      </w:pPr>
      <w:r>
        <w:rPr>
          <w:rFonts w:ascii="Times New Roman" w:hAnsi="Times New Roman"/>
          <w:szCs w:val="21"/>
        </w:rPr>
        <w:t>蒙特卡洛模拟是一种基于概率统计的数值计算方法，适用于处理复杂、不确定性强的问题，特别是在传统解析方法难以适用的场景下具有优势</w:t>
      </w:r>
      <w:r>
        <w:rPr>
          <w:rFonts w:ascii="Times New Roman" w:hAnsi="Times New Roman" w:hint="eastAsia"/>
          <w:szCs w:val="21"/>
        </w:rPr>
        <w:t>。本文</w:t>
      </w:r>
      <w:r>
        <w:rPr>
          <w:rFonts w:ascii="Times New Roman" w:hAnsi="Times New Roman"/>
          <w:szCs w:val="21"/>
        </w:rPr>
        <w:t>采用</w:t>
      </w:r>
      <w:r>
        <w:rPr>
          <w:rFonts w:ascii="Times New Roman" w:hAnsi="Times New Roman" w:hint="eastAsia"/>
          <w:szCs w:val="21"/>
        </w:rPr>
        <w:t>此</w:t>
      </w:r>
      <w:r>
        <w:rPr>
          <w:rFonts w:ascii="Times New Roman" w:hAnsi="Times New Roman"/>
          <w:szCs w:val="21"/>
        </w:rPr>
        <w:t>方法进行多次震损场景模拟，从统计层面评估城市电力系统的震后供电能力</w:t>
      </w:r>
      <w:r>
        <w:rPr>
          <w:rFonts w:ascii="Times New Roman" w:hAnsi="Times New Roman" w:hint="eastAsia"/>
          <w:szCs w:val="21"/>
        </w:rPr>
        <w:t>，各类电力设施的地震易损性参数</w:t>
      </w:r>
      <w:r w:rsidR="00EB0486" w:rsidRPr="008453EA">
        <w:rPr>
          <w:rFonts w:ascii="Times New Roman" w:hAnsi="Times New Roman" w:cs="Times New Roman"/>
          <w:color w:val="0000FF"/>
          <w:szCs w:val="21"/>
          <w:vertAlign w:val="superscript"/>
        </w:rPr>
        <w:fldChar w:fldCharType="begin"/>
      </w:r>
      <w:r w:rsidR="00EB0486" w:rsidRPr="008453EA">
        <w:rPr>
          <w:rFonts w:ascii="Times New Roman" w:hAnsi="Times New Roman" w:cs="Times New Roman"/>
          <w:color w:val="0000FF"/>
          <w:szCs w:val="21"/>
          <w:vertAlign w:val="superscript"/>
        </w:rPr>
        <w:instrText xml:space="preserve"> REF _Ref204640033 \r \h </w:instrText>
      </w:r>
      <w:r w:rsidR="00EB0486">
        <w:rPr>
          <w:rFonts w:ascii="Times New Roman" w:hAnsi="Times New Roman" w:cs="Times New Roman"/>
          <w:color w:val="0000FF"/>
          <w:szCs w:val="21"/>
          <w:vertAlign w:val="superscript"/>
        </w:rPr>
        <w:instrText xml:space="preserve"> \* MERGEFORMAT </w:instrText>
      </w:r>
      <w:r w:rsidR="00EB0486" w:rsidRPr="008453EA">
        <w:rPr>
          <w:rFonts w:ascii="Times New Roman" w:hAnsi="Times New Roman" w:cs="Times New Roman"/>
          <w:color w:val="0000FF"/>
          <w:szCs w:val="21"/>
          <w:vertAlign w:val="superscript"/>
        </w:rPr>
      </w:r>
      <w:r w:rsidR="00EB0486" w:rsidRPr="008453EA">
        <w:rPr>
          <w:rFonts w:ascii="Times New Roman" w:hAnsi="Times New Roman" w:cs="Times New Roman"/>
          <w:color w:val="0000FF"/>
          <w:szCs w:val="21"/>
          <w:vertAlign w:val="superscript"/>
        </w:rPr>
        <w:fldChar w:fldCharType="separate"/>
      </w:r>
      <w:r w:rsidR="005702C9">
        <w:rPr>
          <w:rFonts w:ascii="Times New Roman" w:hAnsi="Times New Roman" w:cs="Times New Roman"/>
          <w:color w:val="0000FF"/>
          <w:szCs w:val="21"/>
          <w:vertAlign w:val="superscript"/>
          <w:cs/>
        </w:rPr>
        <w:t>‎</w:t>
      </w:r>
      <w:r w:rsidR="005702C9">
        <w:rPr>
          <w:rFonts w:ascii="Times New Roman" w:hAnsi="Times New Roman" w:cs="Times New Roman"/>
          <w:color w:val="0000FF"/>
          <w:szCs w:val="21"/>
          <w:vertAlign w:val="superscript"/>
        </w:rPr>
        <w:t>[29]</w:t>
      </w:r>
      <w:r w:rsidR="00EB0486" w:rsidRPr="008453EA">
        <w:rPr>
          <w:rFonts w:ascii="Times New Roman" w:hAnsi="Times New Roman" w:cs="Times New Roman"/>
          <w:color w:val="0000FF"/>
          <w:szCs w:val="21"/>
          <w:vertAlign w:val="superscript"/>
        </w:rPr>
        <w:fldChar w:fldCharType="end"/>
      </w:r>
      <w:r>
        <w:rPr>
          <w:rFonts w:ascii="Times New Roman" w:hAnsi="Times New Roman" w:hint="eastAsia"/>
          <w:szCs w:val="21"/>
        </w:rPr>
        <w:t>如</w:t>
      </w:r>
      <w:r>
        <w:rPr>
          <w:rFonts w:ascii="Times New Roman" w:hAnsi="Times New Roman"/>
          <w:color w:val="0000FF"/>
          <w:szCs w:val="21"/>
        </w:rPr>
        <w:fldChar w:fldCharType="begin"/>
      </w:r>
      <w:r>
        <w:rPr>
          <w:rFonts w:ascii="Times New Roman" w:hAnsi="Times New Roman"/>
          <w:color w:val="0000FF"/>
          <w:szCs w:val="21"/>
        </w:rPr>
        <w:instrText xml:space="preserve"> </w:instrText>
      </w:r>
      <w:r>
        <w:rPr>
          <w:rFonts w:ascii="Times New Roman" w:hAnsi="Times New Roman" w:hint="eastAsia"/>
          <w:color w:val="0000FF"/>
          <w:szCs w:val="21"/>
        </w:rPr>
        <w:instrText>REF _Ref177544027 \r \h</w:instrText>
      </w:r>
      <w:r>
        <w:rPr>
          <w:rFonts w:ascii="Times New Roman" w:hAnsi="Times New Roman"/>
          <w:color w:val="0000FF"/>
          <w:szCs w:val="21"/>
        </w:rPr>
        <w:instrText xml:space="preserve">  \* MERGEFORMAT </w:instrText>
      </w:r>
      <w:r>
        <w:rPr>
          <w:rFonts w:ascii="Times New Roman" w:hAnsi="Times New Roman"/>
          <w:color w:val="0000FF"/>
          <w:szCs w:val="21"/>
        </w:rPr>
      </w:r>
      <w:r>
        <w:rPr>
          <w:rFonts w:ascii="Times New Roman" w:hAnsi="Times New Roman"/>
          <w:color w:val="0000FF"/>
          <w:szCs w:val="21"/>
        </w:rPr>
        <w:fldChar w:fldCharType="separate"/>
      </w:r>
      <w:r w:rsidR="005702C9">
        <w:rPr>
          <w:rFonts w:ascii="Times New Roman" w:hAnsi="Times New Roman"/>
          <w:color w:val="0000FF"/>
          <w:szCs w:val="21"/>
          <w:cs/>
        </w:rPr>
        <w:t>‎</w:t>
      </w:r>
      <w:r w:rsidR="005702C9">
        <w:rPr>
          <w:rFonts w:ascii="Times New Roman" w:hAnsi="Times New Roman" w:hint="eastAsia"/>
          <w:color w:val="0000FF"/>
          <w:szCs w:val="21"/>
        </w:rPr>
        <w:t>表</w:t>
      </w:r>
      <w:r w:rsidR="005702C9">
        <w:rPr>
          <w:rFonts w:ascii="Times New Roman" w:hAnsi="Times New Roman"/>
          <w:color w:val="0000FF"/>
          <w:szCs w:val="21"/>
        </w:rPr>
        <w:t>4</w:t>
      </w:r>
      <w:r>
        <w:rPr>
          <w:rFonts w:ascii="Times New Roman" w:hAnsi="Times New Roman"/>
          <w:color w:val="0000FF"/>
          <w:szCs w:val="21"/>
        </w:rPr>
        <w:fldChar w:fldCharType="end"/>
      </w:r>
      <w:r>
        <w:rPr>
          <w:rFonts w:ascii="Times New Roman" w:hAnsi="Times New Roman" w:hint="eastAsia"/>
          <w:szCs w:val="21"/>
        </w:rPr>
        <w:t>所示。</w:t>
      </w:r>
    </w:p>
    <w:p w14:paraId="0B318DCC" w14:textId="77777777" w:rsidR="001F7B30" w:rsidRDefault="00DA268A">
      <w:pPr>
        <w:pStyle w:val="a"/>
        <w:numPr>
          <w:ilvl w:val="0"/>
          <w:numId w:val="3"/>
        </w:numPr>
        <w:ind w:left="0" w:firstLine="0"/>
        <w:jc w:val="center"/>
        <w:rPr>
          <w:rFonts w:ascii="Times New Roman" w:hAnsi="Times New Roman"/>
          <w:szCs w:val="21"/>
        </w:rPr>
      </w:pPr>
      <w:bookmarkStart w:id="25" w:name="_Ref177544027"/>
      <w:r>
        <w:rPr>
          <w:rFonts w:ascii="Times New Roman" w:hAnsi="Times New Roman" w:hint="eastAsia"/>
          <w:szCs w:val="21"/>
        </w:rPr>
        <w:t>电力设施易损性参数</w:t>
      </w:r>
      <w:bookmarkEnd w:id="25"/>
    </w:p>
    <w:tbl>
      <w:tblPr>
        <w:tblW w:w="5000" w:type="pct"/>
        <w:jc w:val="center"/>
        <w:tblLook w:val="04A0" w:firstRow="1" w:lastRow="0" w:firstColumn="1" w:lastColumn="0" w:noHBand="0" w:noVBand="1"/>
      </w:tblPr>
      <w:tblGrid>
        <w:gridCol w:w="1550"/>
        <w:gridCol w:w="1395"/>
        <w:gridCol w:w="951"/>
        <w:gridCol w:w="823"/>
      </w:tblGrid>
      <w:tr w:rsidR="001F7B30" w14:paraId="70D8B83A" w14:textId="77777777">
        <w:trPr>
          <w:trHeight w:val="20"/>
          <w:jc w:val="center"/>
        </w:trPr>
        <w:tc>
          <w:tcPr>
            <w:tcW w:w="1642" w:type="pct"/>
            <w:tcBorders>
              <w:top w:val="single" w:sz="12" w:space="0" w:color="auto"/>
              <w:left w:val="nil"/>
              <w:bottom w:val="single" w:sz="6" w:space="0" w:color="auto"/>
              <w:right w:val="nil"/>
            </w:tcBorders>
            <w:vAlign w:val="center"/>
          </w:tcPr>
          <w:p w14:paraId="07197167" w14:textId="77777777" w:rsidR="001F7B30" w:rsidRDefault="00DA268A">
            <w:pPr>
              <w:widowControl/>
              <w:jc w:val="center"/>
              <w:rPr>
                <w:rFonts w:ascii="Times New Roman" w:hAnsi="Times New Roman"/>
                <w:kern w:val="0"/>
                <w:sz w:val="15"/>
                <w:szCs w:val="15"/>
              </w:rPr>
            </w:pPr>
            <w:r>
              <w:rPr>
                <w:rFonts w:ascii="Times New Roman" w:hAnsi="Times New Roman" w:hint="eastAsia"/>
                <w:kern w:val="0"/>
                <w:sz w:val="15"/>
                <w:szCs w:val="15"/>
              </w:rPr>
              <w:t>电力设施</w:t>
            </w:r>
          </w:p>
        </w:tc>
        <w:tc>
          <w:tcPr>
            <w:tcW w:w="1478" w:type="pct"/>
            <w:tcBorders>
              <w:top w:val="single" w:sz="12" w:space="0" w:color="auto"/>
              <w:left w:val="nil"/>
              <w:bottom w:val="single" w:sz="6" w:space="0" w:color="auto"/>
              <w:right w:val="nil"/>
            </w:tcBorders>
            <w:vAlign w:val="center"/>
          </w:tcPr>
          <w:p w14:paraId="762028EC" w14:textId="77777777" w:rsidR="001F7B30" w:rsidRDefault="00DA268A">
            <w:pPr>
              <w:widowControl/>
              <w:jc w:val="center"/>
              <w:rPr>
                <w:rFonts w:ascii="Times New Roman" w:hAnsi="Times New Roman"/>
                <w:kern w:val="0"/>
                <w:sz w:val="15"/>
                <w:szCs w:val="15"/>
              </w:rPr>
            </w:pPr>
            <w:r>
              <w:rPr>
                <w:rFonts w:ascii="Times New Roman" w:hAnsi="Times New Roman" w:hint="eastAsia"/>
                <w:kern w:val="0"/>
                <w:sz w:val="15"/>
                <w:szCs w:val="15"/>
              </w:rPr>
              <w:t>损伤状态</w:t>
            </w:r>
          </w:p>
        </w:tc>
        <w:tc>
          <w:tcPr>
            <w:tcW w:w="1008" w:type="pct"/>
            <w:tcBorders>
              <w:top w:val="single" w:sz="12" w:space="0" w:color="auto"/>
              <w:left w:val="nil"/>
              <w:bottom w:val="single" w:sz="6" w:space="0" w:color="auto"/>
              <w:right w:val="nil"/>
            </w:tcBorders>
            <w:vAlign w:val="center"/>
          </w:tcPr>
          <w:p w14:paraId="4ACEE1E4" w14:textId="311AC361" w:rsidR="001F7B30" w:rsidRDefault="00DA268A">
            <w:pPr>
              <w:widowControl/>
              <w:jc w:val="center"/>
              <w:rPr>
                <w:rFonts w:ascii="Times New Roman" w:hAnsi="Times New Roman"/>
                <w:kern w:val="0"/>
                <w:sz w:val="15"/>
                <w:szCs w:val="15"/>
              </w:rPr>
            </w:pPr>
            <w:r>
              <w:rPr>
                <w:rFonts w:ascii="Times New Roman" w:hAnsi="Times New Roman" w:hint="eastAsia"/>
                <w:kern w:val="0"/>
                <w:sz w:val="15"/>
                <w:szCs w:val="15"/>
              </w:rPr>
              <w:t>抗震能力中值</w:t>
            </w:r>
            <w:r w:rsidR="0016207C">
              <w:rPr>
                <w:rFonts w:ascii="Times New Roman" w:hAnsi="Times New Roman" w:hint="eastAsia"/>
                <w:kern w:val="0"/>
                <w:sz w:val="15"/>
                <w:szCs w:val="15"/>
              </w:rPr>
              <w:t>/ g</w:t>
            </w:r>
          </w:p>
        </w:tc>
        <w:tc>
          <w:tcPr>
            <w:tcW w:w="872" w:type="pct"/>
            <w:tcBorders>
              <w:top w:val="single" w:sz="12" w:space="0" w:color="auto"/>
              <w:left w:val="nil"/>
              <w:bottom w:val="single" w:sz="6" w:space="0" w:color="auto"/>
              <w:right w:val="nil"/>
            </w:tcBorders>
          </w:tcPr>
          <w:p w14:paraId="7DBCC0EA" w14:textId="77777777" w:rsidR="001F7B30" w:rsidRDefault="00DA268A">
            <w:pPr>
              <w:widowControl/>
              <w:jc w:val="center"/>
              <w:rPr>
                <w:rFonts w:ascii="Times New Roman" w:hAnsi="Times New Roman"/>
                <w:kern w:val="0"/>
                <w:sz w:val="15"/>
                <w:szCs w:val="15"/>
              </w:rPr>
            </w:pPr>
            <w:r>
              <w:rPr>
                <w:rFonts w:ascii="Times New Roman" w:hAnsi="Times New Roman" w:hint="eastAsia"/>
                <w:kern w:val="0"/>
                <w:sz w:val="15"/>
                <w:szCs w:val="15"/>
              </w:rPr>
              <w:t>对数</w:t>
            </w:r>
          </w:p>
          <w:p w14:paraId="4D41D016" w14:textId="77777777" w:rsidR="001F7B30" w:rsidRDefault="00DA268A">
            <w:pPr>
              <w:widowControl/>
              <w:jc w:val="center"/>
              <w:rPr>
                <w:rFonts w:ascii="Times New Roman" w:hAnsi="Times New Roman"/>
                <w:kern w:val="0"/>
                <w:sz w:val="15"/>
                <w:szCs w:val="15"/>
              </w:rPr>
            </w:pPr>
            <w:r>
              <w:rPr>
                <w:rFonts w:ascii="Times New Roman" w:hAnsi="Times New Roman" w:hint="eastAsia"/>
                <w:kern w:val="0"/>
                <w:sz w:val="15"/>
                <w:szCs w:val="15"/>
              </w:rPr>
              <w:t>标准差</w:t>
            </w:r>
          </w:p>
        </w:tc>
      </w:tr>
      <w:tr w:rsidR="001F7B30" w14:paraId="3AABB49C" w14:textId="77777777">
        <w:trPr>
          <w:trHeight w:val="20"/>
          <w:jc w:val="center"/>
        </w:trPr>
        <w:tc>
          <w:tcPr>
            <w:tcW w:w="1642" w:type="pct"/>
            <w:vMerge w:val="restart"/>
            <w:tcBorders>
              <w:top w:val="single" w:sz="6" w:space="0" w:color="auto"/>
              <w:left w:val="nil"/>
              <w:right w:val="nil"/>
            </w:tcBorders>
            <w:vAlign w:val="center"/>
          </w:tcPr>
          <w:p w14:paraId="452079EA"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火力发电厂</w:t>
            </w:r>
          </w:p>
        </w:tc>
        <w:tc>
          <w:tcPr>
            <w:tcW w:w="1478" w:type="pct"/>
            <w:tcBorders>
              <w:top w:val="single" w:sz="6" w:space="0" w:color="auto"/>
              <w:left w:val="nil"/>
              <w:bottom w:val="nil"/>
              <w:right w:val="nil"/>
            </w:tcBorders>
            <w:vAlign w:val="center"/>
          </w:tcPr>
          <w:p w14:paraId="09F1CEC4"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轻微破坏</w:t>
            </w:r>
          </w:p>
        </w:tc>
        <w:tc>
          <w:tcPr>
            <w:tcW w:w="1008" w:type="pct"/>
            <w:tcBorders>
              <w:top w:val="single" w:sz="6" w:space="0" w:color="auto"/>
              <w:left w:val="nil"/>
              <w:bottom w:val="nil"/>
              <w:right w:val="nil"/>
            </w:tcBorders>
            <w:vAlign w:val="center"/>
          </w:tcPr>
          <w:p w14:paraId="1C95F6FE"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0.1</w:t>
            </w:r>
          </w:p>
        </w:tc>
        <w:tc>
          <w:tcPr>
            <w:tcW w:w="872" w:type="pct"/>
            <w:tcBorders>
              <w:top w:val="single" w:sz="6" w:space="0" w:color="auto"/>
              <w:left w:val="nil"/>
              <w:bottom w:val="nil"/>
              <w:right w:val="nil"/>
            </w:tcBorders>
          </w:tcPr>
          <w:p w14:paraId="4031342F"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0.55</w:t>
            </w:r>
          </w:p>
        </w:tc>
      </w:tr>
      <w:tr w:rsidR="001F7B30" w14:paraId="2ABED9DD" w14:textId="77777777">
        <w:trPr>
          <w:trHeight w:val="20"/>
          <w:jc w:val="center"/>
        </w:trPr>
        <w:tc>
          <w:tcPr>
            <w:tcW w:w="1642" w:type="pct"/>
            <w:vMerge/>
            <w:vAlign w:val="center"/>
          </w:tcPr>
          <w:p w14:paraId="683C8DBA"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7615F63A"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中等破坏</w:t>
            </w:r>
          </w:p>
        </w:tc>
        <w:tc>
          <w:tcPr>
            <w:tcW w:w="1008" w:type="pct"/>
            <w:vAlign w:val="center"/>
          </w:tcPr>
          <w:p w14:paraId="43941139"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0.21</w:t>
            </w:r>
          </w:p>
        </w:tc>
        <w:tc>
          <w:tcPr>
            <w:tcW w:w="872" w:type="pct"/>
          </w:tcPr>
          <w:p w14:paraId="22657ED1"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0.55</w:t>
            </w:r>
          </w:p>
        </w:tc>
      </w:tr>
      <w:tr w:rsidR="001F7B30" w14:paraId="66052C15" w14:textId="77777777">
        <w:trPr>
          <w:trHeight w:val="20"/>
          <w:jc w:val="center"/>
        </w:trPr>
        <w:tc>
          <w:tcPr>
            <w:tcW w:w="1642" w:type="pct"/>
            <w:vMerge/>
            <w:vAlign w:val="center"/>
          </w:tcPr>
          <w:p w14:paraId="76B8C720"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29BC20A5"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严重破坏</w:t>
            </w:r>
          </w:p>
        </w:tc>
        <w:tc>
          <w:tcPr>
            <w:tcW w:w="1008" w:type="pct"/>
            <w:vAlign w:val="center"/>
          </w:tcPr>
          <w:p w14:paraId="313D23E6"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0.48</w:t>
            </w:r>
          </w:p>
        </w:tc>
        <w:tc>
          <w:tcPr>
            <w:tcW w:w="872" w:type="pct"/>
          </w:tcPr>
          <w:p w14:paraId="1196ECC0"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0.5</w:t>
            </w:r>
          </w:p>
        </w:tc>
      </w:tr>
      <w:tr w:rsidR="001F7B30" w14:paraId="783B5B00" w14:textId="77777777">
        <w:trPr>
          <w:trHeight w:val="20"/>
          <w:jc w:val="center"/>
        </w:trPr>
        <w:tc>
          <w:tcPr>
            <w:tcW w:w="1642" w:type="pct"/>
            <w:vMerge/>
            <w:vAlign w:val="center"/>
          </w:tcPr>
          <w:p w14:paraId="6F791384"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12EEB2C1"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完全破坏</w:t>
            </w:r>
          </w:p>
        </w:tc>
        <w:tc>
          <w:tcPr>
            <w:tcW w:w="1008" w:type="pct"/>
            <w:vAlign w:val="center"/>
          </w:tcPr>
          <w:p w14:paraId="6A4C5D11"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0.78</w:t>
            </w:r>
          </w:p>
        </w:tc>
        <w:tc>
          <w:tcPr>
            <w:tcW w:w="872" w:type="pct"/>
          </w:tcPr>
          <w:p w14:paraId="0E9B55E8"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0.5</w:t>
            </w:r>
          </w:p>
        </w:tc>
      </w:tr>
      <w:tr w:rsidR="001F7B30" w14:paraId="53592F8A" w14:textId="77777777">
        <w:trPr>
          <w:trHeight w:val="20"/>
          <w:jc w:val="center"/>
        </w:trPr>
        <w:tc>
          <w:tcPr>
            <w:tcW w:w="1642" w:type="pct"/>
            <w:vMerge w:val="restart"/>
            <w:vAlign w:val="center"/>
          </w:tcPr>
          <w:p w14:paraId="181F1845"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10kV</w:t>
            </w:r>
            <w:r>
              <w:rPr>
                <w:rFonts w:ascii="Times New Roman" w:hAnsi="Times New Roman" w:hint="eastAsia"/>
                <w:kern w:val="0"/>
                <w:sz w:val="15"/>
                <w:szCs w:val="15"/>
              </w:rPr>
              <w:t>开闭所</w:t>
            </w:r>
          </w:p>
        </w:tc>
        <w:tc>
          <w:tcPr>
            <w:tcW w:w="1478" w:type="pct"/>
            <w:vAlign w:val="center"/>
          </w:tcPr>
          <w:p w14:paraId="7BF2DFE9"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轻微破坏</w:t>
            </w:r>
          </w:p>
        </w:tc>
        <w:tc>
          <w:tcPr>
            <w:tcW w:w="1008" w:type="pct"/>
            <w:vAlign w:val="center"/>
          </w:tcPr>
          <w:p w14:paraId="2F84ED79"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0.4</w:t>
            </w:r>
          </w:p>
        </w:tc>
        <w:tc>
          <w:tcPr>
            <w:tcW w:w="872" w:type="pct"/>
            <w:vAlign w:val="center"/>
          </w:tcPr>
          <w:p w14:paraId="1997104E"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0.25</w:t>
            </w:r>
          </w:p>
        </w:tc>
      </w:tr>
      <w:tr w:rsidR="001F7B30" w14:paraId="7198C6E6" w14:textId="77777777">
        <w:trPr>
          <w:trHeight w:val="20"/>
          <w:jc w:val="center"/>
        </w:trPr>
        <w:tc>
          <w:tcPr>
            <w:tcW w:w="1642" w:type="pct"/>
            <w:vMerge/>
            <w:vAlign w:val="center"/>
          </w:tcPr>
          <w:p w14:paraId="1F81AB9C"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4CA1376B"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中等破坏</w:t>
            </w:r>
          </w:p>
        </w:tc>
        <w:tc>
          <w:tcPr>
            <w:tcW w:w="1008" w:type="pct"/>
            <w:vAlign w:val="center"/>
          </w:tcPr>
          <w:p w14:paraId="5FD7E31A"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0.45</w:t>
            </w:r>
          </w:p>
        </w:tc>
        <w:tc>
          <w:tcPr>
            <w:tcW w:w="872" w:type="pct"/>
            <w:vAlign w:val="center"/>
          </w:tcPr>
          <w:p w14:paraId="78305779"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0.25</w:t>
            </w:r>
          </w:p>
        </w:tc>
      </w:tr>
      <w:tr w:rsidR="001F7B30" w14:paraId="7B66515E" w14:textId="77777777">
        <w:trPr>
          <w:trHeight w:val="20"/>
          <w:jc w:val="center"/>
        </w:trPr>
        <w:tc>
          <w:tcPr>
            <w:tcW w:w="1642" w:type="pct"/>
            <w:vMerge/>
            <w:vAlign w:val="center"/>
          </w:tcPr>
          <w:p w14:paraId="0D134ED5"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38C3FCCC"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严重破坏</w:t>
            </w:r>
          </w:p>
        </w:tc>
        <w:tc>
          <w:tcPr>
            <w:tcW w:w="1008" w:type="pct"/>
            <w:vAlign w:val="center"/>
          </w:tcPr>
          <w:p w14:paraId="51C5F985"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0.6</w:t>
            </w:r>
          </w:p>
        </w:tc>
        <w:tc>
          <w:tcPr>
            <w:tcW w:w="872" w:type="pct"/>
            <w:vAlign w:val="center"/>
          </w:tcPr>
          <w:p w14:paraId="3302543C"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0.25</w:t>
            </w:r>
          </w:p>
        </w:tc>
      </w:tr>
      <w:tr w:rsidR="001F7B30" w14:paraId="36C700EE" w14:textId="77777777">
        <w:trPr>
          <w:trHeight w:val="20"/>
          <w:jc w:val="center"/>
        </w:trPr>
        <w:tc>
          <w:tcPr>
            <w:tcW w:w="1642" w:type="pct"/>
            <w:vMerge/>
            <w:vAlign w:val="center"/>
          </w:tcPr>
          <w:p w14:paraId="1F4C7F9B"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54C82BE8"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完全破坏</w:t>
            </w:r>
          </w:p>
        </w:tc>
        <w:tc>
          <w:tcPr>
            <w:tcW w:w="1008" w:type="pct"/>
            <w:vAlign w:val="center"/>
          </w:tcPr>
          <w:p w14:paraId="1E4951E1"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0.8</w:t>
            </w:r>
          </w:p>
        </w:tc>
        <w:tc>
          <w:tcPr>
            <w:tcW w:w="872" w:type="pct"/>
            <w:vAlign w:val="center"/>
          </w:tcPr>
          <w:p w14:paraId="7DD6DC1B"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0.25</w:t>
            </w:r>
          </w:p>
        </w:tc>
      </w:tr>
      <w:tr w:rsidR="001F7B30" w14:paraId="3B868C63" w14:textId="77777777">
        <w:trPr>
          <w:trHeight w:val="20"/>
          <w:jc w:val="center"/>
        </w:trPr>
        <w:tc>
          <w:tcPr>
            <w:tcW w:w="1642" w:type="pct"/>
            <w:vMerge w:val="restart"/>
            <w:vAlign w:val="center"/>
          </w:tcPr>
          <w:p w14:paraId="0B7B6D86"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110kV</w:t>
            </w:r>
            <w:r>
              <w:rPr>
                <w:rFonts w:ascii="Times New Roman" w:hAnsi="Times New Roman" w:hint="eastAsia"/>
                <w:kern w:val="0"/>
                <w:sz w:val="15"/>
                <w:szCs w:val="15"/>
              </w:rPr>
              <w:t>变电站</w:t>
            </w:r>
          </w:p>
        </w:tc>
        <w:tc>
          <w:tcPr>
            <w:tcW w:w="1478" w:type="pct"/>
            <w:vAlign w:val="center"/>
          </w:tcPr>
          <w:p w14:paraId="192576F6"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轻微破坏</w:t>
            </w:r>
          </w:p>
        </w:tc>
        <w:tc>
          <w:tcPr>
            <w:tcW w:w="1008" w:type="pct"/>
            <w:vAlign w:val="center"/>
          </w:tcPr>
          <w:p w14:paraId="4D518792"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0.15</w:t>
            </w:r>
          </w:p>
        </w:tc>
        <w:tc>
          <w:tcPr>
            <w:tcW w:w="872" w:type="pct"/>
            <w:vAlign w:val="center"/>
          </w:tcPr>
          <w:p w14:paraId="4BCABB76"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0.7</w:t>
            </w:r>
          </w:p>
        </w:tc>
      </w:tr>
      <w:tr w:rsidR="001F7B30" w14:paraId="1907D5C0" w14:textId="77777777">
        <w:trPr>
          <w:trHeight w:val="20"/>
          <w:jc w:val="center"/>
        </w:trPr>
        <w:tc>
          <w:tcPr>
            <w:tcW w:w="1642" w:type="pct"/>
            <w:vMerge/>
            <w:vAlign w:val="center"/>
          </w:tcPr>
          <w:p w14:paraId="33C488BC"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15BE54D0"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中等破坏</w:t>
            </w:r>
          </w:p>
        </w:tc>
        <w:tc>
          <w:tcPr>
            <w:tcW w:w="1008" w:type="pct"/>
            <w:vAlign w:val="center"/>
          </w:tcPr>
          <w:p w14:paraId="41C87219"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0.29</w:t>
            </w:r>
          </w:p>
        </w:tc>
        <w:tc>
          <w:tcPr>
            <w:tcW w:w="872" w:type="pct"/>
            <w:vAlign w:val="center"/>
          </w:tcPr>
          <w:p w14:paraId="41CE0E4F"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0.55</w:t>
            </w:r>
          </w:p>
        </w:tc>
      </w:tr>
      <w:tr w:rsidR="001F7B30" w14:paraId="244208A5" w14:textId="77777777">
        <w:trPr>
          <w:trHeight w:val="20"/>
          <w:jc w:val="center"/>
        </w:trPr>
        <w:tc>
          <w:tcPr>
            <w:tcW w:w="1642" w:type="pct"/>
            <w:vMerge/>
            <w:vAlign w:val="center"/>
          </w:tcPr>
          <w:p w14:paraId="5C9FF38D"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7F4F4907"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严重破坏</w:t>
            </w:r>
          </w:p>
        </w:tc>
        <w:tc>
          <w:tcPr>
            <w:tcW w:w="1008" w:type="pct"/>
            <w:vAlign w:val="center"/>
          </w:tcPr>
          <w:p w14:paraId="1FB18576"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0.45</w:t>
            </w:r>
          </w:p>
        </w:tc>
        <w:tc>
          <w:tcPr>
            <w:tcW w:w="872" w:type="pct"/>
            <w:vAlign w:val="center"/>
          </w:tcPr>
          <w:p w14:paraId="7859B357"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0.45</w:t>
            </w:r>
          </w:p>
        </w:tc>
      </w:tr>
      <w:tr w:rsidR="001F7B30" w14:paraId="2846BA94" w14:textId="77777777">
        <w:trPr>
          <w:trHeight w:val="20"/>
          <w:jc w:val="center"/>
        </w:trPr>
        <w:tc>
          <w:tcPr>
            <w:tcW w:w="1642" w:type="pct"/>
            <w:vMerge/>
            <w:vAlign w:val="center"/>
          </w:tcPr>
          <w:p w14:paraId="1452551F"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35983C10"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完全破坏</w:t>
            </w:r>
          </w:p>
        </w:tc>
        <w:tc>
          <w:tcPr>
            <w:tcW w:w="1008" w:type="pct"/>
            <w:vAlign w:val="center"/>
          </w:tcPr>
          <w:p w14:paraId="2C44F553"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0.90</w:t>
            </w:r>
          </w:p>
        </w:tc>
        <w:tc>
          <w:tcPr>
            <w:tcW w:w="872" w:type="pct"/>
            <w:vAlign w:val="center"/>
          </w:tcPr>
          <w:p w14:paraId="6C843DE0"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0.45</w:t>
            </w:r>
          </w:p>
        </w:tc>
      </w:tr>
      <w:tr w:rsidR="001F7B30" w14:paraId="03143765" w14:textId="77777777">
        <w:trPr>
          <w:trHeight w:val="20"/>
          <w:jc w:val="center"/>
        </w:trPr>
        <w:tc>
          <w:tcPr>
            <w:tcW w:w="1642" w:type="pct"/>
            <w:vMerge w:val="restart"/>
            <w:vAlign w:val="center"/>
          </w:tcPr>
          <w:p w14:paraId="3C709183"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220kV</w:t>
            </w:r>
            <w:r>
              <w:rPr>
                <w:rFonts w:ascii="Times New Roman" w:hAnsi="Times New Roman" w:hint="eastAsia"/>
                <w:kern w:val="0"/>
                <w:sz w:val="15"/>
                <w:szCs w:val="15"/>
              </w:rPr>
              <w:t>变电站</w:t>
            </w:r>
          </w:p>
        </w:tc>
        <w:tc>
          <w:tcPr>
            <w:tcW w:w="1478" w:type="pct"/>
            <w:vAlign w:val="center"/>
          </w:tcPr>
          <w:p w14:paraId="458B2EF3"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轻微破坏</w:t>
            </w:r>
          </w:p>
        </w:tc>
        <w:tc>
          <w:tcPr>
            <w:tcW w:w="1008" w:type="pct"/>
            <w:vAlign w:val="center"/>
          </w:tcPr>
          <w:p w14:paraId="0794EA63"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0.15</w:t>
            </w:r>
          </w:p>
        </w:tc>
        <w:tc>
          <w:tcPr>
            <w:tcW w:w="872" w:type="pct"/>
            <w:vAlign w:val="center"/>
          </w:tcPr>
          <w:p w14:paraId="76F07DBA"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0.60</w:t>
            </w:r>
          </w:p>
        </w:tc>
      </w:tr>
      <w:tr w:rsidR="001F7B30" w14:paraId="018DEDE6" w14:textId="77777777">
        <w:trPr>
          <w:trHeight w:val="20"/>
          <w:jc w:val="center"/>
        </w:trPr>
        <w:tc>
          <w:tcPr>
            <w:tcW w:w="1642" w:type="pct"/>
            <w:vMerge/>
            <w:vAlign w:val="center"/>
          </w:tcPr>
          <w:p w14:paraId="399DC3AE"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7468C792"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中等破坏</w:t>
            </w:r>
          </w:p>
        </w:tc>
        <w:tc>
          <w:tcPr>
            <w:tcW w:w="1008" w:type="pct"/>
            <w:vAlign w:val="center"/>
          </w:tcPr>
          <w:p w14:paraId="72BD2951"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0.25</w:t>
            </w:r>
          </w:p>
        </w:tc>
        <w:tc>
          <w:tcPr>
            <w:tcW w:w="872" w:type="pct"/>
            <w:vAlign w:val="center"/>
          </w:tcPr>
          <w:p w14:paraId="5DE6FD3D"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0.50</w:t>
            </w:r>
          </w:p>
        </w:tc>
      </w:tr>
      <w:tr w:rsidR="001F7B30" w14:paraId="723424AA" w14:textId="77777777">
        <w:trPr>
          <w:trHeight w:val="20"/>
          <w:jc w:val="center"/>
        </w:trPr>
        <w:tc>
          <w:tcPr>
            <w:tcW w:w="1642" w:type="pct"/>
            <w:vMerge/>
            <w:vAlign w:val="center"/>
          </w:tcPr>
          <w:p w14:paraId="3CEC30C6"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4C17F9D1"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严重破坏</w:t>
            </w:r>
          </w:p>
        </w:tc>
        <w:tc>
          <w:tcPr>
            <w:tcW w:w="1008" w:type="pct"/>
            <w:vAlign w:val="center"/>
          </w:tcPr>
          <w:p w14:paraId="4ED79CB8"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0.35</w:t>
            </w:r>
          </w:p>
        </w:tc>
        <w:tc>
          <w:tcPr>
            <w:tcW w:w="872" w:type="pct"/>
            <w:vAlign w:val="center"/>
          </w:tcPr>
          <w:p w14:paraId="40A417DC"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0.40</w:t>
            </w:r>
          </w:p>
        </w:tc>
      </w:tr>
      <w:tr w:rsidR="001F7B30" w14:paraId="5387001E" w14:textId="77777777">
        <w:trPr>
          <w:trHeight w:val="20"/>
          <w:jc w:val="center"/>
        </w:trPr>
        <w:tc>
          <w:tcPr>
            <w:tcW w:w="1642" w:type="pct"/>
            <w:vMerge/>
            <w:vAlign w:val="center"/>
          </w:tcPr>
          <w:p w14:paraId="556F947A"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349FFCF0"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完全破坏</w:t>
            </w:r>
          </w:p>
        </w:tc>
        <w:tc>
          <w:tcPr>
            <w:tcW w:w="1008" w:type="pct"/>
            <w:vAlign w:val="center"/>
          </w:tcPr>
          <w:p w14:paraId="78B75D40"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0.70</w:t>
            </w:r>
          </w:p>
        </w:tc>
        <w:tc>
          <w:tcPr>
            <w:tcW w:w="872" w:type="pct"/>
            <w:vAlign w:val="center"/>
          </w:tcPr>
          <w:p w14:paraId="2D8146D4"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0.40</w:t>
            </w:r>
          </w:p>
        </w:tc>
      </w:tr>
      <w:tr w:rsidR="001F7B30" w14:paraId="110BAB8D" w14:textId="77777777">
        <w:trPr>
          <w:trHeight w:val="20"/>
          <w:jc w:val="center"/>
        </w:trPr>
        <w:tc>
          <w:tcPr>
            <w:tcW w:w="1642" w:type="pct"/>
            <w:vMerge w:val="restart"/>
            <w:vAlign w:val="center"/>
          </w:tcPr>
          <w:p w14:paraId="7D1C5536"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500kV</w:t>
            </w:r>
            <w:r>
              <w:rPr>
                <w:rFonts w:ascii="Times New Roman" w:hAnsi="Times New Roman" w:hint="eastAsia"/>
                <w:kern w:val="0"/>
                <w:sz w:val="15"/>
                <w:szCs w:val="15"/>
              </w:rPr>
              <w:t>枢纽变电站</w:t>
            </w:r>
          </w:p>
        </w:tc>
        <w:tc>
          <w:tcPr>
            <w:tcW w:w="1478" w:type="pct"/>
            <w:vAlign w:val="center"/>
          </w:tcPr>
          <w:p w14:paraId="42FE0269"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轻微破坏</w:t>
            </w:r>
          </w:p>
        </w:tc>
        <w:tc>
          <w:tcPr>
            <w:tcW w:w="1008" w:type="pct"/>
            <w:vAlign w:val="center"/>
          </w:tcPr>
          <w:p w14:paraId="25AF517C"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0.11</w:t>
            </w:r>
          </w:p>
        </w:tc>
        <w:tc>
          <w:tcPr>
            <w:tcW w:w="872" w:type="pct"/>
            <w:vAlign w:val="center"/>
          </w:tcPr>
          <w:p w14:paraId="51D5C5A2"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0.50</w:t>
            </w:r>
          </w:p>
        </w:tc>
      </w:tr>
      <w:tr w:rsidR="001F7B30" w14:paraId="423A038B" w14:textId="77777777">
        <w:trPr>
          <w:trHeight w:val="20"/>
          <w:jc w:val="center"/>
        </w:trPr>
        <w:tc>
          <w:tcPr>
            <w:tcW w:w="1642" w:type="pct"/>
            <w:vMerge/>
            <w:vAlign w:val="center"/>
          </w:tcPr>
          <w:p w14:paraId="07C0EF95"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0FB3D2D1"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中等破坏</w:t>
            </w:r>
          </w:p>
        </w:tc>
        <w:tc>
          <w:tcPr>
            <w:tcW w:w="1008" w:type="pct"/>
            <w:vAlign w:val="center"/>
          </w:tcPr>
          <w:p w14:paraId="00AB4B6F"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0.15</w:t>
            </w:r>
          </w:p>
        </w:tc>
        <w:tc>
          <w:tcPr>
            <w:tcW w:w="872" w:type="pct"/>
            <w:vAlign w:val="center"/>
          </w:tcPr>
          <w:p w14:paraId="46799AF2"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0.45</w:t>
            </w:r>
          </w:p>
        </w:tc>
      </w:tr>
      <w:tr w:rsidR="001F7B30" w14:paraId="63E06463" w14:textId="77777777">
        <w:trPr>
          <w:trHeight w:val="20"/>
          <w:jc w:val="center"/>
        </w:trPr>
        <w:tc>
          <w:tcPr>
            <w:tcW w:w="1642" w:type="pct"/>
            <w:vMerge/>
            <w:vAlign w:val="center"/>
          </w:tcPr>
          <w:p w14:paraId="46A6B154"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03EDC873"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严重破坏</w:t>
            </w:r>
          </w:p>
        </w:tc>
        <w:tc>
          <w:tcPr>
            <w:tcW w:w="1008" w:type="pct"/>
            <w:vAlign w:val="center"/>
          </w:tcPr>
          <w:p w14:paraId="542F8A97" w14:textId="0BC1B84D"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0.20</w:t>
            </w:r>
          </w:p>
        </w:tc>
        <w:tc>
          <w:tcPr>
            <w:tcW w:w="872" w:type="pct"/>
            <w:vAlign w:val="center"/>
          </w:tcPr>
          <w:p w14:paraId="3EE4A024"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0.35</w:t>
            </w:r>
          </w:p>
        </w:tc>
      </w:tr>
      <w:tr w:rsidR="001F7B30" w14:paraId="6DAB7CBB" w14:textId="77777777">
        <w:trPr>
          <w:trHeight w:val="20"/>
          <w:jc w:val="center"/>
        </w:trPr>
        <w:tc>
          <w:tcPr>
            <w:tcW w:w="1642" w:type="pct"/>
            <w:vMerge/>
            <w:vAlign w:val="center"/>
          </w:tcPr>
          <w:p w14:paraId="3278059A"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417BC467"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完全破坏</w:t>
            </w:r>
          </w:p>
        </w:tc>
        <w:tc>
          <w:tcPr>
            <w:tcW w:w="1008" w:type="pct"/>
            <w:vAlign w:val="center"/>
          </w:tcPr>
          <w:p w14:paraId="442A8CFE"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0.47</w:t>
            </w:r>
          </w:p>
        </w:tc>
        <w:tc>
          <w:tcPr>
            <w:tcW w:w="872" w:type="pct"/>
            <w:vAlign w:val="center"/>
          </w:tcPr>
          <w:p w14:paraId="2F6FC37E"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0.40</w:t>
            </w:r>
          </w:p>
        </w:tc>
      </w:tr>
      <w:tr w:rsidR="001F7B30" w14:paraId="5A884C27" w14:textId="77777777">
        <w:trPr>
          <w:trHeight w:val="20"/>
          <w:jc w:val="center"/>
        </w:trPr>
        <w:tc>
          <w:tcPr>
            <w:tcW w:w="1642" w:type="pct"/>
            <w:vMerge w:val="restart"/>
            <w:vAlign w:val="center"/>
          </w:tcPr>
          <w:p w14:paraId="66DD0878"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输配电线路</w:t>
            </w:r>
          </w:p>
        </w:tc>
        <w:tc>
          <w:tcPr>
            <w:tcW w:w="1478" w:type="pct"/>
            <w:vAlign w:val="center"/>
          </w:tcPr>
          <w:p w14:paraId="489ACB38"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轻微破坏</w:t>
            </w:r>
          </w:p>
        </w:tc>
        <w:tc>
          <w:tcPr>
            <w:tcW w:w="1008" w:type="pct"/>
            <w:vAlign w:val="center"/>
          </w:tcPr>
          <w:p w14:paraId="75730532"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0.28</w:t>
            </w:r>
          </w:p>
        </w:tc>
        <w:tc>
          <w:tcPr>
            <w:tcW w:w="872" w:type="pct"/>
            <w:vAlign w:val="center"/>
          </w:tcPr>
          <w:p w14:paraId="589B57E8"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0.30</w:t>
            </w:r>
          </w:p>
        </w:tc>
      </w:tr>
      <w:tr w:rsidR="001F7B30" w14:paraId="3EF3FCF1" w14:textId="77777777">
        <w:trPr>
          <w:trHeight w:val="20"/>
          <w:jc w:val="center"/>
        </w:trPr>
        <w:tc>
          <w:tcPr>
            <w:tcW w:w="1642" w:type="pct"/>
            <w:vMerge/>
            <w:vAlign w:val="center"/>
          </w:tcPr>
          <w:p w14:paraId="39DE4B16"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1FF35972"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中等破坏</w:t>
            </w:r>
          </w:p>
        </w:tc>
        <w:tc>
          <w:tcPr>
            <w:tcW w:w="1008" w:type="pct"/>
            <w:vAlign w:val="center"/>
          </w:tcPr>
          <w:p w14:paraId="55BB24B5"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0.40</w:t>
            </w:r>
          </w:p>
        </w:tc>
        <w:tc>
          <w:tcPr>
            <w:tcW w:w="872" w:type="pct"/>
            <w:vAlign w:val="center"/>
          </w:tcPr>
          <w:p w14:paraId="077C19BC"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0.20</w:t>
            </w:r>
          </w:p>
        </w:tc>
      </w:tr>
      <w:tr w:rsidR="001F7B30" w14:paraId="4515751D" w14:textId="77777777">
        <w:trPr>
          <w:trHeight w:val="20"/>
          <w:jc w:val="center"/>
        </w:trPr>
        <w:tc>
          <w:tcPr>
            <w:tcW w:w="1642" w:type="pct"/>
            <w:vMerge/>
            <w:vAlign w:val="center"/>
          </w:tcPr>
          <w:p w14:paraId="313B7382" w14:textId="77777777" w:rsidR="001F7B30" w:rsidRDefault="001F7B30">
            <w:pPr>
              <w:widowControl/>
              <w:spacing w:line="240" w:lineRule="exact"/>
              <w:jc w:val="center"/>
              <w:rPr>
                <w:rFonts w:ascii="Times New Roman" w:hAnsi="Times New Roman"/>
                <w:kern w:val="0"/>
                <w:sz w:val="15"/>
                <w:szCs w:val="15"/>
              </w:rPr>
            </w:pPr>
          </w:p>
        </w:tc>
        <w:tc>
          <w:tcPr>
            <w:tcW w:w="1478" w:type="pct"/>
            <w:vAlign w:val="center"/>
          </w:tcPr>
          <w:p w14:paraId="50CB006B"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严重破坏</w:t>
            </w:r>
          </w:p>
        </w:tc>
        <w:tc>
          <w:tcPr>
            <w:tcW w:w="1008" w:type="pct"/>
            <w:vAlign w:val="center"/>
          </w:tcPr>
          <w:p w14:paraId="16DBD992"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0.72</w:t>
            </w:r>
          </w:p>
        </w:tc>
        <w:tc>
          <w:tcPr>
            <w:tcW w:w="872" w:type="pct"/>
            <w:vAlign w:val="center"/>
          </w:tcPr>
          <w:p w14:paraId="0B368192"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0.15</w:t>
            </w:r>
          </w:p>
        </w:tc>
      </w:tr>
      <w:tr w:rsidR="001F7B30" w14:paraId="507787B7" w14:textId="77777777">
        <w:trPr>
          <w:trHeight w:val="66"/>
          <w:jc w:val="center"/>
        </w:trPr>
        <w:tc>
          <w:tcPr>
            <w:tcW w:w="1642" w:type="pct"/>
            <w:vMerge/>
            <w:tcBorders>
              <w:bottom w:val="single" w:sz="12" w:space="0" w:color="auto"/>
            </w:tcBorders>
            <w:vAlign w:val="center"/>
          </w:tcPr>
          <w:p w14:paraId="633AA06A" w14:textId="77777777" w:rsidR="001F7B30" w:rsidRDefault="001F7B30">
            <w:pPr>
              <w:widowControl/>
              <w:spacing w:line="240" w:lineRule="exact"/>
              <w:jc w:val="center"/>
              <w:rPr>
                <w:rFonts w:ascii="Times New Roman" w:hAnsi="Times New Roman"/>
                <w:kern w:val="0"/>
                <w:sz w:val="15"/>
                <w:szCs w:val="15"/>
              </w:rPr>
            </w:pPr>
          </w:p>
        </w:tc>
        <w:tc>
          <w:tcPr>
            <w:tcW w:w="1478" w:type="pct"/>
            <w:tcBorders>
              <w:top w:val="nil"/>
              <w:bottom w:val="single" w:sz="12" w:space="0" w:color="auto"/>
              <w:right w:val="nil"/>
            </w:tcBorders>
            <w:vAlign w:val="center"/>
          </w:tcPr>
          <w:p w14:paraId="5B28FC44"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完全破坏</w:t>
            </w:r>
          </w:p>
        </w:tc>
        <w:tc>
          <w:tcPr>
            <w:tcW w:w="1008" w:type="pct"/>
            <w:tcBorders>
              <w:top w:val="nil"/>
              <w:left w:val="nil"/>
              <w:bottom w:val="single" w:sz="12" w:space="0" w:color="auto"/>
              <w:right w:val="nil"/>
            </w:tcBorders>
            <w:vAlign w:val="center"/>
          </w:tcPr>
          <w:p w14:paraId="4E629CE9"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1.10</w:t>
            </w:r>
          </w:p>
        </w:tc>
        <w:tc>
          <w:tcPr>
            <w:tcW w:w="872" w:type="pct"/>
            <w:tcBorders>
              <w:top w:val="nil"/>
              <w:left w:val="nil"/>
              <w:bottom w:val="single" w:sz="12" w:space="0" w:color="auto"/>
              <w:right w:val="nil"/>
            </w:tcBorders>
            <w:vAlign w:val="center"/>
          </w:tcPr>
          <w:p w14:paraId="382A792D" w14:textId="77777777" w:rsidR="001F7B30" w:rsidRDefault="00DA268A">
            <w:pPr>
              <w:widowControl/>
              <w:spacing w:line="240" w:lineRule="exact"/>
              <w:jc w:val="center"/>
              <w:rPr>
                <w:rFonts w:ascii="Times New Roman" w:hAnsi="Times New Roman"/>
                <w:kern w:val="0"/>
                <w:sz w:val="15"/>
                <w:szCs w:val="15"/>
              </w:rPr>
            </w:pPr>
            <w:r>
              <w:rPr>
                <w:rFonts w:ascii="Times New Roman" w:hAnsi="Times New Roman" w:hint="eastAsia"/>
                <w:kern w:val="0"/>
                <w:sz w:val="15"/>
                <w:szCs w:val="15"/>
              </w:rPr>
              <w:t>0.15</w:t>
            </w:r>
          </w:p>
        </w:tc>
      </w:tr>
    </w:tbl>
    <w:p w14:paraId="149E658E" w14:textId="69E7AAF4" w:rsidR="001F7B30" w:rsidRDefault="00705092" w:rsidP="00033C48">
      <w:pPr>
        <w:ind w:firstLineChars="200" w:firstLine="420"/>
        <w:rPr>
          <w:rFonts w:ascii="Times New Roman" w:hAnsi="Times New Roman"/>
          <w:szCs w:val="21"/>
        </w:rPr>
      </w:pPr>
      <w:r>
        <w:rPr>
          <w:rFonts w:ascii="Times New Roman" w:hAnsi="Times New Roman" w:hint="eastAsia"/>
          <w:szCs w:val="21"/>
        </w:rPr>
        <w:t>《</w:t>
      </w:r>
      <w:r w:rsidR="001B4F44" w:rsidRPr="001B4F44">
        <w:rPr>
          <w:rFonts w:ascii="Times New Roman" w:hAnsi="Times New Roman" w:hint="eastAsia"/>
          <w:szCs w:val="21"/>
        </w:rPr>
        <w:t>电力设施抗震设计规范</w:t>
      </w:r>
      <w:r>
        <w:rPr>
          <w:rFonts w:ascii="Times New Roman" w:hAnsi="Times New Roman" w:hint="eastAsia"/>
          <w:szCs w:val="21"/>
        </w:rPr>
        <w:t>》</w:t>
      </w:r>
      <w:r w:rsidR="001B4F44">
        <w:rPr>
          <w:rFonts w:ascii="Times New Roman" w:hAnsi="Times New Roman" w:hint="eastAsia"/>
          <w:szCs w:val="21"/>
        </w:rPr>
        <w:t xml:space="preserve"> </w:t>
      </w:r>
      <w:r w:rsidR="00EF03F7">
        <w:rPr>
          <w:rFonts w:ascii="Times New Roman" w:hAnsi="Times New Roman" w:hint="eastAsia"/>
          <w:szCs w:val="21"/>
        </w:rPr>
        <w:t>（</w:t>
      </w:r>
      <w:r w:rsidR="00033C48" w:rsidRPr="00033C48">
        <w:rPr>
          <w:rFonts w:ascii="Times New Roman" w:hAnsi="Times New Roman"/>
          <w:szCs w:val="21"/>
        </w:rPr>
        <w:t>GB 50260</w:t>
      </w:r>
      <w:r w:rsidR="00033C48" w:rsidRPr="00033C48">
        <w:rPr>
          <w:rFonts w:ascii="Times New Roman" w:hAnsi="Times New Roman" w:hint="eastAsia"/>
          <w:szCs w:val="21"/>
        </w:rPr>
        <w:t>—</w:t>
      </w:r>
      <w:r w:rsidR="00033C48" w:rsidRPr="00033C48">
        <w:rPr>
          <w:rFonts w:ascii="Times New Roman" w:hAnsi="Times New Roman"/>
          <w:szCs w:val="21"/>
        </w:rPr>
        <w:t>2013</w:t>
      </w:r>
      <w:r w:rsidR="00EF03F7">
        <w:rPr>
          <w:rFonts w:ascii="Times New Roman" w:hAnsi="Times New Roman" w:hint="eastAsia"/>
          <w:szCs w:val="21"/>
        </w:rPr>
        <w:t>）</w:t>
      </w:r>
      <w:r w:rsidR="00EF03F7">
        <w:rPr>
          <w:rFonts w:ascii="Times New Roman" w:hAnsi="Times New Roman"/>
          <w:szCs w:val="21"/>
        </w:rPr>
        <w:fldChar w:fldCharType="begin"/>
      </w:r>
      <w:r w:rsidR="00EF03F7">
        <w:rPr>
          <w:rFonts w:ascii="Times New Roman" w:hAnsi="Times New Roman"/>
          <w:szCs w:val="21"/>
        </w:rPr>
        <w:instrText xml:space="preserve"> </w:instrText>
      </w:r>
      <w:r w:rsidR="00EF03F7">
        <w:rPr>
          <w:rFonts w:ascii="Times New Roman" w:hAnsi="Times New Roman" w:hint="eastAsia"/>
          <w:szCs w:val="21"/>
        </w:rPr>
        <w:instrText>REF _Ref204645419 \r \h</w:instrText>
      </w:r>
      <w:r w:rsidR="00EF03F7">
        <w:rPr>
          <w:rFonts w:ascii="Times New Roman" w:hAnsi="Times New Roman"/>
          <w:szCs w:val="21"/>
        </w:rPr>
        <w:instrText xml:space="preserve"> </w:instrText>
      </w:r>
      <w:r w:rsidR="001D6B7C">
        <w:rPr>
          <w:rFonts w:ascii="Times New Roman" w:hAnsi="Times New Roman"/>
          <w:szCs w:val="21"/>
        </w:rPr>
        <w:instrText xml:space="preserve"> \* MERGEFORMAT </w:instrText>
      </w:r>
      <w:r w:rsidR="00EF03F7">
        <w:rPr>
          <w:rFonts w:ascii="Times New Roman" w:hAnsi="Times New Roman"/>
          <w:szCs w:val="21"/>
        </w:rPr>
      </w:r>
      <w:r w:rsidR="00EF03F7">
        <w:rPr>
          <w:rFonts w:ascii="Times New Roman" w:hAnsi="Times New Roman"/>
          <w:szCs w:val="21"/>
        </w:rPr>
        <w:fldChar w:fldCharType="separate"/>
      </w:r>
      <w:r w:rsidR="005702C9">
        <w:rPr>
          <w:rFonts w:ascii="Times New Roman" w:hAnsi="Times New Roman"/>
          <w:szCs w:val="21"/>
          <w:cs/>
        </w:rPr>
        <w:t>‎</w:t>
      </w:r>
      <w:r w:rsidR="005702C9" w:rsidRPr="005702C9">
        <w:rPr>
          <w:rFonts w:ascii="Times New Roman" w:hAnsi="Times New Roman" w:cs="Times New Roman"/>
          <w:color w:val="0000FF"/>
          <w:szCs w:val="21"/>
          <w:vertAlign w:val="superscript"/>
        </w:rPr>
        <w:t>[42]</w:t>
      </w:r>
      <w:r w:rsidR="00EF03F7">
        <w:rPr>
          <w:rFonts w:ascii="Times New Roman" w:hAnsi="Times New Roman"/>
          <w:szCs w:val="21"/>
        </w:rPr>
        <w:fldChar w:fldCharType="end"/>
      </w:r>
      <w:r w:rsidR="00097FE2">
        <w:rPr>
          <w:rFonts w:ascii="Times New Roman" w:hAnsi="Times New Roman" w:hint="eastAsia"/>
          <w:szCs w:val="21"/>
        </w:rPr>
        <w:t>中规定，重要电力设施应提高一度设防，</w:t>
      </w:r>
      <w:r w:rsidR="00E049FD">
        <w:rPr>
          <w:rFonts w:ascii="Times New Roman" w:hAnsi="Times New Roman" w:hint="eastAsia"/>
          <w:szCs w:val="21"/>
        </w:rPr>
        <w:t>故虚拟城市电力系统的抗震设防烈度为</w:t>
      </w:r>
      <w:r w:rsidR="00E049FD">
        <w:rPr>
          <w:rFonts w:ascii="Times New Roman" w:hAnsi="Times New Roman" w:hint="eastAsia"/>
          <w:szCs w:val="21"/>
        </w:rPr>
        <w:t>8</w:t>
      </w:r>
      <w:r w:rsidR="00E049FD">
        <w:rPr>
          <w:rFonts w:ascii="Times New Roman" w:hAnsi="Times New Roman" w:hint="eastAsia"/>
          <w:szCs w:val="21"/>
        </w:rPr>
        <w:t>度。</w:t>
      </w:r>
      <w:r w:rsidR="00DA268A">
        <w:rPr>
          <w:rFonts w:ascii="Times New Roman" w:hAnsi="Times New Roman"/>
          <w:szCs w:val="21"/>
        </w:rPr>
        <w:t>设定城市中心</w:t>
      </w:r>
      <w:r w:rsidR="00DA268A">
        <w:rPr>
          <w:rFonts w:ascii="Times New Roman" w:hAnsi="Times New Roman" w:hint="eastAsia"/>
          <w:szCs w:val="21"/>
        </w:rPr>
        <w:t>东北方向</w:t>
      </w:r>
      <w:r w:rsidR="00DA268A">
        <w:rPr>
          <w:rFonts w:ascii="Times New Roman" w:hAnsi="Times New Roman"/>
          <w:szCs w:val="21"/>
        </w:rPr>
        <w:t>10km</w:t>
      </w:r>
      <w:r w:rsidR="00DA268A">
        <w:rPr>
          <w:rFonts w:ascii="Times New Roman" w:hAnsi="Times New Roman" w:hint="eastAsia"/>
          <w:szCs w:val="21"/>
        </w:rPr>
        <w:t>处</w:t>
      </w:r>
      <w:r w:rsidR="00DA268A">
        <w:rPr>
          <w:rFonts w:ascii="Times New Roman" w:hAnsi="Times New Roman"/>
          <w:szCs w:val="21"/>
        </w:rPr>
        <w:t>发生</w:t>
      </w:r>
      <w:r w:rsidR="00DA268A">
        <w:rPr>
          <w:rFonts w:ascii="Times New Roman" w:hAnsi="Times New Roman"/>
          <w:szCs w:val="21"/>
        </w:rPr>
        <w:t>6.5</w:t>
      </w:r>
      <w:r w:rsidR="00DA268A">
        <w:rPr>
          <w:rFonts w:ascii="Times New Roman" w:hAnsi="Times New Roman"/>
          <w:szCs w:val="21"/>
        </w:rPr>
        <w:t>级地震</w:t>
      </w:r>
      <w:r w:rsidR="00DA268A">
        <w:rPr>
          <w:rFonts w:ascii="Times New Roman" w:hAnsi="Times New Roman" w:hint="eastAsia"/>
          <w:szCs w:val="21"/>
        </w:rPr>
        <w:t>的灾害场景，</w:t>
      </w:r>
      <w:r w:rsidR="00E049FD">
        <w:rPr>
          <w:rFonts w:ascii="Times New Roman" w:hAnsi="Times New Roman" w:hint="eastAsia"/>
          <w:szCs w:val="21"/>
        </w:rPr>
        <w:t>此时</w:t>
      </w:r>
      <w:r w:rsidR="005E2872">
        <w:rPr>
          <w:rFonts w:ascii="Times New Roman" w:hAnsi="Times New Roman" w:hint="eastAsia"/>
          <w:szCs w:val="21"/>
        </w:rPr>
        <w:t>城市中心处</w:t>
      </w:r>
      <w:r w:rsidR="005E2872">
        <w:rPr>
          <w:rFonts w:ascii="Times New Roman" w:hAnsi="Times New Roman" w:hint="eastAsia"/>
          <w:szCs w:val="21"/>
        </w:rPr>
        <w:t>PGA=0.</w:t>
      </w:r>
      <w:r w:rsidR="00087704">
        <w:rPr>
          <w:rFonts w:ascii="Times New Roman" w:hAnsi="Times New Roman" w:hint="eastAsia"/>
          <w:szCs w:val="21"/>
        </w:rPr>
        <w:t>389g</w:t>
      </w:r>
      <w:r w:rsidR="00087704">
        <w:rPr>
          <w:rFonts w:ascii="Times New Roman" w:hAnsi="Times New Roman" w:hint="eastAsia"/>
          <w:szCs w:val="21"/>
        </w:rPr>
        <w:t>，接近</w:t>
      </w:r>
      <w:r w:rsidR="00087704">
        <w:rPr>
          <w:rFonts w:ascii="Times New Roman" w:hAnsi="Times New Roman" w:hint="eastAsia"/>
          <w:szCs w:val="21"/>
        </w:rPr>
        <w:t>8</w:t>
      </w:r>
      <w:r w:rsidR="00087704">
        <w:rPr>
          <w:rFonts w:ascii="Times New Roman" w:hAnsi="Times New Roman" w:hint="eastAsia"/>
          <w:szCs w:val="21"/>
        </w:rPr>
        <w:t>度罕遇地震对应的参考值（</w:t>
      </w:r>
      <w:r w:rsidR="00087704">
        <w:rPr>
          <w:rFonts w:ascii="Times New Roman" w:hAnsi="Times New Roman" w:hint="eastAsia"/>
          <w:szCs w:val="21"/>
        </w:rPr>
        <w:t>PGA</w:t>
      </w:r>
      <w:r w:rsidR="00087704">
        <w:rPr>
          <w:rFonts w:ascii="Times New Roman" w:hAnsi="Times New Roman" w:hint="eastAsia"/>
          <w:szCs w:val="21"/>
        </w:rPr>
        <w:t>≈</w:t>
      </w:r>
      <w:r w:rsidR="00087704">
        <w:rPr>
          <w:rFonts w:ascii="Times New Roman" w:hAnsi="Times New Roman" w:hint="eastAsia"/>
          <w:szCs w:val="21"/>
        </w:rPr>
        <w:t>0.400g</w:t>
      </w:r>
      <w:r w:rsidR="00087704">
        <w:rPr>
          <w:rFonts w:ascii="Times New Roman" w:hAnsi="Times New Roman" w:hint="eastAsia"/>
          <w:szCs w:val="21"/>
        </w:rPr>
        <w:t>）。</w:t>
      </w:r>
      <w:r w:rsidR="00DA268A">
        <w:rPr>
          <w:rFonts w:ascii="Times New Roman" w:hAnsi="Times New Roman" w:hint="eastAsia"/>
          <w:szCs w:val="21"/>
        </w:rPr>
        <w:t>进行</w:t>
      </w:r>
      <w:r w:rsidR="00DA268A">
        <w:rPr>
          <w:rFonts w:ascii="Times New Roman" w:hAnsi="Times New Roman" w:hint="eastAsia"/>
          <w:szCs w:val="21"/>
        </w:rPr>
        <w:t>1000</w:t>
      </w:r>
      <w:r w:rsidR="001269D1">
        <w:rPr>
          <w:rFonts w:ascii="Times New Roman" w:hAnsi="Times New Roman" w:hint="eastAsia"/>
          <w:szCs w:val="21"/>
        </w:rPr>
        <w:t xml:space="preserve"> </w:t>
      </w:r>
      <w:r w:rsidR="00DA268A">
        <w:rPr>
          <w:rFonts w:ascii="Times New Roman" w:hAnsi="Times New Roman" w:hint="eastAsia"/>
          <w:szCs w:val="21"/>
        </w:rPr>
        <w:t>0</w:t>
      </w:r>
      <w:r w:rsidR="00DA268A">
        <w:rPr>
          <w:rFonts w:ascii="Times New Roman" w:hAnsi="Times New Roman" w:hint="eastAsia"/>
          <w:szCs w:val="21"/>
        </w:rPr>
        <w:t>次蒙特卡洛模拟，计算得到城市的平均震后功能为</w:t>
      </w:r>
      <w:r w:rsidR="00DA268A">
        <w:rPr>
          <w:rFonts w:ascii="Times New Roman" w:hAnsi="Times New Roman" w:hint="eastAsia"/>
          <w:szCs w:val="21"/>
        </w:rPr>
        <w:t>46.87%</w:t>
      </w:r>
      <w:r w:rsidR="00DA268A">
        <w:rPr>
          <w:rFonts w:ascii="Times New Roman" w:hAnsi="Times New Roman" w:hint="eastAsia"/>
          <w:szCs w:val="21"/>
        </w:rPr>
        <w:t>。</w:t>
      </w:r>
      <w:r w:rsidR="00DA268A">
        <w:rPr>
          <w:rFonts w:ascii="Times New Roman" w:hAnsi="Times New Roman"/>
          <w:szCs w:val="21"/>
        </w:rPr>
        <w:t>选取</w:t>
      </w:r>
      <w:r w:rsidR="00DA268A">
        <w:rPr>
          <w:rFonts w:ascii="Times New Roman" w:hAnsi="Times New Roman" w:hint="eastAsia"/>
          <w:szCs w:val="21"/>
        </w:rPr>
        <w:t>震后功能</w:t>
      </w:r>
      <w:r w:rsidR="004C7EF7">
        <w:rPr>
          <w:rFonts w:ascii="Times New Roman" w:hAnsi="Times New Roman" w:hint="eastAsia"/>
          <w:szCs w:val="21"/>
        </w:rPr>
        <w:t>最</w:t>
      </w:r>
      <w:r w:rsidR="00DA268A">
        <w:rPr>
          <w:rFonts w:ascii="Times New Roman" w:hAnsi="Times New Roman"/>
          <w:szCs w:val="21"/>
        </w:rPr>
        <w:t>接近</w:t>
      </w:r>
      <w:r w:rsidR="00DA268A">
        <w:rPr>
          <w:rFonts w:ascii="Times New Roman" w:hAnsi="Times New Roman" w:hint="eastAsia"/>
          <w:szCs w:val="21"/>
        </w:rPr>
        <w:t>系统</w:t>
      </w:r>
      <w:r w:rsidR="00DA268A">
        <w:rPr>
          <w:rFonts w:ascii="Times New Roman" w:hAnsi="Times New Roman"/>
          <w:szCs w:val="21"/>
        </w:rPr>
        <w:t>平均</w:t>
      </w:r>
      <w:r w:rsidR="00DA268A">
        <w:rPr>
          <w:rFonts w:ascii="Times New Roman" w:hAnsi="Times New Roman" w:hint="eastAsia"/>
          <w:szCs w:val="21"/>
        </w:rPr>
        <w:t>功能的</w:t>
      </w:r>
      <w:r w:rsidR="004C7EF7">
        <w:rPr>
          <w:rFonts w:ascii="Times New Roman" w:hAnsi="Times New Roman" w:hint="eastAsia"/>
          <w:szCs w:val="21"/>
        </w:rPr>
        <w:t>一次</w:t>
      </w:r>
      <w:r w:rsidR="00DA268A">
        <w:rPr>
          <w:rFonts w:ascii="Times New Roman" w:hAnsi="Times New Roman" w:hint="eastAsia"/>
          <w:szCs w:val="21"/>
        </w:rPr>
        <w:t>震损场景</w:t>
      </w:r>
      <w:r w:rsidR="00DA268A">
        <w:rPr>
          <w:rFonts w:ascii="Times New Roman" w:hAnsi="Times New Roman" w:hint="eastAsia"/>
          <w:szCs w:val="21"/>
        </w:rPr>
        <w:t>(</w:t>
      </w:r>
      <w:r w:rsidR="00DA268A">
        <w:rPr>
          <w:rFonts w:ascii="Times New Roman" w:hAnsi="Times New Roman" w:hint="eastAsia"/>
          <w:i/>
          <w:iCs/>
          <w:szCs w:val="21"/>
        </w:rPr>
        <w:t>LSPI</w:t>
      </w:r>
      <w:r w:rsidR="00DA268A">
        <w:rPr>
          <w:rFonts w:ascii="Times New Roman" w:hAnsi="Times New Roman" w:hint="eastAsia"/>
          <w:szCs w:val="21"/>
        </w:rPr>
        <w:t>=46.66%)</w:t>
      </w:r>
      <w:r w:rsidR="00DA268A">
        <w:rPr>
          <w:rFonts w:ascii="Times New Roman" w:hAnsi="Times New Roman"/>
          <w:szCs w:val="21"/>
        </w:rPr>
        <w:t>进行详细分析，以说明地震作用下城市电力系统损伤状态分布</w:t>
      </w:r>
      <w:r w:rsidR="005F7B8F">
        <w:rPr>
          <w:rFonts w:ascii="Times New Roman" w:hAnsi="Times New Roman" w:hint="eastAsia"/>
          <w:szCs w:val="21"/>
        </w:rPr>
        <w:t>情况</w:t>
      </w:r>
      <w:r w:rsidR="00DA268A">
        <w:rPr>
          <w:rFonts w:ascii="Times New Roman" w:hAnsi="Times New Roman" w:hint="eastAsia"/>
          <w:szCs w:val="21"/>
        </w:rPr>
        <w:t>。</w:t>
      </w:r>
    </w:p>
    <w:p w14:paraId="1BAAA58C" w14:textId="661C70B6" w:rsidR="001F7B30" w:rsidRDefault="00DA268A">
      <w:pPr>
        <w:ind w:firstLineChars="200" w:firstLine="420"/>
        <w:rPr>
          <w:rFonts w:ascii="Times New Roman" w:hAnsi="Times New Roman"/>
          <w:szCs w:val="21"/>
        </w:rPr>
      </w:pPr>
      <w:r>
        <w:rPr>
          <w:rFonts w:ascii="Times New Roman" w:hAnsi="Times New Roman"/>
          <w:szCs w:val="21"/>
        </w:rPr>
        <w:fldChar w:fldCharType="begin"/>
      </w:r>
      <w:r>
        <w:rPr>
          <w:rFonts w:ascii="Times New Roman" w:hAnsi="Times New Roman"/>
          <w:szCs w:val="21"/>
        </w:rPr>
        <w:instrText xml:space="preserve"> </w:instrText>
      </w:r>
      <w:r>
        <w:rPr>
          <w:rFonts w:ascii="Times New Roman" w:hAnsi="Times New Roman" w:hint="eastAsia"/>
          <w:szCs w:val="21"/>
        </w:rPr>
        <w:instrText>REF _Ref204376380 \r \h</w:instrText>
      </w:r>
      <w:r>
        <w:rPr>
          <w:rFonts w:ascii="Times New Roman" w:hAnsi="Times New Roman"/>
          <w:szCs w:val="21"/>
        </w:rPr>
        <w:instrText xml:space="preserve">  \* MERGEFORMAT </w:instrText>
      </w:r>
      <w:r>
        <w:rPr>
          <w:rFonts w:ascii="Times New Roman" w:hAnsi="Times New Roman"/>
          <w:szCs w:val="21"/>
        </w:rPr>
      </w:r>
      <w:r>
        <w:rPr>
          <w:rFonts w:ascii="Times New Roman" w:hAnsi="Times New Roman"/>
          <w:szCs w:val="21"/>
        </w:rPr>
        <w:fldChar w:fldCharType="separate"/>
      </w:r>
      <w:r w:rsidR="005702C9">
        <w:rPr>
          <w:rFonts w:ascii="Times New Roman" w:hAnsi="Times New Roman"/>
          <w:szCs w:val="21"/>
          <w:cs/>
        </w:rPr>
        <w:t>‎</w:t>
      </w:r>
      <w:r w:rsidR="005702C9" w:rsidRPr="005702C9">
        <w:rPr>
          <w:rFonts w:ascii="Times New Roman" w:hAnsi="Times New Roman" w:hint="eastAsia"/>
          <w:color w:val="0000FF"/>
          <w:szCs w:val="21"/>
        </w:rPr>
        <w:t>图</w:t>
      </w:r>
      <w:r w:rsidR="005702C9" w:rsidRPr="005702C9">
        <w:rPr>
          <w:rFonts w:ascii="Times New Roman" w:hAnsi="Times New Roman"/>
          <w:color w:val="0000FF"/>
          <w:szCs w:val="21"/>
        </w:rPr>
        <w:t>8</w:t>
      </w:r>
      <w:r>
        <w:rPr>
          <w:rFonts w:ascii="Times New Roman" w:hAnsi="Times New Roman"/>
          <w:szCs w:val="21"/>
        </w:rPr>
        <w:fldChar w:fldCharType="end"/>
      </w:r>
      <w:r>
        <w:rPr>
          <w:rFonts w:ascii="Times New Roman" w:hAnsi="Times New Roman" w:hint="eastAsia"/>
          <w:szCs w:val="21"/>
        </w:rPr>
        <w:t>为电力系统的震后</w:t>
      </w:r>
      <w:r w:rsidR="004C7EF7">
        <w:rPr>
          <w:rFonts w:ascii="Times New Roman" w:hAnsi="Times New Roman" w:hint="eastAsia"/>
          <w:szCs w:val="21"/>
        </w:rPr>
        <w:t>损伤</w:t>
      </w:r>
      <w:r>
        <w:rPr>
          <w:rFonts w:ascii="Times New Roman" w:hAnsi="Times New Roman" w:hint="eastAsia"/>
          <w:szCs w:val="21"/>
        </w:rPr>
        <w:t>状态，</w:t>
      </w:r>
      <w:r>
        <w:rPr>
          <w:rFonts w:ascii="Times New Roman" w:hAnsi="Times New Roman"/>
          <w:szCs w:val="21"/>
        </w:rPr>
        <w:t>各级电力设施在震后均呈现出不同程度的</w:t>
      </w:r>
      <w:r w:rsidR="004C7EF7">
        <w:rPr>
          <w:rFonts w:ascii="Times New Roman" w:hAnsi="Times New Roman" w:hint="eastAsia"/>
          <w:szCs w:val="21"/>
        </w:rPr>
        <w:t>物理</w:t>
      </w:r>
      <w:r>
        <w:rPr>
          <w:rFonts w:ascii="Times New Roman" w:hAnsi="Times New Roman"/>
          <w:szCs w:val="21"/>
        </w:rPr>
        <w:t>损伤，其中城市变电站的损伤较为明显：除南部的一座</w:t>
      </w:r>
      <w:r>
        <w:rPr>
          <w:rFonts w:ascii="Times New Roman" w:hAnsi="Times New Roman"/>
          <w:szCs w:val="21"/>
        </w:rPr>
        <w:t>110kV</w:t>
      </w:r>
      <w:r>
        <w:rPr>
          <w:rFonts w:ascii="Times New Roman" w:hAnsi="Times New Roman"/>
          <w:szCs w:val="21"/>
        </w:rPr>
        <w:t>变电站仅发生轻微破坏外，其余城市变电站均处于中等及以上损伤状态，尤其是位于城市东北方向的一座</w:t>
      </w:r>
      <w:r>
        <w:rPr>
          <w:rFonts w:ascii="Times New Roman" w:hAnsi="Times New Roman"/>
          <w:szCs w:val="21"/>
        </w:rPr>
        <w:t>220kV</w:t>
      </w:r>
      <w:r>
        <w:rPr>
          <w:rFonts w:ascii="Times New Roman" w:hAnsi="Times New Roman"/>
          <w:szCs w:val="21"/>
        </w:rPr>
        <w:t>变电站已完全破坏。与变电站相比，</w:t>
      </w:r>
      <w:r>
        <w:rPr>
          <w:rFonts w:ascii="Times New Roman" w:hAnsi="Times New Roman"/>
          <w:szCs w:val="21"/>
        </w:rPr>
        <w:t>10kV</w:t>
      </w:r>
      <w:r>
        <w:rPr>
          <w:rFonts w:ascii="Times New Roman" w:hAnsi="Times New Roman"/>
          <w:szCs w:val="21"/>
        </w:rPr>
        <w:t>开闭所由于具有更高的抗震性能，在本次地震事件中，有</w:t>
      </w:r>
      <w:r>
        <w:rPr>
          <w:rFonts w:ascii="Times New Roman" w:hAnsi="Times New Roman"/>
          <w:szCs w:val="21"/>
        </w:rPr>
        <w:t>51.7%</w:t>
      </w:r>
      <w:r>
        <w:rPr>
          <w:rFonts w:ascii="Times New Roman" w:hAnsi="Times New Roman"/>
          <w:szCs w:val="21"/>
        </w:rPr>
        <w:t>的开闭所保持完好。此外，输配电线路因空间跨度较长、涉及受震单元较多，其损伤状态以中等破坏为主，但未出现完全破坏的线路，震后仍可在一定程度上实现电力传输功能</w:t>
      </w:r>
      <w:r>
        <w:rPr>
          <w:rFonts w:ascii="Times New Roman" w:hAnsi="Times New Roman" w:hint="eastAsia"/>
          <w:szCs w:val="21"/>
        </w:rPr>
        <w:t>。</w:t>
      </w:r>
    </w:p>
    <w:p w14:paraId="3F532580" w14:textId="4E18F872" w:rsidR="00034371" w:rsidRDefault="00034371" w:rsidP="00034371">
      <w:pPr>
        <w:ind w:firstLineChars="200" w:firstLine="420"/>
        <w:rPr>
          <w:rFonts w:ascii="Times New Roman" w:hAnsi="Times New Roman"/>
          <w:szCs w:val="21"/>
        </w:rPr>
      </w:pPr>
      <w:r>
        <w:rPr>
          <w:rFonts w:ascii="Times New Roman" w:hAnsi="Times New Roman"/>
          <w:szCs w:val="21"/>
        </w:rPr>
        <w:t>在</w:t>
      </w:r>
      <w:r>
        <w:rPr>
          <w:rFonts w:ascii="Times New Roman" w:hAnsi="Times New Roman" w:hint="eastAsia"/>
          <w:szCs w:val="21"/>
        </w:rPr>
        <w:t>地震</w:t>
      </w:r>
      <w:r>
        <w:rPr>
          <w:rFonts w:ascii="Times New Roman" w:hAnsi="Times New Roman"/>
          <w:szCs w:val="21"/>
        </w:rPr>
        <w:t>损伤</w:t>
      </w:r>
      <w:r>
        <w:rPr>
          <w:rFonts w:ascii="Times New Roman" w:hAnsi="Times New Roman" w:hint="eastAsia"/>
          <w:szCs w:val="21"/>
        </w:rPr>
        <w:t>场景</w:t>
      </w:r>
      <w:r>
        <w:rPr>
          <w:rFonts w:ascii="Times New Roman" w:hAnsi="Times New Roman"/>
          <w:szCs w:val="21"/>
        </w:rPr>
        <w:t>的基础上，系统运行状态不再处于稳定平衡</w:t>
      </w:r>
      <w:r>
        <w:rPr>
          <w:rFonts w:ascii="Times New Roman" w:hAnsi="Times New Roman" w:hint="eastAsia"/>
          <w:szCs w:val="21"/>
        </w:rPr>
        <w:t>，输配电与变电设施容量下降，原有的输电路径因设施破坏被迫中断，导致功率分布发生变化，部分未直接受损的线路发生过载失效，新的电力孤岛出现，级联失效发生，促使系统功能持续退化，直至形成新的稳定状态</w:t>
      </w:r>
      <w:r w:rsidR="004C7EF7">
        <w:rPr>
          <w:rFonts w:ascii="Times New Roman" w:hAnsi="Times New Roman" w:hint="eastAsia"/>
          <w:szCs w:val="21"/>
        </w:rPr>
        <w:t>。系统达到</w:t>
      </w:r>
      <w:r>
        <w:rPr>
          <w:rFonts w:ascii="Times New Roman" w:hAnsi="Times New Roman"/>
          <w:szCs w:val="21"/>
        </w:rPr>
        <w:t>最终稳定状态</w:t>
      </w:r>
      <w:r w:rsidR="004C7EF7">
        <w:rPr>
          <w:rFonts w:ascii="Times New Roman" w:hAnsi="Times New Roman" w:hint="eastAsia"/>
          <w:szCs w:val="21"/>
        </w:rPr>
        <w:t>时</w:t>
      </w:r>
      <w:r>
        <w:rPr>
          <w:rFonts w:ascii="Times New Roman" w:hAnsi="Times New Roman"/>
          <w:szCs w:val="21"/>
        </w:rPr>
        <w:t>，</w:t>
      </w:r>
      <w:r>
        <w:rPr>
          <w:rFonts w:ascii="Times New Roman" w:hAnsi="Times New Roman"/>
          <w:szCs w:val="21"/>
        </w:rPr>
        <w:t>7</w:t>
      </w:r>
      <w:r>
        <w:rPr>
          <w:rFonts w:ascii="Times New Roman" w:hAnsi="Times New Roman"/>
          <w:szCs w:val="21"/>
        </w:rPr>
        <w:t>座变电站</w:t>
      </w:r>
      <w:r>
        <w:rPr>
          <w:rFonts w:ascii="Times New Roman" w:hAnsi="Times New Roman" w:hint="eastAsia"/>
          <w:szCs w:val="21"/>
        </w:rPr>
        <w:t>和</w:t>
      </w:r>
      <w:r>
        <w:rPr>
          <w:rFonts w:ascii="Times New Roman" w:hAnsi="Times New Roman" w:hint="eastAsia"/>
          <w:szCs w:val="21"/>
        </w:rPr>
        <w:t>92</w:t>
      </w:r>
      <w:r>
        <w:rPr>
          <w:rFonts w:ascii="Times New Roman" w:hAnsi="Times New Roman" w:hint="eastAsia"/>
          <w:szCs w:val="21"/>
        </w:rPr>
        <w:t>座开闭所</w:t>
      </w:r>
      <w:r>
        <w:rPr>
          <w:rFonts w:ascii="Times New Roman" w:hAnsi="Times New Roman"/>
          <w:szCs w:val="21"/>
        </w:rPr>
        <w:t>功能失效，</w:t>
      </w:r>
      <w:r>
        <w:rPr>
          <w:rFonts w:ascii="Times New Roman" w:hAnsi="Times New Roman" w:hint="eastAsia"/>
          <w:szCs w:val="21"/>
        </w:rPr>
        <w:t>103</w:t>
      </w:r>
      <w:r>
        <w:rPr>
          <w:rFonts w:ascii="Times New Roman" w:hAnsi="Times New Roman" w:hint="eastAsia"/>
          <w:szCs w:val="21"/>
        </w:rPr>
        <w:t>条输配电线路因为过载、孤岛效应而退出运行，城市</w:t>
      </w:r>
      <w:r>
        <w:rPr>
          <w:rFonts w:ascii="Times New Roman" w:hAnsi="Times New Roman"/>
          <w:szCs w:val="21"/>
        </w:rPr>
        <w:t>东部与北部区域全面停电</w:t>
      </w:r>
      <w:r>
        <w:rPr>
          <w:rFonts w:ascii="Times New Roman" w:hAnsi="Times New Roman" w:hint="eastAsia"/>
          <w:szCs w:val="21"/>
        </w:rPr>
        <w:t>，累计</w:t>
      </w:r>
      <w:r>
        <w:rPr>
          <w:rFonts w:ascii="Times New Roman" w:hAnsi="Times New Roman" w:hint="eastAsia"/>
          <w:szCs w:val="21"/>
        </w:rPr>
        <w:t>40.83%</w:t>
      </w:r>
      <w:r>
        <w:rPr>
          <w:rFonts w:ascii="Times New Roman" w:hAnsi="Times New Roman" w:hint="eastAsia"/>
          <w:szCs w:val="21"/>
        </w:rPr>
        <w:t>的区域失去供电（</w:t>
      </w:r>
      <w:r w:rsidR="00C95A8A">
        <w:rPr>
          <w:rFonts w:ascii="Times New Roman" w:hAnsi="Times New Roman"/>
          <w:color w:val="0000FF"/>
          <w:szCs w:val="21"/>
        </w:rPr>
        <w:fldChar w:fldCharType="begin"/>
      </w:r>
      <w:r w:rsidR="00C95A8A">
        <w:rPr>
          <w:rFonts w:ascii="Times New Roman" w:hAnsi="Times New Roman"/>
          <w:szCs w:val="21"/>
        </w:rPr>
        <w:instrText xml:space="preserve"> </w:instrText>
      </w:r>
      <w:r w:rsidR="00C95A8A">
        <w:rPr>
          <w:rFonts w:ascii="Times New Roman" w:hAnsi="Times New Roman" w:hint="eastAsia"/>
          <w:szCs w:val="21"/>
        </w:rPr>
        <w:instrText>REF _Ref204657756 \r \h</w:instrText>
      </w:r>
      <w:r w:rsidR="00C95A8A">
        <w:rPr>
          <w:rFonts w:ascii="Times New Roman" w:hAnsi="Times New Roman"/>
          <w:szCs w:val="21"/>
        </w:rPr>
        <w:instrText xml:space="preserve"> </w:instrText>
      </w:r>
      <w:r w:rsidR="00C95A8A">
        <w:rPr>
          <w:rFonts w:ascii="Times New Roman" w:hAnsi="Times New Roman"/>
          <w:color w:val="0000FF"/>
          <w:szCs w:val="21"/>
        </w:rPr>
        <w:instrText xml:space="preserve"> \* MERGEFORMAT </w:instrText>
      </w:r>
      <w:r w:rsidR="00C95A8A">
        <w:rPr>
          <w:rFonts w:ascii="Times New Roman" w:hAnsi="Times New Roman"/>
          <w:color w:val="0000FF"/>
          <w:szCs w:val="21"/>
        </w:rPr>
      </w:r>
      <w:r w:rsidR="00C95A8A">
        <w:rPr>
          <w:rFonts w:ascii="Times New Roman" w:hAnsi="Times New Roman"/>
          <w:color w:val="0000FF"/>
          <w:szCs w:val="21"/>
        </w:rPr>
        <w:fldChar w:fldCharType="separate"/>
      </w:r>
      <w:r w:rsidR="00CC3C32">
        <w:rPr>
          <w:rFonts w:ascii="Times New Roman" w:hAnsi="Times New Roman"/>
          <w:szCs w:val="21"/>
          <w:cs/>
        </w:rPr>
        <w:t>‎</w:t>
      </w:r>
      <w:r w:rsidR="00CC3C32" w:rsidRPr="007947A7">
        <w:rPr>
          <w:rFonts w:ascii="Times New Roman" w:hAnsi="Times New Roman" w:hint="eastAsia"/>
          <w:color w:val="0000FF"/>
          <w:szCs w:val="21"/>
        </w:rPr>
        <w:t>图</w:t>
      </w:r>
      <w:r w:rsidR="00CC3C32" w:rsidRPr="007947A7">
        <w:rPr>
          <w:rFonts w:ascii="Times New Roman" w:hAnsi="Times New Roman"/>
          <w:color w:val="0000FF"/>
          <w:szCs w:val="21"/>
        </w:rPr>
        <w:t>9</w:t>
      </w:r>
      <w:r w:rsidR="00C95A8A">
        <w:rPr>
          <w:rFonts w:ascii="Times New Roman" w:hAnsi="Times New Roman"/>
          <w:color w:val="0000FF"/>
          <w:szCs w:val="21"/>
        </w:rPr>
        <w:fldChar w:fldCharType="end"/>
      </w:r>
      <w:r>
        <w:rPr>
          <w:rFonts w:ascii="Times New Roman" w:hAnsi="Times New Roman" w:hint="eastAsia"/>
          <w:szCs w:val="21"/>
        </w:rPr>
        <w:t>）</w:t>
      </w:r>
      <w:r>
        <w:rPr>
          <w:rFonts w:ascii="Times New Roman" w:hAnsi="Times New Roman"/>
          <w:szCs w:val="21"/>
        </w:rPr>
        <w:t>。</w:t>
      </w:r>
    </w:p>
    <w:p w14:paraId="3EA44DE3" w14:textId="77777777" w:rsidR="00034371" w:rsidRDefault="00034371">
      <w:pPr>
        <w:ind w:firstLineChars="200" w:firstLine="420"/>
        <w:rPr>
          <w:rFonts w:ascii="Times New Roman" w:hAnsi="Times New Roman"/>
          <w:szCs w:val="21"/>
        </w:rPr>
      </w:pPr>
    </w:p>
    <w:p w14:paraId="7C9D9EBB" w14:textId="6A22593B" w:rsidR="001F7B30" w:rsidRDefault="005E6559">
      <w:pPr>
        <w:jc w:val="center"/>
        <w:rPr>
          <w:rFonts w:ascii="Times New Roman" w:hAnsi="Times New Roman"/>
          <w:szCs w:val="21"/>
        </w:rPr>
      </w:pPr>
      <w:r w:rsidRPr="005E6559">
        <w:rPr>
          <w:noProof/>
        </w:rPr>
        <w:drawing>
          <wp:inline distT="0" distB="0" distL="0" distR="0" wp14:anchorId="1DF7CB98" wp14:editId="3FBC90BD">
            <wp:extent cx="2996565" cy="2703830"/>
            <wp:effectExtent l="0" t="0" r="0" b="0"/>
            <wp:docPr id="110098309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96565" cy="2703830"/>
                    </a:xfrm>
                    <a:prstGeom prst="rect">
                      <a:avLst/>
                    </a:prstGeom>
                    <a:noFill/>
                    <a:ln>
                      <a:noFill/>
                    </a:ln>
                  </pic:spPr>
                </pic:pic>
              </a:graphicData>
            </a:graphic>
          </wp:inline>
        </w:drawing>
      </w:r>
    </w:p>
    <w:p w14:paraId="45DF78F3" w14:textId="46C734C9" w:rsidR="001F7B30" w:rsidRDefault="00DA268A">
      <w:pPr>
        <w:pStyle w:val="afb"/>
        <w:numPr>
          <w:ilvl w:val="0"/>
          <w:numId w:val="2"/>
        </w:numPr>
        <w:ind w:firstLineChars="0"/>
        <w:jc w:val="center"/>
        <w:rPr>
          <w:rFonts w:ascii="Times New Roman" w:hAnsi="Times New Roman"/>
          <w:szCs w:val="21"/>
        </w:rPr>
      </w:pPr>
      <w:r>
        <w:rPr>
          <w:rFonts w:ascii="Times New Roman" w:hAnsi="Times New Roman" w:hint="eastAsia"/>
          <w:szCs w:val="21"/>
        </w:rPr>
        <w:t xml:space="preserve"> </w:t>
      </w:r>
      <w:bookmarkStart w:id="26" w:name="_Ref204376380"/>
      <w:r w:rsidR="00852E33">
        <w:rPr>
          <w:rFonts w:ascii="Times New Roman" w:hAnsi="Times New Roman" w:hint="eastAsia"/>
          <w:szCs w:val="21"/>
        </w:rPr>
        <w:t>地震损伤</w:t>
      </w:r>
      <w:r>
        <w:rPr>
          <w:rFonts w:ascii="Times New Roman" w:hAnsi="Times New Roman" w:hint="eastAsia"/>
          <w:szCs w:val="21"/>
        </w:rPr>
        <w:t>场景</w:t>
      </w:r>
      <w:bookmarkEnd w:id="26"/>
    </w:p>
    <w:p w14:paraId="185A41DD" w14:textId="5513FC56" w:rsidR="00861180" w:rsidRDefault="005E6559" w:rsidP="00861180">
      <w:pPr>
        <w:jc w:val="center"/>
        <w:rPr>
          <w:rFonts w:ascii="Times New Roman" w:hAnsi="Times New Roman"/>
          <w:szCs w:val="21"/>
        </w:rPr>
      </w:pPr>
      <w:r w:rsidRPr="005E6559">
        <w:rPr>
          <w:noProof/>
        </w:rPr>
        <w:drawing>
          <wp:inline distT="0" distB="0" distL="0" distR="0" wp14:anchorId="2BA3FA5B" wp14:editId="47494FB8">
            <wp:extent cx="2996565" cy="2689225"/>
            <wp:effectExtent l="0" t="0" r="0" b="0"/>
            <wp:docPr id="23640281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96565" cy="2689225"/>
                    </a:xfrm>
                    <a:prstGeom prst="rect">
                      <a:avLst/>
                    </a:prstGeom>
                    <a:noFill/>
                    <a:ln>
                      <a:noFill/>
                    </a:ln>
                  </pic:spPr>
                </pic:pic>
              </a:graphicData>
            </a:graphic>
          </wp:inline>
        </w:drawing>
      </w:r>
    </w:p>
    <w:p w14:paraId="5728260C" w14:textId="4ECFA34F" w:rsidR="00861180" w:rsidRPr="008453EA" w:rsidRDefault="00261D49" w:rsidP="008453EA">
      <w:pPr>
        <w:pStyle w:val="afb"/>
        <w:numPr>
          <w:ilvl w:val="0"/>
          <w:numId w:val="2"/>
        </w:numPr>
        <w:ind w:firstLineChars="0"/>
        <w:jc w:val="center"/>
        <w:rPr>
          <w:rFonts w:ascii="Times New Roman" w:hAnsi="Times New Roman"/>
          <w:szCs w:val="21"/>
        </w:rPr>
      </w:pPr>
      <w:bookmarkStart w:id="27" w:name="_Ref204657756"/>
      <w:r>
        <w:rPr>
          <w:rFonts w:ascii="Times New Roman" w:hAnsi="Times New Roman" w:hint="eastAsia"/>
          <w:szCs w:val="21"/>
        </w:rPr>
        <w:t>系统</w:t>
      </w:r>
      <w:r w:rsidR="008B2BE2">
        <w:rPr>
          <w:rFonts w:ascii="Times New Roman" w:hAnsi="Times New Roman" w:hint="eastAsia"/>
          <w:szCs w:val="21"/>
        </w:rPr>
        <w:t>震后功能状态</w:t>
      </w:r>
      <w:bookmarkEnd w:id="27"/>
    </w:p>
    <w:p w14:paraId="1428E775" w14:textId="77777777" w:rsidR="001F7B30" w:rsidRDefault="00DA268A" w:rsidP="008453EA">
      <w:pPr>
        <w:widowControl/>
        <w:spacing w:line="240" w:lineRule="atLeast"/>
        <w:outlineLvl w:val="1"/>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4</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系统震后功能评价</w:t>
      </w:r>
    </w:p>
    <w:p w14:paraId="00441E71" w14:textId="58BDDDA8" w:rsidR="001F7B30" w:rsidRPr="00BD3A82" w:rsidRDefault="00DA268A">
      <w:pPr>
        <w:spacing w:line="240" w:lineRule="atLeast"/>
        <w:ind w:firstLineChars="200" w:firstLine="420"/>
        <w:rPr>
          <w:rFonts w:ascii="Times New Roman" w:hAnsi="Times New Roman"/>
          <w:szCs w:val="21"/>
        </w:rPr>
      </w:pPr>
      <w:r>
        <w:rPr>
          <w:rFonts w:ascii="Times New Roman" w:hAnsi="Times New Roman" w:hint="eastAsia"/>
          <w:szCs w:val="21"/>
        </w:rPr>
        <w:t>基准城市各建设用地的震后平均功能</w:t>
      </w:r>
      <w:r w:rsidR="00D67EAE">
        <w:rPr>
          <w:rFonts w:ascii="Times New Roman" w:hAnsi="Times New Roman" w:hint="eastAsia"/>
          <w:szCs w:val="21"/>
        </w:rPr>
        <w:t>分布云图</w:t>
      </w:r>
      <w:r>
        <w:rPr>
          <w:rFonts w:ascii="Times New Roman" w:hAnsi="Times New Roman" w:hint="eastAsia"/>
          <w:szCs w:val="21"/>
        </w:rPr>
        <w:t>如</w:t>
      </w:r>
      <w:r>
        <w:rPr>
          <w:rFonts w:ascii="Times New Roman" w:hAnsi="Times New Roman"/>
          <w:color w:val="0000FF"/>
          <w:szCs w:val="21"/>
        </w:rPr>
        <w:fldChar w:fldCharType="begin"/>
      </w:r>
      <w:r>
        <w:rPr>
          <w:rFonts w:ascii="Times New Roman" w:hAnsi="Times New Roman"/>
          <w:color w:val="0000FF"/>
          <w:szCs w:val="21"/>
        </w:rPr>
        <w:instrText xml:space="preserve"> </w:instrText>
      </w:r>
      <w:r>
        <w:rPr>
          <w:rFonts w:ascii="Times New Roman" w:hAnsi="Times New Roman" w:hint="eastAsia"/>
          <w:color w:val="0000FF"/>
          <w:szCs w:val="21"/>
        </w:rPr>
        <w:instrText>REF _Ref204376470 \r \h</w:instrText>
      </w:r>
      <w:r>
        <w:rPr>
          <w:rFonts w:ascii="Times New Roman" w:hAnsi="Times New Roman"/>
          <w:color w:val="0000FF"/>
          <w:szCs w:val="21"/>
        </w:rPr>
        <w:instrText xml:space="preserve">  \* MERGEFORMAT </w:instrText>
      </w:r>
      <w:r>
        <w:rPr>
          <w:rFonts w:ascii="Times New Roman" w:hAnsi="Times New Roman"/>
          <w:color w:val="0000FF"/>
          <w:szCs w:val="21"/>
        </w:rPr>
      </w:r>
      <w:r>
        <w:rPr>
          <w:rFonts w:ascii="Times New Roman" w:hAnsi="Times New Roman"/>
          <w:color w:val="0000FF"/>
          <w:szCs w:val="21"/>
        </w:rPr>
        <w:fldChar w:fldCharType="separate"/>
      </w:r>
      <w:r w:rsidR="00CC3C32">
        <w:rPr>
          <w:rFonts w:ascii="Times New Roman" w:hAnsi="Times New Roman"/>
          <w:color w:val="0000FF"/>
          <w:szCs w:val="21"/>
          <w:cs/>
        </w:rPr>
        <w:t>‎</w:t>
      </w:r>
      <w:r w:rsidR="00CC3C32">
        <w:rPr>
          <w:rFonts w:ascii="Times New Roman" w:hAnsi="Times New Roman" w:hint="eastAsia"/>
          <w:color w:val="0000FF"/>
          <w:szCs w:val="21"/>
        </w:rPr>
        <w:t>图</w:t>
      </w:r>
      <w:r w:rsidR="00CC3C32">
        <w:rPr>
          <w:rFonts w:ascii="Times New Roman" w:hAnsi="Times New Roman"/>
          <w:color w:val="0000FF"/>
          <w:szCs w:val="21"/>
        </w:rPr>
        <w:t>10</w:t>
      </w:r>
      <w:r>
        <w:rPr>
          <w:rFonts w:ascii="Times New Roman" w:hAnsi="Times New Roman"/>
          <w:color w:val="0000FF"/>
          <w:szCs w:val="21"/>
        </w:rPr>
        <w:fldChar w:fldCharType="end"/>
      </w:r>
      <w:r>
        <w:rPr>
          <w:rFonts w:ascii="Times New Roman" w:hAnsi="Times New Roman" w:hint="eastAsia"/>
          <w:color w:val="0000FF"/>
          <w:szCs w:val="21"/>
        </w:rPr>
        <w:t>(a)</w:t>
      </w:r>
      <w:r>
        <w:rPr>
          <w:rFonts w:ascii="Times New Roman" w:hAnsi="Times New Roman" w:hint="eastAsia"/>
          <w:szCs w:val="21"/>
        </w:rPr>
        <w:t>所示，不同地块的震后功能水平差距明显，城市整体呈现出东北区域功能水平较低而西南区域较高的规律，</w:t>
      </w:r>
      <w:r w:rsidR="00F249EE">
        <w:rPr>
          <w:rFonts w:ascii="Times New Roman" w:hAnsi="Times New Roman" w:hint="eastAsia"/>
          <w:szCs w:val="21"/>
        </w:rPr>
        <w:t>震后功能低于</w:t>
      </w:r>
      <w:r w:rsidR="00F249EE">
        <w:rPr>
          <w:rFonts w:ascii="Times New Roman" w:hAnsi="Times New Roman" w:hint="eastAsia"/>
          <w:szCs w:val="21"/>
        </w:rPr>
        <w:t>40%</w:t>
      </w:r>
      <w:r w:rsidR="00F249EE">
        <w:rPr>
          <w:rFonts w:ascii="Times New Roman" w:hAnsi="Times New Roman" w:hint="eastAsia"/>
          <w:szCs w:val="21"/>
        </w:rPr>
        <w:t>的区域与</w:t>
      </w:r>
      <w:r w:rsidR="00F249EE">
        <w:rPr>
          <w:rFonts w:ascii="Times New Roman" w:hAnsi="Times New Roman"/>
          <w:color w:val="0000FF"/>
          <w:szCs w:val="21"/>
        </w:rPr>
        <w:fldChar w:fldCharType="begin"/>
      </w:r>
      <w:r w:rsidR="00F249EE">
        <w:rPr>
          <w:rFonts w:ascii="Times New Roman" w:hAnsi="Times New Roman"/>
          <w:szCs w:val="21"/>
        </w:rPr>
        <w:instrText xml:space="preserve"> </w:instrText>
      </w:r>
      <w:r w:rsidR="00F249EE">
        <w:rPr>
          <w:rFonts w:ascii="Times New Roman" w:hAnsi="Times New Roman" w:hint="eastAsia"/>
          <w:szCs w:val="21"/>
        </w:rPr>
        <w:instrText>REF _Ref204657756 \r \h</w:instrText>
      </w:r>
      <w:r w:rsidR="00F249EE">
        <w:rPr>
          <w:rFonts w:ascii="Times New Roman" w:hAnsi="Times New Roman"/>
          <w:szCs w:val="21"/>
        </w:rPr>
        <w:instrText xml:space="preserve"> </w:instrText>
      </w:r>
      <w:r w:rsidR="00F249EE">
        <w:rPr>
          <w:rFonts w:ascii="Times New Roman" w:hAnsi="Times New Roman"/>
          <w:color w:val="0000FF"/>
          <w:szCs w:val="21"/>
        </w:rPr>
        <w:instrText xml:space="preserve"> \* MERGEFORMAT </w:instrText>
      </w:r>
      <w:r w:rsidR="00F249EE">
        <w:rPr>
          <w:rFonts w:ascii="Times New Roman" w:hAnsi="Times New Roman"/>
          <w:color w:val="0000FF"/>
          <w:szCs w:val="21"/>
        </w:rPr>
      </w:r>
      <w:r w:rsidR="00F249EE">
        <w:rPr>
          <w:rFonts w:ascii="Times New Roman" w:hAnsi="Times New Roman"/>
          <w:color w:val="0000FF"/>
          <w:szCs w:val="21"/>
        </w:rPr>
        <w:fldChar w:fldCharType="separate"/>
      </w:r>
      <w:r w:rsidR="00F249EE">
        <w:rPr>
          <w:rFonts w:ascii="Times New Roman" w:hAnsi="Times New Roman"/>
          <w:szCs w:val="21"/>
          <w:cs/>
        </w:rPr>
        <w:t>‎</w:t>
      </w:r>
      <w:r w:rsidR="00F249EE" w:rsidRPr="007947A7">
        <w:rPr>
          <w:rFonts w:ascii="Times New Roman" w:hAnsi="Times New Roman" w:hint="eastAsia"/>
          <w:color w:val="0000FF"/>
          <w:szCs w:val="21"/>
        </w:rPr>
        <w:t>图</w:t>
      </w:r>
      <w:r w:rsidR="00F249EE" w:rsidRPr="007947A7">
        <w:rPr>
          <w:rFonts w:ascii="Times New Roman" w:hAnsi="Times New Roman"/>
          <w:color w:val="0000FF"/>
          <w:szCs w:val="21"/>
        </w:rPr>
        <w:t>9</w:t>
      </w:r>
      <w:r w:rsidR="00F249EE">
        <w:rPr>
          <w:rFonts w:ascii="Times New Roman" w:hAnsi="Times New Roman"/>
          <w:color w:val="0000FF"/>
          <w:szCs w:val="21"/>
        </w:rPr>
        <w:fldChar w:fldCharType="end"/>
      </w:r>
      <w:r w:rsidR="00F249EE">
        <w:rPr>
          <w:rFonts w:ascii="Times New Roman" w:hAnsi="Times New Roman" w:hint="eastAsia"/>
          <w:szCs w:val="21"/>
        </w:rPr>
        <w:t>中失电区域高度一致。这样的分布规律是由震源位置决定的，电力设施承受的地震作用与其离震源的距离呈反比，东北区域的地震损伤显著高于西南区域。考虑到</w:t>
      </w:r>
      <w:r w:rsidR="00BD3A82">
        <w:rPr>
          <w:rFonts w:ascii="Times New Roman" w:hAnsi="Times New Roman" w:hint="eastAsia"/>
          <w:szCs w:val="21"/>
        </w:rPr>
        <w:t>震源方位对震后功能</w:t>
      </w:r>
      <w:r w:rsidR="00F249EE">
        <w:rPr>
          <w:rFonts w:ascii="Times New Roman" w:hAnsi="Times New Roman" w:hint="eastAsia"/>
          <w:szCs w:val="21"/>
        </w:rPr>
        <w:t>的影响，</w:t>
      </w:r>
      <w:r w:rsidR="00F249EE">
        <w:rPr>
          <w:rFonts w:ascii="Times New Roman" w:hAnsi="Times New Roman" w:hint="eastAsia"/>
          <w:szCs w:val="21"/>
        </w:rPr>
        <w:t>4.3</w:t>
      </w:r>
      <w:r w:rsidR="00F249EE">
        <w:rPr>
          <w:rFonts w:ascii="Times New Roman" w:hAnsi="Times New Roman" w:hint="eastAsia"/>
          <w:szCs w:val="21"/>
        </w:rPr>
        <w:t>节将进一步开展分析。</w:t>
      </w:r>
    </w:p>
    <w:p w14:paraId="50508B99" w14:textId="3D662726" w:rsidR="001F7B30" w:rsidRDefault="00DA268A">
      <w:pPr>
        <w:spacing w:line="240" w:lineRule="atLeast"/>
        <w:ind w:firstLineChars="200" w:firstLine="420"/>
        <w:rPr>
          <w:rFonts w:ascii="Times New Roman" w:hAnsi="Times New Roman"/>
          <w:szCs w:val="21"/>
        </w:rPr>
      </w:pPr>
      <w:r>
        <w:rPr>
          <w:rFonts w:ascii="Times New Roman" w:hAnsi="Times New Roman" w:hint="eastAsia"/>
          <w:szCs w:val="21"/>
        </w:rPr>
        <w:t>进一步将所有地块的震后功能使用箱线图（</w:t>
      </w:r>
      <w:r>
        <w:rPr>
          <w:rFonts w:ascii="Times New Roman" w:hAnsi="Times New Roman"/>
          <w:color w:val="0000FF"/>
          <w:szCs w:val="21"/>
        </w:rPr>
        <w:fldChar w:fldCharType="begin"/>
      </w:r>
      <w:r>
        <w:rPr>
          <w:rFonts w:ascii="Times New Roman" w:hAnsi="Times New Roman"/>
          <w:color w:val="0000FF"/>
          <w:szCs w:val="21"/>
        </w:rPr>
        <w:instrText xml:space="preserve"> </w:instrText>
      </w:r>
      <w:r>
        <w:rPr>
          <w:rFonts w:ascii="Times New Roman" w:hAnsi="Times New Roman" w:hint="eastAsia"/>
          <w:color w:val="0000FF"/>
          <w:szCs w:val="21"/>
        </w:rPr>
        <w:instrText>REF _Ref204376470 \r \h</w:instrText>
      </w:r>
      <w:r>
        <w:rPr>
          <w:rFonts w:ascii="Times New Roman" w:hAnsi="Times New Roman"/>
          <w:color w:val="0000FF"/>
          <w:szCs w:val="21"/>
        </w:rPr>
        <w:instrText xml:space="preserve">  \* MERGEFORMAT </w:instrText>
      </w:r>
      <w:r>
        <w:rPr>
          <w:rFonts w:ascii="Times New Roman" w:hAnsi="Times New Roman"/>
          <w:color w:val="0000FF"/>
          <w:szCs w:val="21"/>
        </w:rPr>
      </w:r>
      <w:r>
        <w:rPr>
          <w:rFonts w:ascii="Times New Roman" w:hAnsi="Times New Roman"/>
          <w:color w:val="0000FF"/>
          <w:szCs w:val="21"/>
        </w:rPr>
        <w:fldChar w:fldCharType="separate"/>
      </w:r>
      <w:r w:rsidR="00CC3C32">
        <w:rPr>
          <w:rFonts w:ascii="Times New Roman" w:hAnsi="Times New Roman"/>
          <w:color w:val="0000FF"/>
          <w:szCs w:val="21"/>
          <w:cs/>
        </w:rPr>
        <w:t>‎</w:t>
      </w:r>
      <w:r w:rsidR="00CC3C32">
        <w:rPr>
          <w:rFonts w:ascii="Times New Roman" w:hAnsi="Times New Roman" w:hint="eastAsia"/>
          <w:color w:val="0000FF"/>
          <w:szCs w:val="21"/>
        </w:rPr>
        <w:t>图</w:t>
      </w:r>
      <w:r w:rsidR="00CC3C32">
        <w:rPr>
          <w:rFonts w:ascii="Times New Roman" w:hAnsi="Times New Roman"/>
          <w:color w:val="0000FF"/>
          <w:szCs w:val="21"/>
        </w:rPr>
        <w:t>10</w:t>
      </w:r>
      <w:r>
        <w:rPr>
          <w:rFonts w:ascii="Times New Roman" w:hAnsi="Times New Roman"/>
          <w:color w:val="0000FF"/>
          <w:szCs w:val="21"/>
        </w:rPr>
        <w:fldChar w:fldCharType="end"/>
      </w:r>
      <w:r>
        <w:rPr>
          <w:rFonts w:ascii="Times New Roman" w:hAnsi="Times New Roman" w:hint="eastAsia"/>
          <w:color w:val="0000FF"/>
          <w:szCs w:val="21"/>
        </w:rPr>
        <w:t>(b)</w:t>
      </w:r>
      <w:r>
        <w:rPr>
          <w:rFonts w:ascii="Times New Roman" w:hAnsi="Times New Roman" w:hint="eastAsia"/>
          <w:szCs w:val="21"/>
        </w:rPr>
        <w:t>）表示，</w:t>
      </w:r>
      <w:r>
        <w:rPr>
          <w:rFonts w:ascii="Times New Roman" w:hAnsi="Times New Roman"/>
          <w:szCs w:val="21"/>
        </w:rPr>
        <w:t>直观呈现各类地块在本次极端地震事件下的供电保持水平及波动幅度。整体来看，物流仓储用地</w:t>
      </w:r>
      <w:r>
        <w:rPr>
          <w:rFonts w:ascii="Times New Roman" w:hAnsi="Times New Roman" w:hint="eastAsia"/>
          <w:szCs w:val="21"/>
        </w:rPr>
        <w:t>(</w:t>
      </w:r>
      <w:r>
        <w:rPr>
          <w:rFonts w:ascii="Times New Roman" w:hAnsi="Times New Roman"/>
          <w:szCs w:val="21"/>
        </w:rPr>
        <w:t>W</w:t>
      </w:r>
      <w:r>
        <w:rPr>
          <w:rFonts w:ascii="Times New Roman" w:hAnsi="Times New Roman" w:hint="eastAsia"/>
          <w:szCs w:val="21"/>
        </w:rPr>
        <w:t>)</w:t>
      </w:r>
      <w:r>
        <w:rPr>
          <w:rFonts w:ascii="Times New Roman" w:hAnsi="Times New Roman"/>
          <w:szCs w:val="21"/>
        </w:rPr>
        <w:t xml:space="preserve"> </w:t>
      </w:r>
      <w:r>
        <w:rPr>
          <w:rFonts w:ascii="Times New Roman" w:hAnsi="Times New Roman" w:hint="eastAsia"/>
          <w:szCs w:val="21"/>
        </w:rPr>
        <w:t>和</w:t>
      </w:r>
      <w:r>
        <w:rPr>
          <w:rFonts w:ascii="Times New Roman" w:hAnsi="Times New Roman"/>
          <w:szCs w:val="21"/>
        </w:rPr>
        <w:t>公共管理与公共服务设施用地（</w:t>
      </w:r>
      <w:r>
        <w:rPr>
          <w:rFonts w:ascii="Times New Roman" w:hAnsi="Times New Roman"/>
          <w:szCs w:val="21"/>
        </w:rPr>
        <w:t>A</w:t>
      </w:r>
      <w:r>
        <w:rPr>
          <w:rFonts w:ascii="Times New Roman" w:hAnsi="Times New Roman"/>
          <w:szCs w:val="21"/>
        </w:rPr>
        <w:t>）</w:t>
      </w:r>
      <w:r>
        <w:rPr>
          <w:rFonts w:ascii="Times New Roman" w:hAnsi="Times New Roman"/>
          <w:szCs w:val="21"/>
        </w:rPr>
        <w:lastRenderedPageBreak/>
        <w:t>在</w:t>
      </w:r>
      <w:r>
        <w:rPr>
          <w:rFonts w:ascii="Times New Roman" w:hAnsi="Times New Roman" w:hint="eastAsia"/>
          <w:szCs w:val="21"/>
        </w:rPr>
        <w:t>此地震事件</w:t>
      </w:r>
      <w:r>
        <w:rPr>
          <w:rFonts w:ascii="Times New Roman" w:hAnsi="Times New Roman"/>
          <w:szCs w:val="21"/>
        </w:rPr>
        <w:t>中的</w:t>
      </w:r>
      <w:r>
        <w:rPr>
          <w:rFonts w:ascii="Times New Roman" w:hAnsi="Times New Roman" w:hint="eastAsia"/>
          <w:szCs w:val="21"/>
        </w:rPr>
        <w:t>功能指数最高</w:t>
      </w:r>
      <w:r>
        <w:rPr>
          <w:rFonts w:ascii="Times New Roman" w:hAnsi="Times New Roman"/>
          <w:szCs w:val="21"/>
        </w:rPr>
        <w:t>，</w:t>
      </w:r>
      <w:r>
        <w:rPr>
          <w:rFonts w:ascii="Times New Roman" w:hAnsi="Times New Roman" w:hint="eastAsia"/>
          <w:szCs w:val="21"/>
        </w:rPr>
        <w:t>两类用地震后功能中位数都在</w:t>
      </w:r>
      <w:r>
        <w:rPr>
          <w:rFonts w:ascii="Times New Roman" w:hAnsi="Times New Roman" w:hint="eastAsia"/>
          <w:szCs w:val="21"/>
        </w:rPr>
        <w:t>70%</w:t>
      </w:r>
      <w:r>
        <w:rPr>
          <w:rFonts w:ascii="Times New Roman" w:hAnsi="Times New Roman" w:hint="eastAsia"/>
          <w:szCs w:val="21"/>
        </w:rPr>
        <w:t>以上；</w:t>
      </w:r>
      <w:r>
        <w:rPr>
          <w:rFonts w:ascii="Times New Roman" w:hAnsi="Times New Roman"/>
          <w:szCs w:val="21"/>
        </w:rPr>
        <w:t>工业用地（</w:t>
      </w:r>
      <w:r>
        <w:rPr>
          <w:rFonts w:ascii="Times New Roman" w:hAnsi="Times New Roman"/>
          <w:szCs w:val="21"/>
        </w:rPr>
        <w:t>M</w:t>
      </w:r>
      <w:r>
        <w:rPr>
          <w:rFonts w:ascii="Times New Roman" w:hAnsi="Times New Roman"/>
          <w:szCs w:val="21"/>
        </w:rPr>
        <w:t>）</w:t>
      </w:r>
      <w:r>
        <w:rPr>
          <w:rFonts w:ascii="Times New Roman" w:hAnsi="Times New Roman" w:hint="eastAsia"/>
          <w:szCs w:val="21"/>
        </w:rPr>
        <w:t>的中位数为</w:t>
      </w:r>
      <w:r>
        <w:rPr>
          <w:rFonts w:ascii="Times New Roman" w:hAnsi="Times New Roman"/>
          <w:szCs w:val="21"/>
        </w:rPr>
        <w:t xml:space="preserve"> </w:t>
      </w:r>
      <w:r>
        <w:rPr>
          <w:rFonts w:ascii="Times New Roman" w:hAnsi="Times New Roman" w:hint="eastAsia"/>
          <w:szCs w:val="21"/>
        </w:rPr>
        <w:t>62.99%</w:t>
      </w:r>
      <w:r>
        <w:rPr>
          <w:rFonts w:ascii="Times New Roman" w:hAnsi="Times New Roman"/>
          <w:szCs w:val="21"/>
        </w:rPr>
        <w:t>，</w:t>
      </w:r>
      <w:r>
        <w:rPr>
          <w:rFonts w:ascii="Times New Roman" w:hAnsi="Times New Roman" w:hint="eastAsia"/>
          <w:szCs w:val="21"/>
        </w:rPr>
        <w:t>其箱体最长，波动最大，样本值分布呈现明显的两级分化；</w:t>
      </w:r>
      <w:r>
        <w:rPr>
          <w:rFonts w:ascii="Times New Roman" w:hAnsi="Times New Roman"/>
          <w:szCs w:val="21"/>
        </w:rPr>
        <w:t>居住用地（</w:t>
      </w:r>
      <w:r>
        <w:rPr>
          <w:rFonts w:ascii="Times New Roman" w:hAnsi="Times New Roman"/>
          <w:szCs w:val="21"/>
        </w:rPr>
        <w:t>R</w:t>
      </w:r>
      <w:r>
        <w:rPr>
          <w:rFonts w:ascii="Times New Roman" w:hAnsi="Times New Roman"/>
          <w:szCs w:val="21"/>
        </w:rPr>
        <w:t>）、绿地与广场用地（</w:t>
      </w:r>
      <w:r>
        <w:rPr>
          <w:rFonts w:ascii="Times New Roman" w:hAnsi="Times New Roman"/>
          <w:szCs w:val="21"/>
        </w:rPr>
        <w:t>G</w:t>
      </w:r>
      <w:r>
        <w:rPr>
          <w:rFonts w:ascii="Times New Roman" w:hAnsi="Times New Roman"/>
          <w:szCs w:val="21"/>
        </w:rPr>
        <w:t>）以及商业服务业设施用地（</w:t>
      </w:r>
      <w:r>
        <w:rPr>
          <w:rFonts w:ascii="Times New Roman" w:hAnsi="Times New Roman"/>
          <w:szCs w:val="21"/>
        </w:rPr>
        <w:t>B</w:t>
      </w:r>
      <w:r>
        <w:rPr>
          <w:rFonts w:ascii="Times New Roman" w:hAnsi="Times New Roman"/>
          <w:szCs w:val="21"/>
        </w:rPr>
        <w:t>）三者的中位数均</w:t>
      </w:r>
      <w:r>
        <w:rPr>
          <w:rFonts w:ascii="Times New Roman" w:hAnsi="Times New Roman" w:hint="eastAsia"/>
          <w:szCs w:val="21"/>
        </w:rPr>
        <w:t>在</w:t>
      </w:r>
      <w:r>
        <w:rPr>
          <w:rFonts w:ascii="Times New Roman" w:hAnsi="Times New Roman" w:hint="eastAsia"/>
          <w:szCs w:val="21"/>
        </w:rPr>
        <w:t>45%</w:t>
      </w:r>
      <w:r>
        <w:rPr>
          <w:rFonts w:ascii="Times New Roman" w:hAnsi="Times New Roman" w:hint="eastAsia"/>
          <w:szCs w:val="21"/>
        </w:rPr>
        <w:t>左右，与系统平均水平（</w:t>
      </w:r>
      <w:r>
        <w:rPr>
          <w:rFonts w:ascii="Times New Roman" w:hAnsi="Times New Roman" w:hint="eastAsia"/>
          <w:szCs w:val="21"/>
        </w:rPr>
        <w:t>46.87%</w:t>
      </w:r>
      <w:r>
        <w:rPr>
          <w:rFonts w:ascii="Times New Roman" w:hAnsi="Times New Roman" w:hint="eastAsia"/>
          <w:szCs w:val="21"/>
        </w:rPr>
        <w:t>）接近，并且</w:t>
      </w:r>
      <w:r>
        <w:rPr>
          <w:szCs w:val="21"/>
        </w:rPr>
        <w:t>箱体较窄，反映城市主体民生用地在本场景下功能居</w:t>
      </w:r>
      <w:r>
        <w:rPr>
          <w:rFonts w:ascii="Times New Roman" w:hAnsi="Times New Roman"/>
          <w:szCs w:val="21"/>
        </w:rPr>
        <w:t>中且波动相对有限</w:t>
      </w:r>
      <w:r>
        <w:rPr>
          <w:rFonts w:ascii="Times New Roman" w:hAnsi="Times New Roman" w:hint="eastAsia"/>
          <w:szCs w:val="21"/>
        </w:rPr>
        <w:t>。</w:t>
      </w:r>
    </w:p>
    <w:p w14:paraId="59F3FF0D" w14:textId="2DA1D31D" w:rsidR="001F7B30" w:rsidRDefault="00DA268A">
      <w:pPr>
        <w:spacing w:line="240" w:lineRule="atLeast"/>
        <w:ind w:firstLineChars="200" w:firstLine="420"/>
        <w:rPr>
          <w:rFonts w:ascii="Times New Roman" w:hAnsi="Times New Roman"/>
          <w:szCs w:val="21"/>
        </w:rPr>
      </w:pPr>
      <w:r>
        <w:rPr>
          <w:rFonts w:ascii="Times New Roman" w:hAnsi="Times New Roman" w:hint="eastAsia"/>
          <w:szCs w:val="21"/>
        </w:rPr>
        <w:t>总的来说，</w:t>
      </w:r>
      <w:r>
        <w:rPr>
          <w:rFonts w:ascii="Times New Roman" w:hAnsi="Times New Roman"/>
          <w:szCs w:val="21"/>
        </w:rPr>
        <w:t>地震情景下各用地类型的供电功能存在</w:t>
      </w:r>
      <w:r>
        <w:rPr>
          <w:rFonts w:ascii="Times New Roman" w:hAnsi="Times New Roman" w:cs="Times New Roman"/>
          <w:szCs w:val="21"/>
        </w:rPr>
        <w:t>“</w:t>
      </w:r>
      <w:r>
        <w:rPr>
          <w:rFonts w:ascii="Times New Roman" w:hAnsi="Times New Roman" w:cs="Times New Roman"/>
          <w:szCs w:val="21"/>
        </w:rPr>
        <w:t>高功能</w:t>
      </w:r>
      <w:r>
        <w:rPr>
          <w:rFonts w:ascii="Times New Roman" w:hAnsi="Times New Roman" w:cs="Times New Roman"/>
          <w:szCs w:val="21"/>
        </w:rPr>
        <w:t>—</w:t>
      </w:r>
      <w:r>
        <w:rPr>
          <w:rFonts w:ascii="Times New Roman" w:hAnsi="Times New Roman" w:cs="Times New Roman"/>
          <w:szCs w:val="21"/>
        </w:rPr>
        <w:t>高不确定</w:t>
      </w:r>
      <w:r>
        <w:rPr>
          <w:rFonts w:ascii="Times New Roman" w:hAnsi="Times New Roman" w:cs="Times New Roman"/>
          <w:szCs w:val="21"/>
        </w:rPr>
        <w:t>”</w:t>
      </w:r>
      <w:r>
        <w:rPr>
          <w:rFonts w:ascii="Times New Roman" w:hAnsi="Times New Roman" w:cs="Times New Roman"/>
          <w:szCs w:val="21"/>
        </w:rPr>
        <w:t>与</w:t>
      </w:r>
      <w:r>
        <w:rPr>
          <w:rFonts w:ascii="Times New Roman" w:hAnsi="Times New Roman" w:cs="Times New Roman"/>
          <w:szCs w:val="21"/>
        </w:rPr>
        <w:t>“</w:t>
      </w:r>
      <w:r>
        <w:rPr>
          <w:rFonts w:ascii="Times New Roman" w:hAnsi="Times New Roman" w:cs="Times New Roman"/>
          <w:szCs w:val="21"/>
        </w:rPr>
        <w:t>中功能</w:t>
      </w:r>
      <w:r>
        <w:rPr>
          <w:rFonts w:ascii="Times New Roman" w:hAnsi="Times New Roman" w:cs="Times New Roman"/>
          <w:szCs w:val="21"/>
        </w:rPr>
        <w:t>—</w:t>
      </w:r>
      <w:r>
        <w:rPr>
          <w:rFonts w:ascii="Times New Roman" w:hAnsi="Times New Roman" w:cs="Times New Roman"/>
          <w:szCs w:val="21"/>
        </w:rPr>
        <w:t>低波动</w:t>
      </w:r>
      <w:r>
        <w:rPr>
          <w:rFonts w:ascii="Times New Roman" w:hAnsi="Times New Roman" w:cs="Times New Roman"/>
          <w:szCs w:val="21"/>
        </w:rPr>
        <w:t>”</w:t>
      </w:r>
      <w:r>
        <w:rPr>
          <w:rFonts w:ascii="Times New Roman" w:hAnsi="Times New Roman" w:cs="Times New Roman"/>
          <w:szCs w:val="21"/>
        </w:rPr>
        <w:t>并存的格局</w:t>
      </w:r>
      <w:r>
        <w:rPr>
          <w:rFonts w:ascii="Times New Roman" w:hAnsi="Times New Roman"/>
          <w:szCs w:val="21"/>
        </w:rPr>
        <w:t>：工业用地平均功能较高但波动最大；物流仓储与公共设施用地功能表现最优，但前者受样本限制</w:t>
      </w:r>
      <w:r w:rsidR="00D87CFD">
        <w:rPr>
          <w:rFonts w:ascii="Times New Roman" w:hAnsi="Times New Roman" w:hint="eastAsia"/>
          <w:szCs w:val="21"/>
        </w:rPr>
        <w:t>（</w:t>
      </w:r>
      <w:r w:rsidR="00D87CFD">
        <w:rPr>
          <w:rFonts w:ascii="Times New Roman" w:hAnsi="Times New Roman"/>
          <w:szCs w:val="21"/>
        </w:rPr>
        <w:t>用地</w:t>
      </w:r>
      <w:r w:rsidR="00D87CFD">
        <w:rPr>
          <w:rFonts w:ascii="Times New Roman" w:hAnsi="Times New Roman" w:hint="eastAsia"/>
          <w:szCs w:val="21"/>
        </w:rPr>
        <w:t>数量</w:t>
      </w:r>
      <w:r w:rsidR="00D87CFD">
        <w:rPr>
          <w:rFonts w:ascii="Times New Roman" w:hAnsi="Times New Roman"/>
          <w:szCs w:val="21"/>
        </w:rPr>
        <w:t>仅为</w:t>
      </w:r>
      <w:r w:rsidR="00D87CFD">
        <w:rPr>
          <w:rFonts w:ascii="Times New Roman" w:hAnsi="Times New Roman"/>
          <w:szCs w:val="21"/>
        </w:rPr>
        <w:t>3</w:t>
      </w:r>
      <w:r w:rsidR="00D87CFD">
        <w:rPr>
          <w:rFonts w:ascii="Times New Roman" w:hAnsi="Times New Roman"/>
          <w:szCs w:val="21"/>
        </w:rPr>
        <w:t>个</w:t>
      </w:r>
      <w:r w:rsidR="00D87CFD">
        <w:rPr>
          <w:rFonts w:ascii="Times New Roman" w:hAnsi="Times New Roman" w:hint="eastAsia"/>
          <w:szCs w:val="21"/>
        </w:rPr>
        <w:t>）</w:t>
      </w:r>
      <w:r>
        <w:rPr>
          <w:rFonts w:ascii="Times New Roman" w:hAnsi="Times New Roman"/>
          <w:szCs w:val="21"/>
        </w:rPr>
        <w:t>，后者存在局部薄弱节点；居住、商业和绿地用地表现相对稳定但</w:t>
      </w:r>
      <w:r>
        <w:rPr>
          <w:rFonts w:ascii="Times New Roman" w:hAnsi="Times New Roman" w:hint="eastAsia"/>
          <w:szCs w:val="21"/>
        </w:rPr>
        <w:t>震后</w:t>
      </w:r>
      <w:r>
        <w:rPr>
          <w:rFonts w:ascii="Times New Roman" w:hAnsi="Times New Roman"/>
          <w:szCs w:val="21"/>
        </w:rPr>
        <w:t>功能整体偏低</w:t>
      </w:r>
      <w:r>
        <w:rPr>
          <w:rFonts w:ascii="Times New Roman" w:hAnsi="Times New Roman" w:hint="eastAsia"/>
          <w:szCs w:val="21"/>
        </w:rPr>
        <w:t>。</w:t>
      </w:r>
    </w:p>
    <w:p w14:paraId="008C7316" w14:textId="77777777" w:rsidR="001F7B30" w:rsidRDefault="00DA268A">
      <w:pPr>
        <w:spacing w:line="240" w:lineRule="atLeast"/>
        <w:rPr>
          <w:rFonts w:ascii="Times New Roman" w:hAnsi="Times New Roman" w:cs="Times New Roman"/>
          <w:szCs w:val="21"/>
        </w:rPr>
      </w:pPr>
      <w:r>
        <w:rPr>
          <w:noProof/>
        </w:rPr>
        <w:drawing>
          <wp:inline distT="0" distB="0" distL="0" distR="0" wp14:anchorId="0D714795" wp14:editId="4DD3C6C4">
            <wp:extent cx="2990850" cy="2698750"/>
            <wp:effectExtent l="0" t="0" r="0" b="0"/>
            <wp:docPr id="653990503"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990503" name="图片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2993087" cy="2700430"/>
                    </a:xfrm>
                    <a:prstGeom prst="rect">
                      <a:avLst/>
                    </a:prstGeom>
                    <a:noFill/>
                    <a:ln>
                      <a:noFill/>
                    </a:ln>
                  </pic:spPr>
                </pic:pic>
              </a:graphicData>
            </a:graphic>
          </wp:inline>
        </w:drawing>
      </w:r>
    </w:p>
    <w:p w14:paraId="2727D2E8" w14:textId="77777777" w:rsidR="001F7B30" w:rsidRDefault="00DA268A">
      <w:pPr>
        <w:spacing w:line="240" w:lineRule="atLeast"/>
        <w:rPr>
          <w:rFonts w:ascii="Times New Roman" w:hAnsi="Times New Roman" w:cs="Times New Roman"/>
          <w:szCs w:val="21"/>
        </w:rPr>
      </w:pPr>
      <w:r>
        <w:rPr>
          <w:noProof/>
        </w:rPr>
        <w:drawing>
          <wp:inline distT="0" distB="0" distL="0" distR="0" wp14:anchorId="507D2A6A" wp14:editId="6CD0FCD9">
            <wp:extent cx="2996565" cy="2670810"/>
            <wp:effectExtent l="0" t="0" r="0" b="0"/>
            <wp:docPr id="817334942"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334942" name="图片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2996565" cy="2670810"/>
                    </a:xfrm>
                    <a:prstGeom prst="rect">
                      <a:avLst/>
                    </a:prstGeom>
                    <a:noFill/>
                    <a:ln>
                      <a:noFill/>
                    </a:ln>
                  </pic:spPr>
                </pic:pic>
              </a:graphicData>
            </a:graphic>
          </wp:inline>
        </w:drawing>
      </w:r>
    </w:p>
    <w:p w14:paraId="3DD2E5CD" w14:textId="77777777" w:rsidR="001F7B30" w:rsidRDefault="00DA268A">
      <w:pPr>
        <w:pStyle w:val="afb"/>
        <w:numPr>
          <w:ilvl w:val="0"/>
          <w:numId w:val="2"/>
        </w:numPr>
        <w:spacing w:line="240" w:lineRule="atLeast"/>
        <w:ind w:firstLineChars="0"/>
        <w:jc w:val="center"/>
        <w:rPr>
          <w:rFonts w:ascii="Times New Roman" w:hAnsi="Times New Roman" w:cs="Times New Roman"/>
          <w:szCs w:val="21"/>
        </w:rPr>
      </w:pPr>
      <w:r>
        <w:rPr>
          <w:rFonts w:ascii="Times New Roman" w:hAnsi="Times New Roman" w:cs="Times New Roman" w:hint="eastAsia"/>
          <w:szCs w:val="21"/>
        </w:rPr>
        <w:t xml:space="preserve"> </w:t>
      </w:r>
      <w:bookmarkStart w:id="28" w:name="_Ref204376470"/>
      <w:r>
        <w:rPr>
          <w:rFonts w:ascii="Times New Roman" w:hAnsi="Times New Roman" w:cs="Times New Roman"/>
          <w:szCs w:val="21"/>
        </w:rPr>
        <w:t>城市地块尺度的震后功能分布及</w:t>
      </w:r>
      <w:r>
        <w:rPr>
          <w:rFonts w:ascii="Times New Roman" w:hAnsi="Times New Roman" w:cs="Times New Roman" w:hint="eastAsia"/>
          <w:szCs w:val="21"/>
        </w:rPr>
        <w:t>统计</w:t>
      </w:r>
      <w:r>
        <w:rPr>
          <w:rFonts w:ascii="Times New Roman" w:hAnsi="Times New Roman" w:cs="Times New Roman"/>
          <w:szCs w:val="21"/>
        </w:rPr>
        <w:t>分析</w:t>
      </w:r>
      <w:bookmarkEnd w:id="28"/>
    </w:p>
    <w:p w14:paraId="5EC6AE71" w14:textId="77777777" w:rsidR="001F7B30" w:rsidRDefault="001F7B30">
      <w:pPr>
        <w:spacing w:line="240" w:lineRule="atLeast"/>
        <w:rPr>
          <w:rFonts w:ascii="Times New Roman" w:hAnsi="Times New Roman" w:cs="Times New Roman"/>
          <w:szCs w:val="21"/>
        </w:rPr>
      </w:pPr>
    </w:p>
    <w:p w14:paraId="2AB225A4" w14:textId="464DE7C8" w:rsidR="001F7B30" w:rsidRDefault="00DA268A">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4</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 xml:space="preserve">3 </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震源方位对震后功能的影响</w:t>
      </w:r>
    </w:p>
    <w:p w14:paraId="0F5AD461" w14:textId="5F6B4E06" w:rsidR="001F7B30" w:rsidRDefault="00DA268A">
      <w:pPr>
        <w:spacing w:line="240" w:lineRule="atLeast"/>
        <w:ind w:firstLineChars="200" w:firstLine="380"/>
        <w:rPr>
          <w:rFonts w:ascii="Times New Roman" w:hAnsi="Times New Roman" w:cs="Times New Roman"/>
          <w:szCs w:val="21"/>
        </w:rPr>
      </w:pPr>
      <w:r>
        <w:rPr>
          <w:rFonts w:ascii="Times New Roman" w:hAnsi="Times New Roman"/>
          <w:sz w:val="19"/>
          <w:szCs w:val="19"/>
        </w:rPr>
        <w:t>为系统比较震源方位对城市电力系统震后功能的影响，本文以城市中心为圆心在八个等间隔方位（</w:t>
      </w:r>
      <w:r>
        <w:rPr>
          <w:rFonts w:ascii="Times New Roman" w:hAnsi="Times New Roman"/>
          <w:sz w:val="19"/>
          <w:szCs w:val="19"/>
        </w:rPr>
        <w:t>N</w:t>
      </w:r>
      <w:r>
        <w:rPr>
          <w:rFonts w:ascii="Times New Roman" w:hAnsi="Times New Roman"/>
          <w:sz w:val="19"/>
          <w:szCs w:val="19"/>
        </w:rPr>
        <w:t>、</w:t>
      </w:r>
      <w:r>
        <w:rPr>
          <w:rFonts w:ascii="Times New Roman" w:hAnsi="Times New Roman"/>
          <w:sz w:val="19"/>
          <w:szCs w:val="19"/>
        </w:rPr>
        <w:t>NE</w:t>
      </w:r>
      <w:r>
        <w:rPr>
          <w:rFonts w:ascii="Times New Roman" w:hAnsi="Times New Roman"/>
          <w:sz w:val="19"/>
          <w:szCs w:val="19"/>
        </w:rPr>
        <w:t>、</w:t>
      </w:r>
      <w:r>
        <w:rPr>
          <w:rFonts w:ascii="Times New Roman" w:hAnsi="Times New Roman"/>
          <w:sz w:val="19"/>
          <w:szCs w:val="19"/>
        </w:rPr>
        <w:t>E</w:t>
      </w:r>
      <w:r>
        <w:rPr>
          <w:rFonts w:ascii="Times New Roman" w:hAnsi="Times New Roman"/>
          <w:sz w:val="19"/>
          <w:szCs w:val="19"/>
        </w:rPr>
        <w:t>、</w:t>
      </w:r>
      <w:r>
        <w:rPr>
          <w:rFonts w:ascii="Times New Roman" w:hAnsi="Times New Roman"/>
          <w:sz w:val="19"/>
          <w:szCs w:val="19"/>
        </w:rPr>
        <w:t>SE</w:t>
      </w:r>
      <w:r>
        <w:rPr>
          <w:rFonts w:ascii="Times New Roman" w:hAnsi="Times New Roman"/>
          <w:sz w:val="19"/>
          <w:szCs w:val="19"/>
        </w:rPr>
        <w:t>、</w:t>
      </w:r>
      <w:r>
        <w:rPr>
          <w:rFonts w:ascii="Times New Roman" w:hAnsi="Times New Roman"/>
          <w:sz w:val="19"/>
          <w:szCs w:val="19"/>
        </w:rPr>
        <w:t>S</w:t>
      </w:r>
      <w:r>
        <w:rPr>
          <w:rFonts w:ascii="Times New Roman" w:hAnsi="Times New Roman"/>
          <w:sz w:val="19"/>
          <w:szCs w:val="19"/>
        </w:rPr>
        <w:t>、</w:t>
      </w:r>
      <w:r>
        <w:rPr>
          <w:rFonts w:ascii="Times New Roman" w:hAnsi="Times New Roman"/>
          <w:sz w:val="19"/>
          <w:szCs w:val="19"/>
        </w:rPr>
        <w:t>SW</w:t>
      </w:r>
      <w:r>
        <w:rPr>
          <w:rFonts w:ascii="Times New Roman" w:hAnsi="Times New Roman"/>
          <w:sz w:val="19"/>
          <w:szCs w:val="19"/>
        </w:rPr>
        <w:t>、</w:t>
      </w:r>
      <w:r>
        <w:rPr>
          <w:rFonts w:ascii="Times New Roman" w:hAnsi="Times New Roman"/>
          <w:sz w:val="19"/>
          <w:szCs w:val="19"/>
        </w:rPr>
        <w:t>W</w:t>
      </w:r>
      <w:r>
        <w:rPr>
          <w:rFonts w:ascii="Times New Roman" w:hAnsi="Times New Roman"/>
          <w:sz w:val="19"/>
          <w:szCs w:val="19"/>
        </w:rPr>
        <w:t>、</w:t>
      </w:r>
      <w:r>
        <w:rPr>
          <w:rFonts w:ascii="Times New Roman" w:hAnsi="Times New Roman"/>
          <w:sz w:val="19"/>
          <w:szCs w:val="19"/>
        </w:rPr>
        <w:t>NW</w:t>
      </w:r>
      <w:r>
        <w:rPr>
          <w:rFonts w:ascii="Times New Roman" w:hAnsi="Times New Roman"/>
          <w:sz w:val="19"/>
          <w:szCs w:val="19"/>
        </w:rPr>
        <w:t>）布设震源，</w:t>
      </w:r>
      <w:r>
        <w:rPr>
          <w:rFonts w:ascii="Times New Roman" w:hAnsi="Times New Roman" w:hint="eastAsia"/>
          <w:sz w:val="19"/>
          <w:szCs w:val="19"/>
        </w:rPr>
        <w:t>震中距取</w:t>
      </w:r>
      <w:r>
        <w:rPr>
          <w:rFonts w:ascii="Times New Roman" w:hAnsi="Times New Roman" w:hint="eastAsia"/>
          <w:sz w:val="19"/>
          <w:szCs w:val="19"/>
        </w:rPr>
        <w:t>10km</w:t>
      </w:r>
      <w:r>
        <w:rPr>
          <w:rFonts w:ascii="Times New Roman" w:hAnsi="Times New Roman" w:hint="eastAsia"/>
          <w:sz w:val="19"/>
          <w:szCs w:val="19"/>
        </w:rPr>
        <w:t>，震级为</w:t>
      </w:r>
      <w:r>
        <w:rPr>
          <w:rFonts w:ascii="Times New Roman" w:hAnsi="Times New Roman" w:hint="eastAsia"/>
          <w:sz w:val="19"/>
          <w:szCs w:val="19"/>
        </w:rPr>
        <w:t>6.5</w:t>
      </w:r>
      <w:r>
        <w:rPr>
          <w:rFonts w:ascii="Times New Roman" w:hAnsi="Times New Roman" w:hint="eastAsia"/>
          <w:sz w:val="19"/>
          <w:szCs w:val="19"/>
        </w:rPr>
        <w:t>级。</w:t>
      </w:r>
      <w:r>
        <w:rPr>
          <w:sz w:val="19"/>
          <w:szCs w:val="19"/>
        </w:rPr>
        <w:t>每个方位的地震事件</w:t>
      </w:r>
      <w:r>
        <w:rPr>
          <w:rFonts w:ascii="Times New Roman" w:hAnsi="Times New Roman" w:hint="eastAsia"/>
          <w:sz w:val="19"/>
          <w:szCs w:val="19"/>
        </w:rPr>
        <w:t>分别进行</w:t>
      </w:r>
      <w:r>
        <w:rPr>
          <w:rFonts w:ascii="Times New Roman" w:hAnsi="Times New Roman" w:hint="eastAsia"/>
          <w:sz w:val="19"/>
          <w:szCs w:val="19"/>
        </w:rPr>
        <w:t>1000 0</w:t>
      </w:r>
      <w:r>
        <w:rPr>
          <w:rFonts w:ascii="Times New Roman" w:hAnsi="Times New Roman" w:hint="eastAsia"/>
          <w:sz w:val="19"/>
          <w:szCs w:val="19"/>
        </w:rPr>
        <w:t>次模拟，将城市震后功能云图与震源相对位置关系绘于</w:t>
      </w:r>
      <w:r>
        <w:rPr>
          <w:rFonts w:ascii="Times New Roman" w:hAnsi="Times New Roman"/>
          <w:sz w:val="19"/>
          <w:szCs w:val="19"/>
        </w:rPr>
        <w:fldChar w:fldCharType="begin"/>
      </w:r>
      <w:r>
        <w:rPr>
          <w:rFonts w:ascii="Times New Roman" w:hAnsi="Times New Roman"/>
          <w:sz w:val="19"/>
          <w:szCs w:val="19"/>
        </w:rPr>
        <w:instrText xml:space="preserve"> </w:instrText>
      </w:r>
      <w:r>
        <w:rPr>
          <w:rFonts w:ascii="Times New Roman" w:hAnsi="Times New Roman" w:hint="eastAsia"/>
          <w:sz w:val="19"/>
          <w:szCs w:val="19"/>
        </w:rPr>
        <w:instrText>REF _Ref204376591 \r \h</w:instrText>
      </w:r>
      <w:r>
        <w:rPr>
          <w:rFonts w:ascii="Times New Roman" w:hAnsi="Times New Roman"/>
          <w:sz w:val="19"/>
          <w:szCs w:val="19"/>
        </w:rPr>
        <w:instrText xml:space="preserve">  \* MERGEFORMAT </w:instrText>
      </w:r>
      <w:r>
        <w:rPr>
          <w:rFonts w:ascii="Times New Roman" w:hAnsi="Times New Roman"/>
          <w:sz w:val="19"/>
          <w:szCs w:val="19"/>
        </w:rPr>
      </w:r>
      <w:r>
        <w:rPr>
          <w:rFonts w:ascii="Times New Roman" w:hAnsi="Times New Roman"/>
          <w:sz w:val="19"/>
          <w:szCs w:val="19"/>
        </w:rPr>
        <w:fldChar w:fldCharType="separate"/>
      </w:r>
      <w:r>
        <w:rPr>
          <w:rFonts w:ascii="Times New Roman" w:hAnsi="Times New Roman"/>
          <w:sz w:val="19"/>
          <w:szCs w:val="19"/>
          <w:cs/>
        </w:rPr>
        <w:t>‎</w:t>
      </w:r>
      <w:r w:rsidRPr="008453EA">
        <w:rPr>
          <w:rFonts w:ascii="Times New Roman" w:hAnsi="Times New Roman" w:hint="eastAsia"/>
          <w:color w:val="0000FF"/>
          <w:szCs w:val="21"/>
        </w:rPr>
        <w:t>图</w:t>
      </w:r>
      <w:r w:rsidRPr="008453EA">
        <w:rPr>
          <w:rFonts w:ascii="Times New Roman" w:hAnsi="Times New Roman"/>
          <w:color w:val="0000FF"/>
          <w:szCs w:val="21"/>
        </w:rPr>
        <w:t>11</w:t>
      </w:r>
      <w:r>
        <w:rPr>
          <w:rFonts w:ascii="Times New Roman" w:hAnsi="Times New Roman"/>
          <w:sz w:val="19"/>
          <w:szCs w:val="19"/>
        </w:rPr>
        <w:fldChar w:fldCharType="end"/>
      </w:r>
      <w:r>
        <w:rPr>
          <w:rFonts w:ascii="Times New Roman" w:hAnsi="Times New Roman" w:hint="eastAsia"/>
          <w:sz w:val="19"/>
          <w:szCs w:val="19"/>
        </w:rPr>
        <w:t>中，</w:t>
      </w:r>
      <w:r>
        <w:rPr>
          <w:rFonts w:ascii="Times New Roman" w:hAnsi="Times New Roman"/>
          <w:sz w:val="19"/>
          <w:szCs w:val="19"/>
        </w:rPr>
        <w:t>以直观体现震源方位变化引起的</w:t>
      </w:r>
      <w:r>
        <w:rPr>
          <w:rFonts w:ascii="Times New Roman" w:hAnsi="Times New Roman" w:hint="eastAsia"/>
          <w:sz w:val="19"/>
          <w:szCs w:val="19"/>
        </w:rPr>
        <w:t>城市震后</w:t>
      </w:r>
      <w:r>
        <w:rPr>
          <w:rFonts w:ascii="Times New Roman" w:hAnsi="Times New Roman"/>
          <w:sz w:val="19"/>
          <w:szCs w:val="19"/>
        </w:rPr>
        <w:t>功能空间差异特征。</w:t>
      </w:r>
    </w:p>
    <w:p w14:paraId="2A9251E0" w14:textId="740BB6F1" w:rsidR="001F7B30" w:rsidRDefault="008A3E36" w:rsidP="008A3E36">
      <w:pPr>
        <w:spacing w:line="240" w:lineRule="atLeast"/>
        <w:jc w:val="center"/>
        <w:rPr>
          <w:rFonts w:ascii="Times New Roman" w:hAnsi="Times New Roman" w:cs="Times New Roman"/>
          <w:szCs w:val="21"/>
        </w:rPr>
      </w:pPr>
      <w:r w:rsidRPr="008A3E36">
        <w:rPr>
          <w:noProof/>
        </w:rPr>
        <w:drawing>
          <wp:inline distT="0" distB="0" distL="0" distR="0" wp14:anchorId="4894FBCB" wp14:editId="365238BD">
            <wp:extent cx="2996565" cy="2820035"/>
            <wp:effectExtent l="0" t="0" r="0" b="0"/>
            <wp:docPr id="96606773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996565" cy="2820035"/>
                    </a:xfrm>
                    <a:prstGeom prst="rect">
                      <a:avLst/>
                    </a:prstGeom>
                    <a:noFill/>
                    <a:ln>
                      <a:noFill/>
                    </a:ln>
                  </pic:spPr>
                </pic:pic>
              </a:graphicData>
            </a:graphic>
          </wp:inline>
        </w:drawing>
      </w:r>
    </w:p>
    <w:p w14:paraId="4A5BC089" w14:textId="48AD82AC" w:rsidR="001F7B30" w:rsidRDefault="00DA268A">
      <w:pPr>
        <w:pStyle w:val="afb"/>
        <w:numPr>
          <w:ilvl w:val="0"/>
          <w:numId w:val="2"/>
        </w:numPr>
        <w:spacing w:line="240" w:lineRule="atLeast"/>
        <w:ind w:firstLineChars="0"/>
        <w:jc w:val="center"/>
        <w:rPr>
          <w:rFonts w:ascii="Times New Roman" w:hAnsi="Times New Roman" w:cs="Times New Roman"/>
          <w:szCs w:val="21"/>
        </w:rPr>
      </w:pPr>
      <w:r>
        <w:rPr>
          <w:rFonts w:ascii="Times New Roman" w:hAnsi="Times New Roman" w:cs="Times New Roman" w:hint="eastAsia"/>
          <w:szCs w:val="21"/>
        </w:rPr>
        <w:t xml:space="preserve"> </w:t>
      </w:r>
      <w:bookmarkStart w:id="29" w:name="_Ref204376591"/>
      <w:r>
        <w:rPr>
          <w:rFonts w:ascii="Times New Roman" w:hAnsi="Times New Roman" w:cs="Times New Roman" w:hint="eastAsia"/>
          <w:szCs w:val="21"/>
        </w:rPr>
        <w:t>不同震源位置下城市震后功能云图</w:t>
      </w:r>
      <w:bookmarkEnd w:id="29"/>
    </w:p>
    <w:p w14:paraId="3CF63085" w14:textId="1CA0A81B" w:rsidR="001F7B30" w:rsidRDefault="00DA268A">
      <w:pPr>
        <w:spacing w:line="240" w:lineRule="atLeast"/>
        <w:ind w:firstLineChars="200" w:firstLine="420"/>
        <w:rPr>
          <w:rFonts w:ascii="Times New Roman" w:hAnsi="Times New Roman"/>
          <w:szCs w:val="21"/>
        </w:rPr>
      </w:pPr>
      <w:r>
        <w:rPr>
          <w:rFonts w:ascii="Times New Roman" w:hAnsi="Times New Roman" w:cs="Times New Roman" w:hint="eastAsia"/>
          <w:szCs w:val="21"/>
        </w:rPr>
        <w:t>从模拟结果来看，</w:t>
      </w:r>
      <w:r w:rsidR="00D87CFD">
        <w:rPr>
          <w:rFonts w:ascii="Times New Roman" w:hAnsi="Times New Roman" w:cs="Times New Roman" w:hint="eastAsia"/>
          <w:szCs w:val="21"/>
        </w:rPr>
        <w:t>震源位于城市不同方位时，电力系统</w:t>
      </w:r>
      <w:r>
        <w:rPr>
          <w:rFonts w:ascii="Times New Roman" w:hAnsi="Times New Roman" w:cs="Times New Roman" w:hint="eastAsia"/>
          <w:szCs w:val="21"/>
        </w:rPr>
        <w:t>功能指数范围为</w:t>
      </w:r>
      <w:r>
        <w:rPr>
          <w:rFonts w:ascii="Times New Roman" w:hAnsi="Times New Roman" w:cs="Times New Roman" w:hint="eastAsia"/>
          <w:szCs w:val="21"/>
        </w:rPr>
        <w:t xml:space="preserve"> 35.69%</w:t>
      </w:r>
      <w:r>
        <w:rPr>
          <w:rFonts w:ascii="Times New Roman" w:hAnsi="Times New Roman" w:cs="Times New Roman" w:hint="eastAsia"/>
          <w:szCs w:val="21"/>
        </w:rPr>
        <w:t>–</w:t>
      </w:r>
      <w:r>
        <w:rPr>
          <w:rFonts w:ascii="Times New Roman" w:hAnsi="Times New Roman" w:cs="Times New Roman" w:hint="eastAsia"/>
          <w:szCs w:val="21"/>
        </w:rPr>
        <w:t>50.70%</w:t>
      </w:r>
      <w:r>
        <w:rPr>
          <w:rFonts w:ascii="Times New Roman" w:hAnsi="Times New Roman" w:cs="Times New Roman" w:hint="eastAsia"/>
          <w:szCs w:val="21"/>
        </w:rPr>
        <w:t>，</w:t>
      </w:r>
      <w:r>
        <w:rPr>
          <w:rFonts w:ascii="Times New Roman" w:hAnsi="Times New Roman"/>
          <w:szCs w:val="21"/>
        </w:rPr>
        <w:t>最大差值</w:t>
      </w:r>
      <w:r>
        <w:rPr>
          <w:rFonts w:ascii="Times New Roman" w:hAnsi="Times New Roman" w:cs="Times New Roman" w:hint="eastAsia"/>
          <w:szCs w:val="21"/>
        </w:rPr>
        <w:t>接近</w:t>
      </w:r>
      <w:r>
        <w:rPr>
          <w:rFonts w:ascii="Times New Roman" w:hAnsi="Times New Roman" w:cs="Times New Roman" w:hint="eastAsia"/>
          <w:szCs w:val="21"/>
        </w:rPr>
        <w:t xml:space="preserve"> 15</w:t>
      </w:r>
      <w:r w:rsidR="00D87CFD">
        <w:rPr>
          <w:rFonts w:ascii="Times New Roman" w:hAnsi="Times New Roman" w:cs="Times New Roman" w:hint="eastAsia"/>
          <w:szCs w:val="21"/>
        </w:rPr>
        <w:t>%</w:t>
      </w:r>
      <w:r>
        <w:rPr>
          <w:rFonts w:ascii="Times New Roman" w:hAnsi="Times New Roman" w:cs="Times New Roman" w:hint="eastAsia"/>
          <w:szCs w:val="21"/>
        </w:rPr>
        <w:t>。</w:t>
      </w:r>
      <w:r>
        <w:rPr>
          <w:rFonts w:ascii="Times New Roman" w:hAnsi="Times New Roman"/>
          <w:szCs w:val="21"/>
        </w:rPr>
        <w:t>震源方位显著影响了地震灾害对城市电力系统功能的作用强度和空间分布。具体而言，震源位于城市西、北及西北方向时，城市整体震后功能明显偏低，功能指数集中于</w:t>
      </w:r>
      <w:r>
        <w:rPr>
          <w:rFonts w:ascii="Times New Roman" w:hAnsi="Times New Roman"/>
          <w:szCs w:val="21"/>
        </w:rPr>
        <w:t>35.7%–37.9%</w:t>
      </w:r>
      <w:r>
        <w:rPr>
          <w:rFonts w:ascii="Times New Roman" w:hAnsi="Times New Roman"/>
          <w:szCs w:val="21"/>
        </w:rPr>
        <w:t>的低值区间；而震源位于东南及南方位时，城市震后功能水平最高，功能指数可达到</w:t>
      </w:r>
      <w:r>
        <w:rPr>
          <w:rFonts w:ascii="Times New Roman" w:hAnsi="Times New Roman"/>
          <w:szCs w:val="21"/>
        </w:rPr>
        <w:t>50%</w:t>
      </w:r>
      <w:r>
        <w:rPr>
          <w:rFonts w:ascii="Times New Roman" w:hAnsi="Times New Roman"/>
          <w:szCs w:val="21"/>
        </w:rPr>
        <w:t>以上</w:t>
      </w:r>
    </w:p>
    <w:p w14:paraId="4BB0359C" w14:textId="0A63CD40" w:rsidR="001F7B30" w:rsidRDefault="00DA268A">
      <w:pPr>
        <w:spacing w:line="240" w:lineRule="atLeast"/>
        <w:ind w:firstLineChars="200" w:firstLine="420"/>
        <w:rPr>
          <w:rFonts w:ascii="Times New Roman" w:hAnsi="Times New Roman" w:cs="Times New Roman"/>
          <w:szCs w:val="21"/>
        </w:rPr>
      </w:pPr>
      <w:r>
        <w:rPr>
          <w:rFonts w:ascii="Times New Roman" w:hAnsi="Times New Roman" w:cs="Times New Roman"/>
          <w:szCs w:val="21"/>
        </w:rPr>
        <w:t>城市北部区域聚集大量工业用户，这类负荷密度大且用电需求持续稳定，关键输配电路径较为集中，因此当震源处于城市西、北及西北方位时，地震波传播路径更直接地作用于城市关键工业负荷通道，从而导致系统整体功能出现较大幅度的下降。</w:t>
      </w:r>
      <w:r w:rsidR="00D87CFD">
        <w:rPr>
          <w:rFonts w:ascii="Times New Roman" w:hAnsi="Times New Roman" w:cs="Times New Roman" w:hint="eastAsia"/>
          <w:szCs w:val="21"/>
        </w:rPr>
        <w:t>反之</w:t>
      </w:r>
      <w:r>
        <w:rPr>
          <w:rFonts w:ascii="Times New Roman" w:hAnsi="Times New Roman" w:cs="Times New Roman"/>
          <w:szCs w:val="21"/>
        </w:rPr>
        <w:t>，</w:t>
      </w:r>
      <w:r w:rsidR="00D87CFD">
        <w:rPr>
          <w:rFonts w:ascii="Times New Roman" w:hAnsi="Times New Roman" w:cs="Times New Roman" w:hint="eastAsia"/>
          <w:szCs w:val="21"/>
        </w:rPr>
        <w:t>当</w:t>
      </w:r>
      <w:r>
        <w:rPr>
          <w:rFonts w:ascii="Times New Roman" w:hAnsi="Times New Roman" w:cs="Times New Roman"/>
          <w:szCs w:val="21"/>
        </w:rPr>
        <w:t>震源</w:t>
      </w:r>
      <w:r w:rsidR="00D87CFD">
        <w:rPr>
          <w:rFonts w:ascii="Times New Roman" w:hAnsi="Times New Roman" w:cs="Times New Roman" w:hint="eastAsia"/>
          <w:szCs w:val="21"/>
        </w:rPr>
        <w:t>位于城市</w:t>
      </w:r>
      <w:r>
        <w:rPr>
          <w:rFonts w:ascii="Times New Roman" w:hAnsi="Times New Roman" w:cs="Times New Roman"/>
          <w:szCs w:val="21"/>
        </w:rPr>
        <w:t>东南及南方位</w:t>
      </w:r>
      <w:r w:rsidR="00D87CFD">
        <w:rPr>
          <w:rFonts w:ascii="Times New Roman" w:hAnsi="Times New Roman" w:cs="Times New Roman" w:hint="eastAsia"/>
          <w:szCs w:val="21"/>
        </w:rPr>
        <w:t>时</w:t>
      </w:r>
      <w:r>
        <w:rPr>
          <w:rFonts w:ascii="Times New Roman" w:hAnsi="Times New Roman" w:cs="Times New Roman"/>
          <w:szCs w:val="21"/>
        </w:rPr>
        <w:t>对工业区域的直接冲击较小，工业区供电网络较完整地得以保存，最终使城市整体震后功能处于相对较高的水平。</w:t>
      </w:r>
    </w:p>
    <w:p w14:paraId="42056C9A" w14:textId="00BF3243" w:rsidR="001F7B30" w:rsidRDefault="001F7B30">
      <w:pPr>
        <w:spacing w:line="240" w:lineRule="atLeast"/>
        <w:ind w:firstLineChars="200" w:firstLine="420"/>
        <w:rPr>
          <w:rFonts w:ascii="Times New Roman" w:hAnsi="Times New Roman" w:cs="Times New Roman"/>
          <w:szCs w:val="21"/>
        </w:rPr>
      </w:pPr>
    </w:p>
    <w:p w14:paraId="65241BFF" w14:textId="77777777" w:rsidR="001F7B30" w:rsidRDefault="00DA268A">
      <w:pPr>
        <w:widowControl/>
        <w:tabs>
          <w:tab w:val="left" w:pos="420"/>
        </w:tabs>
        <w:spacing w:line="240" w:lineRule="atLeast"/>
        <w:ind w:left="480" w:hangingChars="200" w:hanging="480"/>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5</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结论</w:t>
      </w:r>
    </w:p>
    <w:p w14:paraId="3552ED7D" w14:textId="7FE5D4E9" w:rsidR="001F7B30" w:rsidRDefault="00DA268A">
      <w:pPr>
        <w:spacing w:line="240" w:lineRule="atLeast"/>
        <w:ind w:firstLineChars="200" w:firstLine="420"/>
        <w:rPr>
          <w:rFonts w:ascii="Times New Roman" w:hAnsi="Times New Roman" w:cs="Times New Roman"/>
          <w:kern w:val="0"/>
          <w:szCs w:val="21"/>
        </w:rPr>
      </w:pPr>
      <w:r>
        <w:rPr>
          <w:rFonts w:ascii="Times New Roman" w:hAnsi="Times New Roman" w:cs="Times New Roman" w:hint="eastAsia"/>
          <w:szCs w:val="21"/>
        </w:rPr>
        <w:t>本文提出</w:t>
      </w:r>
      <w:r w:rsidR="00D87CFD">
        <w:rPr>
          <w:rFonts w:ascii="Times New Roman" w:hAnsi="Times New Roman" w:cs="Times New Roman" w:hint="eastAsia"/>
          <w:szCs w:val="21"/>
        </w:rPr>
        <w:t>了</w:t>
      </w:r>
      <w:r>
        <w:rPr>
          <w:rFonts w:ascii="Times New Roman" w:hAnsi="Times New Roman" w:cs="Times New Roman" w:hint="eastAsia"/>
          <w:szCs w:val="21"/>
        </w:rPr>
        <w:t>“城市电力系统”概念，建立了基</w:t>
      </w:r>
      <w:r>
        <w:rPr>
          <w:rFonts w:ascii="Times New Roman" w:hAnsi="Times New Roman" w:cs="Times New Roman" w:hint="eastAsia"/>
          <w:szCs w:val="21"/>
        </w:rPr>
        <w:lastRenderedPageBreak/>
        <w:t>于直流潮流分析算法的城市电力系统震后功能分析框架，并使用基准城市模型验证了分析框架算法的可行性，得到如下结论：</w:t>
      </w:r>
    </w:p>
    <w:p w14:paraId="5756A693" w14:textId="616D861B" w:rsidR="00A925F5" w:rsidRDefault="00DA268A">
      <w:pPr>
        <w:spacing w:line="240" w:lineRule="atLeast"/>
        <w:ind w:firstLineChars="200" w:firstLine="420"/>
        <w:rPr>
          <w:rFonts w:ascii="Times New Roman" w:hAnsi="Times New Roman" w:cs="Times New Roman"/>
          <w:kern w:val="0"/>
          <w:szCs w:val="21"/>
        </w:rPr>
      </w:pPr>
      <w:r>
        <w:rPr>
          <w:rFonts w:ascii="Times New Roman" w:hAnsi="Times New Roman" w:cs="Times New Roman" w:hint="eastAsia"/>
          <w:kern w:val="0"/>
          <w:szCs w:val="21"/>
        </w:rPr>
        <w:t>1</w:t>
      </w:r>
      <w:r>
        <w:rPr>
          <w:rFonts w:ascii="Times New Roman" w:hAnsi="Times New Roman" w:cs="Times New Roman" w:hint="eastAsia"/>
          <w:kern w:val="0"/>
          <w:szCs w:val="21"/>
        </w:rPr>
        <w:t>）</w:t>
      </w:r>
      <w:r w:rsidR="00A925F5">
        <w:rPr>
          <w:rFonts w:ascii="Times New Roman" w:hAnsi="Times New Roman" w:cs="Times New Roman" w:hint="eastAsia"/>
          <w:kern w:val="0"/>
          <w:szCs w:val="21"/>
        </w:rPr>
        <w:t>电力系统震后功能分析框架完善，可充分反应系统拓扑特征、地震动参数空间不确定性、电力潮流重分布、级联失效等因素对系统功能的影响；</w:t>
      </w:r>
    </w:p>
    <w:p w14:paraId="496DA4CF" w14:textId="4804EC56" w:rsidR="001F7B30" w:rsidRDefault="00A925F5">
      <w:pPr>
        <w:spacing w:line="240" w:lineRule="atLeast"/>
        <w:ind w:firstLineChars="200" w:firstLine="420"/>
        <w:rPr>
          <w:rFonts w:ascii="Times New Roman" w:hAnsi="Times New Roman"/>
          <w:szCs w:val="21"/>
        </w:rPr>
      </w:pPr>
      <w:r>
        <w:rPr>
          <w:rFonts w:ascii="Times New Roman" w:hAnsi="Times New Roman" w:cs="Times New Roman" w:hint="eastAsia"/>
          <w:kern w:val="0"/>
          <w:szCs w:val="21"/>
        </w:rPr>
        <w:t>2</w:t>
      </w:r>
      <w:r>
        <w:rPr>
          <w:rFonts w:ascii="Times New Roman" w:hAnsi="Times New Roman" w:cs="Times New Roman" w:hint="eastAsia"/>
          <w:kern w:val="0"/>
          <w:szCs w:val="21"/>
        </w:rPr>
        <w:t>）电力系统震后功能评价应</w:t>
      </w:r>
      <w:r w:rsidRPr="00A925F5">
        <w:rPr>
          <w:rFonts w:ascii="Times New Roman" w:hAnsi="Times New Roman" w:cs="Times New Roman" w:hint="eastAsia"/>
          <w:kern w:val="0"/>
          <w:szCs w:val="21"/>
        </w:rPr>
        <w:t>充分考虑级联</w:t>
      </w:r>
      <w:r>
        <w:rPr>
          <w:rFonts w:ascii="Times New Roman" w:hAnsi="Times New Roman" w:cs="Times New Roman" w:hint="eastAsia"/>
          <w:kern w:val="0"/>
          <w:szCs w:val="21"/>
        </w:rPr>
        <w:t>失效</w:t>
      </w:r>
      <w:r w:rsidRPr="00A925F5">
        <w:rPr>
          <w:rFonts w:ascii="Times New Roman" w:hAnsi="Times New Roman" w:cs="Times New Roman" w:hint="eastAsia"/>
          <w:kern w:val="0"/>
          <w:szCs w:val="21"/>
        </w:rPr>
        <w:t>效应</w:t>
      </w:r>
      <w:r w:rsidR="00DE0076">
        <w:rPr>
          <w:rFonts w:ascii="Times New Roman" w:hAnsi="Times New Roman" w:cs="Times New Roman" w:hint="eastAsia"/>
          <w:kern w:val="0"/>
          <w:szCs w:val="21"/>
        </w:rPr>
        <w:t>，</w:t>
      </w:r>
      <w:r w:rsidRPr="00A925F5">
        <w:rPr>
          <w:rFonts w:ascii="Times New Roman" w:hAnsi="Times New Roman" w:cs="Times New Roman" w:hint="eastAsia"/>
          <w:kern w:val="0"/>
          <w:szCs w:val="21"/>
        </w:rPr>
        <w:t>否则会高估电力系统的震后功能。</w:t>
      </w:r>
      <w:r>
        <w:rPr>
          <w:rFonts w:ascii="Times New Roman" w:hAnsi="Times New Roman" w:cs="Times New Roman" w:hint="eastAsia"/>
          <w:kern w:val="0"/>
          <w:szCs w:val="21"/>
        </w:rPr>
        <w:t>遭受物理损伤但未</w:t>
      </w:r>
      <w:r w:rsidR="00DE0076">
        <w:rPr>
          <w:rFonts w:ascii="Times New Roman" w:hAnsi="Times New Roman" w:cs="Times New Roman" w:hint="eastAsia"/>
          <w:kern w:val="0"/>
          <w:szCs w:val="21"/>
        </w:rPr>
        <w:t>完全</w:t>
      </w:r>
      <w:r w:rsidR="006459B4">
        <w:rPr>
          <w:rFonts w:ascii="Times New Roman" w:hAnsi="Times New Roman" w:cs="Times New Roman" w:hint="eastAsia"/>
          <w:kern w:val="0"/>
          <w:szCs w:val="21"/>
        </w:rPr>
        <w:t>破坏的</w:t>
      </w:r>
      <w:r w:rsidR="009B1387">
        <w:rPr>
          <w:rFonts w:ascii="Times New Roman" w:hAnsi="Times New Roman" w:cs="Times New Roman" w:hint="eastAsia"/>
          <w:kern w:val="0"/>
          <w:szCs w:val="21"/>
        </w:rPr>
        <w:t>电力设施会</w:t>
      </w:r>
      <w:r>
        <w:rPr>
          <w:rFonts w:ascii="Times New Roman" w:hAnsi="Times New Roman" w:cs="Times New Roman" w:hint="eastAsia"/>
          <w:kern w:val="0"/>
          <w:szCs w:val="21"/>
        </w:rPr>
        <w:t>由于</w:t>
      </w:r>
      <w:r w:rsidR="00DE0076">
        <w:rPr>
          <w:rFonts w:ascii="Times New Roman" w:hAnsi="Times New Roman" w:cs="Times New Roman" w:hint="eastAsia"/>
          <w:kern w:val="0"/>
          <w:szCs w:val="21"/>
        </w:rPr>
        <w:t>过载</w:t>
      </w:r>
      <w:r>
        <w:rPr>
          <w:rFonts w:ascii="Times New Roman" w:hAnsi="Times New Roman" w:cs="Times New Roman" w:hint="eastAsia"/>
          <w:kern w:val="0"/>
          <w:szCs w:val="21"/>
        </w:rPr>
        <w:t>或</w:t>
      </w:r>
      <w:r w:rsidR="00DE0076">
        <w:rPr>
          <w:rFonts w:ascii="Times New Roman" w:hAnsi="Times New Roman" w:cs="Times New Roman" w:hint="eastAsia"/>
          <w:kern w:val="0"/>
          <w:szCs w:val="21"/>
        </w:rPr>
        <w:t>孤岛效应</w:t>
      </w:r>
      <w:r>
        <w:rPr>
          <w:rFonts w:ascii="Times New Roman" w:hAnsi="Times New Roman" w:cs="Times New Roman" w:hint="eastAsia"/>
          <w:kern w:val="0"/>
          <w:szCs w:val="21"/>
        </w:rPr>
        <w:t>丧失功能，</w:t>
      </w:r>
      <w:r w:rsidR="006459B4">
        <w:rPr>
          <w:rFonts w:ascii="Times New Roman" w:hAnsi="Times New Roman" w:cs="Times New Roman" w:hint="eastAsia"/>
          <w:kern w:val="0"/>
          <w:szCs w:val="21"/>
        </w:rPr>
        <w:t>导致系统</w:t>
      </w:r>
      <w:r>
        <w:rPr>
          <w:rFonts w:ascii="Times New Roman" w:hAnsi="Times New Roman" w:cs="Times New Roman" w:hint="eastAsia"/>
          <w:kern w:val="0"/>
          <w:szCs w:val="21"/>
        </w:rPr>
        <w:t>供电能力进一步</w:t>
      </w:r>
      <w:r w:rsidR="006459B4">
        <w:rPr>
          <w:rFonts w:ascii="Times New Roman" w:hAnsi="Times New Roman" w:cs="Times New Roman" w:hint="eastAsia"/>
          <w:kern w:val="0"/>
          <w:szCs w:val="21"/>
        </w:rPr>
        <w:t>退化</w:t>
      </w:r>
      <w:r>
        <w:rPr>
          <w:rFonts w:ascii="Times New Roman" w:hAnsi="Times New Roman" w:cs="Times New Roman" w:hint="eastAsia"/>
          <w:kern w:val="0"/>
          <w:szCs w:val="21"/>
        </w:rPr>
        <w:t>；</w:t>
      </w:r>
    </w:p>
    <w:p w14:paraId="71AF7EE6" w14:textId="707DCCF1" w:rsidR="001F7B30" w:rsidRDefault="00A925F5">
      <w:pPr>
        <w:spacing w:line="240" w:lineRule="atLeast"/>
        <w:ind w:firstLineChars="200" w:firstLine="420"/>
        <w:rPr>
          <w:rFonts w:ascii="Times New Roman" w:hAnsi="Times New Roman"/>
          <w:szCs w:val="21"/>
        </w:rPr>
      </w:pPr>
      <w:r>
        <w:rPr>
          <w:rFonts w:ascii="Times New Roman" w:hAnsi="Times New Roman" w:hint="eastAsia"/>
          <w:szCs w:val="21"/>
        </w:rPr>
        <w:t>3</w:t>
      </w:r>
      <w:r w:rsidR="00DA268A">
        <w:rPr>
          <w:rFonts w:ascii="Times New Roman" w:hAnsi="Times New Roman" w:hint="eastAsia"/>
          <w:szCs w:val="21"/>
        </w:rPr>
        <w:t>）</w:t>
      </w:r>
      <w:r>
        <w:rPr>
          <w:rFonts w:ascii="Times New Roman" w:hAnsi="Times New Roman" w:hint="eastAsia"/>
          <w:szCs w:val="21"/>
        </w:rPr>
        <w:t>城市</w:t>
      </w:r>
      <w:r w:rsidR="00DA268A">
        <w:rPr>
          <w:rFonts w:ascii="Times New Roman" w:hAnsi="Times New Roman"/>
          <w:szCs w:val="21"/>
        </w:rPr>
        <w:t>不同</w:t>
      </w:r>
      <w:r>
        <w:rPr>
          <w:rFonts w:ascii="Times New Roman" w:hAnsi="Times New Roman" w:hint="eastAsia"/>
          <w:szCs w:val="21"/>
        </w:rPr>
        <w:t>用地类型</w:t>
      </w:r>
      <w:r w:rsidR="00DA268A">
        <w:rPr>
          <w:rFonts w:ascii="Times New Roman" w:hAnsi="Times New Roman"/>
          <w:szCs w:val="21"/>
        </w:rPr>
        <w:t>地块的震后功能差异明显，物流仓储与公共服务设施表现最优，工业用地波动较大，居住、商业和绿地等民生类</w:t>
      </w:r>
      <w:r w:rsidR="00DA268A">
        <w:rPr>
          <w:rFonts w:ascii="Times New Roman" w:hAnsi="Times New Roman" w:hint="eastAsia"/>
          <w:szCs w:val="21"/>
        </w:rPr>
        <w:t>用地</w:t>
      </w:r>
      <w:r>
        <w:rPr>
          <w:rFonts w:ascii="Times New Roman" w:hAnsi="Times New Roman"/>
          <w:szCs w:val="21"/>
        </w:rPr>
        <w:t>相对稳定</w:t>
      </w:r>
      <w:r>
        <w:rPr>
          <w:rFonts w:ascii="Times New Roman" w:hAnsi="Times New Roman" w:hint="eastAsia"/>
          <w:szCs w:val="21"/>
        </w:rPr>
        <w:t>，</w:t>
      </w:r>
      <w:r w:rsidR="00DA268A">
        <w:rPr>
          <w:rFonts w:ascii="Times New Roman" w:hAnsi="Times New Roman"/>
          <w:szCs w:val="21"/>
        </w:rPr>
        <w:t>功能</w:t>
      </w:r>
      <w:r w:rsidR="00DA268A">
        <w:rPr>
          <w:rFonts w:ascii="Times New Roman" w:hAnsi="Times New Roman" w:hint="eastAsia"/>
          <w:szCs w:val="21"/>
        </w:rPr>
        <w:t>水平与城市平均震后功能接近</w:t>
      </w:r>
      <w:r>
        <w:rPr>
          <w:rFonts w:ascii="Times New Roman" w:hAnsi="Times New Roman" w:hint="eastAsia"/>
          <w:szCs w:val="21"/>
        </w:rPr>
        <w:t>；</w:t>
      </w:r>
    </w:p>
    <w:p w14:paraId="74A4294C" w14:textId="312F9A28" w:rsidR="001F7B30" w:rsidRDefault="00A925F5">
      <w:pPr>
        <w:spacing w:line="240" w:lineRule="atLeast"/>
        <w:ind w:firstLineChars="200" w:firstLine="420"/>
        <w:rPr>
          <w:rFonts w:ascii="Times New Roman" w:hAnsi="Times New Roman"/>
          <w:szCs w:val="21"/>
        </w:rPr>
      </w:pPr>
      <w:r>
        <w:rPr>
          <w:rFonts w:ascii="Times New Roman" w:hAnsi="Times New Roman" w:hint="eastAsia"/>
          <w:szCs w:val="21"/>
        </w:rPr>
        <w:t>4</w:t>
      </w:r>
      <w:r w:rsidR="00DA268A">
        <w:rPr>
          <w:rFonts w:ascii="Times New Roman" w:hAnsi="Times New Roman" w:hint="eastAsia"/>
          <w:szCs w:val="21"/>
        </w:rPr>
        <w:t>）</w:t>
      </w:r>
      <w:r w:rsidR="00DA268A">
        <w:rPr>
          <w:rFonts w:ascii="Times New Roman" w:hAnsi="Times New Roman"/>
          <w:szCs w:val="21"/>
        </w:rPr>
        <w:t>震源方位</w:t>
      </w:r>
      <w:r>
        <w:rPr>
          <w:rFonts w:ascii="Times New Roman" w:hAnsi="Times New Roman" w:hint="eastAsia"/>
          <w:szCs w:val="21"/>
        </w:rPr>
        <w:t>对</w:t>
      </w:r>
      <w:r>
        <w:rPr>
          <w:rFonts w:ascii="Times New Roman" w:hAnsi="Times New Roman"/>
          <w:szCs w:val="21"/>
        </w:rPr>
        <w:t>城市电力系统震后功能</w:t>
      </w:r>
      <w:r>
        <w:rPr>
          <w:rFonts w:ascii="Times New Roman" w:hAnsi="Times New Roman" w:hint="eastAsia"/>
          <w:szCs w:val="21"/>
        </w:rPr>
        <w:t>具有显著影响，</w:t>
      </w:r>
      <w:r w:rsidRPr="00A925F5">
        <w:rPr>
          <w:rFonts w:ascii="Times New Roman" w:hAnsi="Times New Roman" w:hint="eastAsia"/>
          <w:szCs w:val="21"/>
        </w:rPr>
        <w:t>负荷密度大且用电需求持续稳定</w:t>
      </w:r>
      <w:r w:rsidR="004423E3">
        <w:rPr>
          <w:rFonts w:ascii="Times New Roman" w:hAnsi="Times New Roman" w:hint="eastAsia"/>
          <w:szCs w:val="21"/>
        </w:rPr>
        <w:t>的区域应远离震源。</w:t>
      </w:r>
      <w:r w:rsidR="00DA268A">
        <w:rPr>
          <w:rFonts w:ascii="Times New Roman" w:hAnsi="Times New Roman"/>
          <w:szCs w:val="21"/>
        </w:rPr>
        <w:t>在未来城市发展与电力网络规划中，应充分考虑地震</w:t>
      </w:r>
      <w:r w:rsidR="00DA268A">
        <w:rPr>
          <w:rFonts w:ascii="Times New Roman" w:hAnsi="Times New Roman" w:hint="eastAsia"/>
          <w:szCs w:val="21"/>
        </w:rPr>
        <w:t>场景</w:t>
      </w:r>
      <w:r w:rsidR="00DA268A">
        <w:rPr>
          <w:rFonts w:ascii="Times New Roman" w:hAnsi="Times New Roman"/>
          <w:szCs w:val="21"/>
        </w:rPr>
        <w:t>，通过合理布局关键输配电路径，提高重要设施供电通道的冗余度与灵活性</w:t>
      </w:r>
      <w:r w:rsidR="00DA268A">
        <w:rPr>
          <w:rFonts w:ascii="Times New Roman" w:hAnsi="Times New Roman" w:hint="eastAsia"/>
          <w:szCs w:val="21"/>
        </w:rPr>
        <w:t>，</w:t>
      </w:r>
      <w:r w:rsidR="004423E3">
        <w:rPr>
          <w:rFonts w:ascii="Times New Roman" w:hAnsi="Times New Roman" w:hint="eastAsia"/>
          <w:szCs w:val="21"/>
        </w:rPr>
        <w:t>进而</w:t>
      </w:r>
      <w:r w:rsidR="00DA268A">
        <w:rPr>
          <w:rFonts w:ascii="Times New Roman" w:hAnsi="Times New Roman"/>
          <w:szCs w:val="21"/>
        </w:rPr>
        <w:t>提升城市电力系统的整体抗震能力。</w:t>
      </w:r>
    </w:p>
    <w:p w14:paraId="58D1509A" w14:textId="77777777" w:rsidR="001F7B30" w:rsidRDefault="001F7B30">
      <w:pPr>
        <w:spacing w:line="240" w:lineRule="atLeast"/>
        <w:rPr>
          <w:rFonts w:ascii="Times New Roman" w:hAnsi="Times New Roman" w:cs="Times New Roman"/>
          <w:kern w:val="0"/>
          <w:szCs w:val="21"/>
        </w:rPr>
      </w:pPr>
    </w:p>
    <w:p w14:paraId="710E17DB" w14:textId="77777777" w:rsidR="001F7B30" w:rsidRDefault="00DA268A" w:rsidP="00587D48">
      <w:pPr>
        <w:widowControl/>
        <w:tabs>
          <w:tab w:val="left" w:pos="420"/>
        </w:tabs>
        <w:wordWrap w:val="0"/>
        <w:spacing w:line="240" w:lineRule="atLeast"/>
        <w:ind w:left="420" w:hangingChars="200" w:hanging="420"/>
        <w:rPr>
          <w:rFonts w:ascii="Times New Roman" w:eastAsia="宋体" w:hAnsi="Times New Roman" w:cs="Times New Roman"/>
          <w:kern w:val="0"/>
          <w:szCs w:val="21"/>
        </w:rPr>
      </w:pPr>
      <w:r>
        <w:rPr>
          <w:rFonts w:ascii="Times New Roman" w:eastAsia="宋体" w:hAnsi="Times New Roman" w:cs="Times New Roman"/>
          <w:kern w:val="0"/>
          <w:szCs w:val="21"/>
        </w:rPr>
        <w:t>参考文献（</w:t>
      </w:r>
      <w:r>
        <w:rPr>
          <w:rFonts w:ascii="Times New Roman" w:eastAsia="宋体" w:hAnsi="Times New Roman" w:cs="Times New Roman"/>
          <w:kern w:val="0"/>
          <w:szCs w:val="21"/>
        </w:rPr>
        <w:t>References</w:t>
      </w:r>
      <w:r>
        <w:rPr>
          <w:rFonts w:ascii="Times New Roman" w:eastAsia="宋体" w:hAnsi="Times New Roman" w:cs="Times New Roman"/>
          <w:kern w:val="0"/>
          <w:szCs w:val="21"/>
        </w:rPr>
        <w:t>）</w:t>
      </w:r>
    </w:p>
    <w:p w14:paraId="44B62CB0" w14:textId="3056C426" w:rsidR="001F7B30" w:rsidRDefault="001E7F52" w:rsidP="00587D48">
      <w:pPr>
        <w:pStyle w:val="a"/>
        <w:wordWrap w:val="0"/>
        <w:rPr>
          <w:rFonts w:ascii="Times New Roman" w:hAnsi="Times New Roman"/>
          <w:sz w:val="18"/>
          <w:szCs w:val="18"/>
        </w:rPr>
      </w:pPr>
      <w:bookmarkStart w:id="30" w:name="_Ref178621085"/>
      <w:bookmarkStart w:id="31" w:name="_Ref178608854"/>
      <w:bookmarkStart w:id="32" w:name="_Ref176267640"/>
      <w:r w:rsidRPr="001E7F52">
        <w:rPr>
          <w:rFonts w:ascii="Times New Roman" w:hAnsi="Times New Roman"/>
          <w:sz w:val="18"/>
          <w:szCs w:val="18"/>
        </w:rPr>
        <w:t>李宏男</w:t>
      </w:r>
      <w:r w:rsidRPr="001E7F52">
        <w:rPr>
          <w:rFonts w:ascii="Times New Roman" w:hAnsi="Times New Roman"/>
          <w:sz w:val="18"/>
          <w:szCs w:val="18"/>
        </w:rPr>
        <w:t xml:space="preserve">, </w:t>
      </w:r>
      <w:r w:rsidRPr="001E7F52">
        <w:rPr>
          <w:rFonts w:ascii="Times New Roman" w:hAnsi="Times New Roman"/>
          <w:sz w:val="18"/>
          <w:szCs w:val="18"/>
        </w:rPr>
        <w:t>柳春光</w:t>
      </w:r>
      <w:r w:rsidRPr="001E7F52">
        <w:rPr>
          <w:rFonts w:ascii="Times New Roman" w:hAnsi="Times New Roman"/>
          <w:sz w:val="18"/>
          <w:szCs w:val="18"/>
        </w:rPr>
        <w:t xml:space="preserve">. </w:t>
      </w:r>
      <w:r w:rsidRPr="001E7F52">
        <w:rPr>
          <w:rFonts w:ascii="Times New Roman" w:hAnsi="Times New Roman"/>
          <w:sz w:val="18"/>
          <w:szCs w:val="18"/>
        </w:rPr>
        <w:t>生命线工程系统减灾研究趋势与展望</w:t>
      </w:r>
      <w:r w:rsidRPr="001E7F52">
        <w:rPr>
          <w:rFonts w:ascii="Times New Roman" w:hAnsi="Times New Roman"/>
          <w:sz w:val="18"/>
          <w:szCs w:val="18"/>
        </w:rPr>
        <w:t xml:space="preserve"> [J]. </w:t>
      </w:r>
      <w:r w:rsidRPr="001E7F52">
        <w:rPr>
          <w:rFonts w:ascii="Times New Roman" w:hAnsi="Times New Roman"/>
          <w:sz w:val="18"/>
          <w:szCs w:val="18"/>
        </w:rPr>
        <w:t>大连理工大学学报</w:t>
      </w:r>
      <w:r w:rsidRPr="001E7F52">
        <w:rPr>
          <w:rFonts w:ascii="Times New Roman" w:hAnsi="Times New Roman"/>
          <w:sz w:val="18"/>
          <w:szCs w:val="18"/>
        </w:rPr>
        <w:t>, 2005, (6): 931-936.</w:t>
      </w:r>
      <w:r w:rsidRPr="001E7F52">
        <w:rPr>
          <w:rFonts w:ascii="Times New Roman" w:hAnsi="Times New Roman"/>
          <w:sz w:val="18"/>
          <w:szCs w:val="18"/>
        </w:rPr>
        <w:br/>
        <w:t>LI H N, LIU C G. Trends and prospects of disaster reduction research in lifeline engineering systems [J]. Journal of Dalian University of Technology, 2005, (6): 931-936. (in Chinese)</w:t>
      </w:r>
      <w:r w:rsidR="00DA268A">
        <w:rPr>
          <w:rFonts w:ascii="Times New Roman" w:hAnsi="Times New Roman"/>
          <w:sz w:val="18"/>
          <w:szCs w:val="18"/>
        </w:rPr>
        <w:t>.</w:t>
      </w:r>
      <w:bookmarkEnd w:id="30"/>
    </w:p>
    <w:p w14:paraId="1A9EB967" w14:textId="768C70E3" w:rsidR="004B630D" w:rsidRDefault="00CA6A75" w:rsidP="00587D48">
      <w:pPr>
        <w:pStyle w:val="a"/>
        <w:wordWrap w:val="0"/>
        <w:rPr>
          <w:rFonts w:ascii="Times New Roman" w:hAnsi="Times New Roman"/>
          <w:sz w:val="18"/>
          <w:szCs w:val="18"/>
        </w:rPr>
      </w:pPr>
      <w:bookmarkStart w:id="33" w:name="_Ref204650908"/>
      <w:r w:rsidRPr="00CA6A75">
        <w:rPr>
          <w:rFonts w:ascii="Times New Roman" w:hAnsi="Times New Roman"/>
          <w:sz w:val="18"/>
          <w:szCs w:val="18"/>
        </w:rPr>
        <w:t>DUEÑAS-OSORIO L, CRAIG J I, GOODNO B J. Seismic response of critical interdependent networks [J]. Earthquake Engineering &amp; Structural Dynamics, 2007, 36(2): 285-306</w:t>
      </w:r>
      <w:r w:rsidR="0052048C" w:rsidRPr="0052048C">
        <w:rPr>
          <w:rFonts w:ascii="Times New Roman" w:hAnsi="Times New Roman"/>
          <w:sz w:val="18"/>
          <w:szCs w:val="18"/>
        </w:rPr>
        <w:t>.</w:t>
      </w:r>
      <w:bookmarkEnd w:id="33"/>
    </w:p>
    <w:p w14:paraId="1BDD26CB" w14:textId="09CB978E" w:rsidR="001F7B30" w:rsidRDefault="00CA6A75" w:rsidP="00587D48">
      <w:pPr>
        <w:pStyle w:val="a"/>
        <w:wordWrap w:val="0"/>
        <w:rPr>
          <w:rFonts w:ascii="Times New Roman" w:hAnsi="Times New Roman"/>
          <w:sz w:val="18"/>
          <w:szCs w:val="18"/>
        </w:rPr>
      </w:pPr>
      <w:bookmarkStart w:id="34" w:name="_Ref204375382"/>
      <w:r w:rsidRPr="00CA6A75">
        <w:rPr>
          <w:rFonts w:ascii="Times New Roman" w:hAnsi="Times New Roman"/>
          <w:sz w:val="18"/>
          <w:szCs w:val="18"/>
        </w:rPr>
        <w:t>ALBERT R, ALBERT I, NAKARADO G L. Structural vulnerability of the North American power grid [J]. Physical Review E, 2004, 69(2): 025103</w:t>
      </w:r>
      <w:r w:rsidR="00DA268A">
        <w:rPr>
          <w:rFonts w:ascii="Times New Roman" w:hAnsi="Times New Roman"/>
          <w:sz w:val="18"/>
          <w:szCs w:val="18"/>
        </w:rPr>
        <w:t>.</w:t>
      </w:r>
      <w:bookmarkEnd w:id="34"/>
    </w:p>
    <w:p w14:paraId="0E25FED5" w14:textId="0C4B3CB6" w:rsidR="001F7B30" w:rsidRDefault="0022055A" w:rsidP="00587D48">
      <w:pPr>
        <w:pStyle w:val="a"/>
        <w:wordWrap w:val="0"/>
        <w:rPr>
          <w:rFonts w:ascii="Times New Roman" w:hAnsi="Times New Roman"/>
          <w:sz w:val="18"/>
          <w:szCs w:val="18"/>
        </w:rPr>
      </w:pPr>
      <w:bookmarkStart w:id="35" w:name="_Ref178610756"/>
      <w:r w:rsidRPr="0022055A">
        <w:rPr>
          <w:rFonts w:ascii="Times New Roman" w:hAnsi="Times New Roman"/>
          <w:sz w:val="18"/>
          <w:szCs w:val="18"/>
        </w:rPr>
        <w:t>林均岐</w:t>
      </w:r>
      <w:r w:rsidRPr="0022055A">
        <w:rPr>
          <w:rFonts w:ascii="Times New Roman" w:hAnsi="Times New Roman"/>
          <w:sz w:val="18"/>
          <w:szCs w:val="18"/>
        </w:rPr>
        <w:t xml:space="preserve">, </w:t>
      </w:r>
      <w:r w:rsidRPr="0022055A">
        <w:rPr>
          <w:rFonts w:ascii="Times New Roman" w:hAnsi="Times New Roman"/>
          <w:sz w:val="18"/>
          <w:szCs w:val="18"/>
        </w:rPr>
        <w:t>陈永盛</w:t>
      </w:r>
      <w:r w:rsidRPr="0022055A">
        <w:rPr>
          <w:rFonts w:ascii="Times New Roman" w:hAnsi="Times New Roman"/>
          <w:sz w:val="18"/>
          <w:szCs w:val="18"/>
        </w:rPr>
        <w:t xml:space="preserve">, </w:t>
      </w:r>
      <w:r w:rsidRPr="0022055A">
        <w:rPr>
          <w:rFonts w:ascii="Times New Roman" w:hAnsi="Times New Roman"/>
          <w:sz w:val="18"/>
          <w:szCs w:val="18"/>
        </w:rPr>
        <w:t>刘金龙</w:t>
      </w:r>
      <w:r w:rsidRPr="0022055A">
        <w:rPr>
          <w:rFonts w:ascii="Times New Roman" w:hAnsi="Times New Roman"/>
          <w:sz w:val="18"/>
          <w:szCs w:val="18"/>
        </w:rPr>
        <w:t xml:space="preserve">. </w:t>
      </w:r>
      <w:r w:rsidRPr="0022055A">
        <w:rPr>
          <w:rFonts w:ascii="Times New Roman" w:hAnsi="Times New Roman"/>
          <w:sz w:val="18"/>
          <w:szCs w:val="18"/>
        </w:rPr>
        <w:t>电力系统震后网络连通性研究</w:t>
      </w:r>
      <w:r w:rsidRPr="0022055A">
        <w:rPr>
          <w:rFonts w:ascii="Times New Roman" w:hAnsi="Times New Roman"/>
          <w:sz w:val="18"/>
          <w:szCs w:val="18"/>
        </w:rPr>
        <w:t xml:space="preserve"> [J]. </w:t>
      </w:r>
      <w:r w:rsidRPr="0022055A">
        <w:rPr>
          <w:rFonts w:ascii="Times New Roman" w:hAnsi="Times New Roman"/>
          <w:sz w:val="18"/>
          <w:szCs w:val="18"/>
        </w:rPr>
        <w:t>地震工程与工程振动</w:t>
      </w:r>
      <w:r w:rsidRPr="0022055A">
        <w:rPr>
          <w:rFonts w:ascii="Times New Roman" w:hAnsi="Times New Roman"/>
          <w:sz w:val="18"/>
          <w:szCs w:val="18"/>
        </w:rPr>
        <w:t>, 2011, 31(6): 181-185. DOI:10.13197/j.eeev.2011.06.007.</w:t>
      </w:r>
      <w:r w:rsidRPr="0022055A">
        <w:rPr>
          <w:rFonts w:ascii="Times New Roman" w:hAnsi="Times New Roman"/>
          <w:sz w:val="18"/>
          <w:szCs w:val="18"/>
        </w:rPr>
        <w:br/>
        <w:t>LIN J Q, CHEN Y S, LIU J L. Study on post-earthquake network connectivity of electric power systems [J]. Earthquake Engineering and Engineering Vibration, 2011, 31(6): 181-185. (in Chinese)</w:t>
      </w:r>
      <w:bookmarkEnd w:id="35"/>
    </w:p>
    <w:p w14:paraId="7A08396C" w14:textId="2D555022" w:rsidR="00C244E0" w:rsidRDefault="0022055A" w:rsidP="00587D48">
      <w:pPr>
        <w:pStyle w:val="a"/>
        <w:wordWrap w:val="0"/>
        <w:ind w:left="442" w:hanging="442"/>
        <w:rPr>
          <w:rFonts w:ascii="Times New Roman" w:hAnsi="Times New Roman"/>
          <w:sz w:val="18"/>
          <w:szCs w:val="18"/>
        </w:rPr>
      </w:pPr>
      <w:bookmarkStart w:id="36" w:name="_Ref204651135"/>
      <w:r w:rsidRPr="0022055A">
        <w:rPr>
          <w:rFonts w:ascii="Times New Roman" w:hAnsi="Times New Roman"/>
          <w:sz w:val="18"/>
          <w:szCs w:val="18"/>
        </w:rPr>
        <w:t>FERRARIO E, POULOS A, CASTRO S, et al. Predictive capacity of topological measures in evaluating seismic risk a</w:t>
      </w:r>
      <w:r w:rsidRPr="0022055A">
        <w:rPr>
          <w:rFonts w:ascii="Times New Roman" w:hAnsi="Times New Roman"/>
          <w:sz w:val="18"/>
          <w:szCs w:val="18"/>
        </w:rPr>
        <w:t>nd resilience of electric power networks [J]. Reliability Engineering &amp; System Safety, 2022, 218: 108040</w:t>
      </w:r>
      <w:r w:rsidR="00C244E0" w:rsidRPr="00C244E0">
        <w:rPr>
          <w:rFonts w:ascii="Times New Roman" w:hAnsi="Times New Roman"/>
          <w:sz w:val="18"/>
          <w:szCs w:val="18"/>
        </w:rPr>
        <w:t>.</w:t>
      </w:r>
      <w:bookmarkEnd w:id="36"/>
    </w:p>
    <w:p w14:paraId="7748055C" w14:textId="46709971" w:rsidR="001F7B30" w:rsidRDefault="00D159F7" w:rsidP="00587D48">
      <w:pPr>
        <w:pStyle w:val="a"/>
        <w:wordWrap w:val="0"/>
        <w:ind w:left="442" w:hanging="442"/>
        <w:rPr>
          <w:rFonts w:ascii="Times New Roman" w:hAnsi="Times New Roman"/>
          <w:sz w:val="18"/>
          <w:szCs w:val="18"/>
        </w:rPr>
      </w:pPr>
      <w:bookmarkStart w:id="37" w:name="_Ref178620096"/>
      <w:r w:rsidRPr="00D159F7">
        <w:rPr>
          <w:rFonts w:ascii="Times New Roman" w:hAnsi="Times New Roman"/>
          <w:sz w:val="18"/>
          <w:szCs w:val="18"/>
        </w:rPr>
        <w:t>赵晋泉</w:t>
      </w:r>
      <w:r w:rsidRPr="00D159F7">
        <w:rPr>
          <w:rFonts w:ascii="Times New Roman" w:hAnsi="Times New Roman"/>
          <w:sz w:val="18"/>
          <w:szCs w:val="18"/>
        </w:rPr>
        <w:t xml:space="preserve">, </w:t>
      </w:r>
      <w:r w:rsidRPr="00D159F7">
        <w:rPr>
          <w:rFonts w:ascii="Times New Roman" w:hAnsi="Times New Roman"/>
          <w:sz w:val="18"/>
          <w:szCs w:val="18"/>
        </w:rPr>
        <w:t>叶君玲</w:t>
      </w:r>
      <w:r w:rsidRPr="00D159F7">
        <w:rPr>
          <w:rFonts w:ascii="Times New Roman" w:hAnsi="Times New Roman"/>
          <w:sz w:val="18"/>
          <w:szCs w:val="18"/>
        </w:rPr>
        <w:t xml:space="preserve">, </w:t>
      </w:r>
      <w:r w:rsidRPr="00D159F7">
        <w:rPr>
          <w:rFonts w:ascii="Times New Roman" w:hAnsi="Times New Roman"/>
          <w:sz w:val="18"/>
          <w:szCs w:val="18"/>
        </w:rPr>
        <w:t>邓勇</w:t>
      </w:r>
      <w:r w:rsidRPr="00D159F7">
        <w:rPr>
          <w:rFonts w:ascii="Times New Roman" w:hAnsi="Times New Roman"/>
          <w:sz w:val="18"/>
          <w:szCs w:val="18"/>
        </w:rPr>
        <w:t xml:space="preserve">. </w:t>
      </w:r>
      <w:r w:rsidRPr="00D159F7">
        <w:rPr>
          <w:rFonts w:ascii="Times New Roman" w:hAnsi="Times New Roman"/>
          <w:sz w:val="18"/>
          <w:szCs w:val="18"/>
        </w:rPr>
        <w:t>直流潮流与交流潮流的对比分析</w:t>
      </w:r>
      <w:r w:rsidRPr="00D159F7">
        <w:rPr>
          <w:rFonts w:ascii="Times New Roman" w:hAnsi="Times New Roman"/>
          <w:sz w:val="18"/>
          <w:szCs w:val="18"/>
        </w:rPr>
        <w:t xml:space="preserve"> [J]. </w:t>
      </w:r>
      <w:r w:rsidRPr="00D159F7">
        <w:rPr>
          <w:rFonts w:ascii="Times New Roman" w:hAnsi="Times New Roman"/>
          <w:sz w:val="18"/>
          <w:szCs w:val="18"/>
        </w:rPr>
        <w:t>电网技术</w:t>
      </w:r>
      <w:r w:rsidRPr="00D159F7">
        <w:rPr>
          <w:rFonts w:ascii="Times New Roman" w:hAnsi="Times New Roman"/>
          <w:sz w:val="18"/>
          <w:szCs w:val="18"/>
        </w:rPr>
        <w:t>, 2012, 36(10): 147-152. DOI:10.13335/j.1000-3673.pst.2012.10.029.</w:t>
      </w:r>
      <w:r w:rsidRPr="00D159F7">
        <w:rPr>
          <w:rFonts w:ascii="Times New Roman" w:hAnsi="Times New Roman"/>
          <w:sz w:val="18"/>
          <w:szCs w:val="18"/>
        </w:rPr>
        <w:br/>
        <w:t>ZHAO J Q, YE J L, DENG Y. Comparative analysis of DC power flow and AC power flow [J]. Power System Technology, 2012, 36(10): 147-152. (in Chinese</w:t>
      </w:r>
      <w:r w:rsidR="00DA268A">
        <w:rPr>
          <w:rFonts w:ascii="Times New Roman" w:hAnsi="Times New Roman" w:hint="eastAsia"/>
          <w:sz w:val="18"/>
          <w:szCs w:val="18"/>
        </w:rPr>
        <w:t>)</w:t>
      </w:r>
      <w:bookmarkEnd w:id="37"/>
    </w:p>
    <w:p w14:paraId="7C4BD9EF" w14:textId="5C6B9ACC" w:rsidR="001F7B30" w:rsidRDefault="00D159F7" w:rsidP="00587D48">
      <w:pPr>
        <w:pStyle w:val="a"/>
        <w:wordWrap w:val="0"/>
        <w:rPr>
          <w:rFonts w:ascii="Times New Roman" w:hAnsi="Times New Roman"/>
          <w:sz w:val="18"/>
          <w:szCs w:val="18"/>
        </w:rPr>
      </w:pPr>
      <w:bookmarkStart w:id="38" w:name="_Ref178615213"/>
      <w:bookmarkEnd w:id="31"/>
      <w:r w:rsidRPr="00D159F7">
        <w:rPr>
          <w:rFonts w:ascii="Times New Roman" w:hAnsi="Times New Roman"/>
          <w:sz w:val="18"/>
          <w:szCs w:val="18"/>
        </w:rPr>
        <w:t>ANG A H S, PIRES J A, VILLAVERDE R. A model for the seismic reliability assessment of electric power transmission systems [J]. Reliability Engineering &amp; System Safety, 1996, 51(1): 7-22</w:t>
      </w:r>
      <w:r w:rsidR="00DA268A">
        <w:rPr>
          <w:rFonts w:ascii="Times New Roman" w:hAnsi="Times New Roman"/>
          <w:sz w:val="18"/>
          <w:szCs w:val="18"/>
        </w:rPr>
        <w:t>.</w:t>
      </w:r>
      <w:bookmarkEnd w:id="38"/>
    </w:p>
    <w:p w14:paraId="04F4A6DB" w14:textId="70C0373D" w:rsidR="001F7B30" w:rsidRDefault="0071557B" w:rsidP="00587D48">
      <w:pPr>
        <w:pStyle w:val="a"/>
        <w:wordWrap w:val="0"/>
        <w:rPr>
          <w:rFonts w:ascii="Times New Roman" w:hAnsi="Times New Roman"/>
          <w:sz w:val="18"/>
          <w:szCs w:val="18"/>
        </w:rPr>
      </w:pPr>
      <w:bookmarkStart w:id="39" w:name="_Ref178614489"/>
      <w:r w:rsidRPr="0071557B">
        <w:rPr>
          <w:rFonts w:ascii="Times New Roman" w:hAnsi="Times New Roman"/>
          <w:sz w:val="18"/>
          <w:szCs w:val="18"/>
        </w:rPr>
        <w:t>RASCHKE M, BILIS E I, KRÖGER W. Vulnerability of the Swiss electric power transmission grid against natural hazards [C]// Proceedings of the 11th International Conference on Applications of Statistics and Probability in Civil Engineering. Zurich, 2011: 1407-1414</w:t>
      </w:r>
      <w:r w:rsidR="00DA268A">
        <w:rPr>
          <w:rFonts w:ascii="Times New Roman" w:hAnsi="Times New Roman"/>
          <w:sz w:val="18"/>
          <w:szCs w:val="18"/>
        </w:rPr>
        <w:t>.</w:t>
      </w:r>
      <w:bookmarkEnd w:id="39"/>
    </w:p>
    <w:p w14:paraId="38B1CAF1" w14:textId="2EAE18E7" w:rsidR="001F7B30" w:rsidRDefault="0071557B" w:rsidP="00587D48">
      <w:pPr>
        <w:pStyle w:val="a"/>
        <w:wordWrap w:val="0"/>
        <w:rPr>
          <w:rFonts w:ascii="Times New Roman" w:hAnsi="Times New Roman"/>
          <w:sz w:val="18"/>
          <w:szCs w:val="18"/>
        </w:rPr>
      </w:pPr>
      <w:bookmarkStart w:id="40" w:name="_Ref178617736"/>
      <w:r w:rsidRPr="0071557B">
        <w:rPr>
          <w:rFonts w:ascii="Times New Roman" w:hAnsi="Times New Roman"/>
          <w:sz w:val="18"/>
          <w:szCs w:val="18"/>
        </w:rPr>
        <w:t>WU Z, CHANG L, SHI S. Reliability analysis of power systems under disaster impacts [R]. Santa Fe Institute CSSS Report, Beijing, 2006</w:t>
      </w:r>
      <w:r w:rsidR="00DA268A">
        <w:rPr>
          <w:rFonts w:ascii="Times New Roman" w:hAnsi="Times New Roman"/>
          <w:sz w:val="18"/>
          <w:szCs w:val="18"/>
        </w:rPr>
        <w:t>.</w:t>
      </w:r>
      <w:bookmarkEnd w:id="40"/>
    </w:p>
    <w:p w14:paraId="17C35FE9" w14:textId="12D6929A" w:rsidR="001F7B30" w:rsidRDefault="0071557B" w:rsidP="00587D48">
      <w:pPr>
        <w:pStyle w:val="a"/>
        <w:wordWrap w:val="0"/>
        <w:rPr>
          <w:rFonts w:ascii="Times New Roman" w:hAnsi="Times New Roman"/>
          <w:sz w:val="18"/>
          <w:szCs w:val="18"/>
        </w:rPr>
      </w:pPr>
      <w:bookmarkStart w:id="41" w:name="_Ref178617804"/>
      <w:r w:rsidRPr="0071557B">
        <w:rPr>
          <w:rFonts w:ascii="Times New Roman" w:hAnsi="Times New Roman"/>
          <w:sz w:val="18"/>
          <w:szCs w:val="18"/>
        </w:rPr>
        <w:t>VANZI I. Seismic reliability of electric power networks: methodology and application [J]. Structural Safety, 1996, 18(4): 311-327</w:t>
      </w:r>
      <w:r w:rsidR="00DA268A">
        <w:rPr>
          <w:rFonts w:ascii="Times New Roman" w:hAnsi="Times New Roman"/>
          <w:sz w:val="18"/>
          <w:szCs w:val="18"/>
        </w:rPr>
        <w:t>.</w:t>
      </w:r>
      <w:bookmarkEnd w:id="41"/>
    </w:p>
    <w:p w14:paraId="5E372129" w14:textId="18C3A239" w:rsidR="009E4226" w:rsidRDefault="008114D4" w:rsidP="00587D48">
      <w:pPr>
        <w:pStyle w:val="a"/>
        <w:wordWrap w:val="0"/>
        <w:rPr>
          <w:rFonts w:ascii="Times New Roman" w:hAnsi="Times New Roman"/>
          <w:sz w:val="18"/>
          <w:szCs w:val="18"/>
        </w:rPr>
      </w:pPr>
      <w:bookmarkStart w:id="42" w:name="_Ref204654143"/>
      <w:r w:rsidRPr="008114D4">
        <w:rPr>
          <w:rFonts w:ascii="Times New Roman" w:hAnsi="Times New Roman"/>
          <w:sz w:val="18"/>
          <w:szCs w:val="18"/>
        </w:rPr>
        <w:t>CHENG B, NOZICK L, DOBSON I. Investment planning for earthquake-resilient electric power systems considering cascading outages [J]. Earthquake Spectra, 2022, 38(3): 1734-1760</w:t>
      </w:r>
      <w:r w:rsidR="009E4226" w:rsidRPr="009E4226">
        <w:rPr>
          <w:rFonts w:ascii="Times New Roman" w:hAnsi="Times New Roman"/>
          <w:sz w:val="18"/>
          <w:szCs w:val="18"/>
        </w:rPr>
        <w:t>.</w:t>
      </w:r>
      <w:bookmarkEnd w:id="42"/>
    </w:p>
    <w:p w14:paraId="3D4337C0" w14:textId="0ED9503E" w:rsidR="001F7B30" w:rsidRDefault="008114D4" w:rsidP="00587D48">
      <w:pPr>
        <w:pStyle w:val="a"/>
        <w:wordWrap w:val="0"/>
        <w:ind w:left="442" w:hanging="442"/>
        <w:rPr>
          <w:rFonts w:ascii="Times New Roman" w:hAnsi="Times New Roman"/>
          <w:sz w:val="18"/>
          <w:szCs w:val="18"/>
        </w:rPr>
      </w:pPr>
      <w:bookmarkStart w:id="43" w:name="_Ref178614507"/>
      <w:r w:rsidRPr="008114D4">
        <w:rPr>
          <w:rFonts w:ascii="Times New Roman" w:hAnsi="Times New Roman"/>
          <w:sz w:val="18"/>
          <w:szCs w:val="18"/>
        </w:rPr>
        <w:t>郑国鑫</w:t>
      </w:r>
      <w:r w:rsidRPr="008114D4">
        <w:rPr>
          <w:rFonts w:ascii="Times New Roman" w:hAnsi="Times New Roman"/>
          <w:sz w:val="18"/>
          <w:szCs w:val="18"/>
        </w:rPr>
        <w:t xml:space="preserve">, </w:t>
      </w:r>
      <w:r w:rsidRPr="008114D4">
        <w:rPr>
          <w:rFonts w:ascii="Times New Roman" w:hAnsi="Times New Roman"/>
          <w:sz w:val="18"/>
          <w:szCs w:val="18"/>
        </w:rPr>
        <w:t>雷霞</w:t>
      </w:r>
      <w:r w:rsidRPr="008114D4">
        <w:rPr>
          <w:rFonts w:ascii="Times New Roman" w:hAnsi="Times New Roman"/>
          <w:sz w:val="18"/>
          <w:szCs w:val="18"/>
        </w:rPr>
        <w:t xml:space="preserve">, </w:t>
      </w:r>
      <w:r w:rsidRPr="008114D4">
        <w:rPr>
          <w:rFonts w:ascii="Times New Roman" w:hAnsi="Times New Roman"/>
          <w:sz w:val="18"/>
          <w:szCs w:val="18"/>
        </w:rPr>
        <w:t>王湘</w:t>
      </w:r>
      <w:r w:rsidRPr="008114D4">
        <w:rPr>
          <w:rFonts w:ascii="Times New Roman" w:hAnsi="Times New Roman"/>
          <w:sz w:val="18"/>
          <w:szCs w:val="18"/>
        </w:rPr>
        <w:t xml:space="preserve">, </w:t>
      </w:r>
      <w:r w:rsidRPr="008114D4">
        <w:rPr>
          <w:rFonts w:ascii="Times New Roman" w:hAnsi="Times New Roman"/>
          <w:sz w:val="18"/>
          <w:szCs w:val="18"/>
        </w:rPr>
        <w:t>等</w:t>
      </w:r>
      <w:r w:rsidRPr="008114D4">
        <w:rPr>
          <w:rFonts w:ascii="Times New Roman" w:hAnsi="Times New Roman"/>
          <w:sz w:val="18"/>
          <w:szCs w:val="18"/>
        </w:rPr>
        <w:t xml:space="preserve">. </w:t>
      </w:r>
      <w:r w:rsidRPr="008114D4">
        <w:rPr>
          <w:rFonts w:ascii="Times New Roman" w:hAnsi="Times New Roman"/>
          <w:sz w:val="18"/>
          <w:szCs w:val="18"/>
        </w:rPr>
        <w:t>地震灾害模拟及配电网的风险评估</w:t>
      </w:r>
      <w:r w:rsidRPr="008114D4">
        <w:rPr>
          <w:rFonts w:ascii="Times New Roman" w:hAnsi="Times New Roman"/>
          <w:sz w:val="18"/>
          <w:szCs w:val="18"/>
        </w:rPr>
        <w:t xml:space="preserve"> [J]. </w:t>
      </w:r>
      <w:r w:rsidRPr="008114D4">
        <w:rPr>
          <w:rFonts w:ascii="Times New Roman" w:hAnsi="Times New Roman"/>
          <w:sz w:val="18"/>
          <w:szCs w:val="18"/>
        </w:rPr>
        <w:t>电工技术学报</w:t>
      </w:r>
      <w:r w:rsidRPr="008114D4">
        <w:rPr>
          <w:rFonts w:ascii="Times New Roman" w:hAnsi="Times New Roman"/>
          <w:sz w:val="18"/>
          <w:szCs w:val="18"/>
        </w:rPr>
        <w:t>, 2020, 35(24): 5218-5226. DOI:10.19595/j.cnki.1000-6753.tces.191495.</w:t>
      </w:r>
      <w:r w:rsidRPr="008114D4">
        <w:rPr>
          <w:rFonts w:ascii="Times New Roman" w:hAnsi="Times New Roman"/>
          <w:sz w:val="18"/>
          <w:szCs w:val="18"/>
        </w:rPr>
        <w:br/>
        <w:t>ZHENG G X, LEI X, WANG X, et al. Earthquake simulation and risk assessment of distribution network [J]. Transactions of China Electrotechnical Society, 2020, 35(24): 5218-5226. (in Chinese</w:t>
      </w:r>
      <w:r w:rsidR="00DA268A">
        <w:rPr>
          <w:rFonts w:ascii="Times New Roman" w:hAnsi="Times New Roman" w:hint="eastAsia"/>
          <w:sz w:val="18"/>
          <w:szCs w:val="18"/>
        </w:rPr>
        <w:t>)</w:t>
      </w:r>
      <w:bookmarkEnd w:id="43"/>
    </w:p>
    <w:p w14:paraId="56BE8CE0" w14:textId="6FFE5B21" w:rsidR="001F7B30" w:rsidRDefault="008114D4" w:rsidP="00587D48">
      <w:pPr>
        <w:pStyle w:val="a"/>
        <w:wordWrap w:val="0"/>
        <w:ind w:left="442" w:hanging="442"/>
        <w:rPr>
          <w:rFonts w:ascii="Times New Roman" w:hAnsi="Times New Roman"/>
          <w:sz w:val="18"/>
          <w:szCs w:val="18"/>
        </w:rPr>
      </w:pPr>
      <w:bookmarkStart w:id="44" w:name="_Ref178624524"/>
      <w:r w:rsidRPr="008114D4">
        <w:rPr>
          <w:rFonts w:ascii="Times New Roman" w:hAnsi="Times New Roman"/>
          <w:sz w:val="18"/>
          <w:szCs w:val="18"/>
        </w:rPr>
        <w:t>雷霞</w:t>
      </w:r>
      <w:r w:rsidRPr="008114D4">
        <w:rPr>
          <w:rFonts w:ascii="Times New Roman" w:hAnsi="Times New Roman"/>
          <w:sz w:val="18"/>
          <w:szCs w:val="18"/>
        </w:rPr>
        <w:t xml:space="preserve">, </w:t>
      </w:r>
      <w:r w:rsidRPr="008114D4">
        <w:rPr>
          <w:rFonts w:ascii="Times New Roman" w:hAnsi="Times New Roman"/>
          <w:sz w:val="18"/>
          <w:szCs w:val="18"/>
        </w:rPr>
        <w:t>郑国鑫</w:t>
      </w:r>
      <w:r w:rsidRPr="008114D4">
        <w:rPr>
          <w:rFonts w:ascii="Times New Roman" w:hAnsi="Times New Roman"/>
          <w:sz w:val="18"/>
          <w:szCs w:val="18"/>
        </w:rPr>
        <w:t xml:space="preserve">, </w:t>
      </w:r>
      <w:r w:rsidRPr="008114D4">
        <w:rPr>
          <w:rFonts w:ascii="Times New Roman" w:hAnsi="Times New Roman"/>
          <w:sz w:val="18"/>
          <w:szCs w:val="18"/>
        </w:rPr>
        <w:t>胡益</w:t>
      </w:r>
      <w:r w:rsidRPr="008114D4">
        <w:rPr>
          <w:rFonts w:ascii="Times New Roman" w:hAnsi="Times New Roman"/>
          <w:sz w:val="18"/>
          <w:szCs w:val="18"/>
        </w:rPr>
        <w:t xml:space="preserve">. </w:t>
      </w:r>
      <w:r w:rsidRPr="008114D4">
        <w:rPr>
          <w:rFonts w:ascii="Times New Roman" w:hAnsi="Times New Roman"/>
          <w:sz w:val="18"/>
          <w:szCs w:val="18"/>
        </w:rPr>
        <w:t>地震灾害下配电网的脆弱性分析及弹性提升措施</w:t>
      </w:r>
      <w:r w:rsidRPr="008114D4">
        <w:rPr>
          <w:rFonts w:ascii="Times New Roman" w:hAnsi="Times New Roman"/>
          <w:sz w:val="18"/>
          <w:szCs w:val="18"/>
        </w:rPr>
        <w:t xml:space="preserve"> [J]. </w:t>
      </w:r>
      <w:r w:rsidRPr="008114D4">
        <w:rPr>
          <w:rFonts w:ascii="Times New Roman" w:hAnsi="Times New Roman"/>
          <w:sz w:val="18"/>
          <w:szCs w:val="18"/>
        </w:rPr>
        <w:t>电网技术</w:t>
      </w:r>
      <w:r w:rsidRPr="008114D4">
        <w:rPr>
          <w:rFonts w:ascii="Times New Roman" w:hAnsi="Times New Roman"/>
          <w:sz w:val="18"/>
          <w:szCs w:val="18"/>
        </w:rPr>
        <w:t>, 2021, 45(9): 3674-3680. DOI:10.13335/j.1000-3673.pst.2020.1833.</w:t>
      </w:r>
      <w:r w:rsidRPr="008114D4">
        <w:rPr>
          <w:rFonts w:ascii="Times New Roman" w:hAnsi="Times New Roman"/>
          <w:sz w:val="18"/>
          <w:szCs w:val="18"/>
        </w:rPr>
        <w:br/>
        <w:t>LEI X, ZHENG G X, HU Y. Vulnerability analysis and resilience improvement of distribution network under earthquake disasters [J]. Power System Technology, 2021, 45(9): 3674-3680. (in Chinese</w:t>
      </w:r>
      <w:r w:rsidR="00DA268A">
        <w:rPr>
          <w:rFonts w:ascii="Times New Roman" w:hAnsi="Times New Roman" w:hint="eastAsia"/>
          <w:sz w:val="18"/>
          <w:szCs w:val="18"/>
        </w:rPr>
        <w:t>)</w:t>
      </w:r>
      <w:bookmarkEnd w:id="44"/>
    </w:p>
    <w:p w14:paraId="6E930FA7" w14:textId="05708DD3" w:rsidR="00FF383D" w:rsidRPr="008453EA" w:rsidRDefault="008114D4" w:rsidP="00587D48">
      <w:pPr>
        <w:pStyle w:val="a"/>
        <w:wordWrap w:val="0"/>
        <w:ind w:left="442" w:hanging="442"/>
        <w:rPr>
          <w:rFonts w:ascii="Times New Roman" w:hAnsi="Times New Roman"/>
          <w:sz w:val="18"/>
          <w:szCs w:val="18"/>
        </w:rPr>
      </w:pPr>
      <w:bookmarkStart w:id="45" w:name="_Ref204654259"/>
      <w:r w:rsidRPr="008114D4">
        <w:rPr>
          <w:rFonts w:ascii="Times New Roman" w:hAnsi="Times New Roman"/>
          <w:sz w:val="18"/>
          <w:szCs w:val="18"/>
        </w:rPr>
        <w:t>AMANI F, FOTUHI-FIRUZABAD M, MOEINI-AGHTAIE M, et al. Seismic resilience assessment of electric power distribution networks [J]. IEEE Transactions on Power Deli</w:t>
      </w:r>
      <w:r w:rsidRPr="008114D4">
        <w:rPr>
          <w:rFonts w:ascii="Times New Roman" w:hAnsi="Times New Roman"/>
          <w:sz w:val="18"/>
          <w:szCs w:val="18"/>
        </w:rPr>
        <w:lastRenderedPageBreak/>
        <w:t>very, 2025, PP(99): 1-11</w:t>
      </w:r>
      <w:r w:rsidR="00FF383D" w:rsidRPr="008453EA">
        <w:rPr>
          <w:rFonts w:ascii="Times New Roman" w:hAnsi="Times New Roman"/>
          <w:sz w:val="18"/>
          <w:szCs w:val="18"/>
        </w:rPr>
        <w:t>.</w:t>
      </w:r>
      <w:bookmarkEnd w:id="45"/>
    </w:p>
    <w:p w14:paraId="4D47951B" w14:textId="0FE4A652" w:rsidR="00FF383D" w:rsidRPr="008453EA" w:rsidRDefault="008114D4" w:rsidP="00587D48">
      <w:pPr>
        <w:pStyle w:val="a"/>
        <w:wordWrap w:val="0"/>
        <w:ind w:left="442" w:hanging="442"/>
        <w:rPr>
          <w:rFonts w:ascii="Times New Roman" w:hAnsi="Times New Roman"/>
          <w:sz w:val="18"/>
          <w:szCs w:val="18"/>
        </w:rPr>
      </w:pPr>
      <w:bookmarkStart w:id="46" w:name="_Ref204654261"/>
      <w:r w:rsidRPr="008114D4">
        <w:rPr>
          <w:rFonts w:ascii="Times New Roman" w:hAnsi="Times New Roman"/>
          <w:sz w:val="18"/>
          <w:szCs w:val="18"/>
        </w:rPr>
        <w:t>AKDAĞ O. Strengthening distribution systems after earthquakes with a new analytical model [J]. Electric Power Systems Research, 2024, 232: 110337</w:t>
      </w:r>
      <w:r w:rsidR="00FF383D" w:rsidRPr="008453EA">
        <w:rPr>
          <w:rFonts w:ascii="Times New Roman" w:hAnsi="Times New Roman"/>
          <w:sz w:val="18"/>
          <w:szCs w:val="18"/>
        </w:rPr>
        <w:t>.</w:t>
      </w:r>
      <w:bookmarkEnd w:id="46"/>
    </w:p>
    <w:p w14:paraId="067F1BD1" w14:textId="694FBB4C" w:rsidR="00ED0A39" w:rsidRDefault="008B57D2" w:rsidP="00587D48">
      <w:pPr>
        <w:pStyle w:val="a"/>
        <w:wordWrap w:val="0"/>
        <w:ind w:left="442" w:hanging="442"/>
        <w:rPr>
          <w:rFonts w:ascii="Times New Roman" w:hAnsi="Times New Roman"/>
          <w:sz w:val="18"/>
          <w:szCs w:val="18"/>
        </w:rPr>
      </w:pPr>
      <w:bookmarkStart w:id="47" w:name="_Ref204654654"/>
      <w:r w:rsidRPr="008B57D2">
        <w:rPr>
          <w:rFonts w:ascii="Times New Roman" w:hAnsi="Times New Roman"/>
          <w:sz w:val="18"/>
          <w:szCs w:val="18"/>
        </w:rPr>
        <w:t>徐雪松</w:t>
      </w:r>
      <w:r w:rsidRPr="008B57D2">
        <w:rPr>
          <w:rFonts w:ascii="Times New Roman" w:hAnsi="Times New Roman"/>
          <w:sz w:val="18"/>
          <w:szCs w:val="18"/>
        </w:rPr>
        <w:t xml:space="preserve">, </w:t>
      </w:r>
      <w:r w:rsidRPr="008B57D2">
        <w:rPr>
          <w:rFonts w:ascii="Times New Roman" w:hAnsi="Times New Roman"/>
          <w:sz w:val="18"/>
          <w:szCs w:val="18"/>
        </w:rPr>
        <w:t>唐加乐</w:t>
      </w:r>
      <w:r w:rsidRPr="008B57D2">
        <w:rPr>
          <w:rFonts w:ascii="Times New Roman" w:hAnsi="Times New Roman"/>
          <w:sz w:val="18"/>
          <w:szCs w:val="18"/>
        </w:rPr>
        <w:t xml:space="preserve">, </w:t>
      </w:r>
      <w:r w:rsidRPr="008B57D2">
        <w:rPr>
          <w:rFonts w:ascii="Times New Roman" w:hAnsi="Times New Roman"/>
          <w:sz w:val="18"/>
          <w:szCs w:val="18"/>
        </w:rPr>
        <w:t>曾子洋</w:t>
      </w:r>
      <w:r w:rsidRPr="008B57D2">
        <w:rPr>
          <w:rFonts w:ascii="Times New Roman" w:hAnsi="Times New Roman"/>
          <w:sz w:val="18"/>
          <w:szCs w:val="18"/>
        </w:rPr>
        <w:t xml:space="preserve">, </w:t>
      </w:r>
      <w:r w:rsidRPr="008B57D2">
        <w:rPr>
          <w:rFonts w:ascii="Times New Roman" w:hAnsi="Times New Roman"/>
          <w:sz w:val="18"/>
          <w:szCs w:val="18"/>
        </w:rPr>
        <w:t>等</w:t>
      </w:r>
      <w:r w:rsidRPr="008B57D2">
        <w:rPr>
          <w:rFonts w:ascii="Times New Roman" w:hAnsi="Times New Roman"/>
          <w:sz w:val="18"/>
          <w:szCs w:val="18"/>
        </w:rPr>
        <w:t xml:space="preserve">. </w:t>
      </w:r>
      <w:r w:rsidRPr="008B57D2">
        <w:rPr>
          <w:rFonts w:ascii="Times New Roman" w:hAnsi="Times New Roman"/>
          <w:sz w:val="18"/>
          <w:szCs w:val="18"/>
        </w:rPr>
        <w:t>极端自然灾害下我国城市电力系统韧性提升框架与发展策略研究</w:t>
      </w:r>
      <w:r w:rsidRPr="008B57D2">
        <w:rPr>
          <w:rFonts w:ascii="Times New Roman" w:hAnsi="Times New Roman"/>
          <w:sz w:val="18"/>
          <w:szCs w:val="18"/>
        </w:rPr>
        <w:t xml:space="preserve"> [J]. </w:t>
      </w:r>
      <w:r w:rsidRPr="008B57D2">
        <w:rPr>
          <w:rFonts w:ascii="Times New Roman" w:hAnsi="Times New Roman"/>
          <w:sz w:val="18"/>
          <w:szCs w:val="18"/>
        </w:rPr>
        <w:t>中国工程科学</w:t>
      </w:r>
      <w:r w:rsidRPr="008B57D2">
        <w:rPr>
          <w:rFonts w:ascii="Times New Roman" w:hAnsi="Times New Roman"/>
          <w:sz w:val="18"/>
          <w:szCs w:val="18"/>
        </w:rPr>
        <w:t>, 2024, 26(2): 198-209.</w:t>
      </w:r>
      <w:r w:rsidRPr="008B57D2">
        <w:rPr>
          <w:rFonts w:ascii="Times New Roman" w:hAnsi="Times New Roman"/>
          <w:sz w:val="18"/>
          <w:szCs w:val="18"/>
        </w:rPr>
        <w:br/>
        <w:t>XU X S, TANG J L, ZENG Z Y, et al. Framework and development strategy for enhancing the resilience of urban power systems in China under extreme natural disasters [J]. Engineering Science, 2024, 26(2): 198-209. (in Chinese</w:t>
      </w:r>
      <w:r>
        <w:rPr>
          <w:rFonts w:ascii="Times New Roman" w:hAnsi="Times New Roman" w:hint="eastAsia"/>
          <w:sz w:val="18"/>
          <w:szCs w:val="18"/>
        </w:rPr>
        <w:t>)</w:t>
      </w:r>
      <w:bookmarkEnd w:id="47"/>
    </w:p>
    <w:p w14:paraId="6108C761" w14:textId="35870D2B" w:rsidR="001C6F34" w:rsidRPr="001C6F34" w:rsidRDefault="008B57D2" w:rsidP="00587D48">
      <w:pPr>
        <w:pStyle w:val="a"/>
        <w:wordWrap w:val="0"/>
        <w:ind w:left="442" w:hanging="442"/>
        <w:rPr>
          <w:rFonts w:ascii="Times New Roman" w:hAnsi="Times New Roman"/>
          <w:sz w:val="18"/>
          <w:szCs w:val="18"/>
        </w:rPr>
      </w:pPr>
      <w:bookmarkStart w:id="48" w:name="_Ref204656166"/>
      <w:r w:rsidRPr="008B57D2">
        <w:rPr>
          <w:rFonts w:ascii="Times New Roman" w:hAnsi="Times New Roman"/>
          <w:sz w:val="18"/>
          <w:szCs w:val="18"/>
        </w:rPr>
        <w:t>阮前途</w:t>
      </w:r>
      <w:r w:rsidRPr="008B57D2">
        <w:rPr>
          <w:rFonts w:ascii="Times New Roman" w:hAnsi="Times New Roman"/>
          <w:sz w:val="18"/>
          <w:szCs w:val="18"/>
        </w:rPr>
        <w:t xml:space="preserve">, </w:t>
      </w:r>
      <w:r w:rsidRPr="008B57D2">
        <w:rPr>
          <w:rFonts w:ascii="Times New Roman" w:hAnsi="Times New Roman"/>
          <w:sz w:val="18"/>
          <w:szCs w:val="18"/>
        </w:rPr>
        <w:t>谢伟</w:t>
      </w:r>
      <w:r w:rsidRPr="008B57D2">
        <w:rPr>
          <w:rFonts w:ascii="Times New Roman" w:hAnsi="Times New Roman"/>
          <w:sz w:val="18"/>
          <w:szCs w:val="18"/>
        </w:rPr>
        <w:t xml:space="preserve">, </w:t>
      </w:r>
      <w:r w:rsidRPr="008B57D2">
        <w:rPr>
          <w:rFonts w:ascii="Times New Roman" w:hAnsi="Times New Roman"/>
          <w:sz w:val="18"/>
          <w:szCs w:val="18"/>
        </w:rPr>
        <w:t>许寅</w:t>
      </w:r>
      <w:r w:rsidRPr="008B57D2">
        <w:rPr>
          <w:rFonts w:ascii="Times New Roman" w:hAnsi="Times New Roman"/>
          <w:sz w:val="18"/>
          <w:szCs w:val="18"/>
        </w:rPr>
        <w:t xml:space="preserve">, </w:t>
      </w:r>
      <w:r w:rsidRPr="008B57D2">
        <w:rPr>
          <w:rFonts w:ascii="Times New Roman" w:hAnsi="Times New Roman"/>
          <w:sz w:val="18"/>
          <w:szCs w:val="18"/>
        </w:rPr>
        <w:t>等</w:t>
      </w:r>
      <w:r w:rsidRPr="008B57D2">
        <w:rPr>
          <w:rFonts w:ascii="Times New Roman" w:hAnsi="Times New Roman"/>
          <w:sz w:val="18"/>
          <w:szCs w:val="18"/>
        </w:rPr>
        <w:t xml:space="preserve">. </w:t>
      </w:r>
      <w:r w:rsidRPr="008B57D2">
        <w:rPr>
          <w:rFonts w:ascii="Times New Roman" w:hAnsi="Times New Roman"/>
          <w:sz w:val="18"/>
          <w:szCs w:val="18"/>
        </w:rPr>
        <w:t>韧性电网的概念与关键特征</w:t>
      </w:r>
      <w:r w:rsidRPr="008B57D2">
        <w:rPr>
          <w:rFonts w:ascii="Times New Roman" w:hAnsi="Times New Roman"/>
          <w:sz w:val="18"/>
          <w:szCs w:val="18"/>
        </w:rPr>
        <w:t xml:space="preserve"> [J]. </w:t>
      </w:r>
      <w:r w:rsidRPr="008B57D2">
        <w:rPr>
          <w:rFonts w:ascii="Times New Roman" w:hAnsi="Times New Roman"/>
          <w:sz w:val="18"/>
          <w:szCs w:val="18"/>
        </w:rPr>
        <w:t>中国电机工程学报</w:t>
      </w:r>
      <w:r w:rsidRPr="008B57D2">
        <w:rPr>
          <w:rFonts w:ascii="Times New Roman" w:hAnsi="Times New Roman"/>
          <w:sz w:val="18"/>
          <w:szCs w:val="18"/>
        </w:rPr>
        <w:t>, 2020, 40(21): 6773-6784. DOI:10.13334/j.0258-8013.pcsee.201308.</w:t>
      </w:r>
      <w:r w:rsidRPr="008B57D2">
        <w:rPr>
          <w:rFonts w:ascii="Times New Roman" w:hAnsi="Times New Roman"/>
          <w:sz w:val="18"/>
          <w:szCs w:val="18"/>
        </w:rPr>
        <w:br/>
        <w:t>RUAN Q T, XIE W, XU Y, et al. Concept and key characteristics of resilient power grid [J]. Proceedings of the Chinese Society for Electrical Engineering, 2020, 40(21): 6773-6784. (in Chinese</w:t>
      </w:r>
      <w:bookmarkEnd w:id="48"/>
      <w:r>
        <w:rPr>
          <w:rFonts w:ascii="Times New Roman" w:hAnsi="Times New Roman" w:hint="eastAsia"/>
          <w:sz w:val="18"/>
          <w:szCs w:val="18"/>
        </w:rPr>
        <w:t>)</w:t>
      </w:r>
    </w:p>
    <w:p w14:paraId="6BDF1DD9" w14:textId="571F3510" w:rsidR="007A7288" w:rsidRDefault="008B57D2" w:rsidP="00587D48">
      <w:pPr>
        <w:pStyle w:val="a"/>
        <w:wordWrap w:val="0"/>
        <w:ind w:left="442" w:hanging="442"/>
        <w:rPr>
          <w:rFonts w:ascii="Times New Roman" w:hAnsi="Times New Roman"/>
          <w:sz w:val="18"/>
          <w:szCs w:val="18"/>
        </w:rPr>
      </w:pPr>
      <w:bookmarkStart w:id="49" w:name="_Ref204656140"/>
      <w:r w:rsidRPr="008B57D2">
        <w:rPr>
          <w:rFonts w:ascii="Times New Roman" w:hAnsi="Times New Roman"/>
          <w:sz w:val="18"/>
          <w:szCs w:val="18"/>
        </w:rPr>
        <w:t>CHALISHAZAR V H, POUDEL S, HANIF S, et al. Power system resilience metrics augmentation for critical load prioritization [R]. Pacific Northwest National Laboratory (PNNL), Richland, WA, 2021</w:t>
      </w:r>
      <w:r w:rsidR="00706857" w:rsidRPr="00706857">
        <w:rPr>
          <w:rFonts w:ascii="Times New Roman" w:hAnsi="Times New Roman"/>
          <w:sz w:val="18"/>
          <w:szCs w:val="18"/>
        </w:rPr>
        <w:t>.</w:t>
      </w:r>
      <w:bookmarkEnd w:id="49"/>
    </w:p>
    <w:p w14:paraId="0C177630" w14:textId="41297272" w:rsidR="0068473E" w:rsidRDefault="008B57D2" w:rsidP="00587D48">
      <w:pPr>
        <w:pStyle w:val="a"/>
        <w:wordWrap w:val="0"/>
        <w:ind w:left="442" w:hanging="442"/>
        <w:rPr>
          <w:rFonts w:ascii="Times New Roman" w:hAnsi="Times New Roman"/>
          <w:sz w:val="18"/>
          <w:szCs w:val="18"/>
        </w:rPr>
      </w:pPr>
      <w:bookmarkStart w:id="50" w:name="_Ref204656743"/>
      <w:r w:rsidRPr="008B57D2">
        <w:rPr>
          <w:rFonts w:ascii="Times New Roman" w:hAnsi="Times New Roman"/>
          <w:sz w:val="18"/>
          <w:szCs w:val="18"/>
        </w:rPr>
        <w:t>ROSALES-ASENSIO E, ELEJALDE J L, PULIDO-ALONSO A, et al. Resilience framework, methods, and metrics for the prioritization of critical electrical grid customers [J]. Electronics, 2022, 11(14): 2246</w:t>
      </w:r>
      <w:r w:rsidR="007335E6" w:rsidRPr="007335E6">
        <w:rPr>
          <w:rFonts w:ascii="Times New Roman" w:hAnsi="Times New Roman"/>
          <w:sz w:val="18"/>
          <w:szCs w:val="18"/>
        </w:rPr>
        <w:t>.</w:t>
      </w:r>
      <w:bookmarkEnd w:id="50"/>
    </w:p>
    <w:p w14:paraId="206E710A" w14:textId="7029B8AA" w:rsidR="007335E6" w:rsidRDefault="004957F3" w:rsidP="00587D48">
      <w:pPr>
        <w:pStyle w:val="a"/>
        <w:wordWrap w:val="0"/>
        <w:ind w:left="442" w:hanging="442"/>
        <w:rPr>
          <w:rFonts w:ascii="Times New Roman" w:hAnsi="Times New Roman"/>
          <w:sz w:val="18"/>
          <w:szCs w:val="18"/>
        </w:rPr>
      </w:pPr>
      <w:bookmarkStart w:id="51" w:name="_Ref204656856"/>
      <w:r w:rsidRPr="004957F3">
        <w:rPr>
          <w:rFonts w:ascii="Times New Roman" w:hAnsi="Times New Roman"/>
          <w:sz w:val="18"/>
          <w:szCs w:val="18"/>
        </w:rPr>
        <w:t>RACHUNOK B, NATEGHI R. The sensitivity of electric power infrastructure resilience to the spatial distribution of disaster impacts [J]. Reliability Engineering &amp; System Safety, 2020, 193: 106658</w:t>
      </w:r>
      <w:r w:rsidR="007335E6" w:rsidRPr="007335E6">
        <w:rPr>
          <w:rFonts w:ascii="Times New Roman" w:hAnsi="Times New Roman"/>
          <w:sz w:val="18"/>
          <w:szCs w:val="18"/>
        </w:rPr>
        <w:t>.</w:t>
      </w:r>
      <w:bookmarkEnd w:id="51"/>
    </w:p>
    <w:p w14:paraId="3180D2A9" w14:textId="6EACEE09" w:rsidR="003A761B" w:rsidRPr="003A761B" w:rsidRDefault="004957F3" w:rsidP="00587D48">
      <w:pPr>
        <w:pStyle w:val="a"/>
        <w:wordWrap w:val="0"/>
        <w:ind w:left="442" w:hanging="442"/>
        <w:rPr>
          <w:rFonts w:ascii="Times New Roman" w:hAnsi="Times New Roman"/>
          <w:sz w:val="18"/>
          <w:szCs w:val="18"/>
        </w:rPr>
      </w:pPr>
      <w:bookmarkStart w:id="52" w:name="_Ref204702116"/>
      <w:r w:rsidRPr="004957F3">
        <w:rPr>
          <w:rFonts w:ascii="Times New Roman" w:hAnsi="Times New Roman"/>
          <w:sz w:val="18"/>
          <w:szCs w:val="18"/>
        </w:rPr>
        <w:t>王茜</w:t>
      </w:r>
      <w:r w:rsidRPr="004957F3">
        <w:rPr>
          <w:rFonts w:ascii="Times New Roman" w:hAnsi="Times New Roman"/>
          <w:sz w:val="18"/>
          <w:szCs w:val="18"/>
        </w:rPr>
        <w:t xml:space="preserve">. </w:t>
      </w:r>
      <w:r w:rsidRPr="004957F3">
        <w:rPr>
          <w:rFonts w:ascii="Times New Roman" w:hAnsi="Times New Roman"/>
          <w:sz w:val="18"/>
          <w:szCs w:val="18"/>
        </w:rPr>
        <w:t>供电系统抗震可靠性分析及脆弱性评估</w:t>
      </w:r>
      <w:r w:rsidRPr="004957F3">
        <w:rPr>
          <w:rFonts w:ascii="Times New Roman" w:hAnsi="Times New Roman"/>
          <w:sz w:val="18"/>
          <w:szCs w:val="18"/>
        </w:rPr>
        <w:t xml:space="preserve"> [D]. </w:t>
      </w:r>
      <w:r w:rsidRPr="004957F3">
        <w:rPr>
          <w:rFonts w:ascii="Times New Roman" w:hAnsi="Times New Roman"/>
          <w:sz w:val="18"/>
          <w:szCs w:val="18"/>
        </w:rPr>
        <w:t>大连理工大学</w:t>
      </w:r>
      <w:r w:rsidRPr="004957F3">
        <w:rPr>
          <w:rFonts w:ascii="Times New Roman" w:hAnsi="Times New Roman"/>
          <w:sz w:val="18"/>
          <w:szCs w:val="18"/>
        </w:rPr>
        <w:t>, 2012.</w:t>
      </w:r>
      <w:r w:rsidRPr="004957F3">
        <w:rPr>
          <w:rFonts w:ascii="Times New Roman" w:hAnsi="Times New Roman"/>
          <w:sz w:val="18"/>
          <w:szCs w:val="18"/>
        </w:rPr>
        <w:br/>
        <w:t>WANG Q. Seismic reliability analysis and vulnerability assessment of power supply system [D]. Dalian University of Technology, 2012. (in Chinese</w:t>
      </w:r>
      <w:bookmarkEnd w:id="52"/>
      <w:r>
        <w:rPr>
          <w:rFonts w:ascii="Times New Roman" w:hAnsi="Times New Roman" w:hint="eastAsia"/>
          <w:sz w:val="18"/>
          <w:szCs w:val="18"/>
        </w:rPr>
        <w:t>)</w:t>
      </w:r>
    </w:p>
    <w:p w14:paraId="672F5C31" w14:textId="2256FB3E" w:rsidR="001F7B30" w:rsidRPr="004E4270" w:rsidRDefault="004957F3" w:rsidP="00587D48">
      <w:pPr>
        <w:pStyle w:val="a"/>
        <w:wordWrap w:val="0"/>
        <w:ind w:left="442" w:hanging="442"/>
        <w:rPr>
          <w:rFonts w:ascii="Times New Roman" w:hAnsi="Times New Roman"/>
          <w:sz w:val="18"/>
          <w:szCs w:val="18"/>
        </w:rPr>
      </w:pPr>
      <w:bookmarkStart w:id="53" w:name="_Ref204372100"/>
      <w:r w:rsidRPr="004957F3">
        <w:rPr>
          <w:rFonts w:ascii="Times New Roman" w:hAnsi="Times New Roman"/>
          <w:sz w:val="18"/>
          <w:szCs w:val="18"/>
        </w:rPr>
        <w:t>杨鹏</w:t>
      </w:r>
      <w:r w:rsidRPr="004957F3">
        <w:rPr>
          <w:rFonts w:ascii="Times New Roman" w:hAnsi="Times New Roman"/>
          <w:sz w:val="18"/>
          <w:szCs w:val="18"/>
        </w:rPr>
        <w:t xml:space="preserve">, </w:t>
      </w:r>
      <w:r w:rsidRPr="004957F3">
        <w:rPr>
          <w:rFonts w:ascii="Times New Roman" w:hAnsi="Times New Roman"/>
          <w:sz w:val="18"/>
          <w:szCs w:val="18"/>
        </w:rPr>
        <w:t>刘锋</w:t>
      </w:r>
      <w:r w:rsidRPr="004957F3">
        <w:rPr>
          <w:rFonts w:ascii="Times New Roman" w:hAnsi="Times New Roman"/>
          <w:sz w:val="18"/>
          <w:szCs w:val="18"/>
        </w:rPr>
        <w:t xml:space="preserve">, </w:t>
      </w:r>
      <w:r w:rsidRPr="004957F3">
        <w:rPr>
          <w:rFonts w:ascii="Times New Roman" w:hAnsi="Times New Roman"/>
          <w:sz w:val="18"/>
          <w:szCs w:val="18"/>
        </w:rPr>
        <w:t>姜齐荣</w:t>
      </w:r>
      <w:r w:rsidRPr="004957F3">
        <w:rPr>
          <w:rFonts w:ascii="Times New Roman" w:hAnsi="Times New Roman"/>
          <w:sz w:val="18"/>
          <w:szCs w:val="18"/>
        </w:rPr>
        <w:t xml:space="preserve">, </w:t>
      </w:r>
      <w:r w:rsidRPr="004957F3">
        <w:rPr>
          <w:rFonts w:ascii="Times New Roman" w:hAnsi="Times New Roman"/>
          <w:sz w:val="18"/>
          <w:szCs w:val="18"/>
        </w:rPr>
        <w:t>等</w:t>
      </w:r>
      <w:r w:rsidRPr="004957F3">
        <w:rPr>
          <w:rFonts w:ascii="Times New Roman" w:hAnsi="Times New Roman"/>
          <w:sz w:val="18"/>
          <w:szCs w:val="18"/>
        </w:rPr>
        <w:t>. “</w:t>
      </w:r>
      <w:r w:rsidRPr="004957F3">
        <w:rPr>
          <w:rFonts w:ascii="Times New Roman" w:hAnsi="Times New Roman"/>
          <w:sz w:val="18"/>
          <w:szCs w:val="18"/>
        </w:rPr>
        <w:t>双高</w:t>
      </w:r>
      <w:r w:rsidRPr="004957F3">
        <w:rPr>
          <w:rFonts w:ascii="Times New Roman" w:hAnsi="Times New Roman"/>
          <w:sz w:val="18"/>
          <w:szCs w:val="18"/>
        </w:rPr>
        <w:t>”</w:t>
      </w:r>
      <w:r w:rsidRPr="004957F3">
        <w:rPr>
          <w:rFonts w:ascii="Times New Roman" w:hAnsi="Times New Roman"/>
          <w:sz w:val="18"/>
          <w:szCs w:val="18"/>
        </w:rPr>
        <w:t>电力系统大扰动稳定性</w:t>
      </w:r>
      <w:r w:rsidRPr="004957F3">
        <w:rPr>
          <w:rFonts w:ascii="Times New Roman" w:hAnsi="Times New Roman"/>
          <w:sz w:val="18"/>
          <w:szCs w:val="18"/>
        </w:rPr>
        <w:t xml:space="preserve">: </w:t>
      </w:r>
      <w:r w:rsidRPr="004957F3">
        <w:rPr>
          <w:rFonts w:ascii="Times New Roman" w:hAnsi="Times New Roman"/>
          <w:sz w:val="18"/>
          <w:szCs w:val="18"/>
        </w:rPr>
        <w:t>问题、挑战与展望</w:t>
      </w:r>
      <w:r w:rsidRPr="004957F3">
        <w:rPr>
          <w:rFonts w:ascii="Times New Roman" w:hAnsi="Times New Roman"/>
          <w:sz w:val="18"/>
          <w:szCs w:val="18"/>
        </w:rPr>
        <w:t xml:space="preserve"> [J]. </w:t>
      </w:r>
      <w:r w:rsidRPr="004957F3">
        <w:rPr>
          <w:rFonts w:ascii="Times New Roman" w:hAnsi="Times New Roman"/>
          <w:sz w:val="18"/>
          <w:szCs w:val="18"/>
        </w:rPr>
        <w:t>清华大学学报</w:t>
      </w:r>
      <w:r w:rsidRPr="004957F3">
        <w:rPr>
          <w:rFonts w:ascii="Times New Roman" w:hAnsi="Times New Roman"/>
          <w:sz w:val="18"/>
          <w:szCs w:val="18"/>
        </w:rPr>
        <w:t>(</w:t>
      </w:r>
      <w:r w:rsidRPr="004957F3">
        <w:rPr>
          <w:rFonts w:ascii="Times New Roman" w:hAnsi="Times New Roman"/>
          <w:sz w:val="18"/>
          <w:szCs w:val="18"/>
        </w:rPr>
        <w:t>自然科学版</w:t>
      </w:r>
      <w:r w:rsidRPr="004957F3">
        <w:rPr>
          <w:rFonts w:ascii="Times New Roman" w:hAnsi="Times New Roman"/>
          <w:sz w:val="18"/>
          <w:szCs w:val="18"/>
        </w:rPr>
        <w:t>), 2021, 61(5): 403-414. DOI:10.16511/j.cnki.qhdxxb.2021.21.010.</w:t>
      </w:r>
      <w:r w:rsidRPr="004957F3">
        <w:rPr>
          <w:rFonts w:ascii="Times New Roman" w:hAnsi="Times New Roman"/>
          <w:sz w:val="18"/>
          <w:szCs w:val="18"/>
        </w:rPr>
        <w:br/>
        <w:t>YANG P, LIU F, JIANG Q R, et al. Large-disturbance stability of dual-high power systems: problems, challenges, and prospects [</w:t>
      </w:r>
      <w:r w:rsidRPr="004E4270">
        <w:rPr>
          <w:rFonts w:ascii="Times New Roman" w:hAnsi="Times New Roman"/>
          <w:sz w:val="18"/>
          <w:szCs w:val="18"/>
        </w:rPr>
        <w:t>J]. Journal of Tsinghua University (Science and Technology), 2021, 61(5): 403-414. (in Chinese</w:t>
      </w:r>
      <w:r w:rsidRPr="004E4270">
        <w:rPr>
          <w:rFonts w:ascii="Times New Roman" w:hAnsi="Times New Roman" w:hint="eastAsia"/>
          <w:sz w:val="18"/>
          <w:szCs w:val="18"/>
        </w:rPr>
        <w:t>)</w:t>
      </w:r>
      <w:bookmarkEnd w:id="53"/>
    </w:p>
    <w:p w14:paraId="1393E372" w14:textId="4AD86D42" w:rsidR="001F7B30" w:rsidRPr="004E4270" w:rsidRDefault="00460D1F" w:rsidP="00587D48">
      <w:pPr>
        <w:pStyle w:val="a"/>
        <w:wordWrap w:val="0"/>
        <w:ind w:left="442" w:hanging="442"/>
        <w:rPr>
          <w:rFonts w:ascii="Times New Roman" w:hAnsi="Times New Roman"/>
          <w:sz w:val="18"/>
          <w:szCs w:val="18"/>
        </w:rPr>
      </w:pPr>
      <w:bookmarkStart w:id="54" w:name="_Ref204374138"/>
      <w:r w:rsidRPr="004E4270">
        <w:rPr>
          <w:rFonts w:ascii="Times New Roman" w:hAnsi="Times New Roman"/>
          <w:sz w:val="18"/>
          <w:szCs w:val="18"/>
        </w:rPr>
        <w:t>城市电力规划规范</w:t>
      </w:r>
      <w:r w:rsidRPr="004E4270">
        <w:rPr>
          <w:rFonts w:ascii="Times New Roman" w:hAnsi="Times New Roman"/>
          <w:sz w:val="18"/>
          <w:szCs w:val="18"/>
        </w:rPr>
        <w:t xml:space="preserve">: GB/T 50293—2014 [S]. </w:t>
      </w:r>
      <w:r w:rsidRPr="004E4270">
        <w:rPr>
          <w:rFonts w:ascii="Times New Roman" w:hAnsi="Times New Roman"/>
          <w:sz w:val="18"/>
          <w:szCs w:val="18"/>
        </w:rPr>
        <w:t>北京</w:t>
      </w:r>
      <w:r w:rsidRPr="004E4270">
        <w:rPr>
          <w:rFonts w:ascii="Times New Roman" w:hAnsi="Times New Roman"/>
          <w:sz w:val="18"/>
          <w:szCs w:val="18"/>
        </w:rPr>
        <w:t xml:space="preserve">: </w:t>
      </w:r>
      <w:r w:rsidRPr="004E4270">
        <w:rPr>
          <w:rFonts w:ascii="Times New Roman" w:hAnsi="Times New Roman"/>
          <w:sz w:val="18"/>
          <w:szCs w:val="18"/>
        </w:rPr>
        <w:t>中国建</w:t>
      </w:r>
      <w:r w:rsidRPr="004E4270">
        <w:rPr>
          <w:rFonts w:ascii="Times New Roman" w:hAnsi="Times New Roman"/>
          <w:sz w:val="18"/>
          <w:szCs w:val="18"/>
        </w:rPr>
        <w:t>筑工业出版社</w:t>
      </w:r>
      <w:r w:rsidRPr="004E4270">
        <w:rPr>
          <w:rFonts w:ascii="Times New Roman" w:hAnsi="Times New Roman"/>
          <w:sz w:val="18"/>
          <w:szCs w:val="18"/>
        </w:rPr>
        <w:t>, 2014.</w:t>
      </w:r>
      <w:r w:rsidRPr="004E4270">
        <w:rPr>
          <w:rFonts w:ascii="Times New Roman" w:hAnsi="Times New Roman"/>
          <w:sz w:val="18"/>
          <w:szCs w:val="18"/>
        </w:rPr>
        <w:br/>
        <w:t>Code for planning of urban electric power: GB/T 50293—2014 [S]. Beijing: China Architecture &amp; Building Press, 2014. (in Chinese</w:t>
      </w:r>
      <w:bookmarkEnd w:id="54"/>
      <w:r w:rsidRPr="004E4270">
        <w:rPr>
          <w:rFonts w:ascii="Times New Roman" w:hAnsi="Times New Roman" w:hint="eastAsia"/>
          <w:sz w:val="18"/>
          <w:szCs w:val="18"/>
        </w:rPr>
        <w:t>)</w:t>
      </w:r>
    </w:p>
    <w:p w14:paraId="2B895073" w14:textId="24EF17FC" w:rsidR="001F7B30" w:rsidRDefault="00A8796B" w:rsidP="00587D48">
      <w:pPr>
        <w:pStyle w:val="a"/>
        <w:wordWrap w:val="0"/>
        <w:rPr>
          <w:rFonts w:ascii="Times New Roman" w:hAnsi="Times New Roman"/>
          <w:sz w:val="18"/>
          <w:szCs w:val="18"/>
        </w:rPr>
      </w:pPr>
      <w:bookmarkStart w:id="55" w:name="_Ref204372562"/>
      <w:r w:rsidRPr="004E4270">
        <w:rPr>
          <w:rFonts w:ascii="Times New Roman" w:hAnsi="Times New Roman"/>
          <w:sz w:val="18"/>
          <w:szCs w:val="18"/>
        </w:rPr>
        <w:t>International Electrotechnical C</w:t>
      </w:r>
      <w:r w:rsidRPr="00A8796B">
        <w:rPr>
          <w:rFonts w:ascii="Times New Roman" w:hAnsi="Times New Roman"/>
          <w:sz w:val="18"/>
          <w:szCs w:val="18"/>
        </w:rPr>
        <w:t>ommission. IEC 60617: Graphical Symbols for Diagrams [S/OL]. Database edition (ver. 2025-01). [2025-07-05]. Available: https://webstore.iec.ch</w:t>
      </w:r>
      <w:r w:rsidR="00DA268A">
        <w:rPr>
          <w:rFonts w:ascii="Times New Roman" w:hAnsi="Times New Roman"/>
          <w:sz w:val="18"/>
          <w:szCs w:val="18"/>
        </w:rPr>
        <w:t>.</w:t>
      </w:r>
      <w:bookmarkEnd w:id="55"/>
    </w:p>
    <w:p w14:paraId="4DE022EB" w14:textId="4FAA245A" w:rsidR="001F7B30" w:rsidRDefault="00CF2837" w:rsidP="00587D48">
      <w:pPr>
        <w:pStyle w:val="a"/>
        <w:wordWrap w:val="0"/>
        <w:rPr>
          <w:rFonts w:ascii="Times New Roman" w:hAnsi="Times New Roman"/>
          <w:sz w:val="18"/>
          <w:szCs w:val="18"/>
        </w:rPr>
      </w:pPr>
      <w:bookmarkStart w:id="56" w:name="_Ref177406302"/>
      <w:r w:rsidRPr="00CF2837">
        <w:rPr>
          <w:rFonts w:ascii="Times New Roman" w:hAnsi="Times New Roman"/>
          <w:sz w:val="18"/>
          <w:szCs w:val="18"/>
        </w:rPr>
        <w:t>徐哲</w:t>
      </w:r>
      <w:r w:rsidRPr="00CF2837">
        <w:rPr>
          <w:rFonts w:ascii="Times New Roman" w:hAnsi="Times New Roman"/>
          <w:sz w:val="18"/>
          <w:szCs w:val="18"/>
        </w:rPr>
        <w:t xml:space="preserve">. </w:t>
      </w:r>
      <w:r w:rsidRPr="00CF2837">
        <w:rPr>
          <w:rFonts w:ascii="Times New Roman" w:hAnsi="Times New Roman"/>
          <w:sz w:val="18"/>
          <w:szCs w:val="18"/>
        </w:rPr>
        <w:t>区域电网系统抗震韧性评估理论与方法研究</w:t>
      </w:r>
      <w:r w:rsidRPr="00CF2837">
        <w:rPr>
          <w:rFonts w:ascii="Times New Roman" w:hAnsi="Times New Roman"/>
          <w:sz w:val="18"/>
          <w:szCs w:val="18"/>
        </w:rPr>
        <w:t xml:space="preserve"> [D]. </w:t>
      </w:r>
      <w:r w:rsidRPr="00CF2837">
        <w:rPr>
          <w:rFonts w:ascii="Times New Roman" w:hAnsi="Times New Roman"/>
          <w:sz w:val="18"/>
          <w:szCs w:val="18"/>
        </w:rPr>
        <w:t>同济大学</w:t>
      </w:r>
      <w:r w:rsidRPr="00CF2837">
        <w:rPr>
          <w:rFonts w:ascii="Times New Roman" w:hAnsi="Times New Roman"/>
          <w:sz w:val="18"/>
          <w:szCs w:val="18"/>
        </w:rPr>
        <w:t>, 2024.</w:t>
      </w:r>
      <w:r w:rsidRPr="00CF2837">
        <w:rPr>
          <w:rFonts w:ascii="Times New Roman" w:hAnsi="Times New Roman"/>
          <w:sz w:val="18"/>
          <w:szCs w:val="18"/>
        </w:rPr>
        <w:br/>
        <w:t>XU Z. Research on the theory and method of seismic resilience evaluation of regional power grid system [D]. Tongji University, 2024. (in Chinese</w:t>
      </w:r>
      <w:r w:rsidR="00DA268A">
        <w:rPr>
          <w:rFonts w:ascii="Times New Roman" w:hAnsi="Times New Roman" w:hint="eastAsia"/>
          <w:sz w:val="18"/>
          <w:szCs w:val="18"/>
        </w:rPr>
        <w:t>)</w:t>
      </w:r>
      <w:bookmarkEnd w:id="56"/>
    </w:p>
    <w:p w14:paraId="2AA874BA" w14:textId="7DD6A958" w:rsidR="001F7B30" w:rsidRDefault="00CF2837" w:rsidP="00587D48">
      <w:pPr>
        <w:pStyle w:val="a"/>
        <w:wordWrap w:val="0"/>
        <w:rPr>
          <w:rFonts w:ascii="Times New Roman" w:hAnsi="Times New Roman"/>
          <w:sz w:val="18"/>
          <w:szCs w:val="18"/>
        </w:rPr>
      </w:pPr>
      <w:bookmarkStart w:id="57" w:name="_Ref204374804"/>
      <w:r w:rsidRPr="00CF2837">
        <w:rPr>
          <w:rFonts w:ascii="Times New Roman" w:hAnsi="Times New Roman"/>
          <w:sz w:val="18"/>
          <w:szCs w:val="18"/>
        </w:rPr>
        <w:t>邱丽萍</w:t>
      </w:r>
      <w:r w:rsidRPr="00CF2837">
        <w:rPr>
          <w:rFonts w:ascii="Times New Roman" w:hAnsi="Times New Roman"/>
          <w:sz w:val="18"/>
          <w:szCs w:val="18"/>
        </w:rPr>
        <w:t xml:space="preserve">. </w:t>
      </w:r>
      <w:r w:rsidRPr="00CF2837">
        <w:rPr>
          <w:rFonts w:ascii="Times New Roman" w:hAnsi="Times New Roman"/>
          <w:sz w:val="18"/>
          <w:szCs w:val="18"/>
        </w:rPr>
        <w:t>城市电网最大供电能力评估算法研究</w:t>
      </w:r>
      <w:r w:rsidRPr="00CF2837">
        <w:rPr>
          <w:rFonts w:ascii="Times New Roman" w:hAnsi="Times New Roman"/>
          <w:sz w:val="18"/>
          <w:szCs w:val="18"/>
        </w:rPr>
        <w:t xml:space="preserve"> [D]. </w:t>
      </w:r>
      <w:r w:rsidRPr="00CF2837">
        <w:rPr>
          <w:rFonts w:ascii="Times New Roman" w:hAnsi="Times New Roman"/>
          <w:sz w:val="18"/>
          <w:szCs w:val="18"/>
        </w:rPr>
        <w:t>中国电力科学研究院</w:t>
      </w:r>
      <w:r w:rsidRPr="00CF2837">
        <w:rPr>
          <w:rFonts w:ascii="Times New Roman" w:hAnsi="Times New Roman"/>
          <w:sz w:val="18"/>
          <w:szCs w:val="18"/>
        </w:rPr>
        <w:t>, 2006.</w:t>
      </w:r>
      <w:r w:rsidRPr="00CF2837">
        <w:rPr>
          <w:rFonts w:ascii="Times New Roman" w:hAnsi="Times New Roman"/>
          <w:sz w:val="18"/>
          <w:szCs w:val="18"/>
        </w:rPr>
        <w:br/>
        <w:t>QIU L P. Research on the evaluation algorithm for maximum power supply capacity of urban power grid [D]. China Electric Power Research Institute, 2006. (in Chinese</w:t>
      </w:r>
      <w:r>
        <w:rPr>
          <w:rFonts w:ascii="Times New Roman" w:hAnsi="Times New Roman" w:hint="eastAsia"/>
          <w:sz w:val="18"/>
          <w:szCs w:val="18"/>
        </w:rPr>
        <w:t>)</w:t>
      </w:r>
      <w:bookmarkEnd w:id="57"/>
    </w:p>
    <w:p w14:paraId="10EAD026" w14:textId="131B51F1" w:rsidR="00F51E39" w:rsidRDefault="00CF2837" w:rsidP="00587D48">
      <w:pPr>
        <w:pStyle w:val="a"/>
        <w:wordWrap w:val="0"/>
        <w:rPr>
          <w:rFonts w:ascii="Times New Roman" w:hAnsi="Times New Roman"/>
          <w:sz w:val="18"/>
          <w:szCs w:val="18"/>
        </w:rPr>
      </w:pPr>
      <w:bookmarkStart w:id="58" w:name="_Ref204640014"/>
      <w:r w:rsidRPr="00CF2837">
        <w:rPr>
          <w:rFonts w:ascii="Times New Roman" w:hAnsi="Times New Roman"/>
          <w:sz w:val="18"/>
          <w:szCs w:val="18"/>
        </w:rPr>
        <w:t>PORTANTE E C, KAVICKY J A, FOLGA S F, et al. Simulating the seismic performance of a large-scale electric network in the US Midwest [C]// Proceedings of the 2010 Winter Simulation Conference. IEEE, 2010: 3482-3493</w:t>
      </w:r>
      <w:r w:rsidR="00F51E39" w:rsidRPr="00F51E39">
        <w:rPr>
          <w:rFonts w:ascii="Times New Roman" w:hAnsi="Times New Roman"/>
          <w:sz w:val="18"/>
          <w:szCs w:val="18"/>
        </w:rPr>
        <w:t>.</w:t>
      </w:r>
      <w:bookmarkEnd w:id="58"/>
    </w:p>
    <w:p w14:paraId="64B15851" w14:textId="7D56A166" w:rsidR="00DC18BF" w:rsidRDefault="00CF2837" w:rsidP="00587D48">
      <w:pPr>
        <w:pStyle w:val="a"/>
        <w:wordWrap w:val="0"/>
        <w:rPr>
          <w:rFonts w:ascii="Times New Roman" w:hAnsi="Times New Roman"/>
          <w:sz w:val="18"/>
          <w:szCs w:val="18"/>
        </w:rPr>
      </w:pPr>
      <w:bookmarkStart w:id="59" w:name="_Ref178628820"/>
      <w:r w:rsidRPr="00CF2837">
        <w:rPr>
          <w:rFonts w:ascii="Times New Roman" w:hAnsi="Times New Roman"/>
          <w:sz w:val="18"/>
          <w:szCs w:val="18"/>
        </w:rPr>
        <w:t>李吉超</w:t>
      </w:r>
      <w:r w:rsidRPr="00CF2837">
        <w:rPr>
          <w:rFonts w:ascii="Times New Roman" w:hAnsi="Times New Roman"/>
          <w:sz w:val="18"/>
          <w:szCs w:val="18"/>
        </w:rPr>
        <w:t xml:space="preserve">. </w:t>
      </w:r>
      <w:r w:rsidRPr="00CF2837">
        <w:rPr>
          <w:rFonts w:ascii="Times New Roman" w:hAnsi="Times New Roman"/>
          <w:sz w:val="18"/>
          <w:szCs w:val="18"/>
        </w:rPr>
        <w:t>基于概率的变电站系统抗震性能评估方法研究</w:t>
      </w:r>
      <w:r w:rsidRPr="00CF2837">
        <w:rPr>
          <w:rFonts w:ascii="Times New Roman" w:hAnsi="Times New Roman"/>
          <w:sz w:val="18"/>
          <w:szCs w:val="18"/>
        </w:rPr>
        <w:t xml:space="preserve"> [D]. </w:t>
      </w:r>
      <w:r w:rsidRPr="00CF2837">
        <w:rPr>
          <w:rFonts w:ascii="Times New Roman" w:hAnsi="Times New Roman"/>
          <w:sz w:val="18"/>
          <w:szCs w:val="18"/>
        </w:rPr>
        <w:t>中国地震局工程力学研究所</w:t>
      </w:r>
      <w:r w:rsidRPr="00CF2837">
        <w:rPr>
          <w:rFonts w:ascii="Times New Roman" w:hAnsi="Times New Roman"/>
          <w:sz w:val="18"/>
          <w:szCs w:val="18"/>
        </w:rPr>
        <w:t>, 2018.</w:t>
      </w:r>
      <w:r w:rsidRPr="00CF2837">
        <w:rPr>
          <w:rFonts w:ascii="Times New Roman" w:hAnsi="Times New Roman"/>
          <w:sz w:val="18"/>
          <w:szCs w:val="18"/>
        </w:rPr>
        <w:br/>
        <w:t>LI J C. Research on the probabilistic seismic performance assessment method for substation systems [D]. Institute of Engineering Mechanics, China Earthquake Administration, 2018. (in Chinese</w:t>
      </w:r>
      <w:r>
        <w:rPr>
          <w:rFonts w:ascii="Times New Roman" w:hAnsi="Times New Roman" w:hint="eastAsia"/>
          <w:sz w:val="18"/>
          <w:szCs w:val="18"/>
        </w:rPr>
        <w:t>)</w:t>
      </w:r>
      <w:bookmarkStart w:id="60" w:name="_Ref204638655"/>
      <w:bookmarkEnd w:id="59"/>
      <w:r w:rsidR="00DC18BF" w:rsidRPr="00DC18BF">
        <w:rPr>
          <w:rFonts w:ascii="Times New Roman" w:hAnsi="Times New Roman"/>
          <w:sz w:val="18"/>
          <w:szCs w:val="18"/>
        </w:rPr>
        <w:t xml:space="preserve"> </w:t>
      </w:r>
    </w:p>
    <w:p w14:paraId="1B92D7DE" w14:textId="306CBF3D" w:rsidR="001F7B30" w:rsidRPr="00DC18BF" w:rsidRDefault="00845D05" w:rsidP="00587D48">
      <w:pPr>
        <w:pStyle w:val="a"/>
        <w:wordWrap w:val="0"/>
        <w:rPr>
          <w:rFonts w:ascii="Times New Roman" w:hAnsi="Times New Roman"/>
          <w:sz w:val="18"/>
          <w:szCs w:val="18"/>
        </w:rPr>
      </w:pPr>
      <w:bookmarkStart w:id="61" w:name="_Ref204640033"/>
      <w:r w:rsidRPr="00845D05">
        <w:rPr>
          <w:rFonts w:ascii="Times New Roman" w:hAnsi="Times New Roman"/>
          <w:sz w:val="18"/>
          <w:szCs w:val="18"/>
        </w:rPr>
        <w:t>Federal Emergency Management Agency (FEMA). HAZUS Earthquake Model: Technical Manual, Version 2.1 [R]. Washington, D.C.: FEMA, 2012</w:t>
      </w:r>
      <w:r w:rsidR="00DC18BF" w:rsidRPr="009603D0">
        <w:rPr>
          <w:rFonts w:ascii="Times New Roman" w:hAnsi="Times New Roman"/>
          <w:sz w:val="18"/>
          <w:szCs w:val="18"/>
        </w:rPr>
        <w:t>.</w:t>
      </w:r>
      <w:bookmarkEnd w:id="60"/>
      <w:bookmarkEnd w:id="61"/>
    </w:p>
    <w:p w14:paraId="14E1FC8E" w14:textId="3F101C2A" w:rsidR="000A2429" w:rsidRDefault="007B2489" w:rsidP="00587D48">
      <w:pPr>
        <w:pStyle w:val="a"/>
        <w:wordWrap w:val="0"/>
        <w:rPr>
          <w:rFonts w:ascii="Times New Roman" w:hAnsi="Times New Roman"/>
          <w:sz w:val="18"/>
          <w:szCs w:val="18"/>
        </w:rPr>
      </w:pPr>
      <w:bookmarkStart w:id="62" w:name="_Ref204641509"/>
      <w:r w:rsidRPr="007B2489">
        <w:rPr>
          <w:rFonts w:ascii="Times New Roman" w:hAnsi="Times New Roman"/>
          <w:sz w:val="18"/>
          <w:szCs w:val="18"/>
        </w:rPr>
        <w:t>STOTT B, JARDIM J, ALSAÇ O. DC power flow revisited [J]. IEEE Transactions on Power Systems, 2009, 24(3): 1290-1300</w:t>
      </w:r>
      <w:r w:rsidR="000A2429" w:rsidRPr="000A2429">
        <w:rPr>
          <w:rFonts w:ascii="Times New Roman" w:hAnsi="Times New Roman"/>
          <w:sz w:val="18"/>
          <w:szCs w:val="18"/>
        </w:rPr>
        <w:t>.</w:t>
      </w:r>
      <w:bookmarkEnd w:id="62"/>
    </w:p>
    <w:p w14:paraId="47974D68" w14:textId="20144B68" w:rsidR="001F7B30" w:rsidRDefault="001700AD" w:rsidP="00587D48">
      <w:pPr>
        <w:pStyle w:val="a"/>
        <w:wordWrap w:val="0"/>
        <w:rPr>
          <w:rFonts w:ascii="Times New Roman" w:hAnsi="Times New Roman"/>
          <w:sz w:val="18"/>
          <w:szCs w:val="18"/>
        </w:rPr>
      </w:pPr>
      <w:bookmarkStart w:id="63" w:name="_Ref204375492"/>
      <w:r w:rsidRPr="001700AD">
        <w:rPr>
          <w:rFonts w:ascii="Times New Roman" w:hAnsi="Times New Roman"/>
          <w:sz w:val="18"/>
          <w:szCs w:val="18"/>
        </w:rPr>
        <w:t>WORKU M Y, HASSAN M A, MARAABA L S, et al. Islanding detection methods for microgrids: A comprehensive review [J]. Mathematics, 2021, 9(24): 3174</w:t>
      </w:r>
      <w:r w:rsidR="00DA268A">
        <w:rPr>
          <w:rFonts w:ascii="Times New Roman" w:hAnsi="Times New Roman"/>
          <w:sz w:val="18"/>
          <w:szCs w:val="18"/>
        </w:rPr>
        <w:t>.</w:t>
      </w:r>
      <w:bookmarkEnd w:id="63"/>
    </w:p>
    <w:p w14:paraId="128167B9" w14:textId="4058A974" w:rsidR="001F7B30" w:rsidRDefault="001700AD" w:rsidP="00587D48">
      <w:pPr>
        <w:pStyle w:val="a"/>
        <w:wordWrap w:val="0"/>
        <w:rPr>
          <w:rFonts w:ascii="Times New Roman" w:hAnsi="Times New Roman"/>
          <w:sz w:val="18"/>
          <w:szCs w:val="18"/>
        </w:rPr>
      </w:pPr>
      <w:bookmarkStart w:id="64" w:name="_Ref204375552"/>
      <w:r w:rsidRPr="001700AD">
        <w:rPr>
          <w:rFonts w:ascii="Times New Roman" w:hAnsi="Times New Roman"/>
          <w:sz w:val="18"/>
          <w:szCs w:val="18"/>
        </w:rPr>
        <w:t>ZHANG G, TONG X, HONG Q, et al. A novel fault isolation scheme in power system with dynamic topology using wide-area information [J]. IEEE Transactions on Industrial Informatics, 2021, 18(4): 2399-2410</w:t>
      </w:r>
      <w:r w:rsidR="00DA268A">
        <w:rPr>
          <w:rFonts w:ascii="Times New Roman" w:hAnsi="Times New Roman"/>
          <w:sz w:val="18"/>
          <w:szCs w:val="18"/>
        </w:rPr>
        <w:t>.</w:t>
      </w:r>
      <w:bookmarkEnd w:id="64"/>
    </w:p>
    <w:p w14:paraId="0974EEFD" w14:textId="51A29E6B" w:rsidR="001F7B30" w:rsidRDefault="001700AD" w:rsidP="00587D48">
      <w:pPr>
        <w:pStyle w:val="a"/>
        <w:wordWrap w:val="0"/>
        <w:rPr>
          <w:rFonts w:ascii="Times New Roman" w:hAnsi="Times New Roman"/>
          <w:sz w:val="18"/>
          <w:szCs w:val="18"/>
        </w:rPr>
      </w:pPr>
      <w:bookmarkStart w:id="65" w:name="_Ref204375756"/>
      <w:r w:rsidRPr="001700AD">
        <w:rPr>
          <w:rFonts w:ascii="Times New Roman" w:hAnsi="Times New Roman"/>
          <w:sz w:val="18"/>
          <w:szCs w:val="18"/>
        </w:rPr>
        <w:t>DHOPLE S V, CHEN Y C, AL-DIGS A, et al. Reexamining the distributed slack bus [J]. IEEE Transactions on Power Systems, 2020, 35(6): 4870-4879</w:t>
      </w:r>
      <w:r w:rsidR="00DA268A">
        <w:rPr>
          <w:rFonts w:ascii="Times New Roman" w:hAnsi="Times New Roman"/>
          <w:sz w:val="18"/>
          <w:szCs w:val="18"/>
        </w:rPr>
        <w:t>.</w:t>
      </w:r>
      <w:bookmarkEnd w:id="65"/>
    </w:p>
    <w:p w14:paraId="66011E06" w14:textId="15FAB13E" w:rsidR="001F7B30" w:rsidRPr="004E4270" w:rsidRDefault="001700AD" w:rsidP="00587D48">
      <w:pPr>
        <w:pStyle w:val="a"/>
        <w:wordWrap w:val="0"/>
        <w:rPr>
          <w:rFonts w:ascii="Times New Roman" w:hAnsi="Times New Roman"/>
          <w:sz w:val="18"/>
          <w:szCs w:val="18"/>
        </w:rPr>
      </w:pPr>
      <w:bookmarkStart w:id="66" w:name="_Ref178625768"/>
      <w:r w:rsidRPr="001700AD">
        <w:rPr>
          <w:rFonts w:ascii="Times New Roman" w:hAnsi="Times New Roman"/>
          <w:sz w:val="18"/>
          <w:szCs w:val="18"/>
        </w:rPr>
        <w:lastRenderedPageBreak/>
        <w:t>SHANG</w:t>
      </w:r>
      <w:r w:rsidRPr="004E4270">
        <w:rPr>
          <w:rFonts w:ascii="Times New Roman" w:hAnsi="Times New Roman"/>
          <w:sz w:val="18"/>
          <w:szCs w:val="18"/>
        </w:rPr>
        <w:t xml:space="preserve"> Q, GUO X, LI Q, et al. A benchmark city for seismic resilience assessment [J]. Earthquake Engineering and Engineering Vibration, 2020, 19: 811-826</w:t>
      </w:r>
      <w:r w:rsidR="00DA268A" w:rsidRPr="004E4270">
        <w:rPr>
          <w:rFonts w:ascii="Times New Roman" w:hAnsi="Times New Roman"/>
          <w:sz w:val="18"/>
          <w:szCs w:val="18"/>
        </w:rPr>
        <w:t>.</w:t>
      </w:r>
      <w:bookmarkEnd w:id="66"/>
    </w:p>
    <w:p w14:paraId="44A7EF41" w14:textId="2CF2AB7E" w:rsidR="00C919F2" w:rsidRPr="004E4270" w:rsidRDefault="00F3757E" w:rsidP="00587D48">
      <w:pPr>
        <w:pStyle w:val="a"/>
        <w:wordWrap w:val="0"/>
        <w:rPr>
          <w:rFonts w:ascii="Times New Roman" w:hAnsi="Times New Roman"/>
          <w:sz w:val="18"/>
          <w:szCs w:val="18"/>
        </w:rPr>
      </w:pPr>
      <w:bookmarkStart w:id="67" w:name="_Ref176287265"/>
      <w:r w:rsidRPr="004E4270">
        <w:rPr>
          <w:rFonts w:ascii="Times New Roman" w:hAnsi="Times New Roman"/>
          <w:sz w:val="18"/>
          <w:szCs w:val="18"/>
        </w:rPr>
        <w:t>建筑抗震设计规范</w:t>
      </w:r>
      <w:r w:rsidRPr="004E4270">
        <w:rPr>
          <w:rFonts w:ascii="Times New Roman" w:hAnsi="Times New Roman"/>
          <w:sz w:val="18"/>
          <w:szCs w:val="18"/>
        </w:rPr>
        <w:t xml:space="preserve">: GB 50011—2010 [S]. </w:t>
      </w:r>
      <w:r w:rsidRPr="004E4270">
        <w:rPr>
          <w:rFonts w:ascii="Times New Roman" w:hAnsi="Times New Roman"/>
          <w:sz w:val="18"/>
          <w:szCs w:val="18"/>
        </w:rPr>
        <w:t>北京</w:t>
      </w:r>
      <w:r w:rsidRPr="004E4270">
        <w:rPr>
          <w:rFonts w:ascii="Times New Roman" w:hAnsi="Times New Roman"/>
          <w:sz w:val="18"/>
          <w:szCs w:val="18"/>
        </w:rPr>
        <w:t xml:space="preserve">: </w:t>
      </w:r>
      <w:r w:rsidRPr="004E4270">
        <w:rPr>
          <w:rFonts w:ascii="Times New Roman" w:hAnsi="Times New Roman"/>
          <w:sz w:val="18"/>
          <w:szCs w:val="18"/>
        </w:rPr>
        <w:t>中国建筑工业出版社</w:t>
      </w:r>
      <w:r w:rsidRPr="004E4270">
        <w:rPr>
          <w:rFonts w:ascii="Times New Roman" w:hAnsi="Times New Roman"/>
          <w:sz w:val="18"/>
          <w:szCs w:val="18"/>
        </w:rPr>
        <w:t>, 2010.</w:t>
      </w:r>
      <w:r w:rsidRPr="004E4270">
        <w:rPr>
          <w:rFonts w:ascii="Times New Roman" w:hAnsi="Times New Roman"/>
          <w:sz w:val="18"/>
          <w:szCs w:val="18"/>
        </w:rPr>
        <w:br/>
        <w:t>Code for seismic design of buildings: GB 50011—2010 [S]. Beijing: China Architecture &amp; Building Press, 2010. (in Chinese</w:t>
      </w:r>
      <w:r w:rsidR="00C919F2" w:rsidRPr="004E4270">
        <w:rPr>
          <w:rFonts w:ascii="Times New Roman" w:hAnsi="Times New Roman" w:hint="eastAsia"/>
          <w:sz w:val="18"/>
          <w:szCs w:val="18"/>
        </w:rPr>
        <w:t>)</w:t>
      </w:r>
      <w:bookmarkEnd w:id="67"/>
    </w:p>
    <w:p w14:paraId="53E9BC46" w14:textId="21A7CAAE" w:rsidR="001F7B30" w:rsidRPr="004E4270" w:rsidRDefault="004E4270" w:rsidP="00587D48">
      <w:pPr>
        <w:pStyle w:val="a"/>
        <w:wordWrap w:val="0"/>
        <w:ind w:left="442" w:hanging="442"/>
        <w:rPr>
          <w:rFonts w:ascii="Times New Roman" w:hAnsi="Times New Roman"/>
          <w:sz w:val="18"/>
          <w:szCs w:val="18"/>
        </w:rPr>
      </w:pPr>
      <w:bookmarkStart w:id="68" w:name="_Ref204374100"/>
      <w:r w:rsidRPr="004E4270">
        <w:rPr>
          <w:rFonts w:ascii="Times New Roman" w:hAnsi="Times New Roman"/>
          <w:sz w:val="18"/>
          <w:szCs w:val="18"/>
        </w:rPr>
        <w:t>WEATHERILL G, ESPOSITO S, IERVOLINO I, et al. Framework for seismic hazard analysis of spatially distributed systems [M]// SYNER-G: Systemic seismic vulnerability and risk assessment of complex urban, utility, lifeline systems and critical facilities: Methodology and applications. Dordrecht: Springer Netherlands, 2014: 57-88</w:t>
      </w:r>
      <w:r w:rsidR="00DA268A" w:rsidRPr="004E4270">
        <w:rPr>
          <w:rFonts w:ascii="Times New Roman" w:hAnsi="Times New Roman"/>
          <w:sz w:val="18"/>
          <w:szCs w:val="18"/>
        </w:rPr>
        <w:t>.</w:t>
      </w:r>
      <w:bookmarkEnd w:id="68"/>
    </w:p>
    <w:p w14:paraId="48E89914" w14:textId="2252F0C6" w:rsidR="001F7B30" w:rsidRDefault="004E4270" w:rsidP="00587D48">
      <w:pPr>
        <w:pStyle w:val="a"/>
        <w:widowControl/>
        <w:wordWrap w:val="0"/>
        <w:rPr>
          <w:rFonts w:ascii="Times New Roman" w:hAnsi="Times New Roman"/>
          <w:sz w:val="18"/>
          <w:szCs w:val="18"/>
        </w:rPr>
      </w:pPr>
      <w:bookmarkStart w:id="69" w:name="_Ref178534647"/>
      <w:r w:rsidRPr="004E4270">
        <w:rPr>
          <w:rFonts w:ascii="Times New Roman" w:hAnsi="Times New Roman"/>
          <w:sz w:val="18"/>
          <w:szCs w:val="18"/>
        </w:rPr>
        <w:t>城市用地分类与规划建设用地标准</w:t>
      </w:r>
      <w:r w:rsidRPr="004E4270">
        <w:rPr>
          <w:rFonts w:ascii="Times New Roman" w:hAnsi="Times New Roman"/>
          <w:sz w:val="18"/>
          <w:szCs w:val="18"/>
        </w:rPr>
        <w:t xml:space="preserve">: GB 50137—2011 [S]. </w:t>
      </w:r>
      <w:r w:rsidRPr="004E4270">
        <w:rPr>
          <w:rFonts w:ascii="Times New Roman" w:hAnsi="Times New Roman"/>
          <w:sz w:val="18"/>
          <w:szCs w:val="18"/>
        </w:rPr>
        <w:t>北京</w:t>
      </w:r>
      <w:r w:rsidRPr="004E4270">
        <w:rPr>
          <w:rFonts w:ascii="Times New Roman" w:hAnsi="Times New Roman"/>
          <w:sz w:val="18"/>
          <w:szCs w:val="18"/>
        </w:rPr>
        <w:t xml:space="preserve">: </w:t>
      </w:r>
      <w:r w:rsidRPr="004E4270">
        <w:rPr>
          <w:rFonts w:ascii="Times New Roman" w:hAnsi="Times New Roman"/>
          <w:sz w:val="18"/>
          <w:szCs w:val="18"/>
        </w:rPr>
        <w:t>中国建筑工业出版社</w:t>
      </w:r>
      <w:r w:rsidRPr="004E4270">
        <w:rPr>
          <w:rFonts w:ascii="Times New Roman" w:hAnsi="Times New Roman"/>
          <w:sz w:val="18"/>
          <w:szCs w:val="18"/>
        </w:rPr>
        <w:t>, 2011.</w:t>
      </w:r>
      <w:r w:rsidRPr="004E4270">
        <w:rPr>
          <w:rFonts w:ascii="Times New Roman" w:hAnsi="Times New Roman"/>
          <w:sz w:val="18"/>
          <w:szCs w:val="18"/>
        </w:rPr>
        <w:br/>
        <w:t>Code for classification of urban land use and planning standards of development land: GB 50137—2011 [S]. Beijing: China Architecture &amp; Building Press, 2011. (in Chinese</w:t>
      </w:r>
      <w:r w:rsidR="00DA268A">
        <w:rPr>
          <w:rFonts w:ascii="Times New Roman" w:hAnsi="Times New Roman"/>
          <w:sz w:val="18"/>
          <w:szCs w:val="18"/>
        </w:rPr>
        <w:t>)</w:t>
      </w:r>
      <w:bookmarkEnd w:id="69"/>
    </w:p>
    <w:p w14:paraId="1E457154" w14:textId="45AC516C" w:rsidR="001F7B30" w:rsidRDefault="004E4270" w:rsidP="00587D48">
      <w:pPr>
        <w:pStyle w:val="a"/>
        <w:wordWrap w:val="0"/>
        <w:ind w:left="442" w:hanging="442"/>
        <w:rPr>
          <w:rFonts w:ascii="Times New Roman" w:hAnsi="Times New Roman"/>
          <w:sz w:val="18"/>
          <w:szCs w:val="18"/>
        </w:rPr>
      </w:pPr>
      <w:bookmarkStart w:id="70" w:name="_Ref204374507"/>
      <w:r w:rsidRPr="004E4270">
        <w:rPr>
          <w:rFonts w:ascii="Times New Roman" w:hAnsi="Times New Roman"/>
          <w:sz w:val="18"/>
          <w:szCs w:val="18"/>
        </w:rPr>
        <w:t>中国地震局</w:t>
      </w:r>
      <w:r w:rsidRPr="004E4270">
        <w:rPr>
          <w:rFonts w:ascii="Times New Roman" w:hAnsi="Times New Roman"/>
          <w:sz w:val="18"/>
          <w:szCs w:val="18"/>
        </w:rPr>
        <w:t xml:space="preserve">. </w:t>
      </w:r>
      <w:r w:rsidRPr="004E4270">
        <w:rPr>
          <w:rFonts w:ascii="Times New Roman" w:hAnsi="Times New Roman"/>
          <w:sz w:val="18"/>
          <w:szCs w:val="18"/>
        </w:rPr>
        <w:t>中国地震动参数区划图</w:t>
      </w:r>
      <w:r w:rsidRPr="004E4270">
        <w:rPr>
          <w:rFonts w:ascii="Times New Roman" w:hAnsi="Times New Roman"/>
          <w:sz w:val="18"/>
          <w:szCs w:val="18"/>
        </w:rPr>
        <w:t xml:space="preserve">: GB 18306—2015 [S]. </w:t>
      </w:r>
      <w:r w:rsidRPr="004E4270">
        <w:rPr>
          <w:rFonts w:ascii="Times New Roman" w:hAnsi="Times New Roman"/>
          <w:sz w:val="18"/>
          <w:szCs w:val="18"/>
        </w:rPr>
        <w:t>北京</w:t>
      </w:r>
      <w:r w:rsidRPr="004E4270">
        <w:rPr>
          <w:rFonts w:ascii="Times New Roman" w:hAnsi="Times New Roman"/>
          <w:sz w:val="18"/>
          <w:szCs w:val="18"/>
        </w:rPr>
        <w:t xml:space="preserve">: </w:t>
      </w:r>
      <w:r w:rsidRPr="004E4270">
        <w:rPr>
          <w:rFonts w:ascii="Times New Roman" w:hAnsi="Times New Roman"/>
          <w:sz w:val="18"/>
          <w:szCs w:val="18"/>
        </w:rPr>
        <w:t>中国地震局</w:t>
      </w:r>
      <w:r w:rsidRPr="004E4270">
        <w:rPr>
          <w:rFonts w:ascii="Times New Roman" w:hAnsi="Times New Roman"/>
          <w:sz w:val="18"/>
          <w:szCs w:val="18"/>
        </w:rPr>
        <w:t>, 2015.</w:t>
      </w:r>
      <w:r w:rsidRPr="004E4270">
        <w:rPr>
          <w:rFonts w:ascii="Times New Roman" w:hAnsi="Times New Roman"/>
          <w:sz w:val="18"/>
          <w:szCs w:val="18"/>
        </w:rPr>
        <w:br/>
        <w:t>China Earthquake Administration. Seismic Ground Motion</w:t>
      </w:r>
      <w:r w:rsidRPr="004E4270">
        <w:rPr>
          <w:rFonts w:ascii="Times New Roman" w:hAnsi="Times New Roman"/>
          <w:sz w:val="18"/>
          <w:szCs w:val="18"/>
        </w:rPr>
        <w:t xml:space="preserve"> Parameters Zonation Map of China: GB 18306—2015 [S]. Beijing: China Earthquake Administration, 2015. (in Chinese</w:t>
      </w:r>
      <w:r>
        <w:rPr>
          <w:rFonts w:ascii="Times New Roman" w:hAnsi="Times New Roman" w:hint="eastAsia"/>
          <w:sz w:val="18"/>
          <w:szCs w:val="18"/>
        </w:rPr>
        <w:t>)</w:t>
      </w:r>
      <w:bookmarkEnd w:id="70"/>
    </w:p>
    <w:p w14:paraId="69196DEB" w14:textId="7423C0A4" w:rsidR="001F7B30" w:rsidRDefault="00627C48" w:rsidP="00587D48">
      <w:pPr>
        <w:pStyle w:val="a"/>
        <w:wordWrap w:val="0"/>
        <w:rPr>
          <w:rFonts w:ascii="Times New Roman" w:hAnsi="Times New Roman"/>
          <w:sz w:val="18"/>
          <w:szCs w:val="18"/>
        </w:rPr>
      </w:pPr>
      <w:bookmarkStart w:id="71" w:name="_Ref177305194"/>
      <w:bookmarkEnd w:id="32"/>
      <w:r w:rsidRPr="00627C48">
        <w:rPr>
          <w:rFonts w:ascii="Times New Roman" w:hAnsi="Times New Roman"/>
          <w:sz w:val="18"/>
          <w:szCs w:val="18"/>
        </w:rPr>
        <w:t>刘天琪</w:t>
      </w:r>
      <w:r w:rsidRPr="00627C48">
        <w:rPr>
          <w:rFonts w:ascii="Times New Roman" w:hAnsi="Times New Roman"/>
          <w:sz w:val="18"/>
          <w:szCs w:val="18"/>
        </w:rPr>
        <w:t xml:space="preserve">. </w:t>
      </w:r>
      <w:r w:rsidRPr="00627C48">
        <w:rPr>
          <w:rFonts w:ascii="Times New Roman" w:hAnsi="Times New Roman"/>
          <w:sz w:val="18"/>
          <w:szCs w:val="18"/>
        </w:rPr>
        <w:t>现代电力系统分析理论与方法</w:t>
      </w:r>
      <w:r w:rsidRPr="00627C48">
        <w:rPr>
          <w:rFonts w:ascii="Times New Roman" w:hAnsi="Times New Roman"/>
          <w:sz w:val="18"/>
          <w:szCs w:val="18"/>
        </w:rPr>
        <w:t xml:space="preserve"> [M]. </w:t>
      </w:r>
      <w:r w:rsidRPr="00627C48">
        <w:rPr>
          <w:rFonts w:ascii="Times New Roman" w:hAnsi="Times New Roman"/>
          <w:sz w:val="18"/>
          <w:szCs w:val="18"/>
        </w:rPr>
        <w:t>北京</w:t>
      </w:r>
      <w:r w:rsidRPr="00627C48">
        <w:rPr>
          <w:rFonts w:ascii="Times New Roman" w:hAnsi="Times New Roman"/>
          <w:sz w:val="18"/>
          <w:szCs w:val="18"/>
        </w:rPr>
        <w:t xml:space="preserve">: </w:t>
      </w:r>
      <w:r w:rsidRPr="00627C48">
        <w:rPr>
          <w:rFonts w:ascii="Times New Roman" w:hAnsi="Times New Roman"/>
          <w:sz w:val="18"/>
          <w:szCs w:val="18"/>
        </w:rPr>
        <w:t>中国电力出版社</w:t>
      </w:r>
      <w:r w:rsidRPr="00627C48">
        <w:rPr>
          <w:rFonts w:ascii="Times New Roman" w:hAnsi="Times New Roman"/>
          <w:sz w:val="18"/>
          <w:szCs w:val="18"/>
        </w:rPr>
        <w:t>, 2007.</w:t>
      </w:r>
      <w:r w:rsidRPr="00627C48">
        <w:rPr>
          <w:rFonts w:ascii="Times New Roman" w:hAnsi="Times New Roman"/>
          <w:sz w:val="18"/>
          <w:szCs w:val="18"/>
        </w:rPr>
        <w:br/>
        <w:t>LIU T Q. Modern power system analysis theory and methods [M]. Beijing: China Electric Power Press, 2007. (in Chinese</w:t>
      </w:r>
      <w:r>
        <w:rPr>
          <w:rFonts w:ascii="Times New Roman" w:hAnsi="Times New Roman" w:hint="eastAsia"/>
          <w:sz w:val="18"/>
          <w:szCs w:val="18"/>
        </w:rPr>
        <w:t>)</w:t>
      </w:r>
      <w:bookmarkEnd w:id="71"/>
    </w:p>
    <w:p w14:paraId="3D9FF2D9" w14:textId="352B751C" w:rsidR="001F7B30" w:rsidRDefault="00627C48" w:rsidP="00587D48">
      <w:pPr>
        <w:pStyle w:val="a"/>
        <w:wordWrap w:val="0"/>
        <w:rPr>
          <w:rFonts w:ascii="Times New Roman" w:hAnsi="Times New Roman"/>
          <w:sz w:val="18"/>
          <w:szCs w:val="18"/>
        </w:rPr>
      </w:pPr>
      <w:bookmarkStart w:id="72" w:name="_Ref177438368"/>
      <w:r w:rsidRPr="00627C48">
        <w:rPr>
          <w:rFonts w:ascii="Times New Roman" w:hAnsi="Times New Roman"/>
          <w:sz w:val="18"/>
          <w:szCs w:val="18"/>
        </w:rPr>
        <w:t>杨淑英</w:t>
      </w:r>
      <w:r w:rsidRPr="00627C48">
        <w:rPr>
          <w:rFonts w:ascii="Times New Roman" w:hAnsi="Times New Roman"/>
          <w:sz w:val="18"/>
          <w:szCs w:val="18"/>
        </w:rPr>
        <w:t xml:space="preserve">. </w:t>
      </w:r>
      <w:r w:rsidRPr="00627C48">
        <w:rPr>
          <w:rFonts w:ascii="Times New Roman" w:hAnsi="Times New Roman"/>
          <w:sz w:val="18"/>
          <w:szCs w:val="18"/>
        </w:rPr>
        <w:t>电力系统概论</w:t>
      </w:r>
      <w:r w:rsidRPr="00627C48">
        <w:rPr>
          <w:rFonts w:ascii="Times New Roman" w:hAnsi="Times New Roman"/>
          <w:sz w:val="18"/>
          <w:szCs w:val="18"/>
        </w:rPr>
        <w:t xml:space="preserve"> [M]. </w:t>
      </w:r>
      <w:r w:rsidRPr="00627C48">
        <w:rPr>
          <w:rFonts w:ascii="Times New Roman" w:hAnsi="Times New Roman"/>
          <w:sz w:val="18"/>
          <w:szCs w:val="18"/>
        </w:rPr>
        <w:t>北京</w:t>
      </w:r>
      <w:r w:rsidRPr="00627C48">
        <w:rPr>
          <w:rFonts w:ascii="Times New Roman" w:hAnsi="Times New Roman"/>
          <w:sz w:val="18"/>
          <w:szCs w:val="18"/>
        </w:rPr>
        <w:t xml:space="preserve">: </w:t>
      </w:r>
      <w:r w:rsidRPr="00627C48">
        <w:rPr>
          <w:rFonts w:ascii="Times New Roman" w:hAnsi="Times New Roman"/>
          <w:sz w:val="18"/>
          <w:szCs w:val="18"/>
        </w:rPr>
        <w:t>中国电力出版社</w:t>
      </w:r>
      <w:r w:rsidRPr="00627C48">
        <w:rPr>
          <w:rFonts w:ascii="Times New Roman" w:hAnsi="Times New Roman"/>
          <w:sz w:val="18"/>
          <w:szCs w:val="18"/>
        </w:rPr>
        <w:t>, 2003.</w:t>
      </w:r>
      <w:r w:rsidRPr="00627C48">
        <w:rPr>
          <w:rFonts w:ascii="Times New Roman" w:hAnsi="Times New Roman"/>
          <w:sz w:val="18"/>
          <w:szCs w:val="18"/>
        </w:rPr>
        <w:br/>
        <w:t>YANG S Y. Introduction to electric power systems [M]. Beijing: China Electric Power Press, 2003. (in Chinese</w:t>
      </w:r>
      <w:r>
        <w:rPr>
          <w:rFonts w:ascii="Times New Roman" w:hAnsi="Times New Roman" w:hint="eastAsia"/>
          <w:sz w:val="18"/>
          <w:szCs w:val="18"/>
        </w:rPr>
        <w:t>)</w:t>
      </w:r>
      <w:bookmarkEnd w:id="72"/>
    </w:p>
    <w:p w14:paraId="3C343C9C" w14:textId="75521AAF" w:rsidR="001F7B30" w:rsidRDefault="00FA142B" w:rsidP="00587D48">
      <w:pPr>
        <w:pStyle w:val="a"/>
        <w:wordWrap w:val="0"/>
        <w:rPr>
          <w:rFonts w:ascii="Times New Roman" w:hAnsi="Times New Roman"/>
          <w:sz w:val="18"/>
          <w:szCs w:val="18"/>
        </w:rPr>
      </w:pPr>
      <w:bookmarkStart w:id="73" w:name="_Ref177437040"/>
      <w:r w:rsidRPr="00FA142B">
        <w:rPr>
          <w:rFonts w:ascii="Times New Roman" w:hAnsi="Times New Roman"/>
          <w:sz w:val="18"/>
          <w:szCs w:val="18"/>
        </w:rPr>
        <w:t>何仰赞</w:t>
      </w:r>
      <w:r w:rsidRPr="00FA142B">
        <w:rPr>
          <w:rFonts w:ascii="Times New Roman" w:hAnsi="Times New Roman"/>
          <w:sz w:val="18"/>
          <w:szCs w:val="18"/>
        </w:rPr>
        <w:t xml:space="preserve">, </w:t>
      </w:r>
      <w:r w:rsidRPr="00FA142B">
        <w:rPr>
          <w:rFonts w:ascii="Times New Roman" w:hAnsi="Times New Roman"/>
          <w:sz w:val="18"/>
          <w:szCs w:val="18"/>
        </w:rPr>
        <w:t>温增银</w:t>
      </w:r>
      <w:r w:rsidRPr="00FA142B">
        <w:rPr>
          <w:rFonts w:ascii="Times New Roman" w:hAnsi="Times New Roman"/>
          <w:sz w:val="18"/>
          <w:szCs w:val="18"/>
        </w:rPr>
        <w:t xml:space="preserve">. </w:t>
      </w:r>
      <w:r w:rsidRPr="00FA142B">
        <w:rPr>
          <w:rFonts w:ascii="Times New Roman" w:hAnsi="Times New Roman"/>
          <w:sz w:val="18"/>
          <w:szCs w:val="18"/>
        </w:rPr>
        <w:t>电力系统分析</w:t>
      </w:r>
      <w:r w:rsidRPr="00FA142B">
        <w:rPr>
          <w:rFonts w:ascii="Times New Roman" w:hAnsi="Times New Roman"/>
          <w:sz w:val="18"/>
          <w:szCs w:val="18"/>
        </w:rPr>
        <w:t>(</w:t>
      </w:r>
      <w:r w:rsidRPr="00FA142B">
        <w:rPr>
          <w:rFonts w:ascii="Times New Roman" w:hAnsi="Times New Roman"/>
          <w:sz w:val="18"/>
          <w:szCs w:val="18"/>
        </w:rPr>
        <w:t>上册</w:t>
      </w:r>
      <w:r w:rsidRPr="00FA142B">
        <w:rPr>
          <w:rFonts w:ascii="Times New Roman" w:hAnsi="Times New Roman"/>
          <w:sz w:val="18"/>
          <w:szCs w:val="18"/>
        </w:rPr>
        <w:t xml:space="preserve">) [M]. </w:t>
      </w:r>
      <w:r w:rsidRPr="00FA142B">
        <w:rPr>
          <w:rFonts w:ascii="Times New Roman" w:hAnsi="Times New Roman"/>
          <w:sz w:val="18"/>
          <w:szCs w:val="18"/>
        </w:rPr>
        <w:t>武汉</w:t>
      </w:r>
      <w:r w:rsidRPr="00FA142B">
        <w:rPr>
          <w:rFonts w:ascii="Times New Roman" w:hAnsi="Times New Roman"/>
          <w:sz w:val="18"/>
          <w:szCs w:val="18"/>
        </w:rPr>
        <w:t xml:space="preserve">: </w:t>
      </w:r>
      <w:r w:rsidRPr="00FA142B">
        <w:rPr>
          <w:rFonts w:ascii="Times New Roman" w:hAnsi="Times New Roman"/>
          <w:sz w:val="18"/>
          <w:szCs w:val="18"/>
        </w:rPr>
        <w:t>华中科技大学出版社</w:t>
      </w:r>
      <w:r w:rsidRPr="00FA142B">
        <w:rPr>
          <w:rFonts w:ascii="Times New Roman" w:hAnsi="Times New Roman"/>
          <w:sz w:val="18"/>
          <w:szCs w:val="18"/>
        </w:rPr>
        <w:t>, 2002.</w:t>
      </w:r>
      <w:r w:rsidRPr="00FA142B">
        <w:rPr>
          <w:rFonts w:ascii="Times New Roman" w:hAnsi="Times New Roman"/>
          <w:sz w:val="18"/>
          <w:szCs w:val="18"/>
        </w:rPr>
        <w:br/>
        <w:t>HE Y Z, WEN Z Y. Electric power system analysis (Vol. 1) [M]. Wuhan: Huazhong University of Science and Technology Press, 2002. (in Chinese</w:t>
      </w:r>
      <w:r>
        <w:rPr>
          <w:rFonts w:ascii="Times New Roman" w:hAnsi="Times New Roman" w:hint="eastAsia"/>
          <w:sz w:val="18"/>
          <w:szCs w:val="18"/>
        </w:rPr>
        <w:t>)</w:t>
      </w:r>
      <w:bookmarkEnd w:id="73"/>
    </w:p>
    <w:p w14:paraId="785E3FC2" w14:textId="5D42DDEB" w:rsidR="00EB0486" w:rsidRPr="00AF00A4" w:rsidRDefault="005B7B5C" w:rsidP="00587D48">
      <w:pPr>
        <w:pStyle w:val="a"/>
        <w:wordWrap w:val="0"/>
        <w:rPr>
          <w:rFonts w:ascii="Times New Roman" w:hAnsi="Times New Roman"/>
          <w:sz w:val="18"/>
          <w:szCs w:val="18"/>
        </w:rPr>
      </w:pPr>
      <w:bookmarkStart w:id="74" w:name="_Ref204645419"/>
      <w:r w:rsidRPr="005B7B5C">
        <w:rPr>
          <w:rFonts w:ascii="Times New Roman" w:hAnsi="Times New Roman"/>
          <w:sz w:val="18"/>
          <w:szCs w:val="18"/>
        </w:rPr>
        <w:t>中国电力企业联合会</w:t>
      </w:r>
      <w:r w:rsidRPr="005B7B5C">
        <w:rPr>
          <w:rFonts w:ascii="Times New Roman" w:hAnsi="Times New Roman"/>
          <w:sz w:val="18"/>
          <w:szCs w:val="18"/>
        </w:rPr>
        <w:t xml:space="preserve">. </w:t>
      </w:r>
      <w:r w:rsidRPr="005B7B5C">
        <w:rPr>
          <w:rFonts w:ascii="Times New Roman" w:hAnsi="Times New Roman"/>
          <w:sz w:val="18"/>
          <w:szCs w:val="18"/>
        </w:rPr>
        <w:t>电力设施抗震设计规范</w:t>
      </w:r>
      <w:r w:rsidRPr="005B7B5C">
        <w:rPr>
          <w:rFonts w:ascii="Times New Roman" w:hAnsi="Times New Roman"/>
          <w:sz w:val="18"/>
          <w:szCs w:val="18"/>
        </w:rPr>
        <w:t xml:space="preserve">: GB 50260—2013 [S]. </w:t>
      </w:r>
      <w:r w:rsidRPr="005B7B5C">
        <w:rPr>
          <w:rFonts w:ascii="Times New Roman" w:hAnsi="Times New Roman"/>
          <w:sz w:val="18"/>
          <w:szCs w:val="18"/>
        </w:rPr>
        <w:t>北京</w:t>
      </w:r>
      <w:r w:rsidRPr="005B7B5C">
        <w:rPr>
          <w:rFonts w:ascii="Times New Roman" w:hAnsi="Times New Roman"/>
          <w:sz w:val="18"/>
          <w:szCs w:val="18"/>
        </w:rPr>
        <w:t xml:space="preserve">: </w:t>
      </w:r>
      <w:r w:rsidRPr="005B7B5C">
        <w:rPr>
          <w:rFonts w:ascii="Times New Roman" w:hAnsi="Times New Roman"/>
          <w:sz w:val="18"/>
          <w:szCs w:val="18"/>
        </w:rPr>
        <w:t>中国计划出版社</w:t>
      </w:r>
      <w:r w:rsidRPr="005B7B5C">
        <w:rPr>
          <w:rFonts w:ascii="Times New Roman" w:hAnsi="Times New Roman"/>
          <w:sz w:val="18"/>
          <w:szCs w:val="18"/>
        </w:rPr>
        <w:t>, 2013.</w:t>
      </w:r>
      <w:r w:rsidRPr="005B7B5C">
        <w:rPr>
          <w:rFonts w:ascii="Times New Roman" w:hAnsi="Times New Roman"/>
          <w:sz w:val="18"/>
          <w:szCs w:val="18"/>
        </w:rPr>
        <w:br/>
        <w:t>China Electricity Council. Code for seismic design of electric power facilities: GB 50260—2013 [S]. Beijing: China Planning Press, 2013. (in Chinese</w:t>
      </w:r>
      <w:r>
        <w:rPr>
          <w:rFonts w:ascii="Times New Roman" w:hAnsi="Times New Roman" w:hint="eastAsia"/>
          <w:sz w:val="18"/>
          <w:szCs w:val="18"/>
        </w:rPr>
        <w:t>)</w:t>
      </w:r>
      <w:bookmarkEnd w:id="74"/>
    </w:p>
    <w:p w14:paraId="3B05F4FA" w14:textId="77777777" w:rsidR="001F7B30" w:rsidRDefault="001F7B30">
      <w:pPr>
        <w:autoSpaceDE w:val="0"/>
        <w:autoSpaceDN w:val="0"/>
        <w:adjustRightInd w:val="0"/>
        <w:spacing w:line="240" w:lineRule="atLeast"/>
        <w:ind w:left="420" w:hanging="420"/>
        <w:rPr>
          <w:rFonts w:ascii="Times New Roman" w:hAnsi="Times New Roman" w:cs="Times New Roman"/>
          <w:strike/>
          <w:szCs w:val="21"/>
        </w:rPr>
        <w:sectPr w:rsidR="001F7B30">
          <w:type w:val="continuous"/>
          <w:pgSz w:w="11906" w:h="16838"/>
          <w:pgMar w:top="1985" w:right="1021" w:bottom="1021" w:left="1021" w:header="851" w:footer="992" w:gutter="0"/>
          <w:cols w:num="2" w:space="425"/>
          <w:titlePg/>
          <w:docGrid w:type="lines" w:linePitch="312"/>
        </w:sectPr>
      </w:pPr>
    </w:p>
    <w:p w14:paraId="6E93FF85" w14:textId="77777777" w:rsidR="001F7B30" w:rsidRPr="00FF2EEB" w:rsidRDefault="001F7B30">
      <w:pPr>
        <w:autoSpaceDE w:val="0"/>
        <w:autoSpaceDN w:val="0"/>
        <w:adjustRightInd w:val="0"/>
        <w:spacing w:line="240" w:lineRule="atLeast"/>
        <w:ind w:left="420" w:hanging="420"/>
        <w:rPr>
          <w:rFonts w:ascii="Times New Roman" w:hAnsi="Times New Roman" w:cs="Times New Roman"/>
          <w:strike/>
          <w:szCs w:val="21"/>
        </w:rPr>
      </w:pPr>
    </w:p>
    <w:p w14:paraId="3EBE9651" w14:textId="77777777" w:rsidR="001F7B30" w:rsidRDefault="00DA268A">
      <w:pPr>
        <w:widowControl/>
        <w:jc w:val="left"/>
        <w:rPr>
          <w:rFonts w:ascii="Times New Roman" w:hAnsi="Times New Roman" w:cs="Times New Roman"/>
          <w:kern w:val="0"/>
          <w:szCs w:val="21"/>
        </w:rPr>
      </w:pPr>
      <w:r>
        <w:rPr>
          <w:rFonts w:ascii="Times New Roman" w:hAnsi="Times New Roman" w:cs="Times New Roman"/>
          <w:kern w:val="0"/>
          <w:szCs w:val="21"/>
        </w:rPr>
        <w:br w:type="page"/>
      </w:r>
    </w:p>
    <w:p w14:paraId="309964CA" w14:textId="503D498E" w:rsidR="001F7B30" w:rsidRDefault="00DA268A">
      <w:pPr>
        <w:widowControl/>
        <w:spacing w:line="240" w:lineRule="atLeast"/>
        <w:jc w:val="center"/>
        <w:rPr>
          <w:rFonts w:ascii="Times New Roman" w:eastAsia="黑体" w:hAnsi="Times New Roman" w:cs="Times New Roman"/>
          <w:kern w:val="0"/>
          <w:sz w:val="36"/>
          <w:szCs w:val="36"/>
        </w:rPr>
      </w:pPr>
      <w:r>
        <w:rPr>
          <w:rFonts w:ascii="Times New Roman" w:eastAsia="黑体" w:hAnsi="Times New Roman" w:cs="Times New Roman" w:hint="eastAsia"/>
          <w:kern w:val="0"/>
          <w:sz w:val="36"/>
          <w:szCs w:val="36"/>
        </w:rPr>
        <w:lastRenderedPageBreak/>
        <w:t>Study on p</w:t>
      </w:r>
      <w:r>
        <w:rPr>
          <w:rFonts w:ascii="Times New Roman" w:eastAsia="黑体" w:hAnsi="Times New Roman" w:cs="Times New Roman"/>
          <w:kern w:val="0"/>
          <w:sz w:val="36"/>
          <w:szCs w:val="36"/>
        </w:rPr>
        <w:t>ost-</w:t>
      </w:r>
      <w:r>
        <w:rPr>
          <w:rFonts w:ascii="Times New Roman" w:eastAsia="黑体" w:hAnsi="Times New Roman" w:cs="Times New Roman" w:hint="eastAsia"/>
          <w:kern w:val="0"/>
          <w:sz w:val="36"/>
          <w:szCs w:val="36"/>
        </w:rPr>
        <w:t>e</w:t>
      </w:r>
      <w:r>
        <w:rPr>
          <w:rFonts w:ascii="Times New Roman" w:eastAsia="黑体" w:hAnsi="Times New Roman" w:cs="Times New Roman"/>
          <w:kern w:val="0"/>
          <w:sz w:val="36"/>
          <w:szCs w:val="36"/>
        </w:rPr>
        <w:t xml:space="preserve">arthquake </w:t>
      </w:r>
      <w:r>
        <w:rPr>
          <w:rFonts w:ascii="Times New Roman" w:eastAsia="黑体" w:hAnsi="Times New Roman" w:cs="Times New Roman" w:hint="eastAsia"/>
          <w:kern w:val="0"/>
          <w:sz w:val="36"/>
          <w:szCs w:val="36"/>
        </w:rPr>
        <w:t>f</w:t>
      </w:r>
      <w:r>
        <w:rPr>
          <w:rFonts w:ascii="Times New Roman" w:eastAsia="黑体" w:hAnsi="Times New Roman" w:cs="Times New Roman"/>
          <w:kern w:val="0"/>
          <w:sz w:val="36"/>
          <w:szCs w:val="36"/>
        </w:rPr>
        <w:t>unctional</w:t>
      </w:r>
      <w:r w:rsidR="00017248">
        <w:rPr>
          <w:rFonts w:ascii="Times New Roman" w:eastAsia="黑体" w:hAnsi="Times New Roman" w:cs="Times New Roman" w:hint="eastAsia"/>
          <w:kern w:val="0"/>
          <w:sz w:val="36"/>
          <w:szCs w:val="36"/>
        </w:rPr>
        <w:t>ity</w:t>
      </w:r>
      <w:r>
        <w:rPr>
          <w:rFonts w:ascii="Times New Roman" w:eastAsia="黑体" w:hAnsi="Times New Roman" w:cs="Times New Roman"/>
          <w:kern w:val="0"/>
          <w:sz w:val="36"/>
          <w:szCs w:val="36"/>
        </w:rPr>
        <w:t xml:space="preserve"> </w:t>
      </w:r>
      <w:r>
        <w:rPr>
          <w:rFonts w:ascii="Times New Roman" w:eastAsia="黑体" w:hAnsi="Times New Roman" w:cs="Times New Roman" w:hint="eastAsia"/>
          <w:kern w:val="0"/>
          <w:sz w:val="36"/>
          <w:szCs w:val="36"/>
        </w:rPr>
        <w:t>a</w:t>
      </w:r>
      <w:r>
        <w:rPr>
          <w:rFonts w:ascii="Times New Roman" w:eastAsia="黑体" w:hAnsi="Times New Roman" w:cs="Times New Roman"/>
          <w:kern w:val="0"/>
          <w:sz w:val="36"/>
          <w:szCs w:val="36"/>
        </w:rPr>
        <w:t xml:space="preserve">nalysis </w:t>
      </w:r>
      <w:r w:rsidR="00017248">
        <w:rPr>
          <w:rFonts w:ascii="Times New Roman" w:eastAsia="黑体" w:hAnsi="Times New Roman" w:cs="Times New Roman" w:hint="eastAsia"/>
          <w:kern w:val="0"/>
          <w:sz w:val="36"/>
          <w:szCs w:val="36"/>
        </w:rPr>
        <w:t xml:space="preserve">method </w:t>
      </w:r>
      <w:r>
        <w:rPr>
          <w:rFonts w:ascii="Times New Roman" w:eastAsia="黑体" w:hAnsi="Times New Roman" w:cs="Times New Roman"/>
          <w:kern w:val="0"/>
          <w:sz w:val="36"/>
          <w:szCs w:val="36"/>
        </w:rPr>
        <w:t xml:space="preserve">for </w:t>
      </w:r>
      <w:r>
        <w:rPr>
          <w:rFonts w:ascii="Times New Roman" w:eastAsia="黑体" w:hAnsi="Times New Roman" w:cs="Times New Roman" w:hint="eastAsia"/>
          <w:kern w:val="0"/>
          <w:sz w:val="36"/>
          <w:szCs w:val="36"/>
        </w:rPr>
        <w:t>u</w:t>
      </w:r>
      <w:r>
        <w:rPr>
          <w:rFonts w:ascii="Times New Roman" w:eastAsia="黑体" w:hAnsi="Times New Roman" w:cs="Times New Roman"/>
          <w:kern w:val="0"/>
          <w:sz w:val="36"/>
          <w:szCs w:val="36"/>
        </w:rPr>
        <w:t xml:space="preserve">rban </w:t>
      </w:r>
      <w:r>
        <w:rPr>
          <w:rFonts w:ascii="Times New Roman" w:eastAsia="黑体" w:hAnsi="Times New Roman" w:cs="Times New Roman" w:hint="eastAsia"/>
          <w:kern w:val="0"/>
          <w:sz w:val="36"/>
          <w:szCs w:val="36"/>
        </w:rPr>
        <w:t>p</w:t>
      </w:r>
      <w:r>
        <w:rPr>
          <w:rFonts w:ascii="Times New Roman" w:eastAsia="黑体" w:hAnsi="Times New Roman" w:cs="Times New Roman"/>
          <w:kern w:val="0"/>
          <w:sz w:val="36"/>
          <w:szCs w:val="36"/>
        </w:rPr>
        <w:t xml:space="preserve">ower </w:t>
      </w:r>
      <w:r>
        <w:rPr>
          <w:rFonts w:ascii="Times New Roman" w:eastAsia="黑体" w:hAnsi="Times New Roman" w:cs="Times New Roman" w:hint="eastAsia"/>
          <w:kern w:val="0"/>
          <w:sz w:val="36"/>
          <w:szCs w:val="36"/>
        </w:rPr>
        <w:t>s</w:t>
      </w:r>
      <w:r>
        <w:rPr>
          <w:rFonts w:ascii="Times New Roman" w:eastAsia="黑体" w:hAnsi="Times New Roman" w:cs="Times New Roman"/>
          <w:kern w:val="0"/>
          <w:sz w:val="36"/>
          <w:szCs w:val="36"/>
        </w:rPr>
        <w:t xml:space="preserve">ystem </w:t>
      </w:r>
      <w:r>
        <w:rPr>
          <w:rFonts w:ascii="Times New Roman" w:eastAsia="黑体" w:hAnsi="Times New Roman" w:cs="Times New Roman" w:hint="eastAsia"/>
          <w:kern w:val="0"/>
          <w:sz w:val="36"/>
          <w:szCs w:val="36"/>
        </w:rPr>
        <w:t>b</w:t>
      </w:r>
      <w:r>
        <w:rPr>
          <w:rFonts w:ascii="Times New Roman" w:eastAsia="黑体" w:hAnsi="Times New Roman" w:cs="Times New Roman"/>
          <w:kern w:val="0"/>
          <w:sz w:val="36"/>
          <w:szCs w:val="36"/>
        </w:rPr>
        <w:t xml:space="preserve">ased on DC </w:t>
      </w:r>
      <w:r>
        <w:rPr>
          <w:rFonts w:ascii="Times New Roman" w:eastAsia="黑体" w:hAnsi="Times New Roman" w:cs="Times New Roman" w:hint="eastAsia"/>
          <w:kern w:val="0"/>
          <w:sz w:val="36"/>
          <w:szCs w:val="36"/>
        </w:rPr>
        <w:t>p</w:t>
      </w:r>
      <w:r>
        <w:rPr>
          <w:rFonts w:ascii="Times New Roman" w:eastAsia="黑体" w:hAnsi="Times New Roman" w:cs="Times New Roman"/>
          <w:kern w:val="0"/>
          <w:sz w:val="36"/>
          <w:szCs w:val="36"/>
        </w:rPr>
        <w:t xml:space="preserve">ower </w:t>
      </w:r>
      <w:r>
        <w:rPr>
          <w:rFonts w:ascii="Times New Roman" w:eastAsia="黑体" w:hAnsi="Times New Roman" w:cs="Times New Roman" w:hint="eastAsia"/>
          <w:kern w:val="0"/>
          <w:sz w:val="36"/>
          <w:szCs w:val="36"/>
        </w:rPr>
        <w:t>f</w:t>
      </w:r>
      <w:r>
        <w:rPr>
          <w:rFonts w:ascii="Times New Roman" w:eastAsia="黑体" w:hAnsi="Times New Roman" w:cs="Times New Roman"/>
          <w:kern w:val="0"/>
          <w:sz w:val="36"/>
          <w:szCs w:val="36"/>
        </w:rPr>
        <w:t>low</w:t>
      </w:r>
    </w:p>
    <w:p w14:paraId="465A9B07" w14:textId="5B68FBDB" w:rsidR="001F7B30" w:rsidRDefault="00DA268A" w:rsidP="00376E4F">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Abstract:</w:t>
      </w:r>
      <w:r>
        <w:rPr>
          <w:rFonts w:ascii="Times New Roman" w:eastAsia="宋体" w:hAnsi="Times New Roman" w:cs="Times New Roman"/>
          <w:color w:val="FF0000"/>
          <w:kern w:val="0"/>
          <w:szCs w:val="21"/>
        </w:rPr>
        <w:t xml:space="preserve"> </w:t>
      </w:r>
      <w:r w:rsidR="00211ECB">
        <w:rPr>
          <w:rFonts w:ascii="Times New Roman" w:eastAsia="宋体" w:hAnsi="Times New Roman" w:cs="Times New Roman" w:hint="eastAsia"/>
          <w:kern w:val="0"/>
          <w:szCs w:val="21"/>
        </w:rPr>
        <w:t>A</w:t>
      </w:r>
      <w:r w:rsidR="00211ECB">
        <w:rPr>
          <w:rFonts w:ascii="Times New Roman" w:eastAsia="宋体" w:hAnsi="Times New Roman" w:cs="Times New Roman"/>
          <w:kern w:val="0"/>
          <w:szCs w:val="21"/>
        </w:rPr>
        <w:t xml:space="preserve">s </w:t>
      </w:r>
      <w:r>
        <w:rPr>
          <w:rFonts w:ascii="Times New Roman" w:eastAsia="宋体" w:hAnsi="Times New Roman" w:cs="Times New Roman"/>
          <w:kern w:val="0"/>
          <w:szCs w:val="21"/>
        </w:rPr>
        <w:t>a cr</w:t>
      </w:r>
      <w:r w:rsidR="00522769">
        <w:rPr>
          <w:rFonts w:ascii="Times New Roman" w:eastAsia="宋体" w:hAnsi="Times New Roman" w:cs="Times New Roman" w:hint="eastAsia"/>
          <w:kern w:val="0"/>
          <w:szCs w:val="21"/>
        </w:rPr>
        <w:t>itical</w:t>
      </w:r>
      <w:r>
        <w:rPr>
          <w:rFonts w:ascii="Times New Roman" w:eastAsia="宋体" w:hAnsi="Times New Roman" w:cs="Times New Roman"/>
          <w:kern w:val="0"/>
          <w:szCs w:val="21"/>
        </w:rPr>
        <w:t xml:space="preserve"> component of lifeline infrastructure,</w:t>
      </w:r>
      <w:r w:rsidR="00211ECB">
        <w:rPr>
          <w:rFonts w:ascii="Times New Roman" w:eastAsia="宋体" w:hAnsi="Times New Roman" w:cs="Times New Roman" w:hint="eastAsia"/>
          <w:kern w:val="0"/>
          <w:szCs w:val="21"/>
        </w:rPr>
        <w:t xml:space="preserve"> p</w:t>
      </w:r>
      <w:r w:rsidR="00211ECB">
        <w:rPr>
          <w:rFonts w:ascii="Times New Roman" w:eastAsia="宋体" w:hAnsi="Times New Roman" w:cs="Times New Roman"/>
          <w:kern w:val="0"/>
          <w:szCs w:val="21"/>
        </w:rPr>
        <w:t>ower system</w:t>
      </w:r>
      <w:r>
        <w:rPr>
          <w:rFonts w:ascii="Times New Roman" w:eastAsia="宋体" w:hAnsi="Times New Roman" w:cs="Times New Roman"/>
          <w:kern w:val="0"/>
          <w:szCs w:val="21"/>
        </w:rPr>
        <w:t xml:space="preserve"> </w:t>
      </w:r>
      <w:r w:rsidR="00522769">
        <w:rPr>
          <w:rFonts w:ascii="Times New Roman" w:eastAsia="宋体" w:hAnsi="Times New Roman" w:cs="Times New Roman" w:hint="eastAsia"/>
          <w:kern w:val="0"/>
          <w:szCs w:val="21"/>
        </w:rPr>
        <w:t>is</w:t>
      </w:r>
      <w:r>
        <w:rPr>
          <w:rFonts w:ascii="Times New Roman" w:eastAsia="宋体" w:hAnsi="Times New Roman" w:cs="Times New Roman"/>
          <w:kern w:val="0"/>
          <w:szCs w:val="21"/>
        </w:rPr>
        <w:t xml:space="preserve"> essential for maintaining city function</w:t>
      </w:r>
      <w:r w:rsidR="00522769">
        <w:rPr>
          <w:rFonts w:ascii="Times New Roman" w:eastAsia="宋体" w:hAnsi="Times New Roman" w:cs="Times New Roman" w:hint="eastAsia"/>
          <w:kern w:val="0"/>
          <w:szCs w:val="21"/>
        </w:rPr>
        <w:t>ality</w:t>
      </w:r>
      <w:r>
        <w:rPr>
          <w:rFonts w:ascii="Times New Roman" w:eastAsia="宋体" w:hAnsi="Times New Roman" w:cs="Times New Roman"/>
          <w:kern w:val="0"/>
          <w:szCs w:val="21"/>
        </w:rPr>
        <w:t xml:space="preserve"> and supporting the daily needs of urban populations. </w:t>
      </w:r>
      <w:r w:rsidR="00522769">
        <w:rPr>
          <w:rFonts w:ascii="Times New Roman" w:eastAsia="宋体" w:hAnsi="Times New Roman" w:cs="Times New Roman" w:hint="eastAsia"/>
          <w:kern w:val="0"/>
          <w:szCs w:val="21"/>
        </w:rPr>
        <w:t>It is crucial to accurately assess the post-ear</w:t>
      </w:r>
      <w:r w:rsidR="0071586A">
        <w:rPr>
          <w:rFonts w:ascii="Times New Roman" w:eastAsia="宋体" w:hAnsi="Times New Roman" w:cs="Times New Roman" w:hint="eastAsia"/>
          <w:kern w:val="0"/>
          <w:szCs w:val="21"/>
        </w:rPr>
        <w:t>t</w:t>
      </w:r>
      <w:r w:rsidR="00522769">
        <w:rPr>
          <w:rFonts w:ascii="Times New Roman" w:eastAsia="宋体" w:hAnsi="Times New Roman" w:cs="Times New Roman" w:hint="eastAsia"/>
          <w:kern w:val="0"/>
          <w:szCs w:val="21"/>
        </w:rPr>
        <w:t>hquake</w:t>
      </w:r>
      <w:r>
        <w:rPr>
          <w:rFonts w:ascii="Times New Roman" w:eastAsia="宋体" w:hAnsi="Times New Roman" w:cs="Times New Roman"/>
          <w:kern w:val="0"/>
          <w:szCs w:val="21"/>
        </w:rPr>
        <w:t xml:space="preserve"> functionality</w:t>
      </w:r>
      <w:r w:rsidR="009C438F">
        <w:rPr>
          <w:rFonts w:ascii="Times New Roman" w:eastAsia="宋体" w:hAnsi="Times New Roman" w:cs="Times New Roman" w:hint="eastAsia"/>
          <w:kern w:val="0"/>
          <w:szCs w:val="21"/>
        </w:rPr>
        <w:t xml:space="preserve"> (PEF)</w:t>
      </w:r>
      <w:r w:rsidR="0071586A">
        <w:rPr>
          <w:rFonts w:ascii="Times New Roman" w:eastAsia="宋体" w:hAnsi="Times New Roman" w:cs="Times New Roman" w:hint="eastAsia"/>
          <w:kern w:val="0"/>
          <w:szCs w:val="21"/>
        </w:rPr>
        <w:t xml:space="preserve"> of </w:t>
      </w:r>
      <w:r w:rsidR="00211ECB">
        <w:rPr>
          <w:rFonts w:ascii="Times New Roman" w:eastAsia="宋体" w:hAnsi="Times New Roman" w:cs="Times New Roman" w:hint="eastAsia"/>
          <w:kern w:val="0"/>
          <w:szCs w:val="21"/>
        </w:rPr>
        <w:t>power system</w:t>
      </w:r>
      <w:r>
        <w:rPr>
          <w:rFonts w:ascii="Times New Roman" w:eastAsia="宋体" w:hAnsi="Times New Roman" w:cs="Times New Roman"/>
          <w:kern w:val="0"/>
          <w:szCs w:val="21"/>
        </w:rPr>
        <w:t xml:space="preserve"> </w:t>
      </w:r>
      <w:r w:rsidR="0071586A">
        <w:rPr>
          <w:rFonts w:ascii="Times New Roman" w:eastAsia="宋体" w:hAnsi="Times New Roman" w:cs="Times New Roman" w:hint="eastAsia"/>
          <w:kern w:val="0"/>
          <w:szCs w:val="21"/>
        </w:rPr>
        <w:t xml:space="preserve">due to its great </w:t>
      </w:r>
      <w:r w:rsidR="0071586A" w:rsidRPr="0071586A">
        <w:rPr>
          <w:rFonts w:ascii="Times New Roman" w:eastAsia="宋体" w:hAnsi="Times New Roman" w:cs="Times New Roman"/>
          <w:kern w:val="0"/>
          <w:szCs w:val="21"/>
        </w:rPr>
        <w:t>significance</w:t>
      </w:r>
      <w:r w:rsidR="0071586A">
        <w:rPr>
          <w:rFonts w:ascii="Times New Roman" w:eastAsia="宋体" w:hAnsi="Times New Roman" w:cs="Times New Roman" w:hint="eastAsia"/>
          <w:kern w:val="0"/>
          <w:szCs w:val="21"/>
        </w:rPr>
        <w:t xml:space="preserve"> </w:t>
      </w:r>
      <w:r>
        <w:rPr>
          <w:rFonts w:ascii="Times New Roman" w:eastAsia="宋体" w:hAnsi="Times New Roman" w:cs="Times New Roman"/>
          <w:kern w:val="0"/>
          <w:szCs w:val="21"/>
        </w:rPr>
        <w:t xml:space="preserve">for emergency response, urban recovery, and social stability. </w:t>
      </w:r>
      <w:r w:rsidR="0071586A">
        <w:rPr>
          <w:rFonts w:ascii="Times New Roman" w:eastAsia="宋体" w:hAnsi="Times New Roman" w:cs="Times New Roman"/>
          <w:kern w:val="0"/>
          <w:szCs w:val="21"/>
        </w:rPr>
        <w:t>I</w:t>
      </w:r>
      <w:r w:rsidR="0071586A">
        <w:rPr>
          <w:rFonts w:ascii="Times New Roman" w:eastAsia="宋体" w:hAnsi="Times New Roman" w:cs="Times New Roman" w:hint="eastAsia"/>
          <w:kern w:val="0"/>
          <w:szCs w:val="21"/>
        </w:rPr>
        <w:t xml:space="preserve">n this study, </w:t>
      </w:r>
      <w:r w:rsidR="00211ECB">
        <w:rPr>
          <w:rFonts w:ascii="Times New Roman" w:eastAsia="宋体" w:hAnsi="Times New Roman" w:cs="Times New Roman" w:hint="eastAsia"/>
          <w:kern w:val="0"/>
          <w:szCs w:val="21"/>
        </w:rPr>
        <w:t>the concept of u</w:t>
      </w:r>
      <w:r w:rsidR="00211ECB">
        <w:rPr>
          <w:rFonts w:ascii="Times New Roman" w:eastAsia="宋体" w:hAnsi="Times New Roman" w:cs="Times New Roman"/>
          <w:kern w:val="0"/>
          <w:szCs w:val="21"/>
        </w:rPr>
        <w:t>rban power system</w:t>
      </w:r>
      <w:r w:rsidR="00211ECB">
        <w:rPr>
          <w:rFonts w:ascii="Times New Roman" w:eastAsia="宋体" w:hAnsi="Times New Roman" w:cs="Times New Roman" w:hint="eastAsia"/>
          <w:kern w:val="0"/>
          <w:szCs w:val="21"/>
        </w:rPr>
        <w:t xml:space="preserve"> (UPS) is firstly </w:t>
      </w:r>
      <w:r w:rsidR="00211ECB">
        <w:rPr>
          <w:rFonts w:ascii="Times New Roman" w:eastAsia="宋体" w:hAnsi="Times New Roman" w:cs="Times New Roman"/>
          <w:kern w:val="0"/>
          <w:szCs w:val="21"/>
        </w:rPr>
        <w:t>clarified</w:t>
      </w:r>
      <w:r w:rsidR="00211ECB">
        <w:rPr>
          <w:rFonts w:ascii="Times New Roman" w:eastAsia="宋体" w:hAnsi="Times New Roman" w:cs="Times New Roman" w:hint="eastAsia"/>
          <w:kern w:val="0"/>
          <w:szCs w:val="21"/>
        </w:rPr>
        <w:t>, then a</w:t>
      </w:r>
      <w:r>
        <w:rPr>
          <w:rFonts w:ascii="Times New Roman" w:eastAsia="宋体" w:hAnsi="Times New Roman" w:cs="Times New Roman"/>
          <w:kern w:val="0"/>
          <w:szCs w:val="21"/>
        </w:rPr>
        <w:t xml:space="preserve"> post-earthquake functionality </w:t>
      </w:r>
      <w:r w:rsidR="0071586A">
        <w:rPr>
          <w:rFonts w:ascii="Times New Roman" w:eastAsia="宋体" w:hAnsi="Times New Roman" w:cs="Times New Roman" w:hint="eastAsia"/>
          <w:kern w:val="0"/>
          <w:szCs w:val="21"/>
        </w:rPr>
        <w:t xml:space="preserve">assessment </w:t>
      </w:r>
      <w:r>
        <w:rPr>
          <w:rFonts w:ascii="Times New Roman" w:eastAsia="宋体" w:hAnsi="Times New Roman" w:cs="Times New Roman"/>
          <w:kern w:val="0"/>
          <w:szCs w:val="21"/>
        </w:rPr>
        <w:t xml:space="preserve">framework for </w:t>
      </w:r>
      <w:r w:rsidR="0071586A">
        <w:rPr>
          <w:rFonts w:ascii="Times New Roman" w:eastAsia="宋体" w:hAnsi="Times New Roman" w:cs="Times New Roman" w:hint="eastAsia"/>
          <w:kern w:val="0"/>
          <w:szCs w:val="21"/>
        </w:rPr>
        <w:t xml:space="preserve">UPS is proposed. </w:t>
      </w:r>
      <w:r w:rsidR="0071586A">
        <w:rPr>
          <w:rFonts w:ascii="Times New Roman" w:eastAsia="宋体" w:hAnsi="Times New Roman" w:cs="Times New Roman"/>
          <w:kern w:val="0"/>
          <w:szCs w:val="21"/>
        </w:rPr>
        <w:t>T</w:t>
      </w:r>
      <w:r w:rsidR="0071586A">
        <w:rPr>
          <w:rFonts w:ascii="Times New Roman" w:eastAsia="宋体" w:hAnsi="Times New Roman" w:cs="Times New Roman" w:hint="eastAsia"/>
          <w:kern w:val="0"/>
          <w:szCs w:val="21"/>
        </w:rPr>
        <w:t xml:space="preserve">he framework is based a </w:t>
      </w:r>
      <w:r>
        <w:rPr>
          <w:rFonts w:ascii="Times New Roman" w:eastAsia="宋体" w:hAnsi="Times New Roman" w:cs="Times New Roman"/>
          <w:kern w:val="0"/>
          <w:szCs w:val="21"/>
        </w:rPr>
        <w:t xml:space="preserve">unified topological model, </w:t>
      </w:r>
      <w:r w:rsidR="0071586A">
        <w:rPr>
          <w:rFonts w:ascii="Times New Roman" w:eastAsia="宋体" w:hAnsi="Times New Roman" w:cs="Times New Roman" w:hint="eastAsia"/>
          <w:kern w:val="0"/>
          <w:szCs w:val="21"/>
        </w:rPr>
        <w:t xml:space="preserve">considers </w:t>
      </w:r>
      <w:r w:rsidR="0071586A">
        <w:rPr>
          <w:rFonts w:ascii="Times New Roman" w:eastAsia="宋体" w:hAnsi="Times New Roman" w:cs="Times New Roman"/>
          <w:kern w:val="0"/>
          <w:szCs w:val="21"/>
        </w:rPr>
        <w:t xml:space="preserve">multi-level damage states of </w:t>
      </w:r>
      <w:r w:rsidR="0071586A">
        <w:rPr>
          <w:rFonts w:ascii="Times New Roman" w:eastAsia="宋体" w:hAnsi="Times New Roman" w:cs="Times New Roman" w:hint="eastAsia"/>
          <w:kern w:val="0"/>
          <w:szCs w:val="21"/>
        </w:rPr>
        <w:t xml:space="preserve">different </w:t>
      </w:r>
      <w:r w:rsidR="0071586A">
        <w:rPr>
          <w:rFonts w:ascii="Times New Roman" w:eastAsia="宋体" w:hAnsi="Times New Roman" w:cs="Times New Roman"/>
          <w:kern w:val="0"/>
          <w:szCs w:val="21"/>
        </w:rPr>
        <w:t>electrical facilities</w:t>
      </w:r>
      <w:r w:rsidR="0071586A">
        <w:rPr>
          <w:rFonts w:ascii="Times New Roman" w:eastAsia="宋体" w:hAnsi="Times New Roman" w:cs="Times New Roman" w:hint="eastAsia"/>
          <w:kern w:val="0"/>
          <w:szCs w:val="21"/>
        </w:rPr>
        <w:t xml:space="preserve">, and integrates </w:t>
      </w:r>
      <w:r>
        <w:rPr>
          <w:rFonts w:ascii="Times New Roman" w:eastAsia="宋体" w:hAnsi="Times New Roman" w:cs="Times New Roman"/>
          <w:kern w:val="0"/>
          <w:szCs w:val="21"/>
        </w:rPr>
        <w:t>DC power flow analysis and cascading failure simulation</w:t>
      </w:r>
      <w:r w:rsidR="0071586A">
        <w:rPr>
          <w:rFonts w:ascii="Times New Roman" w:eastAsia="宋体" w:hAnsi="Times New Roman" w:cs="Times New Roman" w:hint="eastAsia"/>
          <w:kern w:val="0"/>
          <w:szCs w:val="21"/>
        </w:rPr>
        <w:t xml:space="preserve"> methods.</w:t>
      </w:r>
      <w:r>
        <w:rPr>
          <w:rFonts w:ascii="Times New Roman" w:eastAsia="宋体" w:hAnsi="Times New Roman" w:cs="Times New Roman"/>
          <w:kern w:val="0"/>
          <w:szCs w:val="21"/>
        </w:rPr>
        <w:t xml:space="preserve"> </w:t>
      </w:r>
      <w:r w:rsidR="00211ECB">
        <w:rPr>
          <w:rFonts w:ascii="Times New Roman" w:eastAsia="宋体" w:hAnsi="Times New Roman" w:cs="Times New Roman" w:hint="eastAsia"/>
          <w:kern w:val="0"/>
          <w:szCs w:val="21"/>
        </w:rPr>
        <w:t xml:space="preserve">The </w:t>
      </w:r>
      <w:r>
        <w:rPr>
          <w:rFonts w:ascii="Times New Roman" w:eastAsia="宋体" w:hAnsi="Times New Roman" w:cs="Times New Roman"/>
          <w:kern w:val="0"/>
          <w:szCs w:val="21"/>
        </w:rPr>
        <w:t xml:space="preserve">Load-Supply Performance Index (LSPI) </w:t>
      </w:r>
      <w:r w:rsidR="00211ECB">
        <w:rPr>
          <w:rFonts w:ascii="Times New Roman" w:eastAsia="宋体" w:hAnsi="Times New Roman" w:cs="Times New Roman" w:hint="eastAsia"/>
          <w:kern w:val="0"/>
          <w:szCs w:val="21"/>
        </w:rPr>
        <w:t xml:space="preserve">is defined </w:t>
      </w:r>
      <w:r>
        <w:rPr>
          <w:rFonts w:ascii="Times New Roman" w:eastAsia="宋体" w:hAnsi="Times New Roman" w:cs="Times New Roman"/>
          <w:kern w:val="0"/>
          <w:szCs w:val="21"/>
        </w:rPr>
        <w:t>to quanti</w:t>
      </w:r>
      <w:r w:rsidR="000C7E36">
        <w:rPr>
          <w:rFonts w:ascii="Times New Roman" w:eastAsia="宋体" w:hAnsi="Times New Roman" w:cs="Times New Roman" w:hint="eastAsia"/>
          <w:kern w:val="0"/>
          <w:szCs w:val="21"/>
        </w:rPr>
        <w:t xml:space="preserve">fy </w:t>
      </w:r>
      <w:r w:rsidR="00211ECB">
        <w:rPr>
          <w:rFonts w:ascii="Times New Roman" w:eastAsia="宋体" w:hAnsi="Times New Roman" w:cs="Times New Roman" w:hint="eastAsia"/>
          <w:kern w:val="0"/>
          <w:szCs w:val="21"/>
        </w:rPr>
        <w:t xml:space="preserve"> the </w:t>
      </w:r>
      <w:r w:rsidR="00211ECB">
        <w:rPr>
          <w:rFonts w:ascii="Times New Roman" w:eastAsia="宋体" w:hAnsi="Times New Roman" w:cs="Times New Roman"/>
          <w:kern w:val="0"/>
          <w:szCs w:val="21"/>
        </w:rPr>
        <w:t>overall functiona</w:t>
      </w:r>
      <w:r w:rsidR="00211ECB">
        <w:rPr>
          <w:rFonts w:ascii="Times New Roman" w:eastAsia="宋体" w:hAnsi="Times New Roman" w:cs="Times New Roman" w:hint="eastAsia"/>
          <w:kern w:val="0"/>
          <w:szCs w:val="21"/>
        </w:rPr>
        <w:t>lity</w:t>
      </w:r>
      <w:r w:rsidR="00211ECB">
        <w:rPr>
          <w:rFonts w:ascii="Times New Roman" w:eastAsia="宋体" w:hAnsi="Times New Roman" w:cs="Times New Roman"/>
          <w:kern w:val="0"/>
          <w:szCs w:val="21"/>
        </w:rPr>
        <w:t xml:space="preserve"> </w:t>
      </w:r>
      <w:r w:rsidR="00211ECB">
        <w:rPr>
          <w:rFonts w:ascii="Times New Roman" w:eastAsia="宋体" w:hAnsi="Times New Roman" w:cs="Times New Roman" w:hint="eastAsia"/>
          <w:kern w:val="0"/>
          <w:szCs w:val="21"/>
        </w:rPr>
        <w:t>of UPS</w:t>
      </w:r>
      <w:r>
        <w:rPr>
          <w:rFonts w:ascii="Times New Roman" w:eastAsia="宋体" w:hAnsi="Times New Roman" w:cs="Times New Roman"/>
          <w:kern w:val="0"/>
          <w:szCs w:val="21"/>
        </w:rPr>
        <w:t>.</w:t>
      </w:r>
      <w:r w:rsidR="00211ECB">
        <w:rPr>
          <w:rFonts w:ascii="Times New Roman" w:eastAsia="宋体" w:hAnsi="Times New Roman" w:cs="Times New Roman" w:hint="eastAsia"/>
          <w:kern w:val="0"/>
          <w:szCs w:val="21"/>
        </w:rPr>
        <w:t xml:space="preserve"> A</w:t>
      </w:r>
      <w:r w:rsidR="00211ECB" w:rsidRPr="00211ECB">
        <w:rPr>
          <w:rFonts w:ascii="Times New Roman" w:eastAsia="宋体" w:hAnsi="Times New Roman" w:cs="Times New Roman"/>
          <w:kern w:val="0"/>
          <w:szCs w:val="21"/>
        </w:rPr>
        <w:t xml:space="preserve"> </w:t>
      </w:r>
      <w:r w:rsidR="00211ECB">
        <w:rPr>
          <w:rFonts w:ascii="Times New Roman" w:eastAsia="宋体" w:hAnsi="Times New Roman" w:cs="Times New Roman"/>
          <w:kern w:val="0"/>
          <w:szCs w:val="21"/>
        </w:rPr>
        <w:t>case study</w:t>
      </w:r>
      <w:r w:rsidR="00211ECB">
        <w:rPr>
          <w:rFonts w:ascii="Times New Roman" w:eastAsia="宋体" w:hAnsi="Times New Roman" w:cs="Times New Roman" w:hint="eastAsia"/>
          <w:kern w:val="0"/>
          <w:szCs w:val="21"/>
        </w:rPr>
        <w:t xml:space="preserve"> on a</w:t>
      </w:r>
      <w:r>
        <w:rPr>
          <w:rFonts w:ascii="Times New Roman" w:eastAsia="宋体" w:hAnsi="Times New Roman" w:cs="Times New Roman"/>
          <w:kern w:val="0"/>
          <w:szCs w:val="21"/>
        </w:rPr>
        <w:t xml:space="preserve"> benchmark city located in southeastern China is </w:t>
      </w:r>
      <w:r w:rsidR="00211ECB">
        <w:rPr>
          <w:rFonts w:ascii="Times New Roman" w:eastAsia="宋体" w:hAnsi="Times New Roman" w:cs="Times New Roman" w:hint="eastAsia"/>
          <w:kern w:val="0"/>
          <w:szCs w:val="21"/>
        </w:rPr>
        <w:t xml:space="preserve">conducted </w:t>
      </w:r>
      <w:r>
        <w:rPr>
          <w:rFonts w:ascii="Times New Roman" w:eastAsia="宋体" w:hAnsi="Times New Roman" w:cs="Times New Roman"/>
          <w:kern w:val="0"/>
          <w:szCs w:val="21"/>
        </w:rPr>
        <w:t xml:space="preserve">to </w:t>
      </w:r>
      <w:r w:rsidR="00211ECB">
        <w:rPr>
          <w:rFonts w:ascii="Times New Roman" w:eastAsia="宋体" w:hAnsi="Times New Roman" w:cs="Times New Roman" w:hint="eastAsia"/>
          <w:kern w:val="0"/>
          <w:szCs w:val="21"/>
        </w:rPr>
        <w:t xml:space="preserve">illustrate the effectiveness of </w:t>
      </w:r>
      <w:r>
        <w:rPr>
          <w:rFonts w:ascii="Times New Roman" w:eastAsia="宋体" w:hAnsi="Times New Roman" w:cs="Times New Roman"/>
          <w:kern w:val="0"/>
          <w:szCs w:val="21"/>
        </w:rPr>
        <w:t xml:space="preserve">the framework. </w:t>
      </w:r>
      <w:r w:rsidR="009C438F">
        <w:rPr>
          <w:rFonts w:ascii="Times New Roman" w:eastAsia="宋体" w:hAnsi="Times New Roman" w:cs="Times New Roman" w:hint="eastAsia"/>
          <w:kern w:val="0"/>
          <w:szCs w:val="21"/>
        </w:rPr>
        <w:t>T</w:t>
      </w:r>
      <w:r w:rsidR="009C438F">
        <w:rPr>
          <w:rFonts w:ascii="Times New Roman" w:eastAsia="宋体" w:hAnsi="Times New Roman" w:cs="Times New Roman"/>
          <w:kern w:val="0"/>
          <w:szCs w:val="21"/>
        </w:rPr>
        <w:t>h</w:t>
      </w:r>
      <w:r w:rsidR="009C438F">
        <w:rPr>
          <w:rFonts w:ascii="Times New Roman" w:eastAsia="宋体" w:hAnsi="Times New Roman" w:cs="Times New Roman" w:hint="eastAsia"/>
          <w:kern w:val="0"/>
          <w:szCs w:val="21"/>
        </w:rPr>
        <w:t>e r</w:t>
      </w:r>
      <w:r>
        <w:rPr>
          <w:rFonts w:ascii="Times New Roman" w:eastAsia="宋体" w:hAnsi="Times New Roman" w:cs="Times New Roman"/>
          <w:kern w:val="0"/>
          <w:szCs w:val="21"/>
        </w:rPr>
        <w:t xml:space="preserve">esults </w:t>
      </w:r>
      <w:r w:rsidR="009C438F">
        <w:rPr>
          <w:rFonts w:ascii="Times New Roman" w:eastAsia="宋体" w:hAnsi="Times New Roman" w:cs="Times New Roman" w:hint="eastAsia"/>
          <w:kern w:val="0"/>
          <w:szCs w:val="21"/>
        </w:rPr>
        <w:t xml:space="preserve">show that </w:t>
      </w:r>
      <w:r>
        <w:rPr>
          <w:rFonts w:ascii="Times New Roman" w:eastAsia="宋体" w:hAnsi="Times New Roman" w:cs="Times New Roman"/>
          <w:kern w:val="0"/>
          <w:szCs w:val="21"/>
        </w:rPr>
        <w:t xml:space="preserve">the average </w:t>
      </w:r>
      <w:r w:rsidR="00183FFA">
        <w:rPr>
          <w:rFonts w:ascii="Times New Roman" w:eastAsia="宋体" w:hAnsi="Times New Roman" w:cs="Times New Roman" w:hint="eastAsia"/>
          <w:kern w:val="0"/>
          <w:szCs w:val="21"/>
        </w:rPr>
        <w:t>LSPI</w:t>
      </w:r>
      <w:r>
        <w:rPr>
          <w:rFonts w:ascii="Times New Roman" w:eastAsia="宋体" w:hAnsi="Times New Roman" w:cs="Times New Roman"/>
          <w:kern w:val="0"/>
          <w:szCs w:val="21"/>
        </w:rPr>
        <w:t xml:space="preserve"> of the </w:t>
      </w:r>
      <w:r w:rsidR="009C438F">
        <w:rPr>
          <w:rFonts w:ascii="Times New Roman" w:eastAsia="宋体" w:hAnsi="Times New Roman" w:cs="Times New Roman" w:hint="eastAsia"/>
          <w:kern w:val="0"/>
          <w:szCs w:val="21"/>
        </w:rPr>
        <w:t>UPS</w:t>
      </w:r>
      <w:r>
        <w:rPr>
          <w:rFonts w:ascii="Times New Roman" w:eastAsia="宋体" w:hAnsi="Times New Roman" w:cs="Times New Roman"/>
          <w:kern w:val="0"/>
          <w:szCs w:val="21"/>
        </w:rPr>
        <w:t xml:space="preserve"> is 46.87</w:t>
      </w:r>
      <w:r w:rsidR="009C438F">
        <w:rPr>
          <w:rFonts w:ascii="Times New Roman" w:eastAsia="宋体" w:hAnsi="Times New Roman" w:cs="Times New Roman"/>
          <w:kern w:val="0"/>
          <w:szCs w:val="21"/>
        </w:rPr>
        <w:t>%</w:t>
      </w:r>
      <w:r w:rsidR="009C438F">
        <w:rPr>
          <w:rFonts w:ascii="Times New Roman" w:eastAsia="宋体" w:hAnsi="Times New Roman" w:cs="Times New Roman" w:hint="eastAsia"/>
          <w:kern w:val="0"/>
          <w:szCs w:val="21"/>
        </w:rPr>
        <w:t>. The area</w:t>
      </w:r>
      <w:r>
        <w:rPr>
          <w:rFonts w:ascii="Times New Roman" w:eastAsia="宋体" w:hAnsi="Times New Roman" w:cs="Times New Roman"/>
          <w:kern w:val="0"/>
          <w:szCs w:val="21"/>
        </w:rPr>
        <w:t xml:space="preserve">s </w:t>
      </w:r>
      <w:r w:rsidR="009C438F">
        <w:rPr>
          <w:rFonts w:ascii="Times New Roman" w:eastAsia="宋体" w:hAnsi="Times New Roman" w:cs="Times New Roman" w:hint="eastAsia"/>
          <w:kern w:val="0"/>
          <w:szCs w:val="21"/>
        </w:rPr>
        <w:t>exhibit l</w:t>
      </w:r>
      <w:r>
        <w:rPr>
          <w:rFonts w:ascii="Times New Roman" w:eastAsia="宋体" w:hAnsi="Times New Roman" w:cs="Times New Roman"/>
          <w:kern w:val="0"/>
          <w:szCs w:val="21"/>
        </w:rPr>
        <w:t xml:space="preserve">ow functionality </w:t>
      </w:r>
      <w:r w:rsidR="009C438F">
        <w:rPr>
          <w:rFonts w:ascii="Times New Roman" w:eastAsia="宋体" w:hAnsi="Times New Roman" w:cs="Times New Roman" w:hint="eastAsia"/>
          <w:kern w:val="0"/>
          <w:szCs w:val="21"/>
        </w:rPr>
        <w:t xml:space="preserve">are </w:t>
      </w:r>
      <w:r>
        <w:rPr>
          <w:rFonts w:ascii="Times New Roman" w:eastAsia="宋体" w:hAnsi="Times New Roman" w:cs="Times New Roman"/>
          <w:kern w:val="0"/>
          <w:szCs w:val="21"/>
        </w:rPr>
        <w:t xml:space="preserve">spatially </w:t>
      </w:r>
      <w:r w:rsidR="009C438F">
        <w:rPr>
          <w:rFonts w:ascii="Times New Roman" w:eastAsia="宋体" w:hAnsi="Times New Roman" w:cs="Times New Roman" w:hint="eastAsia"/>
          <w:kern w:val="0"/>
          <w:szCs w:val="21"/>
        </w:rPr>
        <w:t xml:space="preserve">consistent with </w:t>
      </w:r>
      <w:r w:rsidR="005A42B9">
        <w:rPr>
          <w:rFonts w:ascii="Times New Roman" w:eastAsia="宋体" w:hAnsi="Times New Roman" w:cs="Times New Roman" w:hint="eastAsia"/>
          <w:kern w:val="0"/>
          <w:szCs w:val="21"/>
        </w:rPr>
        <w:t>those areas where severe seismic damage</w:t>
      </w:r>
      <w:r w:rsidR="005A42B9" w:rsidDel="00591F70">
        <w:rPr>
          <w:rFonts w:ascii="Times New Roman" w:eastAsia="宋体" w:hAnsi="Times New Roman" w:cs="Times New Roman" w:hint="eastAsia"/>
          <w:kern w:val="0"/>
          <w:szCs w:val="21"/>
        </w:rPr>
        <w:t xml:space="preserve"> </w:t>
      </w:r>
      <w:r w:rsidR="005A42B9">
        <w:rPr>
          <w:rFonts w:ascii="Times New Roman" w:eastAsia="宋体" w:hAnsi="Times New Roman" w:cs="Times New Roman" w:hint="eastAsia"/>
          <w:kern w:val="0"/>
          <w:szCs w:val="21"/>
        </w:rPr>
        <w:t>occur</w:t>
      </w:r>
      <w:r w:rsidR="00E25E47">
        <w:rPr>
          <w:rFonts w:ascii="Times New Roman" w:eastAsia="宋体" w:hAnsi="Times New Roman" w:cs="Times New Roman" w:hint="eastAsia"/>
          <w:kern w:val="0"/>
          <w:szCs w:val="21"/>
        </w:rPr>
        <w:t>s</w:t>
      </w:r>
      <w:r w:rsidR="005A42B9">
        <w:rPr>
          <w:rFonts w:ascii="Times New Roman" w:eastAsia="宋体" w:hAnsi="Times New Roman" w:cs="Times New Roman" w:hint="eastAsia"/>
          <w:kern w:val="0"/>
          <w:szCs w:val="21"/>
        </w:rPr>
        <w:t>.</w:t>
      </w:r>
      <w:r>
        <w:rPr>
          <w:rFonts w:ascii="Times New Roman" w:eastAsia="宋体" w:hAnsi="Times New Roman" w:cs="Times New Roman"/>
          <w:kern w:val="0"/>
          <w:szCs w:val="21"/>
        </w:rPr>
        <w:t xml:space="preserve"> </w:t>
      </w:r>
      <w:r w:rsidR="009C438F">
        <w:rPr>
          <w:rFonts w:ascii="Times New Roman" w:eastAsia="宋体" w:hAnsi="Times New Roman" w:cs="Times New Roman"/>
          <w:kern w:val="0"/>
          <w:szCs w:val="21"/>
        </w:rPr>
        <w:t>T</w:t>
      </w:r>
      <w:r w:rsidR="009C438F">
        <w:rPr>
          <w:rFonts w:ascii="Times New Roman" w:eastAsia="宋体" w:hAnsi="Times New Roman" w:cs="Times New Roman" w:hint="eastAsia"/>
          <w:kern w:val="0"/>
          <w:szCs w:val="21"/>
        </w:rPr>
        <w:t xml:space="preserve">he PEF of different areas with </w:t>
      </w:r>
      <w:r w:rsidR="009C438F">
        <w:rPr>
          <w:rFonts w:ascii="Times New Roman" w:eastAsia="宋体" w:hAnsi="Times New Roman" w:cs="Times New Roman"/>
          <w:kern w:val="0"/>
          <w:szCs w:val="21"/>
        </w:rPr>
        <w:t>different</w:t>
      </w:r>
      <w:r w:rsidR="009C438F">
        <w:rPr>
          <w:rFonts w:ascii="Times New Roman" w:eastAsia="宋体" w:hAnsi="Times New Roman" w:cs="Times New Roman" w:hint="eastAsia"/>
          <w:kern w:val="0"/>
          <w:szCs w:val="21"/>
        </w:rPr>
        <w:t xml:space="preserve"> </w:t>
      </w:r>
      <w:r>
        <w:rPr>
          <w:rFonts w:ascii="Times New Roman" w:eastAsia="宋体" w:hAnsi="Times New Roman" w:cs="Times New Roman"/>
          <w:kern w:val="0"/>
          <w:szCs w:val="21"/>
        </w:rPr>
        <w:t>land-use types</w:t>
      </w:r>
      <w:r w:rsidR="009C438F">
        <w:rPr>
          <w:rFonts w:ascii="Times New Roman" w:eastAsia="宋体" w:hAnsi="Times New Roman" w:cs="Times New Roman" w:hint="eastAsia"/>
          <w:kern w:val="0"/>
          <w:szCs w:val="21"/>
        </w:rPr>
        <w:t xml:space="preserve"> </w:t>
      </w:r>
      <w:r w:rsidR="009C438F">
        <w:rPr>
          <w:rFonts w:ascii="Times New Roman" w:eastAsia="宋体" w:hAnsi="Times New Roman" w:cs="Times New Roman"/>
          <w:kern w:val="0"/>
          <w:szCs w:val="21"/>
        </w:rPr>
        <w:t>vary</w:t>
      </w:r>
      <w:r w:rsidR="009C438F">
        <w:rPr>
          <w:rFonts w:ascii="Times New Roman" w:eastAsia="宋体" w:hAnsi="Times New Roman" w:cs="Times New Roman" w:hint="eastAsia"/>
          <w:kern w:val="0"/>
          <w:szCs w:val="21"/>
        </w:rPr>
        <w:t xml:space="preserve"> significantly, show patt</w:t>
      </w:r>
      <w:r w:rsidR="000C7E36">
        <w:rPr>
          <w:rFonts w:ascii="Times New Roman" w:eastAsia="宋体" w:hAnsi="Times New Roman" w:cs="Times New Roman" w:hint="eastAsia"/>
          <w:kern w:val="0"/>
          <w:szCs w:val="21"/>
        </w:rPr>
        <w:t>erns of "</w:t>
      </w:r>
      <w:r>
        <w:rPr>
          <w:rFonts w:ascii="Times New Roman" w:eastAsia="宋体" w:hAnsi="Times New Roman" w:cs="Times New Roman"/>
          <w:kern w:val="0"/>
          <w:szCs w:val="21"/>
        </w:rPr>
        <w:t xml:space="preserve">high functionality–high variability" and "moderate functionality–low variability." </w:t>
      </w:r>
      <w:r w:rsidR="009C438F">
        <w:rPr>
          <w:rFonts w:ascii="Times New Roman" w:eastAsia="宋体" w:hAnsi="Times New Roman" w:cs="Times New Roman" w:hint="eastAsia"/>
          <w:kern w:val="0"/>
          <w:szCs w:val="21"/>
        </w:rPr>
        <w:t>T</w:t>
      </w:r>
      <w:r>
        <w:rPr>
          <w:rFonts w:ascii="Times New Roman" w:eastAsia="宋体" w:hAnsi="Times New Roman" w:cs="Times New Roman"/>
          <w:kern w:val="0"/>
          <w:szCs w:val="21"/>
        </w:rPr>
        <w:t xml:space="preserve">he location of the earthquake epicenter </w:t>
      </w:r>
      <w:r w:rsidR="009C438F">
        <w:rPr>
          <w:rFonts w:ascii="Times New Roman" w:eastAsia="宋体" w:hAnsi="Times New Roman" w:cs="Times New Roman" w:hint="eastAsia"/>
          <w:kern w:val="0"/>
          <w:szCs w:val="21"/>
        </w:rPr>
        <w:t xml:space="preserve">has </w:t>
      </w:r>
      <w:r>
        <w:rPr>
          <w:rFonts w:ascii="Times New Roman" w:eastAsia="宋体" w:hAnsi="Times New Roman" w:cs="Times New Roman"/>
          <w:kern w:val="0"/>
          <w:szCs w:val="21"/>
        </w:rPr>
        <w:t>significant influence</w:t>
      </w:r>
      <w:r w:rsidR="009C438F">
        <w:rPr>
          <w:rFonts w:ascii="Times New Roman" w:eastAsia="宋体" w:hAnsi="Times New Roman" w:cs="Times New Roman" w:hint="eastAsia"/>
          <w:kern w:val="0"/>
          <w:szCs w:val="21"/>
        </w:rPr>
        <w:t xml:space="preserve"> on the </w:t>
      </w:r>
      <w:r w:rsidR="000C7E36">
        <w:rPr>
          <w:rFonts w:ascii="Times New Roman" w:eastAsia="宋体" w:hAnsi="Times New Roman" w:cs="Times New Roman" w:hint="eastAsia"/>
          <w:kern w:val="0"/>
          <w:szCs w:val="21"/>
        </w:rPr>
        <w:t xml:space="preserve">distribution of the </w:t>
      </w:r>
      <w:r w:rsidR="009C438F">
        <w:rPr>
          <w:rFonts w:ascii="Times New Roman" w:eastAsia="宋体" w:hAnsi="Times New Roman" w:cs="Times New Roman" w:hint="eastAsia"/>
          <w:kern w:val="0"/>
          <w:szCs w:val="21"/>
        </w:rPr>
        <w:t xml:space="preserve">PEF of the UPS. </w:t>
      </w:r>
      <w:r w:rsidR="009C438F">
        <w:rPr>
          <w:rFonts w:ascii="Times New Roman" w:eastAsia="宋体" w:hAnsi="Times New Roman" w:cs="Times New Roman"/>
          <w:kern w:val="0"/>
          <w:szCs w:val="21"/>
        </w:rPr>
        <w:t>W</w:t>
      </w:r>
      <w:r w:rsidR="009C438F">
        <w:rPr>
          <w:rFonts w:ascii="Times New Roman" w:eastAsia="宋体" w:hAnsi="Times New Roman" w:cs="Times New Roman" w:hint="eastAsia"/>
          <w:kern w:val="0"/>
          <w:szCs w:val="21"/>
        </w:rPr>
        <w:t>hen the earthquake occurs at the west</w:t>
      </w:r>
      <w:r>
        <w:rPr>
          <w:rFonts w:ascii="Times New Roman" w:eastAsia="宋体" w:hAnsi="Times New Roman" w:cs="Times New Roman"/>
          <w:kern w:val="0"/>
          <w:szCs w:val="21"/>
        </w:rPr>
        <w:t>,</w:t>
      </w:r>
      <w:r w:rsidR="009C438F">
        <w:rPr>
          <w:rFonts w:ascii="Times New Roman" w:eastAsia="宋体" w:hAnsi="Times New Roman" w:cs="Times New Roman" w:hint="eastAsia"/>
          <w:kern w:val="0"/>
          <w:szCs w:val="21"/>
        </w:rPr>
        <w:t xml:space="preserve"> north, </w:t>
      </w:r>
      <w:r w:rsidR="000C7E36">
        <w:rPr>
          <w:rFonts w:ascii="Times New Roman" w:eastAsia="宋体" w:hAnsi="Times New Roman" w:cs="Times New Roman" w:hint="eastAsia"/>
          <w:kern w:val="0"/>
          <w:szCs w:val="21"/>
        </w:rPr>
        <w:t>or</w:t>
      </w:r>
      <w:r w:rsidR="009C438F">
        <w:rPr>
          <w:rFonts w:ascii="Times New Roman" w:eastAsia="宋体" w:hAnsi="Times New Roman" w:cs="Times New Roman" w:hint="eastAsia"/>
          <w:kern w:val="0"/>
          <w:szCs w:val="21"/>
        </w:rPr>
        <w:t xml:space="preserve"> northwest</w:t>
      </w:r>
      <w:r w:rsidR="000C7E36">
        <w:rPr>
          <w:rFonts w:ascii="Times New Roman" w:eastAsia="宋体" w:hAnsi="Times New Roman" w:cs="Times New Roman" w:hint="eastAsia"/>
          <w:kern w:val="0"/>
          <w:szCs w:val="21"/>
        </w:rPr>
        <w:t xml:space="preserve"> of the city</w:t>
      </w:r>
      <w:r w:rsidR="009C438F">
        <w:rPr>
          <w:rFonts w:ascii="Times New Roman" w:eastAsia="宋体" w:hAnsi="Times New Roman" w:cs="Times New Roman" w:hint="eastAsia"/>
          <w:kern w:val="0"/>
          <w:szCs w:val="21"/>
        </w:rPr>
        <w:t xml:space="preserve">, </w:t>
      </w:r>
      <w:r w:rsidR="000C7E36">
        <w:rPr>
          <w:rFonts w:ascii="Times New Roman" w:eastAsia="宋体" w:hAnsi="Times New Roman" w:cs="Times New Roman" w:hint="eastAsia"/>
          <w:kern w:val="0"/>
          <w:szCs w:val="21"/>
        </w:rPr>
        <w:t xml:space="preserve">its impact on the PEF of the UPS is </w:t>
      </w:r>
      <w:r>
        <w:rPr>
          <w:rFonts w:ascii="Times New Roman" w:eastAsia="宋体" w:hAnsi="Times New Roman" w:cs="Times New Roman"/>
          <w:kern w:val="0"/>
          <w:szCs w:val="21"/>
        </w:rPr>
        <w:t>severe</w:t>
      </w:r>
      <w:r w:rsidR="000C7E36">
        <w:rPr>
          <w:rFonts w:ascii="Times New Roman" w:eastAsia="宋体" w:hAnsi="Times New Roman" w:cs="Times New Roman" w:hint="eastAsia"/>
          <w:kern w:val="0"/>
          <w:szCs w:val="21"/>
        </w:rPr>
        <w:t>.</w:t>
      </w:r>
      <w:r>
        <w:rPr>
          <w:rFonts w:ascii="Times New Roman" w:eastAsia="宋体" w:hAnsi="Times New Roman" w:cs="Times New Roman"/>
          <w:color w:val="FF0000"/>
          <w:kern w:val="0"/>
          <w:szCs w:val="21"/>
        </w:rPr>
        <w:t xml:space="preserve"> </w:t>
      </w:r>
    </w:p>
    <w:p w14:paraId="1CFA238D" w14:textId="77777777" w:rsidR="001F7B30" w:rsidRDefault="00DA268A">
      <w:pPr>
        <w:widowControl/>
        <w:spacing w:line="240" w:lineRule="atLeast"/>
        <w:rPr>
          <w:rFonts w:ascii="Times New Roman" w:eastAsia="宋体" w:hAnsi="Times New Roman" w:cs="Times New Roman"/>
          <w:i/>
          <w:iCs/>
          <w:kern w:val="0"/>
          <w:szCs w:val="21"/>
        </w:rPr>
      </w:pPr>
      <w:r>
        <w:rPr>
          <w:rFonts w:ascii="Times New Roman" w:eastAsia="宋体" w:hAnsi="Times New Roman" w:cs="Times New Roman"/>
          <w:b/>
          <w:bCs/>
          <w:kern w:val="0"/>
          <w:szCs w:val="21"/>
        </w:rPr>
        <w:t>Key words:</w:t>
      </w:r>
      <w:r>
        <w:rPr>
          <w:rFonts w:ascii="Times New Roman" w:eastAsia="宋体" w:hAnsi="Times New Roman" w:cs="Times New Roman"/>
          <w:kern w:val="0"/>
          <w:szCs w:val="21"/>
        </w:rPr>
        <w:t xml:space="preserve"> urban power system; post-earthquake functionality assessment; topological network; power flow analysis; cascading failure</w:t>
      </w:r>
    </w:p>
    <w:p w14:paraId="4332A10E" w14:textId="77777777" w:rsidR="001F7B30" w:rsidRDefault="001F7B30">
      <w:pPr>
        <w:widowControl/>
        <w:jc w:val="left"/>
        <w:rPr>
          <w:rFonts w:ascii="Times New Roman" w:eastAsia="宋体" w:hAnsi="Times New Roman" w:cs="Times New Roman"/>
          <w:i/>
          <w:iCs/>
          <w:kern w:val="0"/>
          <w:szCs w:val="21"/>
        </w:rPr>
      </w:pPr>
    </w:p>
    <w:sectPr w:rsidR="001F7B30">
      <w:type w:val="continuous"/>
      <w:pgSz w:w="11906" w:h="16838"/>
      <w:pgMar w:top="1985" w:right="1021" w:bottom="1021" w:left="1021" w:header="851" w:footer="992"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1B96D9" w14:textId="77777777" w:rsidR="001267C1" w:rsidRDefault="001267C1">
      <w:r>
        <w:separator/>
      </w:r>
    </w:p>
  </w:endnote>
  <w:endnote w:type="continuationSeparator" w:id="0">
    <w:p w14:paraId="425E3FC2" w14:textId="77777777" w:rsidR="001267C1" w:rsidRDefault="001267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DE74E" w14:textId="77777777" w:rsidR="001F7B30" w:rsidRDefault="001F7B30">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59C081" w14:textId="77777777" w:rsidR="001267C1" w:rsidRDefault="001267C1">
      <w:r>
        <w:separator/>
      </w:r>
    </w:p>
  </w:footnote>
  <w:footnote w:type="continuationSeparator" w:id="0">
    <w:p w14:paraId="5A8EB2FB" w14:textId="77777777" w:rsidR="001267C1" w:rsidRDefault="001267C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C50F50"/>
    <w:multiLevelType w:val="multilevel"/>
    <w:tmpl w:val="22C50F50"/>
    <w:lvl w:ilvl="0">
      <w:start w:val="1"/>
      <w:numFmt w:val="decimal"/>
      <w:lvlText w:val="表%1"/>
      <w:lvlJc w:val="left"/>
      <w:pPr>
        <w:ind w:left="880" w:hanging="440"/>
      </w:pPr>
      <w:rPr>
        <w:rFonts w:ascii="Times New Roman" w:eastAsia="宋体" w:hAnsi="Times New Roman" w:hint="default"/>
        <w:sz w:val="21"/>
        <w:szCs w:val="21"/>
        <w:lang w:val="en-US"/>
      </w:rPr>
    </w:lvl>
    <w:lvl w:ilvl="1">
      <w:start w:val="1"/>
      <w:numFmt w:val="lowerLetter"/>
      <w:lvlText w:val="%2)"/>
      <w:lvlJc w:val="left"/>
      <w:pPr>
        <w:ind w:left="1320" w:hanging="440"/>
      </w:pPr>
    </w:lvl>
    <w:lvl w:ilvl="2">
      <w:start w:val="1"/>
      <w:numFmt w:val="lowerRoman"/>
      <w:lvlText w:val="%3."/>
      <w:lvlJc w:val="right"/>
      <w:pPr>
        <w:ind w:left="1760" w:hanging="440"/>
      </w:pPr>
    </w:lvl>
    <w:lvl w:ilvl="3">
      <w:start w:val="1"/>
      <w:numFmt w:val="decimal"/>
      <w:lvlText w:val="%4."/>
      <w:lvlJc w:val="left"/>
      <w:pPr>
        <w:ind w:left="2200" w:hanging="440"/>
      </w:pPr>
    </w:lvl>
    <w:lvl w:ilvl="4">
      <w:start w:val="1"/>
      <w:numFmt w:val="lowerLetter"/>
      <w:lvlText w:val="%5)"/>
      <w:lvlJc w:val="left"/>
      <w:pPr>
        <w:ind w:left="2640" w:hanging="440"/>
      </w:pPr>
    </w:lvl>
    <w:lvl w:ilvl="5">
      <w:start w:val="1"/>
      <w:numFmt w:val="lowerRoman"/>
      <w:lvlText w:val="%6."/>
      <w:lvlJc w:val="right"/>
      <w:pPr>
        <w:ind w:left="3080" w:hanging="440"/>
      </w:pPr>
    </w:lvl>
    <w:lvl w:ilvl="6">
      <w:start w:val="1"/>
      <w:numFmt w:val="decimal"/>
      <w:lvlText w:val="%7."/>
      <w:lvlJc w:val="left"/>
      <w:pPr>
        <w:ind w:left="3520" w:hanging="440"/>
      </w:pPr>
    </w:lvl>
    <w:lvl w:ilvl="7">
      <w:start w:val="1"/>
      <w:numFmt w:val="lowerLetter"/>
      <w:lvlText w:val="%8)"/>
      <w:lvlJc w:val="left"/>
      <w:pPr>
        <w:ind w:left="3960" w:hanging="440"/>
      </w:pPr>
    </w:lvl>
    <w:lvl w:ilvl="8">
      <w:start w:val="1"/>
      <w:numFmt w:val="lowerRoman"/>
      <w:lvlText w:val="%9."/>
      <w:lvlJc w:val="right"/>
      <w:pPr>
        <w:ind w:left="4400" w:hanging="440"/>
      </w:pPr>
    </w:lvl>
  </w:abstractNum>
  <w:abstractNum w:abstractNumId="1" w15:restartNumberingAfterBreak="0">
    <w:nsid w:val="3FA435C7"/>
    <w:multiLevelType w:val="multilevel"/>
    <w:tmpl w:val="3FA435C7"/>
    <w:lvl w:ilvl="0">
      <w:start w:val="1"/>
      <w:numFmt w:val="decimal"/>
      <w:pStyle w:val="a"/>
      <w:lvlText w:val="[%1]"/>
      <w:lvlJc w:val="left"/>
      <w:pPr>
        <w:ind w:left="440" w:hanging="440"/>
      </w:pPr>
      <w:rPr>
        <w:rFonts w:ascii="Times New Roman" w:eastAsia="宋体" w:hAnsi="Times New Roman" w:hint="default"/>
        <w:sz w:val="19"/>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2" w15:restartNumberingAfterBreak="0">
    <w:nsid w:val="458257B0"/>
    <w:multiLevelType w:val="multilevel"/>
    <w:tmpl w:val="458257B0"/>
    <w:lvl w:ilvl="0">
      <w:start w:val="2"/>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 w15:restartNumberingAfterBreak="0">
    <w:nsid w:val="4F1342C8"/>
    <w:multiLevelType w:val="multilevel"/>
    <w:tmpl w:val="4F1342C8"/>
    <w:lvl w:ilvl="0">
      <w:start w:val="1"/>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4" w15:restartNumberingAfterBreak="0">
    <w:nsid w:val="73BE1329"/>
    <w:multiLevelType w:val="multilevel"/>
    <w:tmpl w:val="73BE1329"/>
    <w:lvl w:ilvl="0">
      <w:start w:val="1"/>
      <w:numFmt w:val="decimal"/>
      <w:lvlText w:val="图%1"/>
      <w:lvlJc w:val="left"/>
      <w:pPr>
        <w:ind w:left="440" w:hanging="440"/>
      </w:pPr>
      <w:rPr>
        <w:rFonts w:ascii="Times New Roman" w:eastAsia="宋体" w:hAnsi="Times New Roman" w:hint="default"/>
        <w:sz w:val="21"/>
        <w:szCs w:val="21"/>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16cid:durableId="1628200174">
    <w:abstractNumId w:val="1"/>
  </w:num>
  <w:num w:numId="2" w16cid:durableId="460802932">
    <w:abstractNumId w:val="4"/>
  </w:num>
  <w:num w:numId="3" w16cid:durableId="673411846">
    <w:abstractNumId w:val="0"/>
  </w:num>
  <w:num w:numId="4" w16cid:durableId="805702528">
    <w:abstractNumId w:val="3"/>
  </w:num>
  <w:num w:numId="5" w16cid:durableId="1145388790">
    <w:abstractNumId w:val="2"/>
  </w:num>
  <w:num w:numId="6" w16cid:durableId="19629513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A1C"/>
    <w:rsid w:val="000002E6"/>
    <w:rsid w:val="0000083C"/>
    <w:rsid w:val="00000AB7"/>
    <w:rsid w:val="00001B86"/>
    <w:rsid w:val="0000271F"/>
    <w:rsid w:val="00002C94"/>
    <w:rsid w:val="00003725"/>
    <w:rsid w:val="00004BA1"/>
    <w:rsid w:val="00005175"/>
    <w:rsid w:val="00005337"/>
    <w:rsid w:val="0000547A"/>
    <w:rsid w:val="00006828"/>
    <w:rsid w:val="00007AB2"/>
    <w:rsid w:val="00011004"/>
    <w:rsid w:val="0001139B"/>
    <w:rsid w:val="000138B7"/>
    <w:rsid w:val="00013CC2"/>
    <w:rsid w:val="00013FF0"/>
    <w:rsid w:val="000143A4"/>
    <w:rsid w:val="00014C77"/>
    <w:rsid w:val="00015AAC"/>
    <w:rsid w:val="0001643B"/>
    <w:rsid w:val="0001703D"/>
    <w:rsid w:val="00017248"/>
    <w:rsid w:val="00017E1F"/>
    <w:rsid w:val="00020384"/>
    <w:rsid w:val="000223B1"/>
    <w:rsid w:val="00022AA4"/>
    <w:rsid w:val="00022DBE"/>
    <w:rsid w:val="00023CC6"/>
    <w:rsid w:val="000253B3"/>
    <w:rsid w:val="0002586E"/>
    <w:rsid w:val="000262B9"/>
    <w:rsid w:val="0002651B"/>
    <w:rsid w:val="0002671F"/>
    <w:rsid w:val="00027368"/>
    <w:rsid w:val="00030DEA"/>
    <w:rsid w:val="000314FB"/>
    <w:rsid w:val="000319F0"/>
    <w:rsid w:val="00031C2B"/>
    <w:rsid w:val="000333BF"/>
    <w:rsid w:val="00033C48"/>
    <w:rsid w:val="00033EC0"/>
    <w:rsid w:val="00034371"/>
    <w:rsid w:val="000346DE"/>
    <w:rsid w:val="00037053"/>
    <w:rsid w:val="0004055E"/>
    <w:rsid w:val="00042E2E"/>
    <w:rsid w:val="00043085"/>
    <w:rsid w:val="00044052"/>
    <w:rsid w:val="0004423E"/>
    <w:rsid w:val="00044CAE"/>
    <w:rsid w:val="00045048"/>
    <w:rsid w:val="00045A19"/>
    <w:rsid w:val="00046640"/>
    <w:rsid w:val="00046DA0"/>
    <w:rsid w:val="0004742F"/>
    <w:rsid w:val="00047FA4"/>
    <w:rsid w:val="00050611"/>
    <w:rsid w:val="000519C5"/>
    <w:rsid w:val="00051C3F"/>
    <w:rsid w:val="00051E6C"/>
    <w:rsid w:val="00052DBC"/>
    <w:rsid w:val="00052FBB"/>
    <w:rsid w:val="00053473"/>
    <w:rsid w:val="000540F0"/>
    <w:rsid w:val="00054806"/>
    <w:rsid w:val="000560A4"/>
    <w:rsid w:val="00056359"/>
    <w:rsid w:val="00056B93"/>
    <w:rsid w:val="00056FD2"/>
    <w:rsid w:val="00057635"/>
    <w:rsid w:val="00057A43"/>
    <w:rsid w:val="00060CAF"/>
    <w:rsid w:val="00060E1B"/>
    <w:rsid w:val="00060F96"/>
    <w:rsid w:val="0006237A"/>
    <w:rsid w:val="00062519"/>
    <w:rsid w:val="00063116"/>
    <w:rsid w:val="0006371E"/>
    <w:rsid w:val="0006377C"/>
    <w:rsid w:val="0006500E"/>
    <w:rsid w:val="0006521C"/>
    <w:rsid w:val="000659AD"/>
    <w:rsid w:val="00065A21"/>
    <w:rsid w:val="00066624"/>
    <w:rsid w:val="00066CEE"/>
    <w:rsid w:val="00067B7F"/>
    <w:rsid w:val="0007064A"/>
    <w:rsid w:val="00070D1C"/>
    <w:rsid w:val="0007197C"/>
    <w:rsid w:val="000729C3"/>
    <w:rsid w:val="00073F3E"/>
    <w:rsid w:val="000746F2"/>
    <w:rsid w:val="00074C65"/>
    <w:rsid w:val="000753D1"/>
    <w:rsid w:val="00075AFD"/>
    <w:rsid w:val="00075D39"/>
    <w:rsid w:val="00076286"/>
    <w:rsid w:val="000762CF"/>
    <w:rsid w:val="000763CA"/>
    <w:rsid w:val="0007652D"/>
    <w:rsid w:val="00077012"/>
    <w:rsid w:val="0008007F"/>
    <w:rsid w:val="000806D4"/>
    <w:rsid w:val="00080D69"/>
    <w:rsid w:val="000811ED"/>
    <w:rsid w:val="00081617"/>
    <w:rsid w:val="00081EE6"/>
    <w:rsid w:val="00082070"/>
    <w:rsid w:val="000824E8"/>
    <w:rsid w:val="00082728"/>
    <w:rsid w:val="00083024"/>
    <w:rsid w:val="00083C1D"/>
    <w:rsid w:val="00083D79"/>
    <w:rsid w:val="0008498A"/>
    <w:rsid w:val="00085171"/>
    <w:rsid w:val="000857F3"/>
    <w:rsid w:val="00086652"/>
    <w:rsid w:val="000872EA"/>
    <w:rsid w:val="0008733F"/>
    <w:rsid w:val="00087704"/>
    <w:rsid w:val="000911AE"/>
    <w:rsid w:val="000913F4"/>
    <w:rsid w:val="00092542"/>
    <w:rsid w:val="00092E28"/>
    <w:rsid w:val="0009312D"/>
    <w:rsid w:val="00093176"/>
    <w:rsid w:val="00093671"/>
    <w:rsid w:val="00093910"/>
    <w:rsid w:val="000946A2"/>
    <w:rsid w:val="0009519C"/>
    <w:rsid w:val="00095841"/>
    <w:rsid w:val="00095A2E"/>
    <w:rsid w:val="00097FE2"/>
    <w:rsid w:val="000A0377"/>
    <w:rsid w:val="000A0EE6"/>
    <w:rsid w:val="000A1268"/>
    <w:rsid w:val="000A1E30"/>
    <w:rsid w:val="000A224F"/>
    <w:rsid w:val="000A2429"/>
    <w:rsid w:val="000A2CFC"/>
    <w:rsid w:val="000A36FC"/>
    <w:rsid w:val="000A3FE7"/>
    <w:rsid w:val="000A532D"/>
    <w:rsid w:val="000A54F1"/>
    <w:rsid w:val="000A5C19"/>
    <w:rsid w:val="000A639B"/>
    <w:rsid w:val="000A6A23"/>
    <w:rsid w:val="000A6F86"/>
    <w:rsid w:val="000A7661"/>
    <w:rsid w:val="000B0527"/>
    <w:rsid w:val="000B0AFC"/>
    <w:rsid w:val="000B1666"/>
    <w:rsid w:val="000B1FF5"/>
    <w:rsid w:val="000B3C05"/>
    <w:rsid w:val="000B3C58"/>
    <w:rsid w:val="000B3CAB"/>
    <w:rsid w:val="000B3D9D"/>
    <w:rsid w:val="000B4A75"/>
    <w:rsid w:val="000B4ADB"/>
    <w:rsid w:val="000B6A18"/>
    <w:rsid w:val="000B6BEE"/>
    <w:rsid w:val="000B6EEE"/>
    <w:rsid w:val="000C22DB"/>
    <w:rsid w:val="000C2F62"/>
    <w:rsid w:val="000C3FCF"/>
    <w:rsid w:val="000C4D94"/>
    <w:rsid w:val="000C5FC1"/>
    <w:rsid w:val="000C602C"/>
    <w:rsid w:val="000C629C"/>
    <w:rsid w:val="000C6D9C"/>
    <w:rsid w:val="000C7E36"/>
    <w:rsid w:val="000D0C0C"/>
    <w:rsid w:val="000D13EE"/>
    <w:rsid w:val="000D30B7"/>
    <w:rsid w:val="000D4FB5"/>
    <w:rsid w:val="000D5610"/>
    <w:rsid w:val="000D5A8C"/>
    <w:rsid w:val="000D5F6A"/>
    <w:rsid w:val="000D5FF7"/>
    <w:rsid w:val="000D64BB"/>
    <w:rsid w:val="000D686D"/>
    <w:rsid w:val="000D7285"/>
    <w:rsid w:val="000D7CE3"/>
    <w:rsid w:val="000E0021"/>
    <w:rsid w:val="000E0285"/>
    <w:rsid w:val="000E0870"/>
    <w:rsid w:val="000E0CF6"/>
    <w:rsid w:val="000E20C6"/>
    <w:rsid w:val="000E328D"/>
    <w:rsid w:val="000E449A"/>
    <w:rsid w:val="000E44D9"/>
    <w:rsid w:val="000E4CC2"/>
    <w:rsid w:val="000E5FF3"/>
    <w:rsid w:val="000E6861"/>
    <w:rsid w:val="000E6B3B"/>
    <w:rsid w:val="000E6C61"/>
    <w:rsid w:val="000E6DDB"/>
    <w:rsid w:val="000E7355"/>
    <w:rsid w:val="000E7B28"/>
    <w:rsid w:val="000F1BE5"/>
    <w:rsid w:val="000F2547"/>
    <w:rsid w:val="000F37D8"/>
    <w:rsid w:val="000F37F4"/>
    <w:rsid w:val="000F439F"/>
    <w:rsid w:val="000F668B"/>
    <w:rsid w:val="000F6B38"/>
    <w:rsid w:val="000F7504"/>
    <w:rsid w:val="000F76F4"/>
    <w:rsid w:val="001003C5"/>
    <w:rsid w:val="00100511"/>
    <w:rsid w:val="00100BA7"/>
    <w:rsid w:val="00101090"/>
    <w:rsid w:val="0010118C"/>
    <w:rsid w:val="001015AA"/>
    <w:rsid w:val="00101613"/>
    <w:rsid w:val="0010383D"/>
    <w:rsid w:val="001038AF"/>
    <w:rsid w:val="00104B9C"/>
    <w:rsid w:val="00106832"/>
    <w:rsid w:val="001068D3"/>
    <w:rsid w:val="00106CA5"/>
    <w:rsid w:val="00106FB3"/>
    <w:rsid w:val="00110359"/>
    <w:rsid w:val="0011051E"/>
    <w:rsid w:val="00110DC0"/>
    <w:rsid w:val="00111C04"/>
    <w:rsid w:val="00112A14"/>
    <w:rsid w:val="001138C7"/>
    <w:rsid w:val="00114388"/>
    <w:rsid w:val="00115354"/>
    <w:rsid w:val="001157C6"/>
    <w:rsid w:val="001160F3"/>
    <w:rsid w:val="00117154"/>
    <w:rsid w:val="0011773E"/>
    <w:rsid w:val="001211EC"/>
    <w:rsid w:val="0012126D"/>
    <w:rsid w:val="0012152F"/>
    <w:rsid w:val="00122298"/>
    <w:rsid w:val="00122949"/>
    <w:rsid w:val="00122D47"/>
    <w:rsid w:val="001234E0"/>
    <w:rsid w:val="00123BD4"/>
    <w:rsid w:val="00124C93"/>
    <w:rsid w:val="001254A9"/>
    <w:rsid w:val="001256A6"/>
    <w:rsid w:val="00125711"/>
    <w:rsid w:val="001263F0"/>
    <w:rsid w:val="001266CD"/>
    <w:rsid w:val="001267C1"/>
    <w:rsid w:val="001269D1"/>
    <w:rsid w:val="00127406"/>
    <w:rsid w:val="00130323"/>
    <w:rsid w:val="00130DD3"/>
    <w:rsid w:val="0013150F"/>
    <w:rsid w:val="001315D5"/>
    <w:rsid w:val="001322E7"/>
    <w:rsid w:val="001324CD"/>
    <w:rsid w:val="00133612"/>
    <w:rsid w:val="00133673"/>
    <w:rsid w:val="0013403A"/>
    <w:rsid w:val="001344D4"/>
    <w:rsid w:val="00135376"/>
    <w:rsid w:val="00135EC0"/>
    <w:rsid w:val="001363E4"/>
    <w:rsid w:val="001370D7"/>
    <w:rsid w:val="0013758D"/>
    <w:rsid w:val="00140E9F"/>
    <w:rsid w:val="00141BE1"/>
    <w:rsid w:val="00142225"/>
    <w:rsid w:val="00142282"/>
    <w:rsid w:val="001427F9"/>
    <w:rsid w:val="00142CBB"/>
    <w:rsid w:val="0014360D"/>
    <w:rsid w:val="00145A7C"/>
    <w:rsid w:val="00145AE5"/>
    <w:rsid w:val="00150AD7"/>
    <w:rsid w:val="00150D52"/>
    <w:rsid w:val="00150EE3"/>
    <w:rsid w:val="00150F20"/>
    <w:rsid w:val="00151434"/>
    <w:rsid w:val="00151730"/>
    <w:rsid w:val="001525E9"/>
    <w:rsid w:val="0015261F"/>
    <w:rsid w:val="00152B5E"/>
    <w:rsid w:val="00153BCF"/>
    <w:rsid w:val="00153FE1"/>
    <w:rsid w:val="00155443"/>
    <w:rsid w:val="00155BE9"/>
    <w:rsid w:val="00155D1C"/>
    <w:rsid w:val="00155F8A"/>
    <w:rsid w:val="001612F1"/>
    <w:rsid w:val="00161C5D"/>
    <w:rsid w:val="0016207C"/>
    <w:rsid w:val="00162270"/>
    <w:rsid w:val="00162401"/>
    <w:rsid w:val="00162E79"/>
    <w:rsid w:val="00163BF1"/>
    <w:rsid w:val="001644A8"/>
    <w:rsid w:val="001647C5"/>
    <w:rsid w:val="0016502E"/>
    <w:rsid w:val="001654A8"/>
    <w:rsid w:val="0016625B"/>
    <w:rsid w:val="0016631F"/>
    <w:rsid w:val="0016656F"/>
    <w:rsid w:val="001668DB"/>
    <w:rsid w:val="00167041"/>
    <w:rsid w:val="001674B7"/>
    <w:rsid w:val="001700AD"/>
    <w:rsid w:val="00170A18"/>
    <w:rsid w:val="0017113E"/>
    <w:rsid w:val="001711FF"/>
    <w:rsid w:val="001712F9"/>
    <w:rsid w:val="001724F6"/>
    <w:rsid w:val="00172DB1"/>
    <w:rsid w:val="0017356E"/>
    <w:rsid w:val="00173B6C"/>
    <w:rsid w:val="00174163"/>
    <w:rsid w:val="00174215"/>
    <w:rsid w:val="001745FE"/>
    <w:rsid w:val="001746B5"/>
    <w:rsid w:val="001749A8"/>
    <w:rsid w:val="00177368"/>
    <w:rsid w:val="00177F8C"/>
    <w:rsid w:val="001808DA"/>
    <w:rsid w:val="00181482"/>
    <w:rsid w:val="00181A00"/>
    <w:rsid w:val="001821E1"/>
    <w:rsid w:val="001837A4"/>
    <w:rsid w:val="00183C4C"/>
    <w:rsid w:val="00183FFA"/>
    <w:rsid w:val="001845A6"/>
    <w:rsid w:val="00185032"/>
    <w:rsid w:val="0018668C"/>
    <w:rsid w:val="00186C21"/>
    <w:rsid w:val="00187361"/>
    <w:rsid w:val="00190575"/>
    <w:rsid w:val="00192F14"/>
    <w:rsid w:val="001949AF"/>
    <w:rsid w:val="00194C25"/>
    <w:rsid w:val="00195D53"/>
    <w:rsid w:val="00195F65"/>
    <w:rsid w:val="001969AD"/>
    <w:rsid w:val="00197F40"/>
    <w:rsid w:val="001A064E"/>
    <w:rsid w:val="001A0A63"/>
    <w:rsid w:val="001A1944"/>
    <w:rsid w:val="001A2515"/>
    <w:rsid w:val="001A3332"/>
    <w:rsid w:val="001A39D4"/>
    <w:rsid w:val="001A3B52"/>
    <w:rsid w:val="001A426F"/>
    <w:rsid w:val="001A50AA"/>
    <w:rsid w:val="001A5326"/>
    <w:rsid w:val="001A5417"/>
    <w:rsid w:val="001A57FB"/>
    <w:rsid w:val="001A767C"/>
    <w:rsid w:val="001B0B63"/>
    <w:rsid w:val="001B0BCE"/>
    <w:rsid w:val="001B2145"/>
    <w:rsid w:val="001B291A"/>
    <w:rsid w:val="001B428E"/>
    <w:rsid w:val="001B4CA7"/>
    <w:rsid w:val="001B4F44"/>
    <w:rsid w:val="001B5752"/>
    <w:rsid w:val="001B60DD"/>
    <w:rsid w:val="001B6307"/>
    <w:rsid w:val="001C0352"/>
    <w:rsid w:val="001C0439"/>
    <w:rsid w:val="001C06EF"/>
    <w:rsid w:val="001C0A56"/>
    <w:rsid w:val="001C0AB7"/>
    <w:rsid w:val="001C0EA0"/>
    <w:rsid w:val="001C1282"/>
    <w:rsid w:val="001C18DA"/>
    <w:rsid w:val="001C2784"/>
    <w:rsid w:val="001C2CCA"/>
    <w:rsid w:val="001C32FE"/>
    <w:rsid w:val="001C334C"/>
    <w:rsid w:val="001C35A9"/>
    <w:rsid w:val="001C391E"/>
    <w:rsid w:val="001C45C8"/>
    <w:rsid w:val="001C507B"/>
    <w:rsid w:val="001C575A"/>
    <w:rsid w:val="001C6B26"/>
    <w:rsid w:val="001C6F34"/>
    <w:rsid w:val="001C7497"/>
    <w:rsid w:val="001C772A"/>
    <w:rsid w:val="001C774A"/>
    <w:rsid w:val="001D02B0"/>
    <w:rsid w:val="001D28EF"/>
    <w:rsid w:val="001D29BA"/>
    <w:rsid w:val="001D309B"/>
    <w:rsid w:val="001D339E"/>
    <w:rsid w:val="001D5DDF"/>
    <w:rsid w:val="001D6B41"/>
    <w:rsid w:val="001D6B7C"/>
    <w:rsid w:val="001E0140"/>
    <w:rsid w:val="001E0412"/>
    <w:rsid w:val="001E0E69"/>
    <w:rsid w:val="001E213C"/>
    <w:rsid w:val="001E276F"/>
    <w:rsid w:val="001E2BDD"/>
    <w:rsid w:val="001E3325"/>
    <w:rsid w:val="001E446E"/>
    <w:rsid w:val="001E4DD2"/>
    <w:rsid w:val="001E763C"/>
    <w:rsid w:val="001E7C80"/>
    <w:rsid w:val="001E7F52"/>
    <w:rsid w:val="001F0049"/>
    <w:rsid w:val="001F12CD"/>
    <w:rsid w:val="001F3B34"/>
    <w:rsid w:val="001F44D4"/>
    <w:rsid w:val="001F5299"/>
    <w:rsid w:val="001F5BFF"/>
    <w:rsid w:val="001F6057"/>
    <w:rsid w:val="001F7800"/>
    <w:rsid w:val="001F7A8E"/>
    <w:rsid w:val="001F7B30"/>
    <w:rsid w:val="002004D5"/>
    <w:rsid w:val="0020126D"/>
    <w:rsid w:val="00201884"/>
    <w:rsid w:val="00201CC9"/>
    <w:rsid w:val="0020289E"/>
    <w:rsid w:val="00202B66"/>
    <w:rsid w:val="00203B2F"/>
    <w:rsid w:val="00203DC6"/>
    <w:rsid w:val="00203E58"/>
    <w:rsid w:val="00205E03"/>
    <w:rsid w:val="00206D17"/>
    <w:rsid w:val="0020747F"/>
    <w:rsid w:val="00210570"/>
    <w:rsid w:val="0021104B"/>
    <w:rsid w:val="00211992"/>
    <w:rsid w:val="00211ECB"/>
    <w:rsid w:val="00212172"/>
    <w:rsid w:val="00212192"/>
    <w:rsid w:val="00212404"/>
    <w:rsid w:val="00213A45"/>
    <w:rsid w:val="00213CFA"/>
    <w:rsid w:val="00215BC3"/>
    <w:rsid w:val="0021624A"/>
    <w:rsid w:val="00217501"/>
    <w:rsid w:val="0021757D"/>
    <w:rsid w:val="002176BD"/>
    <w:rsid w:val="0022055A"/>
    <w:rsid w:val="00220E7E"/>
    <w:rsid w:val="00220F62"/>
    <w:rsid w:val="00221CAA"/>
    <w:rsid w:val="002240AD"/>
    <w:rsid w:val="0022418B"/>
    <w:rsid w:val="00224E92"/>
    <w:rsid w:val="00225D5E"/>
    <w:rsid w:val="0022621F"/>
    <w:rsid w:val="00226EE4"/>
    <w:rsid w:val="002312F2"/>
    <w:rsid w:val="002317DA"/>
    <w:rsid w:val="00231EA4"/>
    <w:rsid w:val="0023280B"/>
    <w:rsid w:val="0023424C"/>
    <w:rsid w:val="00234B98"/>
    <w:rsid w:val="002354D2"/>
    <w:rsid w:val="00237B85"/>
    <w:rsid w:val="00237E2D"/>
    <w:rsid w:val="00240DFC"/>
    <w:rsid w:val="00240F51"/>
    <w:rsid w:val="002411E0"/>
    <w:rsid w:val="00241763"/>
    <w:rsid w:val="00242070"/>
    <w:rsid w:val="00242087"/>
    <w:rsid w:val="00242232"/>
    <w:rsid w:val="00243B0D"/>
    <w:rsid w:val="00243F08"/>
    <w:rsid w:val="00244134"/>
    <w:rsid w:val="00244CE7"/>
    <w:rsid w:val="002453EE"/>
    <w:rsid w:val="00245736"/>
    <w:rsid w:val="0024595C"/>
    <w:rsid w:val="00245F79"/>
    <w:rsid w:val="00247F7C"/>
    <w:rsid w:val="00250892"/>
    <w:rsid w:val="00251317"/>
    <w:rsid w:val="002517EF"/>
    <w:rsid w:val="00251AF9"/>
    <w:rsid w:val="00251EF0"/>
    <w:rsid w:val="00252903"/>
    <w:rsid w:val="00252F23"/>
    <w:rsid w:val="00253018"/>
    <w:rsid w:val="002545BB"/>
    <w:rsid w:val="002546CC"/>
    <w:rsid w:val="00254931"/>
    <w:rsid w:val="002551A8"/>
    <w:rsid w:val="00255B65"/>
    <w:rsid w:val="00255EBC"/>
    <w:rsid w:val="002567BA"/>
    <w:rsid w:val="002576B4"/>
    <w:rsid w:val="002577C7"/>
    <w:rsid w:val="002608E8"/>
    <w:rsid w:val="00261A29"/>
    <w:rsid w:val="00261D49"/>
    <w:rsid w:val="00261E6A"/>
    <w:rsid w:val="0026288C"/>
    <w:rsid w:val="0026335B"/>
    <w:rsid w:val="002634D3"/>
    <w:rsid w:val="00264BCC"/>
    <w:rsid w:val="00265872"/>
    <w:rsid w:val="00266EB9"/>
    <w:rsid w:val="0026720B"/>
    <w:rsid w:val="00267899"/>
    <w:rsid w:val="00267E19"/>
    <w:rsid w:val="00270857"/>
    <w:rsid w:val="00270EA3"/>
    <w:rsid w:val="002728BF"/>
    <w:rsid w:val="002728F1"/>
    <w:rsid w:val="00274376"/>
    <w:rsid w:val="00275147"/>
    <w:rsid w:val="00275235"/>
    <w:rsid w:val="002753C9"/>
    <w:rsid w:val="00275ABE"/>
    <w:rsid w:val="002766EE"/>
    <w:rsid w:val="00281422"/>
    <w:rsid w:val="00282121"/>
    <w:rsid w:val="002852FA"/>
    <w:rsid w:val="00285AB8"/>
    <w:rsid w:val="002869F6"/>
    <w:rsid w:val="00286CC6"/>
    <w:rsid w:val="00286E08"/>
    <w:rsid w:val="0028721D"/>
    <w:rsid w:val="002872BB"/>
    <w:rsid w:val="002928AF"/>
    <w:rsid w:val="002928CA"/>
    <w:rsid w:val="00293B78"/>
    <w:rsid w:val="0029530E"/>
    <w:rsid w:val="002958E0"/>
    <w:rsid w:val="0029739B"/>
    <w:rsid w:val="00297677"/>
    <w:rsid w:val="00297B84"/>
    <w:rsid w:val="002A00AB"/>
    <w:rsid w:val="002A0F36"/>
    <w:rsid w:val="002A1CD2"/>
    <w:rsid w:val="002A20D0"/>
    <w:rsid w:val="002A2DF8"/>
    <w:rsid w:val="002A37B3"/>
    <w:rsid w:val="002A3C71"/>
    <w:rsid w:val="002A402F"/>
    <w:rsid w:val="002A613C"/>
    <w:rsid w:val="002A6962"/>
    <w:rsid w:val="002A6FCF"/>
    <w:rsid w:val="002B0E0D"/>
    <w:rsid w:val="002B0E76"/>
    <w:rsid w:val="002B2760"/>
    <w:rsid w:val="002B28C1"/>
    <w:rsid w:val="002B4535"/>
    <w:rsid w:val="002B57E8"/>
    <w:rsid w:val="002B6455"/>
    <w:rsid w:val="002B691E"/>
    <w:rsid w:val="002B6AFF"/>
    <w:rsid w:val="002C033B"/>
    <w:rsid w:val="002C08A8"/>
    <w:rsid w:val="002C0A2C"/>
    <w:rsid w:val="002C0CF3"/>
    <w:rsid w:val="002C0E9C"/>
    <w:rsid w:val="002C1573"/>
    <w:rsid w:val="002C1F9A"/>
    <w:rsid w:val="002C2A02"/>
    <w:rsid w:val="002C2E63"/>
    <w:rsid w:val="002C4061"/>
    <w:rsid w:val="002C4101"/>
    <w:rsid w:val="002C4C87"/>
    <w:rsid w:val="002C5A48"/>
    <w:rsid w:val="002C64A0"/>
    <w:rsid w:val="002C6BA9"/>
    <w:rsid w:val="002C78A6"/>
    <w:rsid w:val="002D02A0"/>
    <w:rsid w:val="002D1936"/>
    <w:rsid w:val="002D29E6"/>
    <w:rsid w:val="002D312C"/>
    <w:rsid w:val="002D3199"/>
    <w:rsid w:val="002D41C8"/>
    <w:rsid w:val="002D552C"/>
    <w:rsid w:val="002D659C"/>
    <w:rsid w:val="002D6C48"/>
    <w:rsid w:val="002D72FF"/>
    <w:rsid w:val="002D7AC3"/>
    <w:rsid w:val="002E0182"/>
    <w:rsid w:val="002E1107"/>
    <w:rsid w:val="002E1255"/>
    <w:rsid w:val="002E153A"/>
    <w:rsid w:val="002E1580"/>
    <w:rsid w:val="002E1B29"/>
    <w:rsid w:val="002E1ED7"/>
    <w:rsid w:val="002E218A"/>
    <w:rsid w:val="002E2A26"/>
    <w:rsid w:val="002E2F72"/>
    <w:rsid w:val="002E3682"/>
    <w:rsid w:val="002E3D61"/>
    <w:rsid w:val="002E4D70"/>
    <w:rsid w:val="002E504F"/>
    <w:rsid w:val="002E50C3"/>
    <w:rsid w:val="002E57F1"/>
    <w:rsid w:val="002E5947"/>
    <w:rsid w:val="002E611F"/>
    <w:rsid w:val="002E739F"/>
    <w:rsid w:val="002E77FF"/>
    <w:rsid w:val="002E7829"/>
    <w:rsid w:val="002F08D1"/>
    <w:rsid w:val="002F0E8B"/>
    <w:rsid w:val="002F1A66"/>
    <w:rsid w:val="002F1D37"/>
    <w:rsid w:val="002F23FC"/>
    <w:rsid w:val="002F2955"/>
    <w:rsid w:val="002F342A"/>
    <w:rsid w:val="002F35EE"/>
    <w:rsid w:val="002F4C4C"/>
    <w:rsid w:val="002F7382"/>
    <w:rsid w:val="002F7654"/>
    <w:rsid w:val="002F7C60"/>
    <w:rsid w:val="0030005E"/>
    <w:rsid w:val="0030044F"/>
    <w:rsid w:val="0030080A"/>
    <w:rsid w:val="00301566"/>
    <w:rsid w:val="003017E0"/>
    <w:rsid w:val="00303634"/>
    <w:rsid w:val="0030398B"/>
    <w:rsid w:val="00303D45"/>
    <w:rsid w:val="00304409"/>
    <w:rsid w:val="0030512B"/>
    <w:rsid w:val="00306634"/>
    <w:rsid w:val="0031199F"/>
    <w:rsid w:val="00311A98"/>
    <w:rsid w:val="003120AC"/>
    <w:rsid w:val="003125F7"/>
    <w:rsid w:val="003132C5"/>
    <w:rsid w:val="00313B7F"/>
    <w:rsid w:val="00313E99"/>
    <w:rsid w:val="00314338"/>
    <w:rsid w:val="00314763"/>
    <w:rsid w:val="00315055"/>
    <w:rsid w:val="003155A2"/>
    <w:rsid w:val="003162B5"/>
    <w:rsid w:val="003163D8"/>
    <w:rsid w:val="00320339"/>
    <w:rsid w:val="0032078D"/>
    <w:rsid w:val="00320965"/>
    <w:rsid w:val="00320EA1"/>
    <w:rsid w:val="00321154"/>
    <w:rsid w:val="0032117D"/>
    <w:rsid w:val="003215C6"/>
    <w:rsid w:val="00322A0B"/>
    <w:rsid w:val="00322EE2"/>
    <w:rsid w:val="003232B7"/>
    <w:rsid w:val="00323B78"/>
    <w:rsid w:val="00323DC9"/>
    <w:rsid w:val="003251BD"/>
    <w:rsid w:val="003252AE"/>
    <w:rsid w:val="00326465"/>
    <w:rsid w:val="00326DDB"/>
    <w:rsid w:val="00327412"/>
    <w:rsid w:val="00330E6B"/>
    <w:rsid w:val="003311D1"/>
    <w:rsid w:val="003313ED"/>
    <w:rsid w:val="0033164E"/>
    <w:rsid w:val="00331828"/>
    <w:rsid w:val="0033194B"/>
    <w:rsid w:val="00332039"/>
    <w:rsid w:val="0033285A"/>
    <w:rsid w:val="0033289C"/>
    <w:rsid w:val="00332D04"/>
    <w:rsid w:val="00333AAF"/>
    <w:rsid w:val="003341A5"/>
    <w:rsid w:val="00334F77"/>
    <w:rsid w:val="0033582E"/>
    <w:rsid w:val="00335B0A"/>
    <w:rsid w:val="00335FD7"/>
    <w:rsid w:val="0033612A"/>
    <w:rsid w:val="003363B1"/>
    <w:rsid w:val="0033772A"/>
    <w:rsid w:val="0034097D"/>
    <w:rsid w:val="00340F6C"/>
    <w:rsid w:val="003411C3"/>
    <w:rsid w:val="003425F4"/>
    <w:rsid w:val="00343F27"/>
    <w:rsid w:val="003444A0"/>
    <w:rsid w:val="003448D8"/>
    <w:rsid w:val="00344B1D"/>
    <w:rsid w:val="00346A15"/>
    <w:rsid w:val="00346B66"/>
    <w:rsid w:val="003474AD"/>
    <w:rsid w:val="00347EE6"/>
    <w:rsid w:val="00350410"/>
    <w:rsid w:val="00350BBC"/>
    <w:rsid w:val="00351105"/>
    <w:rsid w:val="0035115B"/>
    <w:rsid w:val="0035144B"/>
    <w:rsid w:val="003538A3"/>
    <w:rsid w:val="00353B41"/>
    <w:rsid w:val="0035406F"/>
    <w:rsid w:val="003548DE"/>
    <w:rsid w:val="00355282"/>
    <w:rsid w:val="00356083"/>
    <w:rsid w:val="003566E7"/>
    <w:rsid w:val="00356E2D"/>
    <w:rsid w:val="00357443"/>
    <w:rsid w:val="003578AD"/>
    <w:rsid w:val="00357A2D"/>
    <w:rsid w:val="0036094C"/>
    <w:rsid w:val="003619A8"/>
    <w:rsid w:val="00361D3F"/>
    <w:rsid w:val="003621CE"/>
    <w:rsid w:val="00362C86"/>
    <w:rsid w:val="00364BF0"/>
    <w:rsid w:val="003652BB"/>
    <w:rsid w:val="00365FC5"/>
    <w:rsid w:val="00366389"/>
    <w:rsid w:val="00366986"/>
    <w:rsid w:val="00366DEF"/>
    <w:rsid w:val="0036706F"/>
    <w:rsid w:val="00370A39"/>
    <w:rsid w:val="00371EBA"/>
    <w:rsid w:val="00371FD5"/>
    <w:rsid w:val="003720EF"/>
    <w:rsid w:val="0037279D"/>
    <w:rsid w:val="00372A6D"/>
    <w:rsid w:val="00374C59"/>
    <w:rsid w:val="003768F3"/>
    <w:rsid w:val="00376E4F"/>
    <w:rsid w:val="00377244"/>
    <w:rsid w:val="0037742C"/>
    <w:rsid w:val="00377AD7"/>
    <w:rsid w:val="003819C4"/>
    <w:rsid w:val="00382B91"/>
    <w:rsid w:val="00383984"/>
    <w:rsid w:val="00383C63"/>
    <w:rsid w:val="00383CDD"/>
    <w:rsid w:val="00383F2D"/>
    <w:rsid w:val="0038529A"/>
    <w:rsid w:val="00385C6F"/>
    <w:rsid w:val="003860C0"/>
    <w:rsid w:val="0038633E"/>
    <w:rsid w:val="00386CD6"/>
    <w:rsid w:val="00390250"/>
    <w:rsid w:val="00390371"/>
    <w:rsid w:val="0039058E"/>
    <w:rsid w:val="0039194A"/>
    <w:rsid w:val="00391C7C"/>
    <w:rsid w:val="00392AC1"/>
    <w:rsid w:val="0039342D"/>
    <w:rsid w:val="003945D5"/>
    <w:rsid w:val="00397928"/>
    <w:rsid w:val="00397D1F"/>
    <w:rsid w:val="00397FB1"/>
    <w:rsid w:val="003A08AB"/>
    <w:rsid w:val="003A0D43"/>
    <w:rsid w:val="003A111B"/>
    <w:rsid w:val="003A1557"/>
    <w:rsid w:val="003A22AA"/>
    <w:rsid w:val="003A2BD3"/>
    <w:rsid w:val="003A2F3E"/>
    <w:rsid w:val="003A369E"/>
    <w:rsid w:val="003A6CE0"/>
    <w:rsid w:val="003A761B"/>
    <w:rsid w:val="003B02E5"/>
    <w:rsid w:val="003B03C1"/>
    <w:rsid w:val="003B13DA"/>
    <w:rsid w:val="003B16FB"/>
    <w:rsid w:val="003B3E22"/>
    <w:rsid w:val="003B516C"/>
    <w:rsid w:val="003B5748"/>
    <w:rsid w:val="003B66CD"/>
    <w:rsid w:val="003B6CBF"/>
    <w:rsid w:val="003C00A7"/>
    <w:rsid w:val="003C042A"/>
    <w:rsid w:val="003C04AA"/>
    <w:rsid w:val="003C0A05"/>
    <w:rsid w:val="003C0F7E"/>
    <w:rsid w:val="003C0F91"/>
    <w:rsid w:val="003C1210"/>
    <w:rsid w:val="003C1DDB"/>
    <w:rsid w:val="003C1E37"/>
    <w:rsid w:val="003C2A0C"/>
    <w:rsid w:val="003C34F5"/>
    <w:rsid w:val="003C3DAD"/>
    <w:rsid w:val="003C4635"/>
    <w:rsid w:val="003C5263"/>
    <w:rsid w:val="003C5EAC"/>
    <w:rsid w:val="003C6CBC"/>
    <w:rsid w:val="003C77D6"/>
    <w:rsid w:val="003C7E30"/>
    <w:rsid w:val="003D05F1"/>
    <w:rsid w:val="003D0774"/>
    <w:rsid w:val="003D0C20"/>
    <w:rsid w:val="003D1AE7"/>
    <w:rsid w:val="003D2382"/>
    <w:rsid w:val="003D2AA5"/>
    <w:rsid w:val="003D2E5C"/>
    <w:rsid w:val="003D304A"/>
    <w:rsid w:val="003D3275"/>
    <w:rsid w:val="003D3507"/>
    <w:rsid w:val="003D379F"/>
    <w:rsid w:val="003D403C"/>
    <w:rsid w:val="003D440D"/>
    <w:rsid w:val="003D5DD4"/>
    <w:rsid w:val="003D632F"/>
    <w:rsid w:val="003D7107"/>
    <w:rsid w:val="003D73B8"/>
    <w:rsid w:val="003E1E8E"/>
    <w:rsid w:val="003E2BF2"/>
    <w:rsid w:val="003E36D0"/>
    <w:rsid w:val="003E398D"/>
    <w:rsid w:val="003E4340"/>
    <w:rsid w:val="003E494B"/>
    <w:rsid w:val="003E49FF"/>
    <w:rsid w:val="003E4ABC"/>
    <w:rsid w:val="003E4E49"/>
    <w:rsid w:val="003E4EBF"/>
    <w:rsid w:val="003E5494"/>
    <w:rsid w:val="003E663F"/>
    <w:rsid w:val="003E6808"/>
    <w:rsid w:val="003E6F71"/>
    <w:rsid w:val="003E7079"/>
    <w:rsid w:val="003E70BD"/>
    <w:rsid w:val="003F092A"/>
    <w:rsid w:val="003F1125"/>
    <w:rsid w:val="003F1DC9"/>
    <w:rsid w:val="003F251B"/>
    <w:rsid w:val="003F2C50"/>
    <w:rsid w:val="003F3AE6"/>
    <w:rsid w:val="003F3DED"/>
    <w:rsid w:val="003F42FF"/>
    <w:rsid w:val="003F49D2"/>
    <w:rsid w:val="003F50EA"/>
    <w:rsid w:val="003F5E0A"/>
    <w:rsid w:val="003F63E9"/>
    <w:rsid w:val="003F66B5"/>
    <w:rsid w:val="003F682B"/>
    <w:rsid w:val="003F6AF3"/>
    <w:rsid w:val="003F7182"/>
    <w:rsid w:val="00400945"/>
    <w:rsid w:val="004009BF"/>
    <w:rsid w:val="00400A43"/>
    <w:rsid w:val="00400FDF"/>
    <w:rsid w:val="0040134A"/>
    <w:rsid w:val="004018CC"/>
    <w:rsid w:val="00402EBE"/>
    <w:rsid w:val="00403527"/>
    <w:rsid w:val="00404289"/>
    <w:rsid w:val="004045D3"/>
    <w:rsid w:val="00404A80"/>
    <w:rsid w:val="00405C3C"/>
    <w:rsid w:val="00406FD0"/>
    <w:rsid w:val="00407E6C"/>
    <w:rsid w:val="00407ED8"/>
    <w:rsid w:val="00407EEE"/>
    <w:rsid w:val="004107D8"/>
    <w:rsid w:val="00411312"/>
    <w:rsid w:val="004119F9"/>
    <w:rsid w:val="00412C84"/>
    <w:rsid w:val="00413B94"/>
    <w:rsid w:val="00413F2B"/>
    <w:rsid w:val="0041594C"/>
    <w:rsid w:val="00415BEC"/>
    <w:rsid w:val="00416A4E"/>
    <w:rsid w:val="0041718B"/>
    <w:rsid w:val="0041724A"/>
    <w:rsid w:val="00417646"/>
    <w:rsid w:val="0042009F"/>
    <w:rsid w:val="00421908"/>
    <w:rsid w:val="0042192C"/>
    <w:rsid w:val="00421976"/>
    <w:rsid w:val="004230ED"/>
    <w:rsid w:val="0042393F"/>
    <w:rsid w:val="00423A02"/>
    <w:rsid w:val="00423E86"/>
    <w:rsid w:val="004243E6"/>
    <w:rsid w:val="00424E6E"/>
    <w:rsid w:val="00425189"/>
    <w:rsid w:val="004264E7"/>
    <w:rsid w:val="00427EE1"/>
    <w:rsid w:val="00430077"/>
    <w:rsid w:val="004304F3"/>
    <w:rsid w:val="00430987"/>
    <w:rsid w:val="00430CD8"/>
    <w:rsid w:val="00430F02"/>
    <w:rsid w:val="0043149B"/>
    <w:rsid w:val="0043200C"/>
    <w:rsid w:val="004325C5"/>
    <w:rsid w:val="00432CB0"/>
    <w:rsid w:val="00433A5D"/>
    <w:rsid w:val="00434494"/>
    <w:rsid w:val="0043453F"/>
    <w:rsid w:val="004351E6"/>
    <w:rsid w:val="004354FF"/>
    <w:rsid w:val="00435707"/>
    <w:rsid w:val="00435FAB"/>
    <w:rsid w:val="0043670C"/>
    <w:rsid w:val="00436CB1"/>
    <w:rsid w:val="00436F62"/>
    <w:rsid w:val="00436FB5"/>
    <w:rsid w:val="0043768F"/>
    <w:rsid w:val="0044151C"/>
    <w:rsid w:val="00441BF8"/>
    <w:rsid w:val="004423E3"/>
    <w:rsid w:val="00442770"/>
    <w:rsid w:val="004431D4"/>
    <w:rsid w:val="0044431A"/>
    <w:rsid w:val="00445EC9"/>
    <w:rsid w:val="00450015"/>
    <w:rsid w:val="0045079C"/>
    <w:rsid w:val="0045103C"/>
    <w:rsid w:val="00452914"/>
    <w:rsid w:val="00452F19"/>
    <w:rsid w:val="00453B2C"/>
    <w:rsid w:val="00453D91"/>
    <w:rsid w:val="00454730"/>
    <w:rsid w:val="00454A75"/>
    <w:rsid w:val="00454C0A"/>
    <w:rsid w:val="004550BE"/>
    <w:rsid w:val="00455146"/>
    <w:rsid w:val="004552B5"/>
    <w:rsid w:val="0045563B"/>
    <w:rsid w:val="004566F9"/>
    <w:rsid w:val="00456AD2"/>
    <w:rsid w:val="00457A03"/>
    <w:rsid w:val="00460D1F"/>
    <w:rsid w:val="00460EB7"/>
    <w:rsid w:val="00461A74"/>
    <w:rsid w:val="004620F9"/>
    <w:rsid w:val="004627E2"/>
    <w:rsid w:val="00463F11"/>
    <w:rsid w:val="00463FE0"/>
    <w:rsid w:val="00464151"/>
    <w:rsid w:val="004646F0"/>
    <w:rsid w:val="00464F8C"/>
    <w:rsid w:val="00465AEA"/>
    <w:rsid w:val="00465D5C"/>
    <w:rsid w:val="00467616"/>
    <w:rsid w:val="00470C25"/>
    <w:rsid w:val="00470CA8"/>
    <w:rsid w:val="0047128A"/>
    <w:rsid w:val="00471732"/>
    <w:rsid w:val="00472D7C"/>
    <w:rsid w:val="00472FBD"/>
    <w:rsid w:val="00473256"/>
    <w:rsid w:val="00473C36"/>
    <w:rsid w:val="0047536C"/>
    <w:rsid w:val="0047555A"/>
    <w:rsid w:val="0047568F"/>
    <w:rsid w:val="00475B32"/>
    <w:rsid w:val="00477D55"/>
    <w:rsid w:val="004806AB"/>
    <w:rsid w:val="00481376"/>
    <w:rsid w:val="00481623"/>
    <w:rsid w:val="00481661"/>
    <w:rsid w:val="00481C7E"/>
    <w:rsid w:val="00482FF8"/>
    <w:rsid w:val="004835D9"/>
    <w:rsid w:val="004839CA"/>
    <w:rsid w:val="0048418C"/>
    <w:rsid w:val="004842D6"/>
    <w:rsid w:val="00485FDC"/>
    <w:rsid w:val="00486137"/>
    <w:rsid w:val="00486497"/>
    <w:rsid w:val="00486EC0"/>
    <w:rsid w:val="00490F1A"/>
    <w:rsid w:val="004910AD"/>
    <w:rsid w:val="00491D9D"/>
    <w:rsid w:val="00491EB9"/>
    <w:rsid w:val="0049426A"/>
    <w:rsid w:val="004947AB"/>
    <w:rsid w:val="00494A6C"/>
    <w:rsid w:val="00494DDD"/>
    <w:rsid w:val="0049549C"/>
    <w:rsid w:val="004957F3"/>
    <w:rsid w:val="00495AC5"/>
    <w:rsid w:val="00497448"/>
    <w:rsid w:val="004A1048"/>
    <w:rsid w:val="004A1737"/>
    <w:rsid w:val="004A19BB"/>
    <w:rsid w:val="004A2158"/>
    <w:rsid w:val="004A2C4F"/>
    <w:rsid w:val="004A2FBF"/>
    <w:rsid w:val="004A3805"/>
    <w:rsid w:val="004A4F0B"/>
    <w:rsid w:val="004A6192"/>
    <w:rsid w:val="004A66FF"/>
    <w:rsid w:val="004A6CA6"/>
    <w:rsid w:val="004B1D78"/>
    <w:rsid w:val="004B1E6C"/>
    <w:rsid w:val="004B231F"/>
    <w:rsid w:val="004B2B76"/>
    <w:rsid w:val="004B30CA"/>
    <w:rsid w:val="004B4324"/>
    <w:rsid w:val="004B57C4"/>
    <w:rsid w:val="004B57C9"/>
    <w:rsid w:val="004B630D"/>
    <w:rsid w:val="004B6B70"/>
    <w:rsid w:val="004B7618"/>
    <w:rsid w:val="004C0AB5"/>
    <w:rsid w:val="004C2C17"/>
    <w:rsid w:val="004C539A"/>
    <w:rsid w:val="004C61F1"/>
    <w:rsid w:val="004C643C"/>
    <w:rsid w:val="004C71DF"/>
    <w:rsid w:val="004C7EF7"/>
    <w:rsid w:val="004D1726"/>
    <w:rsid w:val="004D21E8"/>
    <w:rsid w:val="004D220F"/>
    <w:rsid w:val="004D2C5E"/>
    <w:rsid w:val="004D41E1"/>
    <w:rsid w:val="004D497A"/>
    <w:rsid w:val="004D4B03"/>
    <w:rsid w:val="004D68EC"/>
    <w:rsid w:val="004D71DE"/>
    <w:rsid w:val="004D7420"/>
    <w:rsid w:val="004D7D8E"/>
    <w:rsid w:val="004E1F4C"/>
    <w:rsid w:val="004E2251"/>
    <w:rsid w:val="004E38DA"/>
    <w:rsid w:val="004E4270"/>
    <w:rsid w:val="004E4600"/>
    <w:rsid w:val="004E55C6"/>
    <w:rsid w:val="004E5B8A"/>
    <w:rsid w:val="004E71F5"/>
    <w:rsid w:val="004F024E"/>
    <w:rsid w:val="004F0666"/>
    <w:rsid w:val="004F184B"/>
    <w:rsid w:val="004F185A"/>
    <w:rsid w:val="004F21A6"/>
    <w:rsid w:val="004F26FC"/>
    <w:rsid w:val="004F31A0"/>
    <w:rsid w:val="004F3AC7"/>
    <w:rsid w:val="004F3B5B"/>
    <w:rsid w:val="004F41DF"/>
    <w:rsid w:val="004F5163"/>
    <w:rsid w:val="004F53DB"/>
    <w:rsid w:val="004F541F"/>
    <w:rsid w:val="004F5425"/>
    <w:rsid w:val="004F60BB"/>
    <w:rsid w:val="004F6304"/>
    <w:rsid w:val="004F681D"/>
    <w:rsid w:val="004F6A02"/>
    <w:rsid w:val="004F76FE"/>
    <w:rsid w:val="004F7B11"/>
    <w:rsid w:val="00500466"/>
    <w:rsid w:val="005004A8"/>
    <w:rsid w:val="00501499"/>
    <w:rsid w:val="00501A24"/>
    <w:rsid w:val="00502260"/>
    <w:rsid w:val="00502DF0"/>
    <w:rsid w:val="0050377C"/>
    <w:rsid w:val="00503D9C"/>
    <w:rsid w:val="0050475C"/>
    <w:rsid w:val="00505EBB"/>
    <w:rsid w:val="00506AF7"/>
    <w:rsid w:val="00506CFB"/>
    <w:rsid w:val="00506DD8"/>
    <w:rsid w:val="00507AEF"/>
    <w:rsid w:val="0051143D"/>
    <w:rsid w:val="00511CD6"/>
    <w:rsid w:val="00511FC4"/>
    <w:rsid w:val="00512579"/>
    <w:rsid w:val="00512669"/>
    <w:rsid w:val="00512719"/>
    <w:rsid w:val="005130C0"/>
    <w:rsid w:val="0051339C"/>
    <w:rsid w:val="00513AC9"/>
    <w:rsid w:val="00513B0B"/>
    <w:rsid w:val="00514CC6"/>
    <w:rsid w:val="0051527D"/>
    <w:rsid w:val="005153C4"/>
    <w:rsid w:val="00515EA8"/>
    <w:rsid w:val="00516112"/>
    <w:rsid w:val="005168FF"/>
    <w:rsid w:val="005172A5"/>
    <w:rsid w:val="00517860"/>
    <w:rsid w:val="00517C2C"/>
    <w:rsid w:val="0052048C"/>
    <w:rsid w:val="00521602"/>
    <w:rsid w:val="00521E52"/>
    <w:rsid w:val="00522189"/>
    <w:rsid w:val="00522247"/>
    <w:rsid w:val="005226B9"/>
    <w:rsid w:val="00522769"/>
    <w:rsid w:val="00522A27"/>
    <w:rsid w:val="00522EF4"/>
    <w:rsid w:val="005247AB"/>
    <w:rsid w:val="005251E5"/>
    <w:rsid w:val="0052732D"/>
    <w:rsid w:val="005274E3"/>
    <w:rsid w:val="00530529"/>
    <w:rsid w:val="005307F0"/>
    <w:rsid w:val="00530BD1"/>
    <w:rsid w:val="00532FC3"/>
    <w:rsid w:val="00533242"/>
    <w:rsid w:val="005333C8"/>
    <w:rsid w:val="00533A3C"/>
    <w:rsid w:val="00533D88"/>
    <w:rsid w:val="00534C40"/>
    <w:rsid w:val="00535345"/>
    <w:rsid w:val="00535368"/>
    <w:rsid w:val="00535DAA"/>
    <w:rsid w:val="00536E12"/>
    <w:rsid w:val="00537948"/>
    <w:rsid w:val="00540723"/>
    <w:rsid w:val="005427C8"/>
    <w:rsid w:val="0054314E"/>
    <w:rsid w:val="0054338D"/>
    <w:rsid w:val="005444D1"/>
    <w:rsid w:val="00544B8C"/>
    <w:rsid w:val="00545738"/>
    <w:rsid w:val="00545E2E"/>
    <w:rsid w:val="005466E4"/>
    <w:rsid w:val="005469CA"/>
    <w:rsid w:val="00546F61"/>
    <w:rsid w:val="00547565"/>
    <w:rsid w:val="00550B5D"/>
    <w:rsid w:val="00551709"/>
    <w:rsid w:val="00552C20"/>
    <w:rsid w:val="00552C27"/>
    <w:rsid w:val="00552CB4"/>
    <w:rsid w:val="00552E58"/>
    <w:rsid w:val="005535B3"/>
    <w:rsid w:val="005536CC"/>
    <w:rsid w:val="00554611"/>
    <w:rsid w:val="00554977"/>
    <w:rsid w:val="00554DB3"/>
    <w:rsid w:val="00555481"/>
    <w:rsid w:val="00555940"/>
    <w:rsid w:val="0055627A"/>
    <w:rsid w:val="0055647D"/>
    <w:rsid w:val="005568E2"/>
    <w:rsid w:val="00557D93"/>
    <w:rsid w:val="00560EC6"/>
    <w:rsid w:val="005610B7"/>
    <w:rsid w:val="00561104"/>
    <w:rsid w:val="005614EF"/>
    <w:rsid w:val="00561D89"/>
    <w:rsid w:val="0056258B"/>
    <w:rsid w:val="00563937"/>
    <w:rsid w:val="00564264"/>
    <w:rsid w:val="00565588"/>
    <w:rsid w:val="00565FCA"/>
    <w:rsid w:val="00566568"/>
    <w:rsid w:val="00566AA7"/>
    <w:rsid w:val="005673FE"/>
    <w:rsid w:val="005676F8"/>
    <w:rsid w:val="005702C9"/>
    <w:rsid w:val="00571A35"/>
    <w:rsid w:val="00571B15"/>
    <w:rsid w:val="00572499"/>
    <w:rsid w:val="0057449C"/>
    <w:rsid w:val="005747FE"/>
    <w:rsid w:val="00574E0A"/>
    <w:rsid w:val="00574EDE"/>
    <w:rsid w:val="0057558C"/>
    <w:rsid w:val="00575A82"/>
    <w:rsid w:val="0057677C"/>
    <w:rsid w:val="0057757A"/>
    <w:rsid w:val="00577BD8"/>
    <w:rsid w:val="0058084E"/>
    <w:rsid w:val="005809E6"/>
    <w:rsid w:val="00581739"/>
    <w:rsid w:val="00582057"/>
    <w:rsid w:val="00582CC3"/>
    <w:rsid w:val="00582D04"/>
    <w:rsid w:val="00584445"/>
    <w:rsid w:val="00584813"/>
    <w:rsid w:val="00584B88"/>
    <w:rsid w:val="005850A0"/>
    <w:rsid w:val="005865BF"/>
    <w:rsid w:val="0058788A"/>
    <w:rsid w:val="00587D48"/>
    <w:rsid w:val="00587DBD"/>
    <w:rsid w:val="00587F1E"/>
    <w:rsid w:val="005914CF"/>
    <w:rsid w:val="00591A68"/>
    <w:rsid w:val="00591F70"/>
    <w:rsid w:val="00592347"/>
    <w:rsid w:val="00592535"/>
    <w:rsid w:val="005933E8"/>
    <w:rsid w:val="005933F0"/>
    <w:rsid w:val="00594529"/>
    <w:rsid w:val="00594BB3"/>
    <w:rsid w:val="0059534F"/>
    <w:rsid w:val="00595389"/>
    <w:rsid w:val="00595F9B"/>
    <w:rsid w:val="00596CF8"/>
    <w:rsid w:val="00596DA0"/>
    <w:rsid w:val="00597743"/>
    <w:rsid w:val="005A04ED"/>
    <w:rsid w:val="005A16A5"/>
    <w:rsid w:val="005A1A9F"/>
    <w:rsid w:val="005A2275"/>
    <w:rsid w:val="005A36AE"/>
    <w:rsid w:val="005A3E13"/>
    <w:rsid w:val="005A3E75"/>
    <w:rsid w:val="005A42B9"/>
    <w:rsid w:val="005A4F1F"/>
    <w:rsid w:val="005A4F6B"/>
    <w:rsid w:val="005A5DDB"/>
    <w:rsid w:val="005A6FD0"/>
    <w:rsid w:val="005A723E"/>
    <w:rsid w:val="005B0AD5"/>
    <w:rsid w:val="005B0B79"/>
    <w:rsid w:val="005B3B3F"/>
    <w:rsid w:val="005B4E8F"/>
    <w:rsid w:val="005B64F7"/>
    <w:rsid w:val="005B65C0"/>
    <w:rsid w:val="005B7B5C"/>
    <w:rsid w:val="005C0C15"/>
    <w:rsid w:val="005C1954"/>
    <w:rsid w:val="005C3352"/>
    <w:rsid w:val="005C38E5"/>
    <w:rsid w:val="005C3E1F"/>
    <w:rsid w:val="005C47A9"/>
    <w:rsid w:val="005C52C2"/>
    <w:rsid w:val="005C6735"/>
    <w:rsid w:val="005C6A1D"/>
    <w:rsid w:val="005C6B9B"/>
    <w:rsid w:val="005C6E80"/>
    <w:rsid w:val="005C7867"/>
    <w:rsid w:val="005C7DAD"/>
    <w:rsid w:val="005D24F4"/>
    <w:rsid w:val="005D3156"/>
    <w:rsid w:val="005D4311"/>
    <w:rsid w:val="005D4A2D"/>
    <w:rsid w:val="005D59A9"/>
    <w:rsid w:val="005D6551"/>
    <w:rsid w:val="005D6665"/>
    <w:rsid w:val="005D69BF"/>
    <w:rsid w:val="005D6AC4"/>
    <w:rsid w:val="005D7CB2"/>
    <w:rsid w:val="005E14D8"/>
    <w:rsid w:val="005E280C"/>
    <w:rsid w:val="005E2872"/>
    <w:rsid w:val="005E4119"/>
    <w:rsid w:val="005E4F0A"/>
    <w:rsid w:val="005E6559"/>
    <w:rsid w:val="005E7EB9"/>
    <w:rsid w:val="005F0997"/>
    <w:rsid w:val="005F184B"/>
    <w:rsid w:val="005F25F0"/>
    <w:rsid w:val="005F288B"/>
    <w:rsid w:val="005F29DE"/>
    <w:rsid w:val="005F366E"/>
    <w:rsid w:val="005F39C0"/>
    <w:rsid w:val="005F3E04"/>
    <w:rsid w:val="005F4CDD"/>
    <w:rsid w:val="005F513E"/>
    <w:rsid w:val="005F592E"/>
    <w:rsid w:val="005F5F15"/>
    <w:rsid w:val="005F656B"/>
    <w:rsid w:val="005F683B"/>
    <w:rsid w:val="005F6B30"/>
    <w:rsid w:val="005F7B8F"/>
    <w:rsid w:val="005F7EAC"/>
    <w:rsid w:val="00600722"/>
    <w:rsid w:val="00600B1E"/>
    <w:rsid w:val="006014F6"/>
    <w:rsid w:val="00601627"/>
    <w:rsid w:val="006028D5"/>
    <w:rsid w:val="00603E9E"/>
    <w:rsid w:val="00603F9F"/>
    <w:rsid w:val="00604CC7"/>
    <w:rsid w:val="00605ADF"/>
    <w:rsid w:val="00605BCB"/>
    <w:rsid w:val="00606258"/>
    <w:rsid w:val="006075FF"/>
    <w:rsid w:val="006100DF"/>
    <w:rsid w:val="00610B8C"/>
    <w:rsid w:val="00611246"/>
    <w:rsid w:val="00611DB5"/>
    <w:rsid w:val="006146A4"/>
    <w:rsid w:val="00615BBD"/>
    <w:rsid w:val="006164E8"/>
    <w:rsid w:val="00616CC5"/>
    <w:rsid w:val="00617880"/>
    <w:rsid w:val="00617DB1"/>
    <w:rsid w:val="00617FF1"/>
    <w:rsid w:val="00623D5D"/>
    <w:rsid w:val="00624225"/>
    <w:rsid w:val="006252A4"/>
    <w:rsid w:val="00625BF8"/>
    <w:rsid w:val="0062682D"/>
    <w:rsid w:val="00627590"/>
    <w:rsid w:val="00627C48"/>
    <w:rsid w:val="006308B7"/>
    <w:rsid w:val="006321EE"/>
    <w:rsid w:val="00633992"/>
    <w:rsid w:val="00633D62"/>
    <w:rsid w:val="0063440B"/>
    <w:rsid w:val="0063636C"/>
    <w:rsid w:val="0063658E"/>
    <w:rsid w:val="00636706"/>
    <w:rsid w:val="00641A57"/>
    <w:rsid w:val="00641B7E"/>
    <w:rsid w:val="00642034"/>
    <w:rsid w:val="00644707"/>
    <w:rsid w:val="00644890"/>
    <w:rsid w:val="006450C6"/>
    <w:rsid w:val="006455C3"/>
    <w:rsid w:val="0064592A"/>
    <w:rsid w:val="0064599E"/>
    <w:rsid w:val="006459B4"/>
    <w:rsid w:val="00645F1C"/>
    <w:rsid w:val="00646196"/>
    <w:rsid w:val="0064646F"/>
    <w:rsid w:val="00646B14"/>
    <w:rsid w:val="00646BE4"/>
    <w:rsid w:val="00647586"/>
    <w:rsid w:val="00650A77"/>
    <w:rsid w:val="006510AA"/>
    <w:rsid w:val="00651308"/>
    <w:rsid w:val="00651DF2"/>
    <w:rsid w:val="00651DF4"/>
    <w:rsid w:val="0065280A"/>
    <w:rsid w:val="00652A1C"/>
    <w:rsid w:val="00653A36"/>
    <w:rsid w:val="00655D2A"/>
    <w:rsid w:val="00655F97"/>
    <w:rsid w:val="00656252"/>
    <w:rsid w:val="00657570"/>
    <w:rsid w:val="00660B3A"/>
    <w:rsid w:val="0066112B"/>
    <w:rsid w:val="006623B9"/>
    <w:rsid w:val="0066274D"/>
    <w:rsid w:val="00663B95"/>
    <w:rsid w:val="00664B0C"/>
    <w:rsid w:val="00664B88"/>
    <w:rsid w:val="006650A9"/>
    <w:rsid w:val="00665733"/>
    <w:rsid w:val="006657CE"/>
    <w:rsid w:val="00665BD0"/>
    <w:rsid w:val="00666676"/>
    <w:rsid w:val="0066692E"/>
    <w:rsid w:val="00667092"/>
    <w:rsid w:val="00667C2E"/>
    <w:rsid w:val="0067152E"/>
    <w:rsid w:val="00671A5B"/>
    <w:rsid w:val="00671F0F"/>
    <w:rsid w:val="0067212C"/>
    <w:rsid w:val="00672158"/>
    <w:rsid w:val="0067291D"/>
    <w:rsid w:val="006729ED"/>
    <w:rsid w:val="00672F42"/>
    <w:rsid w:val="0067325A"/>
    <w:rsid w:val="006741DE"/>
    <w:rsid w:val="00675461"/>
    <w:rsid w:val="006761CD"/>
    <w:rsid w:val="00676999"/>
    <w:rsid w:val="00676BC2"/>
    <w:rsid w:val="0067729F"/>
    <w:rsid w:val="00677C69"/>
    <w:rsid w:val="00683C2A"/>
    <w:rsid w:val="0068473E"/>
    <w:rsid w:val="00685C07"/>
    <w:rsid w:val="00687331"/>
    <w:rsid w:val="00687A3A"/>
    <w:rsid w:val="006901D8"/>
    <w:rsid w:val="006902EA"/>
    <w:rsid w:val="00690FCF"/>
    <w:rsid w:val="0069199C"/>
    <w:rsid w:val="00691AB5"/>
    <w:rsid w:val="00691C5D"/>
    <w:rsid w:val="006924F7"/>
    <w:rsid w:val="00693234"/>
    <w:rsid w:val="00693528"/>
    <w:rsid w:val="00693EA6"/>
    <w:rsid w:val="006949E3"/>
    <w:rsid w:val="00695957"/>
    <w:rsid w:val="0069657C"/>
    <w:rsid w:val="00696D84"/>
    <w:rsid w:val="00697C5B"/>
    <w:rsid w:val="00697E35"/>
    <w:rsid w:val="006A0113"/>
    <w:rsid w:val="006A0202"/>
    <w:rsid w:val="006A1227"/>
    <w:rsid w:val="006A1B0A"/>
    <w:rsid w:val="006A1D2F"/>
    <w:rsid w:val="006A25F9"/>
    <w:rsid w:val="006A3A16"/>
    <w:rsid w:val="006A4399"/>
    <w:rsid w:val="006A4DC8"/>
    <w:rsid w:val="006A5723"/>
    <w:rsid w:val="006A5B1B"/>
    <w:rsid w:val="006A6559"/>
    <w:rsid w:val="006A70A7"/>
    <w:rsid w:val="006A74EB"/>
    <w:rsid w:val="006A7BBC"/>
    <w:rsid w:val="006B10F5"/>
    <w:rsid w:val="006B1C2D"/>
    <w:rsid w:val="006B1E39"/>
    <w:rsid w:val="006B1F49"/>
    <w:rsid w:val="006B2738"/>
    <w:rsid w:val="006B2FCC"/>
    <w:rsid w:val="006B3A1A"/>
    <w:rsid w:val="006B3EA5"/>
    <w:rsid w:val="006B4853"/>
    <w:rsid w:val="006B60B0"/>
    <w:rsid w:val="006B6352"/>
    <w:rsid w:val="006B642C"/>
    <w:rsid w:val="006B6579"/>
    <w:rsid w:val="006C04D4"/>
    <w:rsid w:val="006C0882"/>
    <w:rsid w:val="006C10A0"/>
    <w:rsid w:val="006C24DC"/>
    <w:rsid w:val="006C2F3D"/>
    <w:rsid w:val="006C324B"/>
    <w:rsid w:val="006C37F6"/>
    <w:rsid w:val="006C39E2"/>
    <w:rsid w:val="006C4145"/>
    <w:rsid w:val="006C5632"/>
    <w:rsid w:val="006C5A68"/>
    <w:rsid w:val="006C7180"/>
    <w:rsid w:val="006C74A7"/>
    <w:rsid w:val="006C7BC1"/>
    <w:rsid w:val="006D1794"/>
    <w:rsid w:val="006D3E6D"/>
    <w:rsid w:val="006D417D"/>
    <w:rsid w:val="006D42A3"/>
    <w:rsid w:val="006D7B97"/>
    <w:rsid w:val="006D7D93"/>
    <w:rsid w:val="006E0459"/>
    <w:rsid w:val="006E0A5A"/>
    <w:rsid w:val="006E209D"/>
    <w:rsid w:val="006E20AB"/>
    <w:rsid w:val="006E309C"/>
    <w:rsid w:val="006E3A8F"/>
    <w:rsid w:val="006E4EF6"/>
    <w:rsid w:val="006E575D"/>
    <w:rsid w:val="006E6B00"/>
    <w:rsid w:val="006E7120"/>
    <w:rsid w:val="006E7927"/>
    <w:rsid w:val="006E7B78"/>
    <w:rsid w:val="006E7C93"/>
    <w:rsid w:val="006F0685"/>
    <w:rsid w:val="006F206A"/>
    <w:rsid w:val="006F27E8"/>
    <w:rsid w:val="006F4201"/>
    <w:rsid w:val="006F451F"/>
    <w:rsid w:val="006F498E"/>
    <w:rsid w:val="006F62E1"/>
    <w:rsid w:val="006F6880"/>
    <w:rsid w:val="006F7CE6"/>
    <w:rsid w:val="006F7E33"/>
    <w:rsid w:val="007000E3"/>
    <w:rsid w:val="00700490"/>
    <w:rsid w:val="00701899"/>
    <w:rsid w:val="00702A79"/>
    <w:rsid w:val="0070432C"/>
    <w:rsid w:val="00705092"/>
    <w:rsid w:val="007051BE"/>
    <w:rsid w:val="007065CD"/>
    <w:rsid w:val="00706857"/>
    <w:rsid w:val="00706997"/>
    <w:rsid w:val="00707528"/>
    <w:rsid w:val="007077A1"/>
    <w:rsid w:val="00707D7F"/>
    <w:rsid w:val="00710340"/>
    <w:rsid w:val="0071059A"/>
    <w:rsid w:val="00710A95"/>
    <w:rsid w:val="00710E0B"/>
    <w:rsid w:val="007113FF"/>
    <w:rsid w:val="007120C2"/>
    <w:rsid w:val="00712994"/>
    <w:rsid w:val="00713489"/>
    <w:rsid w:val="00713787"/>
    <w:rsid w:val="00713A72"/>
    <w:rsid w:val="00713BCC"/>
    <w:rsid w:val="00713CD8"/>
    <w:rsid w:val="007141FC"/>
    <w:rsid w:val="00714D02"/>
    <w:rsid w:val="00714F65"/>
    <w:rsid w:val="007154FE"/>
    <w:rsid w:val="0071557B"/>
    <w:rsid w:val="0071586A"/>
    <w:rsid w:val="00716B68"/>
    <w:rsid w:val="00722099"/>
    <w:rsid w:val="007233F2"/>
    <w:rsid w:val="00723CBA"/>
    <w:rsid w:val="00724F6D"/>
    <w:rsid w:val="00725B06"/>
    <w:rsid w:val="00726F39"/>
    <w:rsid w:val="007302D3"/>
    <w:rsid w:val="00730C08"/>
    <w:rsid w:val="00731FA1"/>
    <w:rsid w:val="007327E6"/>
    <w:rsid w:val="00733520"/>
    <w:rsid w:val="007335E6"/>
    <w:rsid w:val="00733F38"/>
    <w:rsid w:val="00733F97"/>
    <w:rsid w:val="007345EA"/>
    <w:rsid w:val="00734EC4"/>
    <w:rsid w:val="00736685"/>
    <w:rsid w:val="00736813"/>
    <w:rsid w:val="00736CAF"/>
    <w:rsid w:val="0073768D"/>
    <w:rsid w:val="00737A0B"/>
    <w:rsid w:val="00737DFA"/>
    <w:rsid w:val="00741A5D"/>
    <w:rsid w:val="00741A9E"/>
    <w:rsid w:val="0074264B"/>
    <w:rsid w:val="0074272A"/>
    <w:rsid w:val="0074291A"/>
    <w:rsid w:val="007436A7"/>
    <w:rsid w:val="007437AE"/>
    <w:rsid w:val="00743FC9"/>
    <w:rsid w:val="007447DB"/>
    <w:rsid w:val="007456F6"/>
    <w:rsid w:val="00745EB8"/>
    <w:rsid w:val="007462EC"/>
    <w:rsid w:val="007468BD"/>
    <w:rsid w:val="00750B29"/>
    <w:rsid w:val="00751A07"/>
    <w:rsid w:val="00752609"/>
    <w:rsid w:val="00753C37"/>
    <w:rsid w:val="00754080"/>
    <w:rsid w:val="00754193"/>
    <w:rsid w:val="00754E8B"/>
    <w:rsid w:val="00756CBF"/>
    <w:rsid w:val="00757175"/>
    <w:rsid w:val="0075790C"/>
    <w:rsid w:val="00757F2F"/>
    <w:rsid w:val="00760593"/>
    <w:rsid w:val="00760785"/>
    <w:rsid w:val="007612C3"/>
    <w:rsid w:val="00761460"/>
    <w:rsid w:val="00764471"/>
    <w:rsid w:val="007644BB"/>
    <w:rsid w:val="00764726"/>
    <w:rsid w:val="007651DF"/>
    <w:rsid w:val="0076759E"/>
    <w:rsid w:val="00771DC8"/>
    <w:rsid w:val="00772339"/>
    <w:rsid w:val="00774046"/>
    <w:rsid w:val="007743BA"/>
    <w:rsid w:val="007744E8"/>
    <w:rsid w:val="007746AF"/>
    <w:rsid w:val="007748E7"/>
    <w:rsid w:val="00775F2F"/>
    <w:rsid w:val="00776173"/>
    <w:rsid w:val="00776A2A"/>
    <w:rsid w:val="0077726A"/>
    <w:rsid w:val="0078107A"/>
    <w:rsid w:val="00781245"/>
    <w:rsid w:val="00781C7D"/>
    <w:rsid w:val="00782A9B"/>
    <w:rsid w:val="00782D59"/>
    <w:rsid w:val="00783702"/>
    <w:rsid w:val="00783A53"/>
    <w:rsid w:val="00783BB4"/>
    <w:rsid w:val="00783C0D"/>
    <w:rsid w:val="00784830"/>
    <w:rsid w:val="00787046"/>
    <w:rsid w:val="0078709C"/>
    <w:rsid w:val="007878F4"/>
    <w:rsid w:val="00790006"/>
    <w:rsid w:val="007902D0"/>
    <w:rsid w:val="00790575"/>
    <w:rsid w:val="00791860"/>
    <w:rsid w:val="00791A9F"/>
    <w:rsid w:val="00791DCD"/>
    <w:rsid w:val="00792C5B"/>
    <w:rsid w:val="007931EA"/>
    <w:rsid w:val="00793367"/>
    <w:rsid w:val="007936DE"/>
    <w:rsid w:val="00793F80"/>
    <w:rsid w:val="007947A7"/>
    <w:rsid w:val="00794C2E"/>
    <w:rsid w:val="00795EB8"/>
    <w:rsid w:val="0079666C"/>
    <w:rsid w:val="0079715F"/>
    <w:rsid w:val="007A0396"/>
    <w:rsid w:val="007A0527"/>
    <w:rsid w:val="007A07FC"/>
    <w:rsid w:val="007A12FA"/>
    <w:rsid w:val="007A2E58"/>
    <w:rsid w:val="007A3042"/>
    <w:rsid w:val="007A31EF"/>
    <w:rsid w:val="007A48DF"/>
    <w:rsid w:val="007A4939"/>
    <w:rsid w:val="007A652B"/>
    <w:rsid w:val="007A65BF"/>
    <w:rsid w:val="007A66AF"/>
    <w:rsid w:val="007A704A"/>
    <w:rsid w:val="007A7288"/>
    <w:rsid w:val="007B0339"/>
    <w:rsid w:val="007B0542"/>
    <w:rsid w:val="007B0FFE"/>
    <w:rsid w:val="007B106D"/>
    <w:rsid w:val="007B1591"/>
    <w:rsid w:val="007B1BE8"/>
    <w:rsid w:val="007B2489"/>
    <w:rsid w:val="007B2A26"/>
    <w:rsid w:val="007B2A90"/>
    <w:rsid w:val="007B2AF9"/>
    <w:rsid w:val="007B3920"/>
    <w:rsid w:val="007B4120"/>
    <w:rsid w:val="007B44F6"/>
    <w:rsid w:val="007B467E"/>
    <w:rsid w:val="007B501B"/>
    <w:rsid w:val="007B548F"/>
    <w:rsid w:val="007B699B"/>
    <w:rsid w:val="007B6DFC"/>
    <w:rsid w:val="007B7217"/>
    <w:rsid w:val="007B7509"/>
    <w:rsid w:val="007B7539"/>
    <w:rsid w:val="007B7AC6"/>
    <w:rsid w:val="007B7FC3"/>
    <w:rsid w:val="007B7FFE"/>
    <w:rsid w:val="007C045B"/>
    <w:rsid w:val="007C0758"/>
    <w:rsid w:val="007C1036"/>
    <w:rsid w:val="007C10C6"/>
    <w:rsid w:val="007C1A78"/>
    <w:rsid w:val="007C1E5A"/>
    <w:rsid w:val="007C2B86"/>
    <w:rsid w:val="007C4193"/>
    <w:rsid w:val="007C4BCC"/>
    <w:rsid w:val="007C5B33"/>
    <w:rsid w:val="007C6E69"/>
    <w:rsid w:val="007C73C3"/>
    <w:rsid w:val="007C75EC"/>
    <w:rsid w:val="007C7A9F"/>
    <w:rsid w:val="007D01E7"/>
    <w:rsid w:val="007D100A"/>
    <w:rsid w:val="007D1A52"/>
    <w:rsid w:val="007D1D4B"/>
    <w:rsid w:val="007D24C7"/>
    <w:rsid w:val="007D28D9"/>
    <w:rsid w:val="007D2961"/>
    <w:rsid w:val="007D42FE"/>
    <w:rsid w:val="007D4614"/>
    <w:rsid w:val="007D4645"/>
    <w:rsid w:val="007D59F7"/>
    <w:rsid w:val="007D6304"/>
    <w:rsid w:val="007D6568"/>
    <w:rsid w:val="007D729B"/>
    <w:rsid w:val="007E0393"/>
    <w:rsid w:val="007E1944"/>
    <w:rsid w:val="007E301B"/>
    <w:rsid w:val="007E3148"/>
    <w:rsid w:val="007E42D3"/>
    <w:rsid w:val="007E458E"/>
    <w:rsid w:val="007E4DEF"/>
    <w:rsid w:val="007E55FC"/>
    <w:rsid w:val="007E5AE9"/>
    <w:rsid w:val="007E7905"/>
    <w:rsid w:val="007F0AF8"/>
    <w:rsid w:val="007F1B84"/>
    <w:rsid w:val="007F2350"/>
    <w:rsid w:val="007F378E"/>
    <w:rsid w:val="007F4059"/>
    <w:rsid w:val="007F49E4"/>
    <w:rsid w:val="007F5F43"/>
    <w:rsid w:val="007F5F97"/>
    <w:rsid w:val="007F6D6A"/>
    <w:rsid w:val="007F74A6"/>
    <w:rsid w:val="00800C8F"/>
    <w:rsid w:val="00800CE7"/>
    <w:rsid w:val="00801066"/>
    <w:rsid w:val="00801485"/>
    <w:rsid w:val="00801518"/>
    <w:rsid w:val="008049E3"/>
    <w:rsid w:val="00804C85"/>
    <w:rsid w:val="00804F09"/>
    <w:rsid w:val="00806580"/>
    <w:rsid w:val="00810315"/>
    <w:rsid w:val="008105EC"/>
    <w:rsid w:val="008111F1"/>
    <w:rsid w:val="008114D4"/>
    <w:rsid w:val="00811601"/>
    <w:rsid w:val="00812071"/>
    <w:rsid w:val="008131E3"/>
    <w:rsid w:val="00813ACB"/>
    <w:rsid w:val="00814215"/>
    <w:rsid w:val="00815B52"/>
    <w:rsid w:val="008160BD"/>
    <w:rsid w:val="00816B77"/>
    <w:rsid w:val="00816E05"/>
    <w:rsid w:val="008171BF"/>
    <w:rsid w:val="008177BE"/>
    <w:rsid w:val="00823B56"/>
    <w:rsid w:val="00823D49"/>
    <w:rsid w:val="00824252"/>
    <w:rsid w:val="00824260"/>
    <w:rsid w:val="00824500"/>
    <w:rsid w:val="008245BD"/>
    <w:rsid w:val="00825ABE"/>
    <w:rsid w:val="0082607C"/>
    <w:rsid w:val="00826403"/>
    <w:rsid w:val="0083086B"/>
    <w:rsid w:val="008312A7"/>
    <w:rsid w:val="008319A9"/>
    <w:rsid w:val="00831AC6"/>
    <w:rsid w:val="00831D87"/>
    <w:rsid w:val="00831F11"/>
    <w:rsid w:val="0083382B"/>
    <w:rsid w:val="00833C36"/>
    <w:rsid w:val="008354BD"/>
    <w:rsid w:val="00837110"/>
    <w:rsid w:val="00837A86"/>
    <w:rsid w:val="00840218"/>
    <w:rsid w:val="00841062"/>
    <w:rsid w:val="00844830"/>
    <w:rsid w:val="00844E93"/>
    <w:rsid w:val="008453EA"/>
    <w:rsid w:val="008455FC"/>
    <w:rsid w:val="00845D05"/>
    <w:rsid w:val="00846636"/>
    <w:rsid w:val="008478E9"/>
    <w:rsid w:val="00847CD6"/>
    <w:rsid w:val="00850DE8"/>
    <w:rsid w:val="008510CF"/>
    <w:rsid w:val="00851924"/>
    <w:rsid w:val="00851ECE"/>
    <w:rsid w:val="00852541"/>
    <w:rsid w:val="00852E33"/>
    <w:rsid w:val="00853F10"/>
    <w:rsid w:val="00855C39"/>
    <w:rsid w:val="008563C8"/>
    <w:rsid w:val="00856B72"/>
    <w:rsid w:val="00856F08"/>
    <w:rsid w:val="00860ACF"/>
    <w:rsid w:val="00860C54"/>
    <w:rsid w:val="00861180"/>
    <w:rsid w:val="00861874"/>
    <w:rsid w:val="00863384"/>
    <w:rsid w:val="008638CA"/>
    <w:rsid w:val="00863F35"/>
    <w:rsid w:val="00864143"/>
    <w:rsid w:val="0086473C"/>
    <w:rsid w:val="00864A5D"/>
    <w:rsid w:val="008650F4"/>
    <w:rsid w:val="00866208"/>
    <w:rsid w:val="00866A4A"/>
    <w:rsid w:val="008700E7"/>
    <w:rsid w:val="00870D98"/>
    <w:rsid w:val="00871818"/>
    <w:rsid w:val="00872C2C"/>
    <w:rsid w:val="00872F18"/>
    <w:rsid w:val="00874C47"/>
    <w:rsid w:val="00875223"/>
    <w:rsid w:val="00875297"/>
    <w:rsid w:val="00877224"/>
    <w:rsid w:val="0087755E"/>
    <w:rsid w:val="0087799D"/>
    <w:rsid w:val="00877B0D"/>
    <w:rsid w:val="008803C5"/>
    <w:rsid w:val="008803DE"/>
    <w:rsid w:val="00880645"/>
    <w:rsid w:val="0088124A"/>
    <w:rsid w:val="00881CC8"/>
    <w:rsid w:val="00882044"/>
    <w:rsid w:val="0088209B"/>
    <w:rsid w:val="008820C0"/>
    <w:rsid w:val="0088269E"/>
    <w:rsid w:val="00883435"/>
    <w:rsid w:val="00883C43"/>
    <w:rsid w:val="00884478"/>
    <w:rsid w:val="00884911"/>
    <w:rsid w:val="00885324"/>
    <w:rsid w:val="00885EA5"/>
    <w:rsid w:val="008870BE"/>
    <w:rsid w:val="00887AB3"/>
    <w:rsid w:val="0089007D"/>
    <w:rsid w:val="00890527"/>
    <w:rsid w:val="00890570"/>
    <w:rsid w:val="00890801"/>
    <w:rsid w:val="00890FC1"/>
    <w:rsid w:val="00891170"/>
    <w:rsid w:val="00891176"/>
    <w:rsid w:val="00891A82"/>
    <w:rsid w:val="008925BD"/>
    <w:rsid w:val="008935C9"/>
    <w:rsid w:val="00893A88"/>
    <w:rsid w:val="0089546B"/>
    <w:rsid w:val="00895560"/>
    <w:rsid w:val="00895A66"/>
    <w:rsid w:val="00896A87"/>
    <w:rsid w:val="00897DDC"/>
    <w:rsid w:val="008A060D"/>
    <w:rsid w:val="008A0DEC"/>
    <w:rsid w:val="008A1218"/>
    <w:rsid w:val="008A1519"/>
    <w:rsid w:val="008A1CD0"/>
    <w:rsid w:val="008A2E43"/>
    <w:rsid w:val="008A3DD1"/>
    <w:rsid w:val="008A3E36"/>
    <w:rsid w:val="008A4185"/>
    <w:rsid w:val="008A5AE6"/>
    <w:rsid w:val="008A5D8D"/>
    <w:rsid w:val="008A65E8"/>
    <w:rsid w:val="008A7A46"/>
    <w:rsid w:val="008B05F9"/>
    <w:rsid w:val="008B0FB1"/>
    <w:rsid w:val="008B1C4E"/>
    <w:rsid w:val="008B2BE2"/>
    <w:rsid w:val="008B2E35"/>
    <w:rsid w:val="008B4ECD"/>
    <w:rsid w:val="008B5109"/>
    <w:rsid w:val="008B57D2"/>
    <w:rsid w:val="008B5A82"/>
    <w:rsid w:val="008B6CE2"/>
    <w:rsid w:val="008B7978"/>
    <w:rsid w:val="008B7F9D"/>
    <w:rsid w:val="008C0470"/>
    <w:rsid w:val="008C17C0"/>
    <w:rsid w:val="008C2DAB"/>
    <w:rsid w:val="008C3B42"/>
    <w:rsid w:val="008C413B"/>
    <w:rsid w:val="008C61E7"/>
    <w:rsid w:val="008C63E5"/>
    <w:rsid w:val="008C6F75"/>
    <w:rsid w:val="008C71EB"/>
    <w:rsid w:val="008C7B2C"/>
    <w:rsid w:val="008D02BC"/>
    <w:rsid w:val="008D02DF"/>
    <w:rsid w:val="008D09ED"/>
    <w:rsid w:val="008D0E2B"/>
    <w:rsid w:val="008D178C"/>
    <w:rsid w:val="008D29C5"/>
    <w:rsid w:val="008D2B2C"/>
    <w:rsid w:val="008D40DB"/>
    <w:rsid w:val="008D7003"/>
    <w:rsid w:val="008D7B82"/>
    <w:rsid w:val="008E007E"/>
    <w:rsid w:val="008E093B"/>
    <w:rsid w:val="008E09E9"/>
    <w:rsid w:val="008E0A6D"/>
    <w:rsid w:val="008E0C64"/>
    <w:rsid w:val="008E1460"/>
    <w:rsid w:val="008E1A25"/>
    <w:rsid w:val="008E2564"/>
    <w:rsid w:val="008E2FFA"/>
    <w:rsid w:val="008E3820"/>
    <w:rsid w:val="008E4591"/>
    <w:rsid w:val="008E4BDF"/>
    <w:rsid w:val="008E4FE0"/>
    <w:rsid w:val="008E58B9"/>
    <w:rsid w:val="008E6AA0"/>
    <w:rsid w:val="008E7372"/>
    <w:rsid w:val="008E7748"/>
    <w:rsid w:val="008E7967"/>
    <w:rsid w:val="008F02F6"/>
    <w:rsid w:val="008F1152"/>
    <w:rsid w:val="008F45B7"/>
    <w:rsid w:val="008F485A"/>
    <w:rsid w:val="008F4BA2"/>
    <w:rsid w:val="008F5839"/>
    <w:rsid w:val="008F6B3F"/>
    <w:rsid w:val="008F7413"/>
    <w:rsid w:val="008F784C"/>
    <w:rsid w:val="0090000F"/>
    <w:rsid w:val="0090086B"/>
    <w:rsid w:val="00901621"/>
    <w:rsid w:val="00901BF2"/>
    <w:rsid w:val="009024C2"/>
    <w:rsid w:val="00902917"/>
    <w:rsid w:val="00903708"/>
    <w:rsid w:val="00904381"/>
    <w:rsid w:val="00905687"/>
    <w:rsid w:val="00905BC4"/>
    <w:rsid w:val="00905D14"/>
    <w:rsid w:val="00906DD8"/>
    <w:rsid w:val="009072F5"/>
    <w:rsid w:val="00907468"/>
    <w:rsid w:val="00910198"/>
    <w:rsid w:val="00911AB4"/>
    <w:rsid w:val="0091223D"/>
    <w:rsid w:val="00912343"/>
    <w:rsid w:val="00913C95"/>
    <w:rsid w:val="0091430B"/>
    <w:rsid w:val="009143AB"/>
    <w:rsid w:val="00914507"/>
    <w:rsid w:val="009150AF"/>
    <w:rsid w:val="0091548D"/>
    <w:rsid w:val="00915F9D"/>
    <w:rsid w:val="00916576"/>
    <w:rsid w:val="00916701"/>
    <w:rsid w:val="0091700B"/>
    <w:rsid w:val="0091740A"/>
    <w:rsid w:val="00917A18"/>
    <w:rsid w:val="00917CC3"/>
    <w:rsid w:val="00920B91"/>
    <w:rsid w:val="00921418"/>
    <w:rsid w:val="009216F4"/>
    <w:rsid w:val="00922E7D"/>
    <w:rsid w:val="009231B8"/>
    <w:rsid w:val="00923986"/>
    <w:rsid w:val="00923EB5"/>
    <w:rsid w:val="00923F91"/>
    <w:rsid w:val="00924362"/>
    <w:rsid w:val="009254B4"/>
    <w:rsid w:val="0092599B"/>
    <w:rsid w:val="00926109"/>
    <w:rsid w:val="00926AEB"/>
    <w:rsid w:val="0092777E"/>
    <w:rsid w:val="009279E8"/>
    <w:rsid w:val="0093003D"/>
    <w:rsid w:val="0093048E"/>
    <w:rsid w:val="00931339"/>
    <w:rsid w:val="0093150D"/>
    <w:rsid w:val="00932161"/>
    <w:rsid w:val="00932208"/>
    <w:rsid w:val="0093464E"/>
    <w:rsid w:val="00934A37"/>
    <w:rsid w:val="009357F5"/>
    <w:rsid w:val="00935EA4"/>
    <w:rsid w:val="00936EF7"/>
    <w:rsid w:val="0093736E"/>
    <w:rsid w:val="0093738A"/>
    <w:rsid w:val="00940CA5"/>
    <w:rsid w:val="00940E1E"/>
    <w:rsid w:val="00941130"/>
    <w:rsid w:val="00943A9E"/>
    <w:rsid w:val="00944597"/>
    <w:rsid w:val="009445B0"/>
    <w:rsid w:val="009454D0"/>
    <w:rsid w:val="009462B0"/>
    <w:rsid w:val="00946327"/>
    <w:rsid w:val="00946C28"/>
    <w:rsid w:val="00950B73"/>
    <w:rsid w:val="00952227"/>
    <w:rsid w:val="00952AA5"/>
    <w:rsid w:val="00952C0B"/>
    <w:rsid w:val="00952E34"/>
    <w:rsid w:val="00953582"/>
    <w:rsid w:val="00953BF3"/>
    <w:rsid w:val="00953F0F"/>
    <w:rsid w:val="00954888"/>
    <w:rsid w:val="00954C53"/>
    <w:rsid w:val="00955446"/>
    <w:rsid w:val="00955EAA"/>
    <w:rsid w:val="0095604D"/>
    <w:rsid w:val="00956B3A"/>
    <w:rsid w:val="00957A60"/>
    <w:rsid w:val="00957C5A"/>
    <w:rsid w:val="009603D0"/>
    <w:rsid w:val="00960F65"/>
    <w:rsid w:val="009614BE"/>
    <w:rsid w:val="00962DD5"/>
    <w:rsid w:val="0096303A"/>
    <w:rsid w:val="009637DF"/>
    <w:rsid w:val="00963EB7"/>
    <w:rsid w:val="00964072"/>
    <w:rsid w:val="009646BB"/>
    <w:rsid w:val="009647E3"/>
    <w:rsid w:val="00966015"/>
    <w:rsid w:val="00966076"/>
    <w:rsid w:val="009675AA"/>
    <w:rsid w:val="00970558"/>
    <w:rsid w:val="009714FC"/>
    <w:rsid w:val="009719DD"/>
    <w:rsid w:val="00973857"/>
    <w:rsid w:val="0097412B"/>
    <w:rsid w:val="009746FA"/>
    <w:rsid w:val="009750B8"/>
    <w:rsid w:val="009774D6"/>
    <w:rsid w:val="00977558"/>
    <w:rsid w:val="00977CC2"/>
    <w:rsid w:val="0098010F"/>
    <w:rsid w:val="00980398"/>
    <w:rsid w:val="00980EAE"/>
    <w:rsid w:val="009813B1"/>
    <w:rsid w:val="00981535"/>
    <w:rsid w:val="00982AB5"/>
    <w:rsid w:val="00983D2B"/>
    <w:rsid w:val="00983E3A"/>
    <w:rsid w:val="0098563F"/>
    <w:rsid w:val="00986B3E"/>
    <w:rsid w:val="00986F12"/>
    <w:rsid w:val="009874C2"/>
    <w:rsid w:val="00987D52"/>
    <w:rsid w:val="009901A0"/>
    <w:rsid w:val="00990B59"/>
    <w:rsid w:val="0099112F"/>
    <w:rsid w:val="009931EB"/>
    <w:rsid w:val="009943B0"/>
    <w:rsid w:val="0099497E"/>
    <w:rsid w:val="00994FE7"/>
    <w:rsid w:val="009969CB"/>
    <w:rsid w:val="00997011"/>
    <w:rsid w:val="00997310"/>
    <w:rsid w:val="009A0587"/>
    <w:rsid w:val="009A0A77"/>
    <w:rsid w:val="009A1FBF"/>
    <w:rsid w:val="009A2592"/>
    <w:rsid w:val="009A2EC9"/>
    <w:rsid w:val="009A5269"/>
    <w:rsid w:val="009A5E47"/>
    <w:rsid w:val="009A67E8"/>
    <w:rsid w:val="009A6814"/>
    <w:rsid w:val="009A7FF7"/>
    <w:rsid w:val="009B0D3C"/>
    <w:rsid w:val="009B1387"/>
    <w:rsid w:val="009B151F"/>
    <w:rsid w:val="009B19C7"/>
    <w:rsid w:val="009B248F"/>
    <w:rsid w:val="009B36F3"/>
    <w:rsid w:val="009B3B81"/>
    <w:rsid w:val="009B4235"/>
    <w:rsid w:val="009B42B6"/>
    <w:rsid w:val="009B4D65"/>
    <w:rsid w:val="009B5780"/>
    <w:rsid w:val="009B5AF2"/>
    <w:rsid w:val="009B6389"/>
    <w:rsid w:val="009B7078"/>
    <w:rsid w:val="009B7316"/>
    <w:rsid w:val="009B7BD6"/>
    <w:rsid w:val="009B7E1C"/>
    <w:rsid w:val="009C038E"/>
    <w:rsid w:val="009C16EC"/>
    <w:rsid w:val="009C2083"/>
    <w:rsid w:val="009C438F"/>
    <w:rsid w:val="009C4966"/>
    <w:rsid w:val="009C5246"/>
    <w:rsid w:val="009C5A09"/>
    <w:rsid w:val="009C6D7F"/>
    <w:rsid w:val="009C7FA6"/>
    <w:rsid w:val="009D24EB"/>
    <w:rsid w:val="009D26DA"/>
    <w:rsid w:val="009D3A54"/>
    <w:rsid w:val="009D42DC"/>
    <w:rsid w:val="009D48A0"/>
    <w:rsid w:val="009D5D32"/>
    <w:rsid w:val="009D608E"/>
    <w:rsid w:val="009D6413"/>
    <w:rsid w:val="009D73DE"/>
    <w:rsid w:val="009D7621"/>
    <w:rsid w:val="009E0DF0"/>
    <w:rsid w:val="009E27C7"/>
    <w:rsid w:val="009E3ACA"/>
    <w:rsid w:val="009E3B89"/>
    <w:rsid w:val="009E3F73"/>
    <w:rsid w:val="009E4096"/>
    <w:rsid w:val="009E4226"/>
    <w:rsid w:val="009E45BE"/>
    <w:rsid w:val="009E4896"/>
    <w:rsid w:val="009E5AF6"/>
    <w:rsid w:val="009E5EEF"/>
    <w:rsid w:val="009E7D4B"/>
    <w:rsid w:val="009F02C0"/>
    <w:rsid w:val="009F088B"/>
    <w:rsid w:val="009F0CE3"/>
    <w:rsid w:val="009F1863"/>
    <w:rsid w:val="009F2B12"/>
    <w:rsid w:val="009F41EF"/>
    <w:rsid w:val="009F51E4"/>
    <w:rsid w:val="009F53CA"/>
    <w:rsid w:val="009F6F8C"/>
    <w:rsid w:val="009F792E"/>
    <w:rsid w:val="009F7997"/>
    <w:rsid w:val="009F7E09"/>
    <w:rsid w:val="00A006C3"/>
    <w:rsid w:val="00A00919"/>
    <w:rsid w:val="00A00C4F"/>
    <w:rsid w:val="00A0195D"/>
    <w:rsid w:val="00A01EAE"/>
    <w:rsid w:val="00A0321A"/>
    <w:rsid w:val="00A040C1"/>
    <w:rsid w:val="00A0477A"/>
    <w:rsid w:val="00A04DDE"/>
    <w:rsid w:val="00A07AB8"/>
    <w:rsid w:val="00A102C4"/>
    <w:rsid w:val="00A10799"/>
    <w:rsid w:val="00A10F1B"/>
    <w:rsid w:val="00A11880"/>
    <w:rsid w:val="00A11991"/>
    <w:rsid w:val="00A11A6E"/>
    <w:rsid w:val="00A124C7"/>
    <w:rsid w:val="00A12FDE"/>
    <w:rsid w:val="00A132A9"/>
    <w:rsid w:val="00A1393A"/>
    <w:rsid w:val="00A13A62"/>
    <w:rsid w:val="00A13D59"/>
    <w:rsid w:val="00A1421D"/>
    <w:rsid w:val="00A1461B"/>
    <w:rsid w:val="00A14835"/>
    <w:rsid w:val="00A1496E"/>
    <w:rsid w:val="00A15C8B"/>
    <w:rsid w:val="00A16498"/>
    <w:rsid w:val="00A16AE4"/>
    <w:rsid w:val="00A17251"/>
    <w:rsid w:val="00A20FC8"/>
    <w:rsid w:val="00A21324"/>
    <w:rsid w:val="00A2142E"/>
    <w:rsid w:val="00A214F5"/>
    <w:rsid w:val="00A216E0"/>
    <w:rsid w:val="00A2299E"/>
    <w:rsid w:val="00A22F2A"/>
    <w:rsid w:val="00A24179"/>
    <w:rsid w:val="00A24F14"/>
    <w:rsid w:val="00A24FE3"/>
    <w:rsid w:val="00A252A8"/>
    <w:rsid w:val="00A25664"/>
    <w:rsid w:val="00A2665F"/>
    <w:rsid w:val="00A26B6E"/>
    <w:rsid w:val="00A26E1A"/>
    <w:rsid w:val="00A31CA3"/>
    <w:rsid w:val="00A33962"/>
    <w:rsid w:val="00A34E2E"/>
    <w:rsid w:val="00A35011"/>
    <w:rsid w:val="00A3553A"/>
    <w:rsid w:val="00A3604C"/>
    <w:rsid w:val="00A368F7"/>
    <w:rsid w:val="00A36AB6"/>
    <w:rsid w:val="00A36EAE"/>
    <w:rsid w:val="00A37F02"/>
    <w:rsid w:val="00A40D81"/>
    <w:rsid w:val="00A418D0"/>
    <w:rsid w:val="00A41D02"/>
    <w:rsid w:val="00A425D3"/>
    <w:rsid w:val="00A4334F"/>
    <w:rsid w:val="00A43460"/>
    <w:rsid w:val="00A434C5"/>
    <w:rsid w:val="00A43738"/>
    <w:rsid w:val="00A438D8"/>
    <w:rsid w:val="00A44425"/>
    <w:rsid w:val="00A446E3"/>
    <w:rsid w:val="00A44DCF"/>
    <w:rsid w:val="00A4550B"/>
    <w:rsid w:val="00A45657"/>
    <w:rsid w:val="00A4586B"/>
    <w:rsid w:val="00A4591C"/>
    <w:rsid w:val="00A45C18"/>
    <w:rsid w:val="00A470F1"/>
    <w:rsid w:val="00A472BC"/>
    <w:rsid w:val="00A51419"/>
    <w:rsid w:val="00A51FAF"/>
    <w:rsid w:val="00A524BB"/>
    <w:rsid w:val="00A525A9"/>
    <w:rsid w:val="00A5303D"/>
    <w:rsid w:val="00A530CA"/>
    <w:rsid w:val="00A531B2"/>
    <w:rsid w:val="00A53F39"/>
    <w:rsid w:val="00A54D48"/>
    <w:rsid w:val="00A55C48"/>
    <w:rsid w:val="00A57229"/>
    <w:rsid w:val="00A57E95"/>
    <w:rsid w:val="00A6002D"/>
    <w:rsid w:val="00A605F2"/>
    <w:rsid w:val="00A60719"/>
    <w:rsid w:val="00A60823"/>
    <w:rsid w:val="00A60FC7"/>
    <w:rsid w:val="00A6107D"/>
    <w:rsid w:val="00A610FA"/>
    <w:rsid w:val="00A6110B"/>
    <w:rsid w:val="00A6126F"/>
    <w:rsid w:val="00A62162"/>
    <w:rsid w:val="00A62905"/>
    <w:rsid w:val="00A6340E"/>
    <w:rsid w:val="00A65025"/>
    <w:rsid w:val="00A652AE"/>
    <w:rsid w:val="00A652B9"/>
    <w:rsid w:val="00A65BC8"/>
    <w:rsid w:val="00A66BFD"/>
    <w:rsid w:val="00A66E90"/>
    <w:rsid w:val="00A67FB0"/>
    <w:rsid w:val="00A70352"/>
    <w:rsid w:val="00A705C0"/>
    <w:rsid w:val="00A7096E"/>
    <w:rsid w:val="00A70E96"/>
    <w:rsid w:val="00A71C80"/>
    <w:rsid w:val="00A72661"/>
    <w:rsid w:val="00A72B9D"/>
    <w:rsid w:val="00A72C96"/>
    <w:rsid w:val="00A755AC"/>
    <w:rsid w:val="00A75622"/>
    <w:rsid w:val="00A75C46"/>
    <w:rsid w:val="00A75D76"/>
    <w:rsid w:val="00A75FC4"/>
    <w:rsid w:val="00A761F0"/>
    <w:rsid w:val="00A775A4"/>
    <w:rsid w:val="00A77EE3"/>
    <w:rsid w:val="00A81187"/>
    <w:rsid w:val="00A815DF"/>
    <w:rsid w:val="00A817CF"/>
    <w:rsid w:val="00A834E9"/>
    <w:rsid w:val="00A83A89"/>
    <w:rsid w:val="00A83DAE"/>
    <w:rsid w:val="00A84197"/>
    <w:rsid w:val="00A84FC8"/>
    <w:rsid w:val="00A85331"/>
    <w:rsid w:val="00A8796B"/>
    <w:rsid w:val="00A90A26"/>
    <w:rsid w:val="00A90D0E"/>
    <w:rsid w:val="00A91C20"/>
    <w:rsid w:val="00A925F5"/>
    <w:rsid w:val="00A93790"/>
    <w:rsid w:val="00A943C5"/>
    <w:rsid w:val="00A94732"/>
    <w:rsid w:val="00A94E21"/>
    <w:rsid w:val="00A950C1"/>
    <w:rsid w:val="00A959AF"/>
    <w:rsid w:val="00A9621F"/>
    <w:rsid w:val="00A96244"/>
    <w:rsid w:val="00A96497"/>
    <w:rsid w:val="00A96636"/>
    <w:rsid w:val="00A96D16"/>
    <w:rsid w:val="00A97C5E"/>
    <w:rsid w:val="00AA12CD"/>
    <w:rsid w:val="00AA2403"/>
    <w:rsid w:val="00AA26EF"/>
    <w:rsid w:val="00AA3E2D"/>
    <w:rsid w:val="00AA3F75"/>
    <w:rsid w:val="00AA4329"/>
    <w:rsid w:val="00AA5A8D"/>
    <w:rsid w:val="00AA5E10"/>
    <w:rsid w:val="00AA7A59"/>
    <w:rsid w:val="00AB1457"/>
    <w:rsid w:val="00AB1BF6"/>
    <w:rsid w:val="00AB2F0F"/>
    <w:rsid w:val="00AB3C5C"/>
    <w:rsid w:val="00AB45EF"/>
    <w:rsid w:val="00AB5181"/>
    <w:rsid w:val="00AB5349"/>
    <w:rsid w:val="00AB60AD"/>
    <w:rsid w:val="00AB7156"/>
    <w:rsid w:val="00AB7FC5"/>
    <w:rsid w:val="00AC084D"/>
    <w:rsid w:val="00AC0F6C"/>
    <w:rsid w:val="00AC26DC"/>
    <w:rsid w:val="00AC2E62"/>
    <w:rsid w:val="00AC40B5"/>
    <w:rsid w:val="00AC4400"/>
    <w:rsid w:val="00AC5AA6"/>
    <w:rsid w:val="00AC5DAF"/>
    <w:rsid w:val="00AD1783"/>
    <w:rsid w:val="00AD1886"/>
    <w:rsid w:val="00AD1A0E"/>
    <w:rsid w:val="00AD1D6D"/>
    <w:rsid w:val="00AD2188"/>
    <w:rsid w:val="00AD2757"/>
    <w:rsid w:val="00AD2A41"/>
    <w:rsid w:val="00AD2C27"/>
    <w:rsid w:val="00AD2DF5"/>
    <w:rsid w:val="00AD39C3"/>
    <w:rsid w:val="00AD3C9E"/>
    <w:rsid w:val="00AD4689"/>
    <w:rsid w:val="00AD4B94"/>
    <w:rsid w:val="00AD4EA2"/>
    <w:rsid w:val="00AD509B"/>
    <w:rsid w:val="00AD521C"/>
    <w:rsid w:val="00AD53D7"/>
    <w:rsid w:val="00AD614C"/>
    <w:rsid w:val="00AD6337"/>
    <w:rsid w:val="00AD65B0"/>
    <w:rsid w:val="00AD66BC"/>
    <w:rsid w:val="00AD6D1E"/>
    <w:rsid w:val="00AD6F44"/>
    <w:rsid w:val="00AD701D"/>
    <w:rsid w:val="00AD76C8"/>
    <w:rsid w:val="00AE013B"/>
    <w:rsid w:val="00AE2A23"/>
    <w:rsid w:val="00AE3240"/>
    <w:rsid w:val="00AE39CB"/>
    <w:rsid w:val="00AE43F5"/>
    <w:rsid w:val="00AE487D"/>
    <w:rsid w:val="00AE4A33"/>
    <w:rsid w:val="00AE50D0"/>
    <w:rsid w:val="00AE595A"/>
    <w:rsid w:val="00AF00A4"/>
    <w:rsid w:val="00AF01ED"/>
    <w:rsid w:val="00AF07A6"/>
    <w:rsid w:val="00AF0DDD"/>
    <w:rsid w:val="00AF160C"/>
    <w:rsid w:val="00AF37F7"/>
    <w:rsid w:val="00AF4402"/>
    <w:rsid w:val="00AF4A51"/>
    <w:rsid w:val="00AF6182"/>
    <w:rsid w:val="00AF6431"/>
    <w:rsid w:val="00AF6AFA"/>
    <w:rsid w:val="00AF6DED"/>
    <w:rsid w:val="00AF77D9"/>
    <w:rsid w:val="00B0007D"/>
    <w:rsid w:val="00B00479"/>
    <w:rsid w:val="00B00484"/>
    <w:rsid w:val="00B01A2B"/>
    <w:rsid w:val="00B02438"/>
    <w:rsid w:val="00B02519"/>
    <w:rsid w:val="00B026F8"/>
    <w:rsid w:val="00B05573"/>
    <w:rsid w:val="00B059E9"/>
    <w:rsid w:val="00B05B31"/>
    <w:rsid w:val="00B0605A"/>
    <w:rsid w:val="00B06956"/>
    <w:rsid w:val="00B06C26"/>
    <w:rsid w:val="00B07001"/>
    <w:rsid w:val="00B07150"/>
    <w:rsid w:val="00B07236"/>
    <w:rsid w:val="00B07525"/>
    <w:rsid w:val="00B07FD2"/>
    <w:rsid w:val="00B10660"/>
    <w:rsid w:val="00B10AEF"/>
    <w:rsid w:val="00B116D0"/>
    <w:rsid w:val="00B11AA0"/>
    <w:rsid w:val="00B11FEA"/>
    <w:rsid w:val="00B12165"/>
    <w:rsid w:val="00B128E0"/>
    <w:rsid w:val="00B130EB"/>
    <w:rsid w:val="00B14DB4"/>
    <w:rsid w:val="00B14ED7"/>
    <w:rsid w:val="00B154B4"/>
    <w:rsid w:val="00B1597D"/>
    <w:rsid w:val="00B15FE2"/>
    <w:rsid w:val="00B16155"/>
    <w:rsid w:val="00B16B5C"/>
    <w:rsid w:val="00B20356"/>
    <w:rsid w:val="00B2035F"/>
    <w:rsid w:val="00B22022"/>
    <w:rsid w:val="00B22CFD"/>
    <w:rsid w:val="00B23EFA"/>
    <w:rsid w:val="00B2433F"/>
    <w:rsid w:val="00B2434D"/>
    <w:rsid w:val="00B24BA3"/>
    <w:rsid w:val="00B2615A"/>
    <w:rsid w:val="00B279BF"/>
    <w:rsid w:val="00B306B7"/>
    <w:rsid w:val="00B30747"/>
    <w:rsid w:val="00B30A6F"/>
    <w:rsid w:val="00B31A3C"/>
    <w:rsid w:val="00B326BC"/>
    <w:rsid w:val="00B329A6"/>
    <w:rsid w:val="00B332CA"/>
    <w:rsid w:val="00B349BC"/>
    <w:rsid w:val="00B36202"/>
    <w:rsid w:val="00B3654C"/>
    <w:rsid w:val="00B36F86"/>
    <w:rsid w:val="00B376EA"/>
    <w:rsid w:val="00B4051B"/>
    <w:rsid w:val="00B406D9"/>
    <w:rsid w:val="00B4095B"/>
    <w:rsid w:val="00B41487"/>
    <w:rsid w:val="00B41F4E"/>
    <w:rsid w:val="00B42030"/>
    <w:rsid w:val="00B44288"/>
    <w:rsid w:val="00B44340"/>
    <w:rsid w:val="00B447E7"/>
    <w:rsid w:val="00B4492A"/>
    <w:rsid w:val="00B45EB3"/>
    <w:rsid w:val="00B4698B"/>
    <w:rsid w:val="00B47478"/>
    <w:rsid w:val="00B4789F"/>
    <w:rsid w:val="00B478D5"/>
    <w:rsid w:val="00B5058F"/>
    <w:rsid w:val="00B5127A"/>
    <w:rsid w:val="00B51311"/>
    <w:rsid w:val="00B51481"/>
    <w:rsid w:val="00B519FB"/>
    <w:rsid w:val="00B51A02"/>
    <w:rsid w:val="00B51F47"/>
    <w:rsid w:val="00B522AF"/>
    <w:rsid w:val="00B52329"/>
    <w:rsid w:val="00B52860"/>
    <w:rsid w:val="00B53E39"/>
    <w:rsid w:val="00B5456A"/>
    <w:rsid w:val="00B55361"/>
    <w:rsid w:val="00B56AC3"/>
    <w:rsid w:val="00B56D77"/>
    <w:rsid w:val="00B573C7"/>
    <w:rsid w:val="00B57B05"/>
    <w:rsid w:val="00B6099D"/>
    <w:rsid w:val="00B609EA"/>
    <w:rsid w:val="00B60DE0"/>
    <w:rsid w:val="00B6211C"/>
    <w:rsid w:val="00B62735"/>
    <w:rsid w:val="00B632D6"/>
    <w:rsid w:val="00B6341A"/>
    <w:rsid w:val="00B6394D"/>
    <w:rsid w:val="00B639DB"/>
    <w:rsid w:val="00B6404B"/>
    <w:rsid w:val="00B64519"/>
    <w:rsid w:val="00B64D01"/>
    <w:rsid w:val="00B650BC"/>
    <w:rsid w:val="00B656C0"/>
    <w:rsid w:val="00B66A02"/>
    <w:rsid w:val="00B72B22"/>
    <w:rsid w:val="00B742DD"/>
    <w:rsid w:val="00B743E1"/>
    <w:rsid w:val="00B757A4"/>
    <w:rsid w:val="00B75B21"/>
    <w:rsid w:val="00B76F2B"/>
    <w:rsid w:val="00B773E5"/>
    <w:rsid w:val="00B77A8C"/>
    <w:rsid w:val="00B80430"/>
    <w:rsid w:val="00B80777"/>
    <w:rsid w:val="00B81C48"/>
    <w:rsid w:val="00B81CB4"/>
    <w:rsid w:val="00B82076"/>
    <w:rsid w:val="00B82632"/>
    <w:rsid w:val="00B82CCC"/>
    <w:rsid w:val="00B831F6"/>
    <w:rsid w:val="00B851C6"/>
    <w:rsid w:val="00B85EC6"/>
    <w:rsid w:val="00B868E3"/>
    <w:rsid w:val="00B90454"/>
    <w:rsid w:val="00B91590"/>
    <w:rsid w:val="00B91648"/>
    <w:rsid w:val="00B91A8A"/>
    <w:rsid w:val="00B91AEC"/>
    <w:rsid w:val="00B91DD1"/>
    <w:rsid w:val="00B91EA3"/>
    <w:rsid w:val="00B91FAC"/>
    <w:rsid w:val="00B93DDB"/>
    <w:rsid w:val="00B94257"/>
    <w:rsid w:val="00B9548A"/>
    <w:rsid w:val="00B955AD"/>
    <w:rsid w:val="00B965DA"/>
    <w:rsid w:val="00B967B0"/>
    <w:rsid w:val="00B96C2A"/>
    <w:rsid w:val="00B96C32"/>
    <w:rsid w:val="00B97D53"/>
    <w:rsid w:val="00BA028B"/>
    <w:rsid w:val="00BA086F"/>
    <w:rsid w:val="00BA1454"/>
    <w:rsid w:val="00BA2253"/>
    <w:rsid w:val="00BA2764"/>
    <w:rsid w:val="00BA301E"/>
    <w:rsid w:val="00BA3B53"/>
    <w:rsid w:val="00BA47E8"/>
    <w:rsid w:val="00BA4C46"/>
    <w:rsid w:val="00BA6111"/>
    <w:rsid w:val="00BA6582"/>
    <w:rsid w:val="00BA68EA"/>
    <w:rsid w:val="00BA6909"/>
    <w:rsid w:val="00BA6CD9"/>
    <w:rsid w:val="00BA7613"/>
    <w:rsid w:val="00BB0FBE"/>
    <w:rsid w:val="00BB1D1D"/>
    <w:rsid w:val="00BB2A0E"/>
    <w:rsid w:val="00BB3C56"/>
    <w:rsid w:val="00BB4CD7"/>
    <w:rsid w:val="00BB622E"/>
    <w:rsid w:val="00BB6594"/>
    <w:rsid w:val="00BB6655"/>
    <w:rsid w:val="00BB6C6F"/>
    <w:rsid w:val="00BB719A"/>
    <w:rsid w:val="00BC0027"/>
    <w:rsid w:val="00BC0C40"/>
    <w:rsid w:val="00BC0F72"/>
    <w:rsid w:val="00BC10AB"/>
    <w:rsid w:val="00BC1DA4"/>
    <w:rsid w:val="00BC1F42"/>
    <w:rsid w:val="00BC2008"/>
    <w:rsid w:val="00BC2B71"/>
    <w:rsid w:val="00BC2DFE"/>
    <w:rsid w:val="00BC36F3"/>
    <w:rsid w:val="00BC3DDF"/>
    <w:rsid w:val="00BC40D8"/>
    <w:rsid w:val="00BC4F74"/>
    <w:rsid w:val="00BC4F98"/>
    <w:rsid w:val="00BC61D3"/>
    <w:rsid w:val="00BC63D8"/>
    <w:rsid w:val="00BC7B33"/>
    <w:rsid w:val="00BD023A"/>
    <w:rsid w:val="00BD0965"/>
    <w:rsid w:val="00BD101E"/>
    <w:rsid w:val="00BD253B"/>
    <w:rsid w:val="00BD257B"/>
    <w:rsid w:val="00BD3370"/>
    <w:rsid w:val="00BD3A82"/>
    <w:rsid w:val="00BD40C8"/>
    <w:rsid w:val="00BD6648"/>
    <w:rsid w:val="00BE0076"/>
    <w:rsid w:val="00BE099C"/>
    <w:rsid w:val="00BE0E93"/>
    <w:rsid w:val="00BE11A2"/>
    <w:rsid w:val="00BE14EA"/>
    <w:rsid w:val="00BE2B0A"/>
    <w:rsid w:val="00BE2BD5"/>
    <w:rsid w:val="00BE39F4"/>
    <w:rsid w:val="00BE480D"/>
    <w:rsid w:val="00BE5DF0"/>
    <w:rsid w:val="00BE69CD"/>
    <w:rsid w:val="00BE6B8D"/>
    <w:rsid w:val="00BE6DB6"/>
    <w:rsid w:val="00BF2050"/>
    <w:rsid w:val="00BF225E"/>
    <w:rsid w:val="00BF3B19"/>
    <w:rsid w:val="00BF4D4E"/>
    <w:rsid w:val="00BF5628"/>
    <w:rsid w:val="00BF5DE8"/>
    <w:rsid w:val="00BF64FD"/>
    <w:rsid w:val="00C00117"/>
    <w:rsid w:val="00C006A7"/>
    <w:rsid w:val="00C01653"/>
    <w:rsid w:val="00C01B52"/>
    <w:rsid w:val="00C020B7"/>
    <w:rsid w:val="00C0266E"/>
    <w:rsid w:val="00C02F8C"/>
    <w:rsid w:val="00C03941"/>
    <w:rsid w:val="00C04E6E"/>
    <w:rsid w:val="00C05479"/>
    <w:rsid w:val="00C05960"/>
    <w:rsid w:val="00C05CD7"/>
    <w:rsid w:val="00C06448"/>
    <w:rsid w:val="00C06560"/>
    <w:rsid w:val="00C0797C"/>
    <w:rsid w:val="00C10020"/>
    <w:rsid w:val="00C10402"/>
    <w:rsid w:val="00C112D5"/>
    <w:rsid w:val="00C11ABE"/>
    <w:rsid w:val="00C11E87"/>
    <w:rsid w:val="00C13671"/>
    <w:rsid w:val="00C1389C"/>
    <w:rsid w:val="00C13AFE"/>
    <w:rsid w:val="00C14AF9"/>
    <w:rsid w:val="00C14B88"/>
    <w:rsid w:val="00C15196"/>
    <w:rsid w:val="00C167A5"/>
    <w:rsid w:val="00C16A88"/>
    <w:rsid w:val="00C16B1C"/>
    <w:rsid w:val="00C173A4"/>
    <w:rsid w:val="00C1746D"/>
    <w:rsid w:val="00C20E17"/>
    <w:rsid w:val="00C224FA"/>
    <w:rsid w:val="00C2375A"/>
    <w:rsid w:val="00C23FEA"/>
    <w:rsid w:val="00C244E0"/>
    <w:rsid w:val="00C2458A"/>
    <w:rsid w:val="00C269DA"/>
    <w:rsid w:val="00C26ABC"/>
    <w:rsid w:val="00C27A5C"/>
    <w:rsid w:val="00C305F0"/>
    <w:rsid w:val="00C307C6"/>
    <w:rsid w:val="00C30D4A"/>
    <w:rsid w:val="00C30F09"/>
    <w:rsid w:val="00C3137D"/>
    <w:rsid w:val="00C317C4"/>
    <w:rsid w:val="00C31D0A"/>
    <w:rsid w:val="00C33F02"/>
    <w:rsid w:val="00C346ED"/>
    <w:rsid w:val="00C35AA0"/>
    <w:rsid w:val="00C35D3C"/>
    <w:rsid w:val="00C35DAB"/>
    <w:rsid w:val="00C35E2D"/>
    <w:rsid w:val="00C3601C"/>
    <w:rsid w:val="00C36539"/>
    <w:rsid w:val="00C36A74"/>
    <w:rsid w:val="00C3764F"/>
    <w:rsid w:val="00C37D3C"/>
    <w:rsid w:val="00C40C54"/>
    <w:rsid w:val="00C418A1"/>
    <w:rsid w:val="00C42473"/>
    <w:rsid w:val="00C42745"/>
    <w:rsid w:val="00C43001"/>
    <w:rsid w:val="00C430E8"/>
    <w:rsid w:val="00C44A72"/>
    <w:rsid w:val="00C44F67"/>
    <w:rsid w:val="00C45A18"/>
    <w:rsid w:val="00C46527"/>
    <w:rsid w:val="00C46B7E"/>
    <w:rsid w:val="00C474AD"/>
    <w:rsid w:val="00C47B09"/>
    <w:rsid w:val="00C502CD"/>
    <w:rsid w:val="00C5089C"/>
    <w:rsid w:val="00C5137B"/>
    <w:rsid w:val="00C514C4"/>
    <w:rsid w:val="00C519FD"/>
    <w:rsid w:val="00C54391"/>
    <w:rsid w:val="00C54429"/>
    <w:rsid w:val="00C554B5"/>
    <w:rsid w:val="00C56EA5"/>
    <w:rsid w:val="00C57C78"/>
    <w:rsid w:val="00C60D11"/>
    <w:rsid w:val="00C60DA8"/>
    <w:rsid w:val="00C610AC"/>
    <w:rsid w:val="00C610B8"/>
    <w:rsid w:val="00C61864"/>
    <w:rsid w:val="00C621F9"/>
    <w:rsid w:val="00C628FF"/>
    <w:rsid w:val="00C6358A"/>
    <w:rsid w:val="00C635EF"/>
    <w:rsid w:val="00C64BAB"/>
    <w:rsid w:val="00C659D2"/>
    <w:rsid w:val="00C65DB1"/>
    <w:rsid w:val="00C67C28"/>
    <w:rsid w:val="00C67D95"/>
    <w:rsid w:val="00C702FB"/>
    <w:rsid w:val="00C70B5F"/>
    <w:rsid w:val="00C7171A"/>
    <w:rsid w:val="00C72355"/>
    <w:rsid w:val="00C735DC"/>
    <w:rsid w:val="00C744BA"/>
    <w:rsid w:val="00C75534"/>
    <w:rsid w:val="00C75D5D"/>
    <w:rsid w:val="00C75D90"/>
    <w:rsid w:val="00C76E39"/>
    <w:rsid w:val="00C775E6"/>
    <w:rsid w:val="00C80395"/>
    <w:rsid w:val="00C80A65"/>
    <w:rsid w:val="00C81FDE"/>
    <w:rsid w:val="00C82412"/>
    <w:rsid w:val="00C825AB"/>
    <w:rsid w:val="00C828F3"/>
    <w:rsid w:val="00C82D8D"/>
    <w:rsid w:val="00C8388D"/>
    <w:rsid w:val="00C83E13"/>
    <w:rsid w:val="00C84417"/>
    <w:rsid w:val="00C84A05"/>
    <w:rsid w:val="00C86E05"/>
    <w:rsid w:val="00C87094"/>
    <w:rsid w:val="00C87273"/>
    <w:rsid w:val="00C8744A"/>
    <w:rsid w:val="00C9032D"/>
    <w:rsid w:val="00C90D17"/>
    <w:rsid w:val="00C91062"/>
    <w:rsid w:val="00C919F2"/>
    <w:rsid w:val="00C9235E"/>
    <w:rsid w:val="00C9298D"/>
    <w:rsid w:val="00C92BF8"/>
    <w:rsid w:val="00C92E08"/>
    <w:rsid w:val="00C93567"/>
    <w:rsid w:val="00C94170"/>
    <w:rsid w:val="00C9447E"/>
    <w:rsid w:val="00C94E62"/>
    <w:rsid w:val="00C954FE"/>
    <w:rsid w:val="00C95A8A"/>
    <w:rsid w:val="00C96466"/>
    <w:rsid w:val="00C97253"/>
    <w:rsid w:val="00C97510"/>
    <w:rsid w:val="00C97E6C"/>
    <w:rsid w:val="00CA0457"/>
    <w:rsid w:val="00CA0541"/>
    <w:rsid w:val="00CA0563"/>
    <w:rsid w:val="00CA2DA2"/>
    <w:rsid w:val="00CA3587"/>
    <w:rsid w:val="00CA3B4C"/>
    <w:rsid w:val="00CA4458"/>
    <w:rsid w:val="00CA46BA"/>
    <w:rsid w:val="00CA4E2F"/>
    <w:rsid w:val="00CA59AA"/>
    <w:rsid w:val="00CA5E60"/>
    <w:rsid w:val="00CA693B"/>
    <w:rsid w:val="00CA6A75"/>
    <w:rsid w:val="00CA6C68"/>
    <w:rsid w:val="00CA6E63"/>
    <w:rsid w:val="00CA7D84"/>
    <w:rsid w:val="00CB02B9"/>
    <w:rsid w:val="00CB07E5"/>
    <w:rsid w:val="00CB1111"/>
    <w:rsid w:val="00CB1767"/>
    <w:rsid w:val="00CB3287"/>
    <w:rsid w:val="00CB36E7"/>
    <w:rsid w:val="00CB43B8"/>
    <w:rsid w:val="00CB49BE"/>
    <w:rsid w:val="00CB6476"/>
    <w:rsid w:val="00CB65FD"/>
    <w:rsid w:val="00CB6A1C"/>
    <w:rsid w:val="00CB6E37"/>
    <w:rsid w:val="00CB75A4"/>
    <w:rsid w:val="00CB78D9"/>
    <w:rsid w:val="00CC0553"/>
    <w:rsid w:val="00CC0787"/>
    <w:rsid w:val="00CC1A23"/>
    <w:rsid w:val="00CC34A4"/>
    <w:rsid w:val="00CC3764"/>
    <w:rsid w:val="00CC3A1A"/>
    <w:rsid w:val="00CC3A89"/>
    <w:rsid w:val="00CC3C32"/>
    <w:rsid w:val="00CC5440"/>
    <w:rsid w:val="00CC57B1"/>
    <w:rsid w:val="00CC5AE7"/>
    <w:rsid w:val="00CC6E13"/>
    <w:rsid w:val="00CC74B0"/>
    <w:rsid w:val="00CC7BB8"/>
    <w:rsid w:val="00CC7CF5"/>
    <w:rsid w:val="00CD005F"/>
    <w:rsid w:val="00CD0434"/>
    <w:rsid w:val="00CD1AF2"/>
    <w:rsid w:val="00CD1C49"/>
    <w:rsid w:val="00CD22D7"/>
    <w:rsid w:val="00CD3A14"/>
    <w:rsid w:val="00CD3D29"/>
    <w:rsid w:val="00CD5416"/>
    <w:rsid w:val="00CD690F"/>
    <w:rsid w:val="00CD728E"/>
    <w:rsid w:val="00CD7465"/>
    <w:rsid w:val="00CD7F5F"/>
    <w:rsid w:val="00CE029B"/>
    <w:rsid w:val="00CE03B8"/>
    <w:rsid w:val="00CE0476"/>
    <w:rsid w:val="00CE057B"/>
    <w:rsid w:val="00CE15FD"/>
    <w:rsid w:val="00CE16F5"/>
    <w:rsid w:val="00CE1887"/>
    <w:rsid w:val="00CE19DB"/>
    <w:rsid w:val="00CE2890"/>
    <w:rsid w:val="00CE36AD"/>
    <w:rsid w:val="00CE3871"/>
    <w:rsid w:val="00CE38F4"/>
    <w:rsid w:val="00CE4090"/>
    <w:rsid w:val="00CE4637"/>
    <w:rsid w:val="00CE4DBD"/>
    <w:rsid w:val="00CE5E44"/>
    <w:rsid w:val="00CE76AD"/>
    <w:rsid w:val="00CE7841"/>
    <w:rsid w:val="00CF015D"/>
    <w:rsid w:val="00CF1927"/>
    <w:rsid w:val="00CF1A82"/>
    <w:rsid w:val="00CF1AB1"/>
    <w:rsid w:val="00CF2837"/>
    <w:rsid w:val="00CF458F"/>
    <w:rsid w:val="00CF5966"/>
    <w:rsid w:val="00CF5ADC"/>
    <w:rsid w:val="00CF5AF3"/>
    <w:rsid w:val="00CF5D67"/>
    <w:rsid w:val="00CF71AB"/>
    <w:rsid w:val="00CF7366"/>
    <w:rsid w:val="00CF7913"/>
    <w:rsid w:val="00CF7D51"/>
    <w:rsid w:val="00D02F94"/>
    <w:rsid w:val="00D038C2"/>
    <w:rsid w:val="00D03926"/>
    <w:rsid w:val="00D03B85"/>
    <w:rsid w:val="00D05366"/>
    <w:rsid w:val="00D056F1"/>
    <w:rsid w:val="00D05912"/>
    <w:rsid w:val="00D06E1E"/>
    <w:rsid w:val="00D11AF3"/>
    <w:rsid w:val="00D13564"/>
    <w:rsid w:val="00D13AD3"/>
    <w:rsid w:val="00D142A6"/>
    <w:rsid w:val="00D159F7"/>
    <w:rsid w:val="00D1627E"/>
    <w:rsid w:val="00D16B7C"/>
    <w:rsid w:val="00D2082A"/>
    <w:rsid w:val="00D20F57"/>
    <w:rsid w:val="00D2169B"/>
    <w:rsid w:val="00D22619"/>
    <w:rsid w:val="00D23C86"/>
    <w:rsid w:val="00D242D3"/>
    <w:rsid w:val="00D24476"/>
    <w:rsid w:val="00D251A9"/>
    <w:rsid w:val="00D25442"/>
    <w:rsid w:val="00D261F3"/>
    <w:rsid w:val="00D26A33"/>
    <w:rsid w:val="00D31B94"/>
    <w:rsid w:val="00D31CBD"/>
    <w:rsid w:val="00D3220E"/>
    <w:rsid w:val="00D32AFA"/>
    <w:rsid w:val="00D33266"/>
    <w:rsid w:val="00D33496"/>
    <w:rsid w:val="00D341E2"/>
    <w:rsid w:val="00D3684D"/>
    <w:rsid w:val="00D36EDE"/>
    <w:rsid w:val="00D40225"/>
    <w:rsid w:val="00D41466"/>
    <w:rsid w:val="00D4224D"/>
    <w:rsid w:val="00D426BF"/>
    <w:rsid w:val="00D44084"/>
    <w:rsid w:val="00D44391"/>
    <w:rsid w:val="00D44529"/>
    <w:rsid w:val="00D448AD"/>
    <w:rsid w:val="00D449B8"/>
    <w:rsid w:val="00D44B69"/>
    <w:rsid w:val="00D44F3A"/>
    <w:rsid w:val="00D45981"/>
    <w:rsid w:val="00D4623F"/>
    <w:rsid w:val="00D4631A"/>
    <w:rsid w:val="00D46675"/>
    <w:rsid w:val="00D473A8"/>
    <w:rsid w:val="00D473ED"/>
    <w:rsid w:val="00D479DA"/>
    <w:rsid w:val="00D50F5F"/>
    <w:rsid w:val="00D50F85"/>
    <w:rsid w:val="00D517CC"/>
    <w:rsid w:val="00D518B4"/>
    <w:rsid w:val="00D518D9"/>
    <w:rsid w:val="00D521FB"/>
    <w:rsid w:val="00D52837"/>
    <w:rsid w:val="00D534FD"/>
    <w:rsid w:val="00D5374D"/>
    <w:rsid w:val="00D537B4"/>
    <w:rsid w:val="00D54309"/>
    <w:rsid w:val="00D55807"/>
    <w:rsid w:val="00D5686E"/>
    <w:rsid w:val="00D5710F"/>
    <w:rsid w:val="00D5717A"/>
    <w:rsid w:val="00D5774C"/>
    <w:rsid w:val="00D60B1D"/>
    <w:rsid w:val="00D6108F"/>
    <w:rsid w:val="00D61FE7"/>
    <w:rsid w:val="00D6296E"/>
    <w:rsid w:val="00D63EC0"/>
    <w:rsid w:val="00D6417C"/>
    <w:rsid w:val="00D64C16"/>
    <w:rsid w:val="00D64D2F"/>
    <w:rsid w:val="00D65295"/>
    <w:rsid w:val="00D65B01"/>
    <w:rsid w:val="00D67027"/>
    <w:rsid w:val="00D676F4"/>
    <w:rsid w:val="00D67EAE"/>
    <w:rsid w:val="00D67FB2"/>
    <w:rsid w:val="00D704A0"/>
    <w:rsid w:val="00D704EE"/>
    <w:rsid w:val="00D70D31"/>
    <w:rsid w:val="00D70DFB"/>
    <w:rsid w:val="00D714E5"/>
    <w:rsid w:val="00D72069"/>
    <w:rsid w:val="00D7239E"/>
    <w:rsid w:val="00D72E30"/>
    <w:rsid w:val="00D7346A"/>
    <w:rsid w:val="00D73593"/>
    <w:rsid w:val="00D73E51"/>
    <w:rsid w:val="00D7427D"/>
    <w:rsid w:val="00D756CF"/>
    <w:rsid w:val="00D75E94"/>
    <w:rsid w:val="00D763EC"/>
    <w:rsid w:val="00D76428"/>
    <w:rsid w:val="00D76768"/>
    <w:rsid w:val="00D76A72"/>
    <w:rsid w:val="00D77173"/>
    <w:rsid w:val="00D7737F"/>
    <w:rsid w:val="00D77AB2"/>
    <w:rsid w:val="00D804A5"/>
    <w:rsid w:val="00D807BC"/>
    <w:rsid w:val="00D820D9"/>
    <w:rsid w:val="00D84D47"/>
    <w:rsid w:val="00D85AFD"/>
    <w:rsid w:val="00D86A9B"/>
    <w:rsid w:val="00D86D43"/>
    <w:rsid w:val="00D87CFD"/>
    <w:rsid w:val="00D90D0C"/>
    <w:rsid w:val="00D90D3F"/>
    <w:rsid w:val="00D90EDC"/>
    <w:rsid w:val="00D90FC0"/>
    <w:rsid w:val="00D9171A"/>
    <w:rsid w:val="00D91C8A"/>
    <w:rsid w:val="00D91C96"/>
    <w:rsid w:val="00D935B2"/>
    <w:rsid w:val="00D94441"/>
    <w:rsid w:val="00D94804"/>
    <w:rsid w:val="00D94EC6"/>
    <w:rsid w:val="00D95B27"/>
    <w:rsid w:val="00D96D36"/>
    <w:rsid w:val="00DA0FD5"/>
    <w:rsid w:val="00DA11A2"/>
    <w:rsid w:val="00DA1631"/>
    <w:rsid w:val="00DA1A86"/>
    <w:rsid w:val="00DA268A"/>
    <w:rsid w:val="00DA3B78"/>
    <w:rsid w:val="00DA3C73"/>
    <w:rsid w:val="00DA50BF"/>
    <w:rsid w:val="00DA5EEC"/>
    <w:rsid w:val="00DA6109"/>
    <w:rsid w:val="00DA6E30"/>
    <w:rsid w:val="00DA784C"/>
    <w:rsid w:val="00DB08DE"/>
    <w:rsid w:val="00DB0EB6"/>
    <w:rsid w:val="00DB1D00"/>
    <w:rsid w:val="00DB25D1"/>
    <w:rsid w:val="00DB272B"/>
    <w:rsid w:val="00DB33C9"/>
    <w:rsid w:val="00DB3C8A"/>
    <w:rsid w:val="00DB427C"/>
    <w:rsid w:val="00DB4C17"/>
    <w:rsid w:val="00DB4D51"/>
    <w:rsid w:val="00DB4F9A"/>
    <w:rsid w:val="00DB6524"/>
    <w:rsid w:val="00DB6527"/>
    <w:rsid w:val="00DB6BE8"/>
    <w:rsid w:val="00DC09D2"/>
    <w:rsid w:val="00DC0E17"/>
    <w:rsid w:val="00DC1007"/>
    <w:rsid w:val="00DC12AA"/>
    <w:rsid w:val="00DC18BF"/>
    <w:rsid w:val="00DC2719"/>
    <w:rsid w:val="00DC2940"/>
    <w:rsid w:val="00DC361C"/>
    <w:rsid w:val="00DC39FA"/>
    <w:rsid w:val="00DC3BDD"/>
    <w:rsid w:val="00DC4B36"/>
    <w:rsid w:val="00DC4FFD"/>
    <w:rsid w:val="00DC63B0"/>
    <w:rsid w:val="00DC650A"/>
    <w:rsid w:val="00DC75F7"/>
    <w:rsid w:val="00DC79C8"/>
    <w:rsid w:val="00DD0A2B"/>
    <w:rsid w:val="00DD0A67"/>
    <w:rsid w:val="00DD163A"/>
    <w:rsid w:val="00DD19F6"/>
    <w:rsid w:val="00DD2DC5"/>
    <w:rsid w:val="00DD2F21"/>
    <w:rsid w:val="00DD30AD"/>
    <w:rsid w:val="00DD3593"/>
    <w:rsid w:val="00DD4218"/>
    <w:rsid w:val="00DD5944"/>
    <w:rsid w:val="00DD6BED"/>
    <w:rsid w:val="00DE0076"/>
    <w:rsid w:val="00DE064E"/>
    <w:rsid w:val="00DE1C5A"/>
    <w:rsid w:val="00DE28D9"/>
    <w:rsid w:val="00DE2CF0"/>
    <w:rsid w:val="00DE35DF"/>
    <w:rsid w:val="00DE4B9F"/>
    <w:rsid w:val="00DE4D9D"/>
    <w:rsid w:val="00DE51F3"/>
    <w:rsid w:val="00DE5219"/>
    <w:rsid w:val="00DE5630"/>
    <w:rsid w:val="00DE60CF"/>
    <w:rsid w:val="00DE69F8"/>
    <w:rsid w:val="00DE6CBE"/>
    <w:rsid w:val="00DE74EB"/>
    <w:rsid w:val="00DE76CB"/>
    <w:rsid w:val="00DF0057"/>
    <w:rsid w:val="00DF0C5C"/>
    <w:rsid w:val="00DF1F66"/>
    <w:rsid w:val="00DF3411"/>
    <w:rsid w:val="00DF5046"/>
    <w:rsid w:val="00DF6E4E"/>
    <w:rsid w:val="00E00C3B"/>
    <w:rsid w:val="00E013ED"/>
    <w:rsid w:val="00E02084"/>
    <w:rsid w:val="00E024D5"/>
    <w:rsid w:val="00E02501"/>
    <w:rsid w:val="00E02709"/>
    <w:rsid w:val="00E0396D"/>
    <w:rsid w:val="00E03E5D"/>
    <w:rsid w:val="00E041B4"/>
    <w:rsid w:val="00E0484C"/>
    <w:rsid w:val="00E049FD"/>
    <w:rsid w:val="00E04C61"/>
    <w:rsid w:val="00E0559D"/>
    <w:rsid w:val="00E0564C"/>
    <w:rsid w:val="00E05D44"/>
    <w:rsid w:val="00E061E2"/>
    <w:rsid w:val="00E0643C"/>
    <w:rsid w:val="00E06AE2"/>
    <w:rsid w:val="00E06F7D"/>
    <w:rsid w:val="00E07814"/>
    <w:rsid w:val="00E10507"/>
    <w:rsid w:val="00E10ABD"/>
    <w:rsid w:val="00E10B21"/>
    <w:rsid w:val="00E118D3"/>
    <w:rsid w:val="00E1252E"/>
    <w:rsid w:val="00E12955"/>
    <w:rsid w:val="00E15248"/>
    <w:rsid w:val="00E162F5"/>
    <w:rsid w:val="00E21618"/>
    <w:rsid w:val="00E21CD2"/>
    <w:rsid w:val="00E21F6D"/>
    <w:rsid w:val="00E2231A"/>
    <w:rsid w:val="00E22A83"/>
    <w:rsid w:val="00E22F12"/>
    <w:rsid w:val="00E235E6"/>
    <w:rsid w:val="00E2476A"/>
    <w:rsid w:val="00E248D0"/>
    <w:rsid w:val="00E2506C"/>
    <w:rsid w:val="00E25203"/>
    <w:rsid w:val="00E25767"/>
    <w:rsid w:val="00E259DA"/>
    <w:rsid w:val="00E25A1D"/>
    <w:rsid w:val="00E25E47"/>
    <w:rsid w:val="00E25EA4"/>
    <w:rsid w:val="00E2701E"/>
    <w:rsid w:val="00E27952"/>
    <w:rsid w:val="00E30F30"/>
    <w:rsid w:val="00E3187F"/>
    <w:rsid w:val="00E32012"/>
    <w:rsid w:val="00E3201B"/>
    <w:rsid w:val="00E320AD"/>
    <w:rsid w:val="00E32A95"/>
    <w:rsid w:val="00E32C21"/>
    <w:rsid w:val="00E33B29"/>
    <w:rsid w:val="00E33E8A"/>
    <w:rsid w:val="00E34BA4"/>
    <w:rsid w:val="00E36D9A"/>
    <w:rsid w:val="00E373F2"/>
    <w:rsid w:val="00E378E1"/>
    <w:rsid w:val="00E37C05"/>
    <w:rsid w:val="00E40AB5"/>
    <w:rsid w:val="00E40F49"/>
    <w:rsid w:val="00E4150C"/>
    <w:rsid w:val="00E4260C"/>
    <w:rsid w:val="00E436B5"/>
    <w:rsid w:val="00E43D35"/>
    <w:rsid w:val="00E43E72"/>
    <w:rsid w:val="00E446CE"/>
    <w:rsid w:val="00E46F68"/>
    <w:rsid w:val="00E50DE4"/>
    <w:rsid w:val="00E51464"/>
    <w:rsid w:val="00E516BD"/>
    <w:rsid w:val="00E516EF"/>
    <w:rsid w:val="00E51BF6"/>
    <w:rsid w:val="00E522F3"/>
    <w:rsid w:val="00E52483"/>
    <w:rsid w:val="00E52C43"/>
    <w:rsid w:val="00E52CC1"/>
    <w:rsid w:val="00E52F65"/>
    <w:rsid w:val="00E53663"/>
    <w:rsid w:val="00E54139"/>
    <w:rsid w:val="00E54251"/>
    <w:rsid w:val="00E55457"/>
    <w:rsid w:val="00E55E5E"/>
    <w:rsid w:val="00E560BF"/>
    <w:rsid w:val="00E56524"/>
    <w:rsid w:val="00E57FA8"/>
    <w:rsid w:val="00E6182F"/>
    <w:rsid w:val="00E62233"/>
    <w:rsid w:val="00E62EB1"/>
    <w:rsid w:val="00E637E5"/>
    <w:rsid w:val="00E641FE"/>
    <w:rsid w:val="00E65192"/>
    <w:rsid w:val="00E6523C"/>
    <w:rsid w:val="00E654A6"/>
    <w:rsid w:val="00E65AA3"/>
    <w:rsid w:val="00E65ED4"/>
    <w:rsid w:val="00E66BF2"/>
    <w:rsid w:val="00E67138"/>
    <w:rsid w:val="00E6733F"/>
    <w:rsid w:val="00E70A70"/>
    <w:rsid w:val="00E7125B"/>
    <w:rsid w:val="00E7268F"/>
    <w:rsid w:val="00E72879"/>
    <w:rsid w:val="00E733C0"/>
    <w:rsid w:val="00E7373C"/>
    <w:rsid w:val="00E73AEB"/>
    <w:rsid w:val="00E74772"/>
    <w:rsid w:val="00E75801"/>
    <w:rsid w:val="00E76711"/>
    <w:rsid w:val="00E770A3"/>
    <w:rsid w:val="00E77677"/>
    <w:rsid w:val="00E77FB0"/>
    <w:rsid w:val="00E81101"/>
    <w:rsid w:val="00E81819"/>
    <w:rsid w:val="00E82013"/>
    <w:rsid w:val="00E821E1"/>
    <w:rsid w:val="00E82CB9"/>
    <w:rsid w:val="00E84297"/>
    <w:rsid w:val="00E84EBF"/>
    <w:rsid w:val="00E8691C"/>
    <w:rsid w:val="00E86F1E"/>
    <w:rsid w:val="00E875B8"/>
    <w:rsid w:val="00E87A0C"/>
    <w:rsid w:val="00E87B54"/>
    <w:rsid w:val="00E901FC"/>
    <w:rsid w:val="00E91F7B"/>
    <w:rsid w:val="00E930D2"/>
    <w:rsid w:val="00E948C3"/>
    <w:rsid w:val="00E94FE8"/>
    <w:rsid w:val="00E9635F"/>
    <w:rsid w:val="00E96FB5"/>
    <w:rsid w:val="00E971CF"/>
    <w:rsid w:val="00E97494"/>
    <w:rsid w:val="00E97707"/>
    <w:rsid w:val="00E979B5"/>
    <w:rsid w:val="00E97EFB"/>
    <w:rsid w:val="00E97FF3"/>
    <w:rsid w:val="00EA00E9"/>
    <w:rsid w:val="00EA020E"/>
    <w:rsid w:val="00EA0864"/>
    <w:rsid w:val="00EA0B80"/>
    <w:rsid w:val="00EA0D09"/>
    <w:rsid w:val="00EA140F"/>
    <w:rsid w:val="00EA2AD4"/>
    <w:rsid w:val="00EA2E65"/>
    <w:rsid w:val="00EA3649"/>
    <w:rsid w:val="00EA5A1E"/>
    <w:rsid w:val="00EA617A"/>
    <w:rsid w:val="00EA659D"/>
    <w:rsid w:val="00EA6B67"/>
    <w:rsid w:val="00EA6D19"/>
    <w:rsid w:val="00EA6F49"/>
    <w:rsid w:val="00EB0486"/>
    <w:rsid w:val="00EB0D0D"/>
    <w:rsid w:val="00EB2DB7"/>
    <w:rsid w:val="00EB3677"/>
    <w:rsid w:val="00EB4842"/>
    <w:rsid w:val="00EB53D3"/>
    <w:rsid w:val="00EB54C3"/>
    <w:rsid w:val="00EB5CC7"/>
    <w:rsid w:val="00EB6B44"/>
    <w:rsid w:val="00EB7D63"/>
    <w:rsid w:val="00EB7E04"/>
    <w:rsid w:val="00EC00E1"/>
    <w:rsid w:val="00EC0697"/>
    <w:rsid w:val="00EC1428"/>
    <w:rsid w:val="00EC148D"/>
    <w:rsid w:val="00EC17EB"/>
    <w:rsid w:val="00EC2569"/>
    <w:rsid w:val="00EC2998"/>
    <w:rsid w:val="00EC2A93"/>
    <w:rsid w:val="00EC2D8E"/>
    <w:rsid w:val="00EC4581"/>
    <w:rsid w:val="00EC4E77"/>
    <w:rsid w:val="00EC509B"/>
    <w:rsid w:val="00EC542C"/>
    <w:rsid w:val="00EC5CC7"/>
    <w:rsid w:val="00EC68EF"/>
    <w:rsid w:val="00EC6DE2"/>
    <w:rsid w:val="00EC6E1A"/>
    <w:rsid w:val="00EC6F39"/>
    <w:rsid w:val="00EC7614"/>
    <w:rsid w:val="00EC7961"/>
    <w:rsid w:val="00ED00AB"/>
    <w:rsid w:val="00ED0481"/>
    <w:rsid w:val="00ED0A39"/>
    <w:rsid w:val="00ED12D1"/>
    <w:rsid w:val="00ED225C"/>
    <w:rsid w:val="00ED23D4"/>
    <w:rsid w:val="00ED28D7"/>
    <w:rsid w:val="00ED3842"/>
    <w:rsid w:val="00ED6350"/>
    <w:rsid w:val="00ED6658"/>
    <w:rsid w:val="00ED69E5"/>
    <w:rsid w:val="00ED70BE"/>
    <w:rsid w:val="00ED7CF9"/>
    <w:rsid w:val="00EE2290"/>
    <w:rsid w:val="00EE22E2"/>
    <w:rsid w:val="00EE2DB0"/>
    <w:rsid w:val="00EE3053"/>
    <w:rsid w:val="00EE44FE"/>
    <w:rsid w:val="00EE5068"/>
    <w:rsid w:val="00EE53D8"/>
    <w:rsid w:val="00EE5549"/>
    <w:rsid w:val="00EE55E7"/>
    <w:rsid w:val="00EE5B5D"/>
    <w:rsid w:val="00EE633B"/>
    <w:rsid w:val="00EE777D"/>
    <w:rsid w:val="00EE798C"/>
    <w:rsid w:val="00EF03F7"/>
    <w:rsid w:val="00EF041E"/>
    <w:rsid w:val="00EF0619"/>
    <w:rsid w:val="00EF1563"/>
    <w:rsid w:val="00EF1FFB"/>
    <w:rsid w:val="00EF21A9"/>
    <w:rsid w:val="00EF2D10"/>
    <w:rsid w:val="00EF2D1F"/>
    <w:rsid w:val="00EF2D3B"/>
    <w:rsid w:val="00EF2F81"/>
    <w:rsid w:val="00EF4934"/>
    <w:rsid w:val="00EF4AB6"/>
    <w:rsid w:val="00EF59FB"/>
    <w:rsid w:val="00EF75EA"/>
    <w:rsid w:val="00EF7BD3"/>
    <w:rsid w:val="00F007A9"/>
    <w:rsid w:val="00F010B9"/>
    <w:rsid w:val="00F0189B"/>
    <w:rsid w:val="00F0193E"/>
    <w:rsid w:val="00F01C02"/>
    <w:rsid w:val="00F01CA4"/>
    <w:rsid w:val="00F02295"/>
    <w:rsid w:val="00F02389"/>
    <w:rsid w:val="00F02D1D"/>
    <w:rsid w:val="00F0310D"/>
    <w:rsid w:val="00F03484"/>
    <w:rsid w:val="00F03542"/>
    <w:rsid w:val="00F037E2"/>
    <w:rsid w:val="00F04369"/>
    <w:rsid w:val="00F047CB"/>
    <w:rsid w:val="00F04F8E"/>
    <w:rsid w:val="00F05A9E"/>
    <w:rsid w:val="00F069C9"/>
    <w:rsid w:val="00F07150"/>
    <w:rsid w:val="00F074FA"/>
    <w:rsid w:val="00F07D1E"/>
    <w:rsid w:val="00F07E33"/>
    <w:rsid w:val="00F07FF5"/>
    <w:rsid w:val="00F10458"/>
    <w:rsid w:val="00F109A9"/>
    <w:rsid w:val="00F10DFA"/>
    <w:rsid w:val="00F11D8E"/>
    <w:rsid w:val="00F12D79"/>
    <w:rsid w:val="00F13433"/>
    <w:rsid w:val="00F13835"/>
    <w:rsid w:val="00F14683"/>
    <w:rsid w:val="00F14B76"/>
    <w:rsid w:val="00F156D6"/>
    <w:rsid w:val="00F1592B"/>
    <w:rsid w:val="00F159FD"/>
    <w:rsid w:val="00F164D6"/>
    <w:rsid w:val="00F17276"/>
    <w:rsid w:val="00F17573"/>
    <w:rsid w:val="00F17CBA"/>
    <w:rsid w:val="00F20FE0"/>
    <w:rsid w:val="00F230ED"/>
    <w:rsid w:val="00F231FB"/>
    <w:rsid w:val="00F23577"/>
    <w:rsid w:val="00F249EE"/>
    <w:rsid w:val="00F25046"/>
    <w:rsid w:val="00F25346"/>
    <w:rsid w:val="00F2556F"/>
    <w:rsid w:val="00F25674"/>
    <w:rsid w:val="00F26A5B"/>
    <w:rsid w:val="00F26F43"/>
    <w:rsid w:val="00F30018"/>
    <w:rsid w:val="00F30E0F"/>
    <w:rsid w:val="00F32F31"/>
    <w:rsid w:val="00F33B8B"/>
    <w:rsid w:val="00F34AE1"/>
    <w:rsid w:val="00F351BE"/>
    <w:rsid w:val="00F3553E"/>
    <w:rsid w:val="00F35895"/>
    <w:rsid w:val="00F35A73"/>
    <w:rsid w:val="00F3757E"/>
    <w:rsid w:val="00F41E3A"/>
    <w:rsid w:val="00F4267A"/>
    <w:rsid w:val="00F44286"/>
    <w:rsid w:val="00F46D1B"/>
    <w:rsid w:val="00F476B3"/>
    <w:rsid w:val="00F47938"/>
    <w:rsid w:val="00F47C54"/>
    <w:rsid w:val="00F50D05"/>
    <w:rsid w:val="00F50D12"/>
    <w:rsid w:val="00F517D9"/>
    <w:rsid w:val="00F51834"/>
    <w:rsid w:val="00F51B62"/>
    <w:rsid w:val="00F51E39"/>
    <w:rsid w:val="00F53B5F"/>
    <w:rsid w:val="00F541D3"/>
    <w:rsid w:val="00F545CB"/>
    <w:rsid w:val="00F561BF"/>
    <w:rsid w:val="00F567D1"/>
    <w:rsid w:val="00F57B8E"/>
    <w:rsid w:val="00F60260"/>
    <w:rsid w:val="00F6030D"/>
    <w:rsid w:val="00F603AE"/>
    <w:rsid w:val="00F60DC4"/>
    <w:rsid w:val="00F61191"/>
    <w:rsid w:val="00F611CA"/>
    <w:rsid w:val="00F6137C"/>
    <w:rsid w:val="00F61B66"/>
    <w:rsid w:val="00F62F94"/>
    <w:rsid w:val="00F6411E"/>
    <w:rsid w:val="00F652B2"/>
    <w:rsid w:val="00F66F08"/>
    <w:rsid w:val="00F67FB5"/>
    <w:rsid w:val="00F70494"/>
    <w:rsid w:val="00F70D2D"/>
    <w:rsid w:val="00F7110F"/>
    <w:rsid w:val="00F723A3"/>
    <w:rsid w:val="00F7247E"/>
    <w:rsid w:val="00F72CEF"/>
    <w:rsid w:val="00F73F67"/>
    <w:rsid w:val="00F74AAE"/>
    <w:rsid w:val="00F7519F"/>
    <w:rsid w:val="00F76508"/>
    <w:rsid w:val="00F7681D"/>
    <w:rsid w:val="00F776F5"/>
    <w:rsid w:val="00F77DE4"/>
    <w:rsid w:val="00F80886"/>
    <w:rsid w:val="00F81F72"/>
    <w:rsid w:val="00F8265F"/>
    <w:rsid w:val="00F83B7F"/>
    <w:rsid w:val="00F84B4A"/>
    <w:rsid w:val="00F851FC"/>
    <w:rsid w:val="00F8780A"/>
    <w:rsid w:val="00F90841"/>
    <w:rsid w:val="00F90849"/>
    <w:rsid w:val="00F916DD"/>
    <w:rsid w:val="00F9205D"/>
    <w:rsid w:val="00F92C77"/>
    <w:rsid w:val="00F9315C"/>
    <w:rsid w:val="00F9321A"/>
    <w:rsid w:val="00F93507"/>
    <w:rsid w:val="00F94858"/>
    <w:rsid w:val="00F94A2B"/>
    <w:rsid w:val="00F94CB1"/>
    <w:rsid w:val="00F95B74"/>
    <w:rsid w:val="00F95EF7"/>
    <w:rsid w:val="00F97749"/>
    <w:rsid w:val="00F97998"/>
    <w:rsid w:val="00FA04CA"/>
    <w:rsid w:val="00FA142B"/>
    <w:rsid w:val="00FA1719"/>
    <w:rsid w:val="00FA1B77"/>
    <w:rsid w:val="00FA2D58"/>
    <w:rsid w:val="00FA35EE"/>
    <w:rsid w:val="00FA4A0F"/>
    <w:rsid w:val="00FA5BD4"/>
    <w:rsid w:val="00FA6C58"/>
    <w:rsid w:val="00FA7107"/>
    <w:rsid w:val="00FA78F9"/>
    <w:rsid w:val="00FA792A"/>
    <w:rsid w:val="00FA7D59"/>
    <w:rsid w:val="00FB14EA"/>
    <w:rsid w:val="00FB157E"/>
    <w:rsid w:val="00FB1877"/>
    <w:rsid w:val="00FB23C1"/>
    <w:rsid w:val="00FB3556"/>
    <w:rsid w:val="00FB3914"/>
    <w:rsid w:val="00FB4B46"/>
    <w:rsid w:val="00FB684D"/>
    <w:rsid w:val="00FB693A"/>
    <w:rsid w:val="00FB696B"/>
    <w:rsid w:val="00FB6992"/>
    <w:rsid w:val="00FB7351"/>
    <w:rsid w:val="00FB78A3"/>
    <w:rsid w:val="00FB7A7D"/>
    <w:rsid w:val="00FC0369"/>
    <w:rsid w:val="00FC0588"/>
    <w:rsid w:val="00FC0C64"/>
    <w:rsid w:val="00FC0C78"/>
    <w:rsid w:val="00FC1900"/>
    <w:rsid w:val="00FC3C77"/>
    <w:rsid w:val="00FC3E90"/>
    <w:rsid w:val="00FC3FF6"/>
    <w:rsid w:val="00FC5302"/>
    <w:rsid w:val="00FC7223"/>
    <w:rsid w:val="00FC72AE"/>
    <w:rsid w:val="00FC74A9"/>
    <w:rsid w:val="00FC7BB0"/>
    <w:rsid w:val="00FD0909"/>
    <w:rsid w:val="00FD0B71"/>
    <w:rsid w:val="00FD15BB"/>
    <w:rsid w:val="00FD2C83"/>
    <w:rsid w:val="00FD37DA"/>
    <w:rsid w:val="00FD447B"/>
    <w:rsid w:val="00FD45A3"/>
    <w:rsid w:val="00FD4687"/>
    <w:rsid w:val="00FD57D1"/>
    <w:rsid w:val="00FD71F5"/>
    <w:rsid w:val="00FD7C08"/>
    <w:rsid w:val="00FE0D4A"/>
    <w:rsid w:val="00FE0F13"/>
    <w:rsid w:val="00FE19E3"/>
    <w:rsid w:val="00FE1A47"/>
    <w:rsid w:val="00FE1BD3"/>
    <w:rsid w:val="00FE2500"/>
    <w:rsid w:val="00FE25A6"/>
    <w:rsid w:val="00FE29D0"/>
    <w:rsid w:val="00FE42CD"/>
    <w:rsid w:val="00FE4D8F"/>
    <w:rsid w:val="00FE6607"/>
    <w:rsid w:val="00FE6968"/>
    <w:rsid w:val="00FE7C41"/>
    <w:rsid w:val="00FE7FB3"/>
    <w:rsid w:val="00FF1173"/>
    <w:rsid w:val="00FF2A6A"/>
    <w:rsid w:val="00FF2EEB"/>
    <w:rsid w:val="00FF30AC"/>
    <w:rsid w:val="00FF30B4"/>
    <w:rsid w:val="00FF383D"/>
    <w:rsid w:val="00FF3863"/>
    <w:rsid w:val="00FF413F"/>
    <w:rsid w:val="00FF47AC"/>
    <w:rsid w:val="00FF48DC"/>
    <w:rsid w:val="00FF7070"/>
    <w:rsid w:val="00FF7392"/>
    <w:rsid w:val="00FF759A"/>
    <w:rsid w:val="00FF76D3"/>
    <w:rsid w:val="00FF7754"/>
    <w:rsid w:val="00FF7A7C"/>
    <w:rsid w:val="00FF7B57"/>
    <w:rsid w:val="00FF7B82"/>
    <w:rsid w:val="00FF7CB7"/>
    <w:rsid w:val="5CC1736C"/>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F40A4EC"/>
  <w14:defaultImageDpi w14:val="32767"/>
  <w15:docId w15:val="{EAF5E30E-ECDB-4942-87AC-D8A31A4B6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unhideWhenUsed="1" w:qFormat="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861180"/>
    <w:pPr>
      <w:widowControl w:val="0"/>
      <w:jc w:val="both"/>
    </w:pPr>
    <w:rPr>
      <w:kern w:val="2"/>
      <w:sz w:val="21"/>
      <w:szCs w:val="22"/>
    </w:rPr>
  </w:style>
  <w:style w:type="paragraph" w:styleId="1">
    <w:name w:val="heading 1"/>
    <w:basedOn w:val="a0"/>
    <w:next w:val="a0"/>
    <w:link w:val="10"/>
    <w:uiPriority w:val="9"/>
    <w:qFormat/>
    <w:pPr>
      <w:keepNext/>
      <w:keepLines/>
      <w:spacing w:before="160" w:after="160" w:line="578" w:lineRule="auto"/>
      <w:outlineLvl w:val="0"/>
    </w:pPr>
    <w:rPr>
      <w:b/>
      <w:bCs/>
      <w:kern w:val="44"/>
      <w:sz w:val="44"/>
      <w:szCs w:val="44"/>
    </w:rPr>
  </w:style>
  <w:style w:type="paragraph" w:styleId="2">
    <w:name w:val="heading 2"/>
    <w:basedOn w:val="a0"/>
    <w:next w:val="a0"/>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0"/>
    <w:next w:val="a0"/>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caption"/>
    <w:basedOn w:val="a0"/>
    <w:next w:val="a0"/>
    <w:uiPriority w:val="35"/>
    <w:semiHidden/>
    <w:unhideWhenUsed/>
    <w:qFormat/>
    <w:rPr>
      <w:rFonts w:asciiTheme="majorHAnsi" w:eastAsia="黑体" w:hAnsiTheme="majorHAnsi" w:cstheme="majorBidi"/>
      <w:sz w:val="20"/>
      <w:szCs w:val="20"/>
    </w:rPr>
  </w:style>
  <w:style w:type="paragraph" w:styleId="a5">
    <w:name w:val="annotation text"/>
    <w:basedOn w:val="a0"/>
    <w:link w:val="a6"/>
    <w:uiPriority w:val="99"/>
    <w:unhideWhenUsed/>
    <w:qFormat/>
    <w:pPr>
      <w:jc w:val="left"/>
    </w:pPr>
  </w:style>
  <w:style w:type="paragraph" w:styleId="a7">
    <w:name w:val="Date"/>
    <w:basedOn w:val="a0"/>
    <w:next w:val="a0"/>
    <w:link w:val="a8"/>
    <w:uiPriority w:val="99"/>
    <w:semiHidden/>
    <w:unhideWhenUsed/>
    <w:pPr>
      <w:ind w:leftChars="2500" w:left="100"/>
    </w:pPr>
  </w:style>
  <w:style w:type="paragraph" w:styleId="a9">
    <w:name w:val="Balloon Text"/>
    <w:basedOn w:val="a0"/>
    <w:link w:val="aa"/>
    <w:uiPriority w:val="99"/>
    <w:semiHidden/>
    <w:unhideWhenUsed/>
    <w:qFormat/>
    <w:rPr>
      <w:sz w:val="18"/>
      <w:szCs w:val="18"/>
    </w:rPr>
  </w:style>
  <w:style w:type="paragraph" w:styleId="ab">
    <w:name w:val="footer"/>
    <w:basedOn w:val="a0"/>
    <w:link w:val="ac"/>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d">
    <w:name w:val="header"/>
    <w:basedOn w:val="a0"/>
    <w:link w:val="ae"/>
    <w:uiPriority w:val="99"/>
    <w:unhideWhenUsed/>
    <w:qFormat/>
    <w:pPr>
      <w:pBdr>
        <w:bottom w:val="single" w:sz="6" w:space="1" w:color="auto"/>
      </w:pBdr>
      <w:tabs>
        <w:tab w:val="center" w:pos="4153"/>
        <w:tab w:val="right" w:pos="8306"/>
      </w:tabs>
      <w:snapToGrid w:val="0"/>
      <w:jc w:val="center"/>
    </w:pPr>
    <w:rPr>
      <w:sz w:val="18"/>
      <w:szCs w:val="18"/>
    </w:rPr>
  </w:style>
  <w:style w:type="paragraph" w:styleId="af">
    <w:name w:val="footnote text"/>
    <w:basedOn w:val="a0"/>
    <w:link w:val="af0"/>
    <w:unhideWhenUsed/>
    <w:qFormat/>
    <w:pPr>
      <w:snapToGrid w:val="0"/>
      <w:jc w:val="left"/>
    </w:pPr>
    <w:rPr>
      <w:sz w:val="18"/>
      <w:szCs w:val="18"/>
    </w:rPr>
  </w:style>
  <w:style w:type="paragraph" w:styleId="af1">
    <w:name w:val="Normal (Web)"/>
    <w:basedOn w:val="a0"/>
    <w:uiPriority w:val="99"/>
    <w:semiHidden/>
    <w:unhideWhenUsed/>
    <w:rPr>
      <w:rFonts w:ascii="Times New Roman" w:hAnsi="Times New Roman" w:cs="Times New Roman"/>
      <w:sz w:val="24"/>
      <w:szCs w:val="24"/>
    </w:rPr>
  </w:style>
  <w:style w:type="paragraph" w:styleId="af2">
    <w:name w:val="annotation subject"/>
    <w:basedOn w:val="a5"/>
    <w:next w:val="a5"/>
    <w:link w:val="af3"/>
    <w:uiPriority w:val="99"/>
    <w:semiHidden/>
    <w:unhideWhenUsed/>
    <w:qFormat/>
    <w:rPr>
      <w:b/>
      <w:bCs/>
    </w:rPr>
  </w:style>
  <w:style w:type="table" w:styleId="af4">
    <w:name w:val="Table Grid"/>
    <w:basedOn w:val="a2"/>
    <w:uiPriority w:val="59"/>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basedOn w:val="a1"/>
    <w:uiPriority w:val="22"/>
    <w:qFormat/>
    <w:rPr>
      <w:b/>
      <w:bCs/>
    </w:rPr>
  </w:style>
  <w:style w:type="character" w:styleId="af6">
    <w:name w:val="FollowedHyperlink"/>
    <w:basedOn w:val="a1"/>
    <w:uiPriority w:val="99"/>
    <w:semiHidden/>
    <w:unhideWhenUsed/>
    <w:qFormat/>
    <w:rPr>
      <w:color w:val="800080" w:themeColor="followedHyperlink"/>
      <w:u w:val="single"/>
    </w:rPr>
  </w:style>
  <w:style w:type="character" w:styleId="af7">
    <w:name w:val="Emphasis"/>
    <w:basedOn w:val="a1"/>
    <w:uiPriority w:val="20"/>
    <w:qFormat/>
    <w:rPr>
      <w:i/>
      <w:iCs/>
    </w:rPr>
  </w:style>
  <w:style w:type="character" w:styleId="af8">
    <w:name w:val="Hyperlink"/>
    <w:basedOn w:val="a1"/>
    <w:uiPriority w:val="99"/>
    <w:unhideWhenUsed/>
    <w:qFormat/>
    <w:rPr>
      <w:color w:val="0000FF"/>
      <w:u w:val="single"/>
    </w:rPr>
  </w:style>
  <w:style w:type="character" w:styleId="af9">
    <w:name w:val="annotation reference"/>
    <w:basedOn w:val="a1"/>
    <w:uiPriority w:val="99"/>
    <w:semiHidden/>
    <w:unhideWhenUsed/>
    <w:qFormat/>
    <w:rPr>
      <w:sz w:val="21"/>
      <w:szCs w:val="21"/>
    </w:rPr>
  </w:style>
  <w:style w:type="character" w:styleId="afa">
    <w:name w:val="footnote reference"/>
    <w:basedOn w:val="a1"/>
    <w:uiPriority w:val="99"/>
    <w:semiHidden/>
    <w:unhideWhenUsed/>
    <w:qFormat/>
    <w:rPr>
      <w:vertAlign w:val="superscript"/>
    </w:rPr>
  </w:style>
  <w:style w:type="character" w:customStyle="1" w:styleId="style6">
    <w:name w:val="style6"/>
    <w:basedOn w:val="a1"/>
    <w:qFormat/>
  </w:style>
  <w:style w:type="character" w:customStyle="1" w:styleId="ac">
    <w:name w:val="页脚 字符"/>
    <w:basedOn w:val="a1"/>
    <w:link w:val="ab"/>
    <w:uiPriority w:val="99"/>
    <w:qFormat/>
    <w:rPr>
      <w:rFonts w:ascii="宋体" w:eastAsia="宋体" w:hAnsi="宋体" w:cs="宋体"/>
      <w:kern w:val="0"/>
      <w:sz w:val="24"/>
      <w:szCs w:val="24"/>
    </w:rPr>
  </w:style>
  <w:style w:type="character" w:customStyle="1" w:styleId="ae">
    <w:name w:val="页眉 字符"/>
    <w:basedOn w:val="a1"/>
    <w:link w:val="ad"/>
    <w:uiPriority w:val="99"/>
    <w:qFormat/>
    <w:rPr>
      <w:sz w:val="18"/>
      <w:szCs w:val="18"/>
    </w:rPr>
  </w:style>
  <w:style w:type="character" w:customStyle="1" w:styleId="af0">
    <w:name w:val="脚注文本 字符"/>
    <w:basedOn w:val="a1"/>
    <w:link w:val="af"/>
    <w:rPr>
      <w:sz w:val="18"/>
      <w:szCs w:val="18"/>
    </w:rPr>
  </w:style>
  <w:style w:type="character" w:customStyle="1" w:styleId="aa">
    <w:name w:val="批注框文本 字符"/>
    <w:basedOn w:val="a1"/>
    <w:link w:val="a9"/>
    <w:uiPriority w:val="99"/>
    <w:semiHidden/>
    <w:qFormat/>
    <w:rPr>
      <w:sz w:val="18"/>
      <w:szCs w:val="18"/>
    </w:rPr>
  </w:style>
  <w:style w:type="paragraph" w:styleId="afb">
    <w:name w:val="List Paragraph"/>
    <w:basedOn w:val="a0"/>
    <w:uiPriority w:val="34"/>
    <w:qFormat/>
    <w:pPr>
      <w:ind w:firstLineChars="200" w:firstLine="420"/>
    </w:pPr>
  </w:style>
  <w:style w:type="paragraph" w:styleId="afc">
    <w:name w:val="No Spacing"/>
    <w:uiPriority w:val="1"/>
    <w:qFormat/>
    <w:pPr>
      <w:widowControl w:val="0"/>
      <w:jc w:val="both"/>
    </w:pPr>
    <w:rPr>
      <w:kern w:val="2"/>
      <w:sz w:val="21"/>
      <w:szCs w:val="22"/>
    </w:rPr>
  </w:style>
  <w:style w:type="character" w:customStyle="1" w:styleId="10">
    <w:name w:val="标题 1 字符"/>
    <w:basedOn w:val="a1"/>
    <w:link w:val="1"/>
    <w:uiPriority w:val="9"/>
    <w:qFormat/>
    <w:rPr>
      <w:b/>
      <w:bCs/>
      <w:kern w:val="44"/>
      <w:sz w:val="44"/>
      <w:szCs w:val="44"/>
    </w:rPr>
  </w:style>
  <w:style w:type="character" w:customStyle="1" w:styleId="20">
    <w:name w:val="标题 2 字符"/>
    <w:basedOn w:val="a1"/>
    <w:link w:val="2"/>
    <w:uiPriority w:val="9"/>
    <w:qFormat/>
    <w:rPr>
      <w:rFonts w:asciiTheme="majorHAnsi" w:eastAsiaTheme="majorEastAsia" w:hAnsiTheme="majorHAnsi" w:cstheme="majorBidi"/>
      <w:b/>
      <w:bCs/>
      <w:sz w:val="32"/>
      <w:szCs w:val="32"/>
    </w:rPr>
  </w:style>
  <w:style w:type="paragraph" w:customStyle="1" w:styleId="11">
    <w:name w:val="列出段落1"/>
    <w:basedOn w:val="a0"/>
    <w:qFormat/>
    <w:pPr>
      <w:ind w:firstLineChars="200" w:firstLine="420"/>
    </w:pPr>
    <w:rPr>
      <w:rFonts w:ascii="Times New Roman" w:eastAsia="宋体" w:hAnsi="Times New Roman" w:cs="Arial"/>
      <w:kern w:val="0"/>
      <w:sz w:val="24"/>
      <w:szCs w:val="24"/>
    </w:rPr>
  </w:style>
  <w:style w:type="character" w:customStyle="1" w:styleId="12">
    <w:name w:val="未处理的提及1"/>
    <w:basedOn w:val="a1"/>
    <w:uiPriority w:val="99"/>
    <w:semiHidden/>
    <w:unhideWhenUsed/>
    <w:qFormat/>
    <w:rPr>
      <w:color w:val="808080"/>
      <w:shd w:val="clear" w:color="auto" w:fill="E6E6E6"/>
    </w:rPr>
  </w:style>
  <w:style w:type="character" w:customStyle="1" w:styleId="apple-converted-space">
    <w:name w:val="apple-converted-space"/>
    <w:basedOn w:val="a1"/>
    <w:qFormat/>
  </w:style>
  <w:style w:type="character" w:styleId="afd">
    <w:name w:val="Placeholder Text"/>
    <w:basedOn w:val="a1"/>
    <w:uiPriority w:val="99"/>
    <w:semiHidden/>
    <w:qFormat/>
    <w:rPr>
      <w:color w:val="808080"/>
    </w:rPr>
  </w:style>
  <w:style w:type="character" w:customStyle="1" w:styleId="a6">
    <w:name w:val="批注文字 字符"/>
    <w:basedOn w:val="a1"/>
    <w:link w:val="a5"/>
    <w:uiPriority w:val="99"/>
    <w:qFormat/>
  </w:style>
  <w:style w:type="character" w:customStyle="1" w:styleId="af3">
    <w:name w:val="批注主题 字符"/>
    <w:basedOn w:val="a6"/>
    <w:link w:val="af2"/>
    <w:uiPriority w:val="99"/>
    <w:semiHidden/>
    <w:qFormat/>
    <w:rPr>
      <w:b/>
      <w:bCs/>
    </w:rPr>
  </w:style>
  <w:style w:type="character" w:customStyle="1" w:styleId="40">
    <w:name w:val="标题 4 字符"/>
    <w:basedOn w:val="a1"/>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1"/>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paragraph" w:customStyle="1" w:styleId="afe">
    <w:name w:val="表"/>
    <w:basedOn w:val="a4"/>
    <w:qFormat/>
    <w:pPr>
      <w:spacing w:before="240" w:after="120"/>
      <w:jc w:val="center"/>
    </w:pPr>
    <w:rPr>
      <w:rFonts w:ascii="Times New Roman" w:eastAsia="宋体" w:hAnsi="Times New Roman" w:cs="Times New Roman"/>
      <w:sz w:val="22"/>
      <w:lang w:val="zh-CN"/>
    </w:rPr>
  </w:style>
  <w:style w:type="paragraph" w:customStyle="1" w:styleId="aff">
    <w:name w:val="表格样式"/>
    <w:qFormat/>
    <w:pPr>
      <w:jc w:val="both"/>
    </w:pPr>
    <w:rPr>
      <w:rFonts w:ascii="宋体" w:eastAsia="宋体" w:hAnsi="宋体" w:cs="Times New Roman"/>
      <w:kern w:val="2"/>
      <w:sz w:val="18"/>
      <w:szCs w:val="21"/>
    </w:rPr>
  </w:style>
  <w:style w:type="paragraph" w:customStyle="1" w:styleId="aff0">
    <w:name w:val="中文表序样式"/>
    <w:basedOn w:val="a0"/>
    <w:link w:val="Char"/>
    <w:pPr>
      <w:widowControl/>
      <w:jc w:val="center"/>
    </w:pPr>
    <w:rPr>
      <w:rFonts w:ascii="Times New Roman" w:eastAsia="宋体" w:hAnsi="Times New Roman" w:cs="Times New Roman"/>
      <w:b/>
      <w:sz w:val="18"/>
      <w:szCs w:val="18"/>
    </w:rPr>
  </w:style>
  <w:style w:type="character" w:customStyle="1" w:styleId="Char">
    <w:name w:val="中文表序样式 Char"/>
    <w:basedOn w:val="a1"/>
    <w:link w:val="aff0"/>
    <w:qFormat/>
    <w:rPr>
      <w:rFonts w:ascii="Times New Roman" w:eastAsia="宋体" w:hAnsi="Times New Roman" w:cs="Times New Roman"/>
      <w:b/>
      <w:sz w:val="18"/>
      <w:szCs w:val="18"/>
    </w:rPr>
  </w:style>
  <w:style w:type="character" w:customStyle="1" w:styleId="3">
    <w:name w:val="未处理的提及3"/>
    <w:basedOn w:val="a1"/>
    <w:uiPriority w:val="99"/>
    <w:semiHidden/>
    <w:unhideWhenUsed/>
    <w:qFormat/>
    <w:rPr>
      <w:color w:val="605E5C"/>
      <w:shd w:val="clear" w:color="auto" w:fill="E1DFDD"/>
    </w:rPr>
  </w:style>
  <w:style w:type="character" w:customStyle="1" w:styleId="a8">
    <w:name w:val="日期 字符"/>
    <w:basedOn w:val="a1"/>
    <w:link w:val="a7"/>
    <w:uiPriority w:val="99"/>
    <w:semiHidden/>
  </w:style>
  <w:style w:type="paragraph" w:customStyle="1" w:styleId="a">
    <w:name w:val="参考文献"/>
    <w:basedOn w:val="a0"/>
    <w:qFormat/>
    <w:pPr>
      <w:numPr>
        <w:numId w:val="1"/>
      </w:numPr>
    </w:pPr>
    <w:rPr>
      <w:rFonts w:ascii="Calibri" w:eastAsia="宋体" w:hAnsi="Calibri" w:cs="Times New Roman"/>
    </w:rPr>
  </w:style>
  <w:style w:type="character" w:customStyle="1" w:styleId="MTEquationSection">
    <w:name w:val="MTEquationSection"/>
    <w:basedOn w:val="a1"/>
    <w:qFormat/>
    <w:rPr>
      <w:rFonts w:ascii="Times New Roman" w:eastAsiaTheme="majorEastAsia" w:hAnsi="Times New Roman" w:cs="Times New Roman"/>
      <w:b/>
      <w:bCs/>
      <w:vanish/>
      <w:color w:val="FF0000"/>
      <w:kern w:val="0"/>
      <w:sz w:val="44"/>
      <w:szCs w:val="44"/>
    </w:rPr>
  </w:style>
  <w:style w:type="paragraph" w:customStyle="1" w:styleId="13">
    <w:name w:val="修订1"/>
    <w:hidden/>
    <w:uiPriority w:val="99"/>
    <w:semiHidden/>
    <w:qFormat/>
    <w:rPr>
      <w:kern w:val="2"/>
      <w:sz w:val="21"/>
      <w:szCs w:val="22"/>
    </w:rPr>
  </w:style>
  <w:style w:type="paragraph" w:customStyle="1" w:styleId="sponsors">
    <w:name w:val="sponsors"/>
    <w:qFormat/>
    <w:pPr>
      <w:framePr w:wrap="auto" w:hAnchor="text" w:x="615" w:y="2239"/>
      <w:pBdr>
        <w:top w:val="single" w:sz="4" w:space="2" w:color="auto"/>
      </w:pBdr>
      <w:ind w:firstLine="288"/>
    </w:pPr>
    <w:rPr>
      <w:rFonts w:ascii="Times New Roman" w:eastAsia="宋体" w:hAnsi="Times New Roman" w:cs="Times New Roman"/>
      <w:sz w:val="16"/>
      <w:szCs w:val="16"/>
      <w:lang w:eastAsia="en-US"/>
    </w:rPr>
  </w:style>
  <w:style w:type="paragraph" w:styleId="aff1">
    <w:name w:val="Revision"/>
    <w:hidden/>
    <w:uiPriority w:val="99"/>
    <w:unhideWhenUsed/>
    <w:rsid w:val="0033285A"/>
    <w:rPr>
      <w:kern w:val="2"/>
      <w:sz w:val="21"/>
      <w:szCs w:val="22"/>
    </w:rPr>
  </w:style>
  <w:style w:type="character" w:styleId="aff2">
    <w:name w:val="Unresolved Mention"/>
    <w:basedOn w:val="a1"/>
    <w:uiPriority w:val="99"/>
    <w:semiHidden/>
    <w:unhideWhenUsed/>
    <w:rsid w:val="00F518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6915099">
      <w:bodyDiv w:val="1"/>
      <w:marLeft w:val="0"/>
      <w:marRight w:val="0"/>
      <w:marTop w:val="0"/>
      <w:marBottom w:val="0"/>
      <w:divBdr>
        <w:top w:val="none" w:sz="0" w:space="0" w:color="auto"/>
        <w:left w:val="none" w:sz="0" w:space="0" w:color="auto"/>
        <w:bottom w:val="none" w:sz="0" w:space="0" w:color="auto"/>
        <w:right w:val="none" w:sz="0" w:space="0" w:color="auto"/>
      </w:divBdr>
      <w:divsChild>
        <w:div w:id="1117409975">
          <w:marLeft w:val="0"/>
          <w:marRight w:val="0"/>
          <w:marTop w:val="0"/>
          <w:marBottom w:val="0"/>
          <w:divBdr>
            <w:top w:val="none" w:sz="0" w:space="0" w:color="auto"/>
            <w:left w:val="none" w:sz="0" w:space="0" w:color="auto"/>
            <w:bottom w:val="none" w:sz="0" w:space="0" w:color="auto"/>
            <w:right w:val="none" w:sz="0" w:space="0" w:color="auto"/>
          </w:divBdr>
        </w:div>
      </w:divsChild>
    </w:div>
    <w:div w:id="437602767">
      <w:bodyDiv w:val="1"/>
      <w:marLeft w:val="0"/>
      <w:marRight w:val="0"/>
      <w:marTop w:val="0"/>
      <w:marBottom w:val="0"/>
      <w:divBdr>
        <w:top w:val="none" w:sz="0" w:space="0" w:color="auto"/>
        <w:left w:val="none" w:sz="0" w:space="0" w:color="auto"/>
        <w:bottom w:val="none" w:sz="0" w:space="0" w:color="auto"/>
        <w:right w:val="none" w:sz="0" w:space="0" w:color="auto"/>
      </w:divBdr>
    </w:div>
    <w:div w:id="471560912">
      <w:bodyDiv w:val="1"/>
      <w:marLeft w:val="0"/>
      <w:marRight w:val="0"/>
      <w:marTop w:val="0"/>
      <w:marBottom w:val="0"/>
      <w:divBdr>
        <w:top w:val="none" w:sz="0" w:space="0" w:color="auto"/>
        <w:left w:val="none" w:sz="0" w:space="0" w:color="auto"/>
        <w:bottom w:val="none" w:sz="0" w:space="0" w:color="auto"/>
        <w:right w:val="none" w:sz="0" w:space="0" w:color="auto"/>
      </w:divBdr>
      <w:divsChild>
        <w:div w:id="1659000280">
          <w:marLeft w:val="0"/>
          <w:marRight w:val="0"/>
          <w:marTop w:val="0"/>
          <w:marBottom w:val="0"/>
          <w:divBdr>
            <w:top w:val="none" w:sz="0" w:space="0" w:color="auto"/>
            <w:left w:val="none" w:sz="0" w:space="0" w:color="auto"/>
            <w:bottom w:val="none" w:sz="0" w:space="0" w:color="auto"/>
            <w:right w:val="none" w:sz="0" w:space="0" w:color="auto"/>
          </w:divBdr>
        </w:div>
      </w:divsChild>
    </w:div>
    <w:div w:id="605188667">
      <w:bodyDiv w:val="1"/>
      <w:marLeft w:val="0"/>
      <w:marRight w:val="0"/>
      <w:marTop w:val="0"/>
      <w:marBottom w:val="0"/>
      <w:divBdr>
        <w:top w:val="none" w:sz="0" w:space="0" w:color="auto"/>
        <w:left w:val="none" w:sz="0" w:space="0" w:color="auto"/>
        <w:bottom w:val="none" w:sz="0" w:space="0" w:color="auto"/>
        <w:right w:val="none" w:sz="0" w:space="0" w:color="auto"/>
      </w:divBdr>
      <w:divsChild>
        <w:div w:id="56247300">
          <w:marLeft w:val="0"/>
          <w:marRight w:val="0"/>
          <w:marTop w:val="0"/>
          <w:marBottom w:val="0"/>
          <w:divBdr>
            <w:top w:val="none" w:sz="0" w:space="0" w:color="auto"/>
            <w:left w:val="none" w:sz="0" w:space="0" w:color="auto"/>
            <w:bottom w:val="none" w:sz="0" w:space="0" w:color="auto"/>
            <w:right w:val="none" w:sz="0" w:space="0" w:color="auto"/>
          </w:divBdr>
        </w:div>
      </w:divsChild>
    </w:div>
    <w:div w:id="921522793">
      <w:bodyDiv w:val="1"/>
      <w:marLeft w:val="0"/>
      <w:marRight w:val="0"/>
      <w:marTop w:val="0"/>
      <w:marBottom w:val="0"/>
      <w:divBdr>
        <w:top w:val="none" w:sz="0" w:space="0" w:color="auto"/>
        <w:left w:val="none" w:sz="0" w:space="0" w:color="auto"/>
        <w:bottom w:val="none" w:sz="0" w:space="0" w:color="auto"/>
        <w:right w:val="none" w:sz="0" w:space="0" w:color="auto"/>
      </w:divBdr>
      <w:divsChild>
        <w:div w:id="1484002957">
          <w:marLeft w:val="0"/>
          <w:marRight w:val="0"/>
          <w:marTop w:val="0"/>
          <w:marBottom w:val="0"/>
          <w:divBdr>
            <w:top w:val="none" w:sz="0" w:space="0" w:color="auto"/>
            <w:left w:val="none" w:sz="0" w:space="0" w:color="auto"/>
            <w:bottom w:val="none" w:sz="0" w:space="0" w:color="auto"/>
            <w:right w:val="none" w:sz="0" w:space="0" w:color="auto"/>
          </w:divBdr>
        </w:div>
      </w:divsChild>
    </w:div>
    <w:div w:id="1508052908">
      <w:bodyDiv w:val="1"/>
      <w:marLeft w:val="0"/>
      <w:marRight w:val="0"/>
      <w:marTop w:val="0"/>
      <w:marBottom w:val="0"/>
      <w:divBdr>
        <w:top w:val="none" w:sz="0" w:space="0" w:color="auto"/>
        <w:left w:val="none" w:sz="0" w:space="0" w:color="auto"/>
        <w:bottom w:val="none" w:sz="0" w:space="0" w:color="auto"/>
        <w:right w:val="none" w:sz="0" w:space="0" w:color="auto"/>
      </w:divBdr>
      <w:divsChild>
        <w:div w:id="227541837">
          <w:marLeft w:val="0"/>
          <w:marRight w:val="0"/>
          <w:marTop w:val="0"/>
          <w:marBottom w:val="0"/>
          <w:divBdr>
            <w:top w:val="none" w:sz="0" w:space="0" w:color="auto"/>
            <w:left w:val="none" w:sz="0" w:space="0" w:color="auto"/>
            <w:bottom w:val="none" w:sz="0" w:space="0" w:color="auto"/>
            <w:right w:val="none" w:sz="0" w:space="0" w:color="auto"/>
          </w:divBdr>
        </w:div>
      </w:divsChild>
    </w:div>
    <w:div w:id="1553030972">
      <w:bodyDiv w:val="1"/>
      <w:marLeft w:val="0"/>
      <w:marRight w:val="0"/>
      <w:marTop w:val="0"/>
      <w:marBottom w:val="0"/>
      <w:divBdr>
        <w:top w:val="none" w:sz="0" w:space="0" w:color="auto"/>
        <w:left w:val="none" w:sz="0" w:space="0" w:color="auto"/>
        <w:bottom w:val="none" w:sz="0" w:space="0" w:color="auto"/>
        <w:right w:val="none" w:sz="0" w:space="0" w:color="auto"/>
      </w:divBdr>
    </w:div>
    <w:div w:id="1727072755">
      <w:bodyDiv w:val="1"/>
      <w:marLeft w:val="0"/>
      <w:marRight w:val="0"/>
      <w:marTop w:val="0"/>
      <w:marBottom w:val="0"/>
      <w:divBdr>
        <w:top w:val="none" w:sz="0" w:space="0" w:color="auto"/>
        <w:left w:val="none" w:sz="0" w:space="0" w:color="auto"/>
        <w:bottom w:val="none" w:sz="0" w:space="0" w:color="auto"/>
        <w:right w:val="none" w:sz="0" w:space="0" w:color="auto"/>
      </w:divBdr>
      <w:divsChild>
        <w:div w:id="155238235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image" Target="media/image2.emf"/><Relationship Id="rId26" Type="http://schemas.openxmlformats.org/officeDocument/2006/relationships/image" Target="media/image10.emf"/><Relationship Id="rId3" Type="http://schemas.openxmlformats.org/officeDocument/2006/relationships/customXml" Target="../customXml/item3.xml"/><Relationship Id="rId21" Type="http://schemas.openxmlformats.org/officeDocument/2006/relationships/image" Target="media/image5.emf"/><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emf"/><Relationship Id="rId25" Type="http://schemas.openxmlformats.org/officeDocument/2006/relationships/image" Target="media/image9.emf"/><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8.emf"/><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7.emf"/><Relationship Id="rId28" Type="http://schemas.openxmlformats.org/officeDocument/2006/relationships/image" Target="media/image12.emf"/><Relationship Id="rId10" Type="http://schemas.openxmlformats.org/officeDocument/2006/relationships/numbering" Target="numbering.xml"/><Relationship Id="rId19" Type="http://schemas.openxmlformats.org/officeDocument/2006/relationships/image" Target="media/image3.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6.emf"/><Relationship Id="rId27" Type="http://schemas.openxmlformats.org/officeDocument/2006/relationships/image" Target="media/image11.emf"/><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B785B-7851-45EB-A695-18D06BBAF8F4}">
  <ds:schemaRefs>
    <ds:schemaRef ds:uri="http://www.w3.org/2003/InkML"/>
  </ds:schemaRefs>
</ds:datastoreItem>
</file>

<file path=customXml/itemProps2.xml><?xml version="1.0" encoding="utf-8"?>
<ds:datastoreItem xmlns:ds="http://schemas.openxmlformats.org/officeDocument/2006/customXml" ds:itemID="{DF7E2C67-A2F6-4770-A022-CC6D6CEBEFC9}">
  <ds:schemaRefs>
    <ds:schemaRef ds:uri="http://www.w3.org/2003/InkML"/>
  </ds:schemaRefs>
</ds:datastoreItem>
</file>

<file path=customXml/itemProps3.xml><?xml version="1.0" encoding="utf-8"?>
<ds:datastoreItem xmlns:ds="http://schemas.openxmlformats.org/officeDocument/2006/customXml" ds:itemID="{4EAB2A64-D528-4499-9246-6390C4E52F7A}">
  <ds:schemaRefs>
    <ds:schemaRef ds:uri="http://www.w3.org/2003/InkML"/>
  </ds:schemaRefs>
</ds:datastoreItem>
</file>

<file path=customXml/itemProps4.xml><?xml version="1.0" encoding="utf-8"?>
<ds:datastoreItem xmlns:ds="http://schemas.openxmlformats.org/officeDocument/2006/customXml" ds:itemID="{2CF8A7BC-A6C9-488E-AE21-F47F958DEE91}">
  <ds:schemaRefs>
    <ds:schemaRef ds:uri="http://www.w3.org/2003/InkML"/>
  </ds:schemaRefs>
</ds:datastoreItem>
</file>

<file path=customXml/itemProps5.xml><?xml version="1.0" encoding="utf-8"?>
<ds:datastoreItem xmlns:ds="http://schemas.openxmlformats.org/officeDocument/2006/customXml" ds:itemID="{C4632F00-5510-4446-BFC6-AFD51E328A87}">
  <ds:schemaRefs>
    <ds:schemaRef ds:uri="http://www.w3.org/2003/InkML"/>
  </ds:schemaRefs>
</ds:datastoreItem>
</file>

<file path=customXml/itemProps6.xml><?xml version="1.0" encoding="utf-8"?>
<ds:datastoreItem xmlns:ds="http://schemas.openxmlformats.org/officeDocument/2006/customXml" ds:itemID="{290044E2-0BA4-467E-9E53-FFCB639A368E}">
  <ds:schemaRefs>
    <ds:schemaRef ds:uri="http://www.w3.org/2003/InkML"/>
  </ds:schemaRefs>
</ds:datastoreItem>
</file>

<file path=customXml/itemProps7.xml><?xml version="1.0" encoding="utf-8"?>
<ds:datastoreItem xmlns:ds="http://schemas.openxmlformats.org/officeDocument/2006/customXml" ds:itemID="{92508B80-DB3B-412D-8990-6D42959CC3CB}">
  <ds:schemaRefs>
    <ds:schemaRef ds:uri="http://www.w3.org/2003/InkML"/>
  </ds:schemaRefs>
</ds:datastoreItem>
</file>

<file path=customXml/itemProps8.xml><?xml version="1.0" encoding="utf-8"?>
<ds:datastoreItem xmlns:ds="http://schemas.openxmlformats.org/officeDocument/2006/customXml" ds:itemID="{A24CD530-54B2-4D4C-A1F1-FF10573DFF46}">
  <ds:schemaRefs>
    <ds:schemaRef ds:uri="http://www.w3.org/2003/InkML"/>
  </ds:schemaRefs>
</ds:datastoreItem>
</file>

<file path=customXml/itemProps9.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7557</TotalTime>
  <Pages>13</Pages>
  <Words>4293</Words>
  <Characters>24474</Characters>
  <Application>Microsoft Office Word</Application>
  <DocSecurity>0</DocSecurity>
  <Lines>203</Lines>
  <Paragraphs>57</Paragraphs>
  <ScaleCrop>false</ScaleCrop>
  <Company>siom</Company>
  <LinksUpToDate>false</LinksUpToDate>
  <CharactersWithSpaces>28710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刘森</dc:creator>
  <cp:lastModifiedBy>yh X</cp:lastModifiedBy>
  <cp:revision>2569</cp:revision>
  <dcterms:created xsi:type="dcterms:W3CDTF">2022-07-05T08:46:00Z</dcterms:created>
  <dcterms:modified xsi:type="dcterms:W3CDTF">2026-07-08T06:35:00Z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Section">
    <vt:lpwstr>1</vt:lpwstr>
  </property>
  <property fmtid="{D5CDD505-2E9C-101B-9397-08002B2CF9AE}" pid="3" name="MTEquationNumber2">
    <vt:lpwstr>(#E1)</vt:lpwstr>
  </property>
  <property fmtid="{D5CDD505-2E9C-101B-9397-08002B2CF9AE}" pid="4" name="MTUseMTPrefs">
    <vt:lpwstr>1</vt:lpwstr>
  </property>
  <property fmtid="{D5CDD505-2E9C-101B-9397-08002B2CF9AE}" pid="5" name="KSOTemplateDocerSaveRecord">
    <vt:lpwstr>eyJoZGlkIjoiMzY5YjAyOGFhY2YzMDcwYTg0MGFhNzQ4OGZlNjc4N2IiLCJ1c2VySWQiOiI2NzQ3ODM5NDgifQ==</vt:lpwstr>
  </property>
  <property fmtid="{D5CDD505-2E9C-101B-9397-08002B2CF9AE}" pid="6" name="KSOProductBuildVer">
    <vt:lpwstr>2052-12.1.0.21915</vt:lpwstr>
  </property>
  <property fmtid="{D5CDD505-2E9C-101B-9397-08002B2CF9AE}" pid="7" name="ICV">
    <vt:lpwstr>63248AA4231A4D8191C87D7E30CCF84E_12</vt:lpwstr>
  </property>
</Properties>
</file>