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vsdx" ContentType="application/vnd.ms-visio.drawing"/>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79341B" w14:textId="77777777" w:rsidR="000B1599" w:rsidRPr="006437FB" w:rsidRDefault="00000000">
      <w:pPr>
        <w:ind w:firstLineChars="0" w:firstLine="0"/>
        <w:jc w:val="center"/>
        <w:outlineLvl w:val="0"/>
        <w:rPr>
          <w:rFonts w:cs="Times New Roman"/>
          <w:b/>
          <w:bCs/>
          <w:kern w:val="0"/>
          <w:sz w:val="36"/>
          <w:szCs w:val="36"/>
        </w:rPr>
      </w:pPr>
      <w:r w:rsidRPr="006437FB">
        <w:rPr>
          <w:rFonts w:cs="Times New Roman"/>
          <w:b/>
          <w:bCs/>
          <w:kern w:val="0"/>
          <w:sz w:val="36"/>
          <w:szCs w:val="36"/>
        </w:rPr>
        <w:t>基于复杂网络的电力管廊风险传导量化研究</w:t>
      </w:r>
      <w:bookmarkStart w:id="0" w:name="_Hlk207372228"/>
    </w:p>
    <w:bookmarkEnd w:id="0"/>
    <w:p w14:paraId="303C990B" w14:textId="5DCD4643" w:rsidR="000B1599" w:rsidRPr="006437FB" w:rsidRDefault="00000000">
      <w:pPr>
        <w:ind w:firstLineChars="0" w:firstLine="0"/>
        <w:jc w:val="both"/>
        <w:outlineLvl w:val="0"/>
        <w:rPr>
          <w:rFonts w:cs="Times New Roman"/>
          <w:kern w:val="0"/>
          <w:szCs w:val="21"/>
        </w:rPr>
      </w:pPr>
      <w:r w:rsidRPr="006437FB">
        <w:rPr>
          <w:rFonts w:eastAsia="黑体" w:cs="Times New Roman"/>
          <w:kern w:val="0"/>
          <w:szCs w:val="21"/>
        </w:rPr>
        <w:t>摘要：</w:t>
      </w:r>
      <w:r w:rsidRPr="006437FB">
        <w:rPr>
          <w:rFonts w:cs="Times New Roman"/>
          <w:kern w:val="0"/>
          <w:szCs w:val="21"/>
        </w:rPr>
        <w:t>地下电力管廊作为能源输送的核心动脉，设备故障、管理缺陷与环境扰动等多维风险因素深度交织，使风险防控面临严峻挑战。针对电力管廊事故的风险防控优化需求，本文通过多维度风险识别方法，整合了</w:t>
      </w:r>
      <w:r w:rsidRPr="006437FB">
        <w:rPr>
          <w:rFonts w:cs="Times New Roman"/>
          <w:kern w:val="0"/>
          <w:szCs w:val="21"/>
        </w:rPr>
        <w:t>“</w:t>
      </w:r>
      <w:r w:rsidRPr="006437FB">
        <w:rPr>
          <w:rFonts w:cs="Times New Roman"/>
          <w:kern w:val="0"/>
          <w:szCs w:val="21"/>
        </w:rPr>
        <w:t>人</w:t>
      </w:r>
      <w:r w:rsidR="007517D3" w:rsidRPr="006437FB">
        <w:rPr>
          <w:rFonts w:cs="Times New Roman"/>
          <w:kern w:val="0"/>
          <w:szCs w:val="21"/>
        </w:rPr>
        <w:t xml:space="preserve"> - </w:t>
      </w:r>
      <w:r w:rsidRPr="006437FB">
        <w:rPr>
          <w:rFonts w:cs="Times New Roman"/>
          <w:kern w:val="0"/>
          <w:szCs w:val="21"/>
        </w:rPr>
        <w:t>机</w:t>
      </w:r>
      <w:r w:rsidR="007517D3" w:rsidRPr="006437FB">
        <w:rPr>
          <w:rFonts w:cs="Times New Roman"/>
          <w:kern w:val="0"/>
          <w:szCs w:val="21"/>
        </w:rPr>
        <w:t xml:space="preserve"> - </w:t>
      </w:r>
      <w:r w:rsidRPr="006437FB">
        <w:rPr>
          <w:rFonts w:cs="Times New Roman"/>
          <w:kern w:val="0"/>
          <w:szCs w:val="21"/>
        </w:rPr>
        <w:t>环</w:t>
      </w:r>
      <w:r w:rsidR="007517D3" w:rsidRPr="006437FB">
        <w:rPr>
          <w:rFonts w:cs="Times New Roman"/>
          <w:kern w:val="0"/>
          <w:szCs w:val="21"/>
        </w:rPr>
        <w:t xml:space="preserve"> - </w:t>
      </w:r>
      <w:r w:rsidRPr="006437FB">
        <w:rPr>
          <w:rFonts w:cs="Times New Roman"/>
          <w:kern w:val="0"/>
          <w:szCs w:val="21"/>
        </w:rPr>
        <w:t>管</w:t>
      </w:r>
      <w:r w:rsidRPr="006437FB">
        <w:rPr>
          <w:rFonts w:cs="Times New Roman"/>
          <w:kern w:val="0"/>
          <w:szCs w:val="21"/>
        </w:rPr>
        <w:t>”</w:t>
      </w:r>
      <w:r w:rsidRPr="006437FB">
        <w:rPr>
          <w:rFonts w:cs="Times New Roman"/>
          <w:kern w:val="0"/>
          <w:szCs w:val="21"/>
        </w:rPr>
        <w:t>四类风险因素及其相互作用关系，建立了电力管廊风险传导有向加权复杂网络，设计了考虑风险潜伏特性和控制机制的动态风险传导模型，从静态结构分析和动态风险传导模拟两方面识别了关键风险因素，并通过风险传导模拟揭示了风险传导阈值。研究表明，在静态结构与动态风险传导能力分析中，</w:t>
      </w:r>
      <w:r w:rsidRPr="006437FB">
        <w:rPr>
          <w:rFonts w:cs="Times New Roman"/>
          <w:kern w:val="0"/>
          <w:szCs w:val="21"/>
        </w:rPr>
        <w:t>“</w:t>
      </w:r>
      <w:r w:rsidRPr="006437FB">
        <w:rPr>
          <w:rFonts w:cs="Times New Roman"/>
          <w:kern w:val="0"/>
          <w:szCs w:val="21"/>
        </w:rPr>
        <w:t>未落实安全生产责任制</w:t>
      </w:r>
      <w:r w:rsidRPr="006437FB">
        <w:rPr>
          <w:rFonts w:cs="Times New Roman"/>
          <w:kern w:val="0"/>
          <w:szCs w:val="21"/>
        </w:rPr>
        <w:t>”</w:t>
      </w:r>
      <w:r w:rsidRPr="006437FB">
        <w:rPr>
          <w:rFonts w:cs="Times New Roman"/>
          <w:kern w:val="0"/>
          <w:szCs w:val="21"/>
        </w:rPr>
        <w:t>、</w:t>
      </w:r>
      <w:r w:rsidRPr="006437FB">
        <w:rPr>
          <w:rFonts w:cs="Times New Roman"/>
          <w:kern w:val="0"/>
          <w:szCs w:val="21"/>
        </w:rPr>
        <w:t>“</w:t>
      </w:r>
      <w:r w:rsidRPr="006437FB">
        <w:rPr>
          <w:rFonts w:cs="Times New Roman"/>
          <w:kern w:val="0"/>
          <w:szCs w:val="21"/>
        </w:rPr>
        <w:t>地质环境变动</w:t>
      </w:r>
      <w:r w:rsidRPr="006437FB">
        <w:rPr>
          <w:rFonts w:cs="Times New Roman"/>
          <w:kern w:val="0"/>
          <w:szCs w:val="21"/>
        </w:rPr>
        <w:t>”</w:t>
      </w:r>
      <w:r w:rsidRPr="006437FB">
        <w:rPr>
          <w:rFonts w:cs="Times New Roman"/>
          <w:kern w:val="0"/>
          <w:szCs w:val="21"/>
        </w:rPr>
        <w:t>、</w:t>
      </w:r>
      <w:r w:rsidRPr="006437FB">
        <w:rPr>
          <w:rFonts w:cs="Times New Roman"/>
          <w:kern w:val="0"/>
          <w:szCs w:val="21"/>
        </w:rPr>
        <w:t>“</w:t>
      </w:r>
      <w:r w:rsidRPr="006437FB">
        <w:rPr>
          <w:rFonts w:cs="Times New Roman"/>
          <w:kern w:val="0"/>
          <w:szCs w:val="21"/>
        </w:rPr>
        <w:t>安全检查不到位</w:t>
      </w:r>
      <w:r w:rsidRPr="006437FB">
        <w:rPr>
          <w:rFonts w:cs="Times New Roman"/>
          <w:kern w:val="0"/>
          <w:szCs w:val="21"/>
        </w:rPr>
        <w:t>”</w:t>
      </w:r>
      <w:r w:rsidRPr="006437FB">
        <w:rPr>
          <w:rFonts w:cs="Times New Roman"/>
          <w:kern w:val="0"/>
          <w:szCs w:val="21"/>
        </w:rPr>
        <w:t>、</w:t>
      </w:r>
      <w:r w:rsidRPr="006437FB">
        <w:rPr>
          <w:rFonts w:cs="Times New Roman"/>
          <w:kern w:val="0"/>
          <w:szCs w:val="21"/>
        </w:rPr>
        <w:t>“</w:t>
      </w:r>
      <w:r w:rsidRPr="006437FB">
        <w:rPr>
          <w:rFonts w:cs="Times New Roman"/>
          <w:kern w:val="0"/>
          <w:szCs w:val="21"/>
        </w:rPr>
        <w:t>积水</w:t>
      </w:r>
      <w:r w:rsidRPr="006437FB">
        <w:rPr>
          <w:rFonts w:cs="Times New Roman"/>
          <w:kern w:val="0"/>
          <w:szCs w:val="21"/>
        </w:rPr>
        <w:t>”</w:t>
      </w:r>
      <w:r w:rsidRPr="006437FB">
        <w:rPr>
          <w:rFonts w:cs="Times New Roman"/>
          <w:kern w:val="0"/>
          <w:szCs w:val="21"/>
        </w:rPr>
        <w:t>均位列风险因素重要度排名前十位，需作为重点防控对象加以关注；同时电力管廊风险传导能力受系统整体风险水平特征和风险响应度影响较为显著，为避免风险防控延迟，风险响应度应严格控制在</w:t>
      </w:r>
      <w:r w:rsidRPr="006437FB">
        <w:rPr>
          <w:rFonts w:cs="Times New Roman"/>
          <w:kern w:val="0"/>
          <w:szCs w:val="21"/>
        </w:rPr>
        <w:t>0.4</w:t>
      </w:r>
      <w:r w:rsidRPr="006437FB">
        <w:rPr>
          <w:rFonts w:cs="Times New Roman"/>
          <w:kern w:val="0"/>
          <w:szCs w:val="21"/>
        </w:rPr>
        <w:t>以上。研究成果可为电力管廊安全风险防控策略优化提供理论依据和实践指导。</w:t>
      </w:r>
    </w:p>
    <w:p w14:paraId="1FC818E2" w14:textId="77777777" w:rsidR="000B1599" w:rsidRPr="006437FB" w:rsidRDefault="00000000">
      <w:pPr>
        <w:ind w:firstLineChars="0" w:firstLine="0"/>
        <w:jc w:val="both"/>
        <w:rPr>
          <w:rFonts w:cs="Times New Roman"/>
          <w:szCs w:val="21"/>
        </w:rPr>
      </w:pPr>
      <w:r w:rsidRPr="006437FB">
        <w:rPr>
          <w:rFonts w:eastAsia="黑体" w:cs="Times New Roman"/>
          <w:kern w:val="0"/>
          <w:szCs w:val="21"/>
        </w:rPr>
        <w:t>关键词：</w:t>
      </w:r>
      <w:bookmarkStart w:id="1" w:name="_Hlk207372622"/>
      <w:r w:rsidRPr="006437FB">
        <w:rPr>
          <w:rFonts w:cs="Times New Roman"/>
          <w:szCs w:val="21"/>
        </w:rPr>
        <w:t>电力管廊；复杂网络；传染病模型；风险传导；风险防控优化</w:t>
      </w:r>
      <w:bookmarkEnd w:id="1"/>
    </w:p>
    <w:p w14:paraId="5A6F606E" w14:textId="77777777" w:rsidR="000B1599" w:rsidRPr="006437FB" w:rsidRDefault="00000000">
      <w:pPr>
        <w:ind w:firstLineChars="0" w:firstLine="0"/>
        <w:jc w:val="both"/>
        <w:rPr>
          <w:rFonts w:cs="Times New Roman"/>
          <w:szCs w:val="21"/>
        </w:rPr>
      </w:pPr>
      <w:r w:rsidRPr="006437FB">
        <w:rPr>
          <w:rFonts w:eastAsia="黑体" w:cs="Times New Roman"/>
          <w:kern w:val="0"/>
          <w:szCs w:val="21"/>
        </w:rPr>
        <w:t>中图分类号：</w:t>
      </w:r>
      <w:bookmarkStart w:id="2" w:name="_Hlk207372639"/>
      <w:r w:rsidRPr="006437FB">
        <w:rPr>
          <w:rFonts w:eastAsia="黑体" w:cs="Times New Roman"/>
          <w:kern w:val="0"/>
          <w:szCs w:val="21"/>
        </w:rPr>
        <w:t>X934</w:t>
      </w:r>
      <w:bookmarkEnd w:id="2"/>
      <w:r w:rsidRPr="006437FB">
        <w:rPr>
          <w:rFonts w:eastAsia="黑体" w:cs="Times New Roman"/>
          <w:kern w:val="0"/>
          <w:szCs w:val="21"/>
        </w:rPr>
        <w:t>文献标志码：</w:t>
      </w:r>
      <w:r w:rsidRPr="006437FB">
        <w:rPr>
          <w:rFonts w:cs="Times New Roman"/>
          <w:szCs w:val="21"/>
        </w:rPr>
        <w:t>A</w:t>
      </w:r>
    </w:p>
    <w:p w14:paraId="7DD33CFD" w14:textId="77777777" w:rsidR="000B1599" w:rsidRPr="006437FB" w:rsidRDefault="000B1599">
      <w:pPr>
        <w:ind w:firstLineChars="0" w:firstLine="0"/>
        <w:jc w:val="both"/>
        <w:rPr>
          <w:rFonts w:cs="Times New Roman"/>
          <w:szCs w:val="21"/>
        </w:rPr>
        <w:sectPr w:rsidR="000B1599" w:rsidRPr="006437FB">
          <w:headerReference w:type="even" r:id="rId8"/>
          <w:headerReference w:type="default" r:id="rId9"/>
          <w:footerReference w:type="even" r:id="rId10"/>
          <w:footerReference w:type="default" r:id="rId11"/>
          <w:headerReference w:type="first" r:id="rId12"/>
          <w:footerReference w:type="first" r:id="rId13"/>
          <w:pgSz w:w="11906" w:h="16838"/>
          <w:pgMar w:top="1985" w:right="1021" w:bottom="1021" w:left="1021" w:header="851" w:footer="992" w:gutter="0"/>
          <w:cols w:space="425"/>
          <w:docGrid w:type="lines" w:linePitch="288"/>
        </w:sectPr>
      </w:pPr>
    </w:p>
    <w:p w14:paraId="2BD7BEBB" w14:textId="77777777" w:rsidR="000B1599" w:rsidRPr="006437FB" w:rsidRDefault="00000000">
      <w:pPr>
        <w:widowControl/>
        <w:spacing w:line="240" w:lineRule="atLeast"/>
        <w:ind w:firstLine="420"/>
        <w:jc w:val="both"/>
        <w:rPr>
          <w:rFonts w:eastAsiaTheme="minorEastAsia" w:cs="Times New Roman"/>
          <w:szCs w:val="21"/>
        </w:rPr>
      </w:pPr>
      <w:bookmarkStart w:id="3" w:name="_Hlk207372733"/>
      <w:r w:rsidRPr="006437FB">
        <w:rPr>
          <w:rFonts w:eastAsiaTheme="minorEastAsia" w:cs="Times New Roman"/>
          <w:szCs w:val="21"/>
        </w:rPr>
        <w:t>电力管廊作为城市生命线的重要载体，是现代化城市能源输送与信息传导的</w:t>
      </w:r>
      <w:r w:rsidRPr="006437FB">
        <w:rPr>
          <w:rFonts w:eastAsiaTheme="minorEastAsia" w:cs="Times New Roman"/>
          <w:szCs w:val="21"/>
        </w:rPr>
        <w:t>“</w:t>
      </w:r>
      <w:r w:rsidRPr="006437FB">
        <w:rPr>
          <w:rFonts w:eastAsiaTheme="minorEastAsia" w:cs="Times New Roman"/>
          <w:szCs w:val="21"/>
        </w:rPr>
        <w:t>主动脉</w:t>
      </w:r>
      <w:r w:rsidRPr="006437FB">
        <w:rPr>
          <w:rFonts w:eastAsiaTheme="minorEastAsia" w:cs="Times New Roman"/>
          <w:szCs w:val="21"/>
        </w:rPr>
        <w:t>”</w:t>
      </w:r>
      <w:r w:rsidRPr="006437FB">
        <w:rPr>
          <w:rFonts w:eastAsiaTheme="minorEastAsia" w:cs="Times New Roman"/>
          <w:szCs w:val="21"/>
        </w:rPr>
        <w:t>，其内部电力管线承担着高压输电、配电的核心功能</w:t>
      </w:r>
      <w:r w:rsidRPr="006437FB">
        <w:rPr>
          <w:rFonts w:eastAsiaTheme="minorEastAsia" w:cs="Times New Roman"/>
          <w:szCs w:val="21"/>
          <w:vertAlign w:val="superscript"/>
        </w:rPr>
        <w:t>[1]</w:t>
      </w:r>
      <w:r w:rsidRPr="006437FB">
        <w:rPr>
          <w:rFonts w:eastAsiaTheme="minorEastAsia" w:cs="Times New Roman"/>
          <w:szCs w:val="21"/>
        </w:rPr>
        <w:t>。然而，随着电力管廊的加速建设，在人、机、环、管四个维度表现出了更高的复杂性，向电力管廊风险防控提出了更高的要求。因此，深入分析与评估电力管廊事故风险，识别关键风险因素，实现风险防控优化，对电力管廊安全运营具有重要意义。</w:t>
      </w:r>
    </w:p>
    <w:p w14:paraId="0EBCD97D" w14:textId="77777777" w:rsidR="000B1599" w:rsidRPr="006437FB" w:rsidRDefault="00000000">
      <w:pPr>
        <w:ind w:firstLine="420"/>
        <w:jc w:val="both"/>
        <w:rPr>
          <w:rFonts w:cs="Times New Roman"/>
          <w:szCs w:val="21"/>
        </w:rPr>
      </w:pPr>
      <w:r w:rsidRPr="006437FB">
        <w:rPr>
          <w:rFonts w:cs="Times New Roman"/>
          <w:szCs w:val="21"/>
        </w:rPr>
        <w:t>深入剖析电力管廊安全事故的风险传导机制，是提升其韧性、实现风险防控优化的关键。针对电力管廊的运行特征，国内外学者利用云模型</w:t>
      </w:r>
      <w:r w:rsidRPr="006437FB">
        <w:rPr>
          <w:rFonts w:cs="Times New Roman"/>
          <w:szCs w:val="21"/>
          <w:vertAlign w:val="superscript"/>
        </w:rPr>
        <w:t>[2]</w:t>
      </w:r>
      <w:r w:rsidRPr="006437FB">
        <w:rPr>
          <w:rFonts w:cs="Times New Roman"/>
          <w:szCs w:val="21"/>
        </w:rPr>
        <w:t>、情景推演</w:t>
      </w:r>
      <w:r w:rsidRPr="006437FB">
        <w:rPr>
          <w:rFonts w:cs="Times New Roman"/>
          <w:szCs w:val="21"/>
          <w:vertAlign w:val="superscript"/>
        </w:rPr>
        <w:t>[3]</w:t>
      </w:r>
      <w:r w:rsidRPr="006437FB">
        <w:rPr>
          <w:rFonts w:cs="Times New Roman"/>
          <w:szCs w:val="21"/>
        </w:rPr>
        <w:t>、事故树、贝叶斯网络</w:t>
      </w:r>
      <w:r w:rsidRPr="006437FB">
        <w:rPr>
          <w:rFonts w:cs="Times New Roman"/>
          <w:szCs w:val="21"/>
          <w:vertAlign w:val="superscript"/>
        </w:rPr>
        <w:t>[4]</w:t>
      </w:r>
      <w:r w:rsidRPr="006437FB">
        <w:rPr>
          <w:rFonts w:cs="Times New Roman"/>
          <w:szCs w:val="21"/>
        </w:rPr>
        <w:t>、</w:t>
      </w:r>
      <w:r w:rsidRPr="006437FB">
        <w:rPr>
          <w:rFonts w:cs="Times New Roman"/>
          <w:szCs w:val="21"/>
        </w:rPr>
        <w:t>Petri</w:t>
      </w:r>
      <w:r w:rsidRPr="006437FB">
        <w:rPr>
          <w:rFonts w:cs="Times New Roman"/>
          <w:szCs w:val="21"/>
        </w:rPr>
        <w:t>网</w:t>
      </w:r>
      <w:r w:rsidRPr="006437FB">
        <w:rPr>
          <w:rFonts w:cs="Times New Roman"/>
          <w:szCs w:val="21"/>
          <w:vertAlign w:val="superscript"/>
        </w:rPr>
        <w:t>[5]</w:t>
      </w:r>
      <w:r w:rsidRPr="006437FB">
        <w:rPr>
          <w:rFonts w:cs="Times New Roman"/>
          <w:szCs w:val="21"/>
        </w:rPr>
        <w:t>、数值模拟</w:t>
      </w:r>
      <w:r w:rsidRPr="006437FB">
        <w:rPr>
          <w:rFonts w:cs="Times New Roman"/>
          <w:szCs w:val="21"/>
          <w:vertAlign w:val="superscript"/>
        </w:rPr>
        <w:t>[6-7]</w:t>
      </w:r>
      <w:r w:rsidRPr="006437FB">
        <w:rPr>
          <w:rFonts w:cs="Times New Roman"/>
          <w:szCs w:val="21"/>
        </w:rPr>
        <w:t>、蝴蝶结模型</w:t>
      </w:r>
      <w:r w:rsidRPr="006437FB">
        <w:rPr>
          <w:rFonts w:cs="Times New Roman"/>
          <w:szCs w:val="21"/>
          <w:vertAlign w:val="superscript"/>
        </w:rPr>
        <w:t>[8]</w:t>
      </w:r>
      <w:r w:rsidRPr="006437FB">
        <w:rPr>
          <w:rFonts w:cs="Times New Roman"/>
          <w:szCs w:val="21"/>
        </w:rPr>
        <w:t>等方法开展了一系列电力管廊事故风险演化评估研究。</w:t>
      </w:r>
    </w:p>
    <w:p w14:paraId="7DF043CF" w14:textId="77777777" w:rsidR="000B1599" w:rsidRPr="006437FB" w:rsidRDefault="00000000">
      <w:pPr>
        <w:ind w:firstLine="420"/>
        <w:jc w:val="both"/>
        <w:rPr>
          <w:rFonts w:cs="Times New Roman"/>
          <w:szCs w:val="21"/>
        </w:rPr>
      </w:pPr>
      <w:r w:rsidRPr="006437FB">
        <w:rPr>
          <w:rFonts w:cs="Times New Roman"/>
          <w:szCs w:val="21"/>
        </w:rPr>
        <w:t>相较于传统的线性风险分析方法，复杂网络对揭示电力管廊风险系统结构与动态演化过程，刻画非线性耦合与级联效应，支撑动态风险评估具有重要意义。较多学者利用复杂网络方法开展安全风险评估研究</w:t>
      </w:r>
      <w:r w:rsidRPr="006437FB">
        <w:rPr>
          <w:rFonts w:cs="Times New Roman"/>
          <w:szCs w:val="21"/>
          <w:vertAlign w:val="superscript"/>
        </w:rPr>
        <w:t>[9-11]</w:t>
      </w:r>
      <w:r w:rsidRPr="006437FB">
        <w:rPr>
          <w:rFonts w:cs="Times New Roman"/>
          <w:szCs w:val="21"/>
        </w:rPr>
        <w:t>，多集中于复杂网络基本指标进行静态分析。</w:t>
      </w:r>
      <w:r w:rsidRPr="006437FB">
        <w:rPr>
          <w:rFonts w:cs="Times New Roman"/>
          <w:szCs w:val="21"/>
        </w:rPr>
        <w:t>Xu</w:t>
      </w:r>
      <w:r w:rsidRPr="006437FB">
        <w:rPr>
          <w:rFonts w:cs="Times New Roman"/>
          <w:szCs w:val="21"/>
        </w:rPr>
        <w:t>等构建含</w:t>
      </w:r>
      <w:r w:rsidRPr="006437FB">
        <w:rPr>
          <w:rFonts w:cs="Times New Roman"/>
          <w:szCs w:val="21"/>
        </w:rPr>
        <w:t>64</w:t>
      </w:r>
      <w:r w:rsidRPr="006437FB">
        <w:rPr>
          <w:rFonts w:cs="Times New Roman"/>
          <w:szCs w:val="21"/>
        </w:rPr>
        <w:t>个风险因素和</w:t>
      </w:r>
      <w:r w:rsidRPr="006437FB">
        <w:rPr>
          <w:rFonts w:cs="Times New Roman"/>
          <w:szCs w:val="21"/>
        </w:rPr>
        <w:t>56</w:t>
      </w:r>
      <w:r w:rsidRPr="006437FB">
        <w:rPr>
          <w:rFonts w:cs="Times New Roman"/>
          <w:szCs w:val="21"/>
        </w:rPr>
        <w:t>个风险事件的双层网络，识别出降雨、地质缺陷等关键风险因素，</w:t>
      </w:r>
      <w:r w:rsidRPr="006437FB">
        <w:rPr>
          <w:rFonts w:cs="Times New Roman"/>
          <w:szCs w:val="21"/>
        </w:rPr>
        <w:t>并揭示了关键风险传导路径；</w:t>
      </w:r>
      <w:r w:rsidRPr="006437FB">
        <w:rPr>
          <w:rFonts w:cs="Times New Roman"/>
          <w:szCs w:val="21"/>
        </w:rPr>
        <w:t>Cheng</w:t>
      </w:r>
      <w:r w:rsidRPr="006437FB">
        <w:rPr>
          <w:rFonts w:cs="Times New Roman"/>
          <w:szCs w:val="21"/>
        </w:rPr>
        <w:t>等基于</w:t>
      </w:r>
      <w:r w:rsidRPr="006437FB">
        <w:rPr>
          <w:rFonts w:cs="Times New Roman"/>
          <w:szCs w:val="21"/>
        </w:rPr>
        <w:t>2015–2020</w:t>
      </w:r>
      <w:r w:rsidRPr="006437FB">
        <w:rPr>
          <w:rFonts w:cs="Times New Roman"/>
          <w:szCs w:val="21"/>
        </w:rPr>
        <w:t>年中国建筑行业事故数据，利用复杂网络理论与风险理论构建了复杂网络，揭示了关键风险及系统风险与事故间的转化关系。部分研究者利用传染病模型</w:t>
      </w:r>
      <w:r w:rsidRPr="006437FB">
        <w:rPr>
          <w:rFonts w:cs="Times New Roman"/>
          <w:szCs w:val="21"/>
          <w:vertAlign w:val="superscript"/>
        </w:rPr>
        <w:t>[12-14]</w:t>
      </w:r>
      <w:r w:rsidRPr="006437FB">
        <w:rPr>
          <w:rFonts w:cs="Times New Roman"/>
          <w:szCs w:val="21"/>
        </w:rPr>
        <w:t>和微观</w:t>
      </w:r>
      <w:r w:rsidRPr="006437FB">
        <w:rPr>
          <w:rFonts w:cs="Times New Roman"/>
          <w:szCs w:val="21"/>
        </w:rPr>
        <w:t>Markov</w:t>
      </w:r>
      <w:r w:rsidRPr="006437FB">
        <w:rPr>
          <w:rFonts w:cs="Times New Roman"/>
          <w:szCs w:val="21"/>
        </w:rPr>
        <w:t>链</w:t>
      </w:r>
      <w:r w:rsidRPr="006437FB">
        <w:rPr>
          <w:rFonts w:cs="Times New Roman"/>
          <w:szCs w:val="21"/>
        </w:rPr>
        <w:t>(MMC)</w:t>
      </w:r>
      <w:r w:rsidRPr="006437FB">
        <w:rPr>
          <w:rFonts w:cs="Times New Roman"/>
          <w:szCs w:val="21"/>
        </w:rPr>
        <w:t>方法</w:t>
      </w:r>
      <w:r w:rsidRPr="006437FB">
        <w:rPr>
          <w:rFonts w:cs="Times New Roman"/>
          <w:szCs w:val="21"/>
          <w:vertAlign w:val="superscript"/>
        </w:rPr>
        <w:t>[15]</w:t>
      </w:r>
      <w:r w:rsidRPr="006437FB">
        <w:rPr>
          <w:rFonts w:cs="Times New Roman"/>
          <w:szCs w:val="21"/>
        </w:rPr>
        <w:t>展开风险动态传导分析。</w:t>
      </w:r>
      <w:r w:rsidRPr="006437FB">
        <w:rPr>
          <w:rFonts w:cs="Times New Roman"/>
          <w:szCs w:val="21"/>
        </w:rPr>
        <w:t>Wang</w:t>
      </w:r>
      <w:r w:rsidRPr="006437FB">
        <w:rPr>
          <w:rFonts w:cs="Times New Roman"/>
          <w:szCs w:val="21"/>
        </w:rPr>
        <w:t>等基于机场事故报告构建了包含</w:t>
      </w:r>
      <w:r w:rsidRPr="006437FB">
        <w:rPr>
          <w:rFonts w:cs="Times New Roman"/>
          <w:szCs w:val="21"/>
        </w:rPr>
        <w:t>82</w:t>
      </w:r>
      <w:r w:rsidRPr="006437FB">
        <w:rPr>
          <w:rFonts w:cs="Times New Roman"/>
          <w:szCs w:val="21"/>
        </w:rPr>
        <w:t>个节点的风险传导网络，创新性结合静态指标和动态</w:t>
      </w:r>
      <w:r w:rsidRPr="006437FB">
        <w:rPr>
          <w:rFonts w:cs="Times New Roman"/>
          <w:szCs w:val="21"/>
        </w:rPr>
        <w:t>SIRS</w:t>
      </w:r>
      <w:r w:rsidRPr="006437FB">
        <w:rPr>
          <w:rFonts w:cs="Times New Roman"/>
          <w:szCs w:val="21"/>
        </w:rPr>
        <w:t>传导模型，通过谱聚类实现风险分级，揭示了管理风险的强传导能力。</w:t>
      </w:r>
    </w:p>
    <w:p w14:paraId="05664D45" w14:textId="77777777" w:rsidR="000B1599" w:rsidRPr="006437FB" w:rsidRDefault="00000000">
      <w:pPr>
        <w:ind w:firstLine="420"/>
        <w:jc w:val="both"/>
        <w:rPr>
          <w:rFonts w:cs="Times New Roman"/>
          <w:szCs w:val="21"/>
        </w:rPr>
      </w:pPr>
      <w:r w:rsidRPr="006437FB">
        <w:rPr>
          <w:rFonts w:cs="Times New Roman"/>
          <w:szCs w:val="21"/>
        </w:rPr>
        <w:t>综上所述，国内外学者在电力管廊风险评估研究领域已经取得了一定的进展，但相对来说复杂系统非线性动态演化机制研究较少，且风险因素量化分析多依赖专家经验，数据驱动挖掘不足。因此，本文基于电力管廊事故案例构建电力管廊风险传导有向加权复杂网络，并从静态结构和动态风险传导两方面开展分析，识别电力管廊关键风险因素，并分析系统风险水平和风险响应能力的影响。</w:t>
      </w:r>
      <w:bookmarkEnd w:id="3"/>
    </w:p>
    <w:p w14:paraId="40AF074A" w14:textId="77777777" w:rsidR="000B1599" w:rsidRPr="006437FB" w:rsidRDefault="00000000">
      <w:pPr>
        <w:keepNext/>
        <w:widowControl/>
        <w:spacing w:line="240" w:lineRule="atLeast"/>
        <w:ind w:firstLineChars="0" w:firstLine="0"/>
        <w:jc w:val="both"/>
        <w:outlineLvl w:val="0"/>
        <w:rPr>
          <w:rFonts w:cs="Times New Roman"/>
          <w:b/>
          <w:bCs/>
          <w:kern w:val="0"/>
          <w:sz w:val="24"/>
        </w:rPr>
      </w:pPr>
      <w:r w:rsidRPr="006437FB">
        <w:rPr>
          <w:rFonts w:cs="Times New Roman"/>
          <w:b/>
          <w:bCs/>
          <w:kern w:val="0"/>
          <w:sz w:val="24"/>
        </w:rPr>
        <w:t>1</w:t>
      </w:r>
      <w:r w:rsidRPr="006437FB">
        <w:rPr>
          <w:rFonts w:cs="Times New Roman"/>
          <w:b/>
          <w:bCs/>
          <w:kern w:val="0"/>
          <w:sz w:val="24"/>
        </w:rPr>
        <w:t>电力管廊风险传导量化模型</w:t>
      </w:r>
    </w:p>
    <w:p w14:paraId="15B776B4" w14:textId="77777777" w:rsidR="000B1599" w:rsidRPr="006437FB" w:rsidRDefault="00000000">
      <w:pPr>
        <w:ind w:firstLine="420"/>
        <w:jc w:val="both"/>
        <w:rPr>
          <w:rFonts w:cs="Times New Roman"/>
          <w:szCs w:val="21"/>
        </w:rPr>
      </w:pPr>
      <w:r w:rsidRPr="006437FB">
        <w:rPr>
          <w:rFonts w:cs="Times New Roman"/>
          <w:szCs w:val="21"/>
        </w:rPr>
        <w:t>本文融合关联规则挖掘、复杂网络和改进传染病模型，提出了电力管廊动态风险传导研究框架，如</w:t>
      </w:r>
    </w:p>
    <w:p w14:paraId="3A51A28B" w14:textId="77777777" w:rsidR="000B1599" w:rsidRPr="006437FB" w:rsidRDefault="000B1599">
      <w:pPr>
        <w:ind w:firstLine="420"/>
        <w:jc w:val="both"/>
        <w:rPr>
          <w:rFonts w:cs="Times New Roman"/>
          <w:szCs w:val="21"/>
        </w:rPr>
        <w:sectPr w:rsidR="000B1599" w:rsidRPr="006437FB">
          <w:type w:val="continuous"/>
          <w:pgSz w:w="11906" w:h="16838"/>
          <w:pgMar w:top="1985" w:right="1021" w:bottom="1021" w:left="1021" w:header="851" w:footer="992" w:gutter="0"/>
          <w:cols w:num="2" w:space="720" w:equalWidth="0">
            <w:col w:w="4720" w:space="425"/>
            <w:col w:w="4719"/>
          </w:cols>
          <w:docGrid w:type="lines" w:linePitch="288"/>
        </w:sectPr>
      </w:pPr>
    </w:p>
    <w:p w14:paraId="68D58F73" w14:textId="77777777" w:rsidR="000B1599" w:rsidRPr="006437FB" w:rsidRDefault="00000000">
      <w:pPr>
        <w:tabs>
          <w:tab w:val="left" w:pos="735"/>
        </w:tabs>
        <w:spacing w:line="360" w:lineRule="exact"/>
        <w:ind w:firstLineChars="0" w:firstLine="0"/>
        <w:jc w:val="both"/>
        <w:rPr>
          <w:rFonts w:eastAsia="黑体" w:cs="Times New Roman"/>
          <w:sz w:val="18"/>
          <w:szCs w:val="18"/>
        </w:rPr>
      </w:pPr>
      <w:r w:rsidRPr="006437FB">
        <w:rPr>
          <w:rFonts w:eastAsia="黑体" w:cs="Times New Roman"/>
          <w:sz w:val="18"/>
          <w:szCs w:val="18"/>
        </w:rPr>
        <w:t>————————</w:t>
      </w:r>
    </w:p>
    <w:p w14:paraId="199128BD" w14:textId="77777777" w:rsidR="000B1599" w:rsidRPr="006437FB" w:rsidRDefault="00000000">
      <w:pPr>
        <w:ind w:firstLineChars="0" w:firstLine="0"/>
        <w:jc w:val="both"/>
        <w:rPr>
          <w:rFonts w:cs="Times New Roman"/>
          <w:szCs w:val="21"/>
        </w:rPr>
        <w:sectPr w:rsidR="000B1599" w:rsidRPr="006437FB">
          <w:type w:val="continuous"/>
          <w:pgSz w:w="11906" w:h="16838"/>
          <w:pgMar w:top="1985" w:right="1021" w:bottom="1021" w:left="1021" w:header="851" w:footer="992" w:gutter="0"/>
          <w:cols w:num="2" w:space="425"/>
          <w:docGrid w:type="lines" w:linePitch="288"/>
        </w:sectPr>
      </w:pPr>
      <w:r w:rsidRPr="006437FB">
        <w:rPr>
          <w:rFonts w:cs="Times New Roman"/>
          <w:szCs w:val="21"/>
        </w:rPr>
        <w:t>图</w:t>
      </w:r>
      <w:r w:rsidRPr="006437FB">
        <w:rPr>
          <w:rFonts w:cs="Times New Roman"/>
          <w:szCs w:val="21"/>
        </w:rPr>
        <w:t>1</w:t>
      </w:r>
      <w:r w:rsidRPr="006437FB">
        <w:rPr>
          <w:rFonts w:cs="Times New Roman"/>
          <w:szCs w:val="21"/>
        </w:rPr>
        <w:t>所示。通过收集电力管廊事故案例，提取关键风险因素，并利用关联规则挖掘算法识别强关联规则，构建包含</w:t>
      </w:r>
      <w:r w:rsidRPr="006437FB">
        <w:rPr>
          <w:rFonts w:cs="Times New Roman"/>
          <w:szCs w:val="21"/>
        </w:rPr>
        <w:t>53</w:t>
      </w:r>
      <w:r w:rsidRPr="006437FB">
        <w:rPr>
          <w:rFonts w:cs="Times New Roman"/>
          <w:szCs w:val="21"/>
        </w:rPr>
        <w:t>个节点的电力管廊风险传导有向加权复杂网络并分析网络静态结构特征；引入控制机制，提</w:t>
      </w:r>
      <w:r w:rsidRPr="006437FB">
        <w:rPr>
          <w:rFonts w:cs="Times New Roman"/>
          <w:szCs w:val="21"/>
        </w:rPr>
        <w:t>出改进的传染病模型，结合静态结构分析结果和动态风险传导模拟，识别电力管廊关键风险因素，进一步开展整体风险传导参数和风险响应度等对电力管廊风险传导能力的影响研究，探究电力管廊风险传导特性，助力实现风险防控优化。</w:t>
      </w:r>
    </w:p>
    <w:p w14:paraId="70D48751" w14:textId="77777777" w:rsidR="000B1599" w:rsidRPr="006437FB" w:rsidRDefault="00000000">
      <w:pPr>
        <w:ind w:firstLineChars="0" w:firstLine="0"/>
        <w:jc w:val="center"/>
        <w:rPr>
          <w:rFonts w:cs="Times New Roman"/>
        </w:rPr>
      </w:pPr>
      <w:r w:rsidRPr="006437FB">
        <w:rPr>
          <w:rFonts w:cs="Times New Roman"/>
        </w:rPr>
        <w:object w:dxaOrig="8080" w:dyaOrig="4370" w14:anchorId="76C8A1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4.25pt;height:218.25pt" o:ole="">
            <v:imagedata r:id="rId14" o:title=""/>
          </v:shape>
          <o:OLEObject Type="Embed" ProgID="Visio.Drawing.15" ShapeID="_x0000_i1025" DrawAspect="Content" ObjectID="_1845028488" r:id="rId15"/>
        </w:object>
      </w:r>
    </w:p>
    <w:p w14:paraId="24581228" w14:textId="77777777" w:rsidR="000B1599" w:rsidRPr="006437FB" w:rsidRDefault="00000000">
      <w:pPr>
        <w:ind w:firstLineChars="0" w:firstLine="0"/>
        <w:jc w:val="center"/>
        <w:rPr>
          <w:rFonts w:cs="Times New Roman"/>
          <w:szCs w:val="21"/>
        </w:rPr>
        <w:sectPr w:rsidR="000B1599" w:rsidRPr="006437FB">
          <w:type w:val="continuous"/>
          <w:pgSz w:w="11906" w:h="16838"/>
          <w:pgMar w:top="1985" w:right="1021" w:bottom="1021" w:left="1021" w:header="851" w:footer="992" w:gutter="0"/>
          <w:cols w:space="425"/>
          <w:docGrid w:type="lines" w:linePitch="288"/>
        </w:sectPr>
      </w:pPr>
      <w:r w:rsidRPr="006437FB">
        <w:rPr>
          <w:rFonts w:cs="Times New Roman"/>
          <w:szCs w:val="21"/>
        </w:rPr>
        <w:t>图</w:t>
      </w:r>
      <w:r w:rsidRPr="006437FB">
        <w:rPr>
          <w:rFonts w:cs="Times New Roman"/>
          <w:szCs w:val="21"/>
        </w:rPr>
        <w:t>1</w:t>
      </w:r>
      <w:r w:rsidRPr="006437FB">
        <w:rPr>
          <w:rFonts w:cs="Times New Roman"/>
          <w:szCs w:val="21"/>
        </w:rPr>
        <w:t>：电力管廊风险传导量化模型框架图</w:t>
      </w:r>
    </w:p>
    <w:p w14:paraId="61BD5961" w14:textId="77777777" w:rsidR="000B1599" w:rsidRPr="006437FB" w:rsidRDefault="00000000">
      <w:pPr>
        <w:keepNext/>
        <w:widowControl/>
        <w:spacing w:line="240" w:lineRule="atLeast"/>
        <w:ind w:firstLineChars="0" w:firstLine="0"/>
        <w:jc w:val="both"/>
        <w:outlineLvl w:val="0"/>
        <w:rPr>
          <w:rFonts w:cs="Times New Roman"/>
          <w:b/>
          <w:bCs/>
          <w:kern w:val="0"/>
          <w:sz w:val="24"/>
        </w:rPr>
      </w:pPr>
      <w:r w:rsidRPr="006437FB">
        <w:rPr>
          <w:rFonts w:cs="Times New Roman"/>
          <w:b/>
          <w:bCs/>
          <w:kern w:val="0"/>
          <w:sz w:val="24"/>
        </w:rPr>
        <w:t>2</w:t>
      </w:r>
      <w:r w:rsidRPr="006437FB">
        <w:rPr>
          <w:rFonts w:cs="Times New Roman"/>
          <w:b/>
          <w:bCs/>
          <w:kern w:val="0"/>
          <w:sz w:val="24"/>
        </w:rPr>
        <w:t>电力管廊风险传导复杂网络构建</w:t>
      </w:r>
    </w:p>
    <w:p w14:paraId="381AB7B4" w14:textId="77777777" w:rsidR="000B1599" w:rsidRPr="006437FB" w:rsidRDefault="00000000">
      <w:pPr>
        <w:ind w:firstLine="420"/>
        <w:jc w:val="both"/>
        <w:rPr>
          <w:rFonts w:eastAsiaTheme="minorEastAsia" w:cs="Times New Roman"/>
          <w:szCs w:val="21"/>
        </w:rPr>
      </w:pPr>
      <w:r w:rsidRPr="006437FB">
        <w:rPr>
          <w:rFonts w:eastAsiaTheme="minorEastAsia" w:cs="Times New Roman"/>
          <w:szCs w:val="21"/>
        </w:rPr>
        <w:t>本章基于工作分解结构</w:t>
      </w:r>
      <w:r w:rsidRPr="006437FB">
        <w:rPr>
          <w:rFonts w:eastAsiaTheme="minorEastAsia" w:cs="Times New Roman"/>
          <w:szCs w:val="21"/>
        </w:rPr>
        <w:t>-</w:t>
      </w:r>
      <w:r w:rsidRPr="006437FB">
        <w:rPr>
          <w:rFonts w:eastAsiaTheme="minorEastAsia" w:cs="Times New Roman"/>
          <w:szCs w:val="21"/>
        </w:rPr>
        <w:t>风险分解结构（</w:t>
      </w:r>
      <w:r w:rsidRPr="006437FB">
        <w:rPr>
          <w:rFonts w:eastAsiaTheme="minorEastAsia" w:cs="Times New Roman"/>
          <w:szCs w:val="21"/>
        </w:rPr>
        <w:t>Work Break down Structure-Risk Break down Structure</w:t>
      </w:r>
      <w:r w:rsidRPr="006437FB">
        <w:rPr>
          <w:rFonts w:eastAsiaTheme="minorEastAsia" w:cs="Times New Roman"/>
          <w:szCs w:val="21"/>
        </w:rPr>
        <w:t>，</w:t>
      </w:r>
      <w:r w:rsidRPr="006437FB">
        <w:rPr>
          <w:rFonts w:eastAsiaTheme="minorEastAsia" w:cs="Times New Roman"/>
          <w:szCs w:val="21"/>
        </w:rPr>
        <w:t>WBS-RBS</w:t>
      </w:r>
      <w:r w:rsidRPr="006437FB">
        <w:rPr>
          <w:rFonts w:eastAsiaTheme="minorEastAsia" w:cs="Times New Roman"/>
          <w:szCs w:val="21"/>
        </w:rPr>
        <w:t>）方法构建电力管廊风险因素集，通过收集</w:t>
      </w:r>
      <w:r w:rsidRPr="006437FB">
        <w:rPr>
          <w:rFonts w:eastAsiaTheme="minorEastAsia" w:cs="Times New Roman"/>
          <w:szCs w:val="21"/>
        </w:rPr>
        <w:t>100</w:t>
      </w:r>
      <w:r w:rsidRPr="006437FB">
        <w:rPr>
          <w:rFonts w:eastAsiaTheme="minorEastAsia" w:cs="Times New Roman"/>
          <w:szCs w:val="21"/>
        </w:rPr>
        <w:t>起电力管廊事故案例并与风险因素集关联匹配，依托关联规则挖掘算法实现电力管廊风险网络构建，进一步从静态结构角度出发对网络中风险因素展开分析，确定静态关键风险因素，为下文电力管廊风险传导量化分析与防控优化提供支撑。</w:t>
      </w:r>
    </w:p>
    <w:p w14:paraId="74064995" w14:textId="77777777" w:rsidR="000B1599" w:rsidRPr="006437FB" w:rsidRDefault="00000000">
      <w:pPr>
        <w:keepNext/>
        <w:widowControl/>
        <w:spacing w:line="240" w:lineRule="atLeast"/>
        <w:ind w:firstLineChars="0" w:firstLine="0"/>
        <w:jc w:val="both"/>
        <w:outlineLvl w:val="1"/>
        <w:rPr>
          <w:rFonts w:cs="Times New Roman"/>
          <w:b/>
          <w:kern w:val="0"/>
          <w:szCs w:val="21"/>
        </w:rPr>
      </w:pPr>
      <w:r w:rsidRPr="006437FB">
        <w:rPr>
          <w:rFonts w:cs="Times New Roman"/>
          <w:b/>
          <w:kern w:val="0"/>
          <w:szCs w:val="21"/>
        </w:rPr>
        <w:t>2.1</w:t>
      </w:r>
      <w:r w:rsidRPr="006437FB">
        <w:rPr>
          <w:rFonts w:cs="Times New Roman"/>
          <w:b/>
          <w:kern w:val="0"/>
          <w:szCs w:val="21"/>
        </w:rPr>
        <w:t>电力管廊风险因素集构建</w:t>
      </w:r>
    </w:p>
    <w:p w14:paraId="3041C720" w14:textId="77777777" w:rsidR="000B1599" w:rsidRPr="006437FB" w:rsidRDefault="00000000">
      <w:pPr>
        <w:ind w:firstLine="420"/>
        <w:jc w:val="both"/>
        <w:rPr>
          <w:rFonts w:cs="Times New Roman"/>
          <w:szCs w:val="21"/>
        </w:rPr>
        <w:sectPr w:rsidR="000B1599" w:rsidRPr="006437FB">
          <w:type w:val="continuous"/>
          <w:pgSz w:w="11906" w:h="16838"/>
          <w:pgMar w:top="1985" w:right="1021" w:bottom="1021" w:left="1021" w:header="851" w:footer="992" w:gutter="0"/>
          <w:cols w:num="2" w:space="720" w:equalWidth="0">
            <w:col w:w="4719" w:space="425"/>
            <w:col w:w="4719"/>
          </w:cols>
          <w:docGrid w:type="lines" w:linePitch="288"/>
        </w:sectPr>
      </w:pPr>
      <w:r w:rsidRPr="006437FB">
        <w:rPr>
          <w:rFonts w:eastAsiaTheme="minorEastAsia" w:cs="Times New Roman"/>
          <w:szCs w:val="21"/>
        </w:rPr>
        <w:t>本节利用</w:t>
      </w:r>
      <w:r w:rsidRPr="006437FB">
        <w:rPr>
          <w:rFonts w:eastAsiaTheme="minorEastAsia" w:cs="Times New Roman"/>
          <w:szCs w:val="21"/>
        </w:rPr>
        <w:t>WBS-RBS</w:t>
      </w:r>
      <w:r w:rsidRPr="006437FB">
        <w:rPr>
          <w:rFonts w:eastAsiaTheme="minorEastAsia" w:cs="Times New Roman"/>
          <w:szCs w:val="21"/>
        </w:rPr>
        <w:t>方法识别电力管廊风险因素，构建风险因素集，确定网络的节点。</w:t>
      </w:r>
      <w:r w:rsidRPr="006437FB">
        <w:rPr>
          <w:rFonts w:eastAsiaTheme="minorEastAsia" w:cs="Times New Roman"/>
          <w:szCs w:val="21"/>
        </w:rPr>
        <w:t>WBS-RBS</w:t>
      </w:r>
      <w:r w:rsidRPr="006437FB">
        <w:rPr>
          <w:rFonts w:eastAsiaTheme="minorEastAsia" w:cs="Times New Roman"/>
          <w:szCs w:val="21"/>
        </w:rPr>
        <w:t>方法是一种系统化、结构化的风险识别方法，核心思想是将一个复杂的系统，从工作和风险两个维度进行分解，并交叉关联形成风险识别矩阵，</w:t>
      </w:r>
      <w:r w:rsidRPr="006437FB">
        <w:rPr>
          <w:rFonts w:cs="Times New Roman"/>
          <w:szCs w:val="21"/>
        </w:rPr>
        <w:t>从而系统、全面地识别出在运维过程中电力管廊可能存在的风险因素。结合电力管廊文献研究和事故案例，最终得到电力管廊风险因素集如表</w:t>
      </w:r>
      <w:r w:rsidRPr="006437FB">
        <w:rPr>
          <w:rFonts w:cs="Times New Roman"/>
          <w:szCs w:val="21"/>
        </w:rPr>
        <w:t>1</w:t>
      </w:r>
      <w:r w:rsidRPr="006437FB">
        <w:rPr>
          <w:rFonts w:cs="Times New Roman"/>
          <w:szCs w:val="21"/>
        </w:rPr>
        <w:t>所示。</w:t>
      </w:r>
    </w:p>
    <w:p w14:paraId="6680E2FA" w14:textId="77777777" w:rsidR="000B1599" w:rsidRPr="006437FB" w:rsidRDefault="00000000">
      <w:pPr>
        <w:ind w:firstLineChars="0" w:firstLine="0"/>
        <w:jc w:val="center"/>
        <w:rPr>
          <w:rFonts w:cs="Times New Roman"/>
          <w:szCs w:val="21"/>
        </w:rPr>
      </w:pPr>
      <w:r w:rsidRPr="006437FB">
        <w:rPr>
          <w:rFonts w:cs="Times New Roman"/>
          <w:szCs w:val="21"/>
        </w:rPr>
        <w:t>表</w:t>
      </w:r>
      <w:r w:rsidRPr="006437FB">
        <w:rPr>
          <w:rFonts w:cs="Times New Roman"/>
          <w:szCs w:val="21"/>
        </w:rPr>
        <w:t>1</w:t>
      </w:r>
      <w:r w:rsidRPr="006437FB">
        <w:rPr>
          <w:rFonts w:cs="Times New Roman"/>
          <w:szCs w:val="21"/>
        </w:rPr>
        <w:t>：电力管廊风险因素集</w:t>
      </w:r>
    </w:p>
    <w:tbl>
      <w:tblPr>
        <w:tblStyle w:val="11"/>
        <w:tblW w:w="4777"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613"/>
        <w:gridCol w:w="2371"/>
        <w:gridCol w:w="605"/>
        <w:gridCol w:w="2032"/>
        <w:gridCol w:w="613"/>
        <w:gridCol w:w="2198"/>
      </w:tblGrid>
      <w:tr w:rsidR="000B1599" w:rsidRPr="006437FB" w14:paraId="47C08074" w14:textId="77777777">
        <w:trPr>
          <w:trHeight w:val="87"/>
        </w:trPr>
        <w:tc>
          <w:tcPr>
            <w:tcW w:w="553" w:type="pct"/>
            <w:tcBorders>
              <w:top w:val="single" w:sz="4" w:space="0" w:color="auto"/>
              <w:bottom w:val="single" w:sz="4" w:space="0" w:color="auto"/>
            </w:tcBorders>
            <w:vAlign w:val="center"/>
          </w:tcPr>
          <w:p w14:paraId="79906E2E" w14:textId="77777777" w:rsidR="000B1599" w:rsidRPr="006437FB" w:rsidRDefault="000B1599">
            <w:pPr>
              <w:tabs>
                <w:tab w:val="left" w:pos="5542"/>
              </w:tabs>
              <w:ind w:firstLineChars="0" w:firstLine="0"/>
              <w:jc w:val="center"/>
              <w:rPr>
                <w:rFonts w:cs="Times New Roman"/>
                <w:szCs w:val="21"/>
              </w:rPr>
            </w:pPr>
          </w:p>
        </w:tc>
        <w:tc>
          <w:tcPr>
            <w:tcW w:w="293" w:type="pct"/>
            <w:tcBorders>
              <w:top w:val="single" w:sz="4" w:space="0" w:color="auto"/>
              <w:bottom w:val="single" w:sz="4" w:space="0" w:color="auto"/>
            </w:tcBorders>
            <w:vAlign w:val="center"/>
          </w:tcPr>
          <w:p w14:paraId="34DFC0FD"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编码</w:t>
            </w:r>
          </w:p>
        </w:tc>
        <w:tc>
          <w:tcPr>
            <w:tcW w:w="1284" w:type="pct"/>
            <w:tcBorders>
              <w:top w:val="single" w:sz="4" w:space="0" w:color="auto"/>
              <w:bottom w:val="single" w:sz="4" w:space="0" w:color="auto"/>
            </w:tcBorders>
            <w:vAlign w:val="center"/>
          </w:tcPr>
          <w:p w14:paraId="06FB8181"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风险因素</w:t>
            </w:r>
          </w:p>
        </w:tc>
        <w:tc>
          <w:tcPr>
            <w:tcW w:w="292" w:type="pct"/>
            <w:tcBorders>
              <w:top w:val="single" w:sz="4" w:space="0" w:color="auto"/>
              <w:bottom w:val="single" w:sz="4" w:space="0" w:color="auto"/>
            </w:tcBorders>
            <w:vAlign w:val="center"/>
          </w:tcPr>
          <w:p w14:paraId="79A3F24C"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编码</w:t>
            </w:r>
          </w:p>
        </w:tc>
        <w:tc>
          <w:tcPr>
            <w:tcW w:w="1104" w:type="pct"/>
            <w:tcBorders>
              <w:top w:val="single" w:sz="4" w:space="0" w:color="auto"/>
              <w:bottom w:val="single" w:sz="4" w:space="0" w:color="auto"/>
            </w:tcBorders>
            <w:vAlign w:val="center"/>
          </w:tcPr>
          <w:p w14:paraId="219355E8"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风险因素</w:t>
            </w:r>
          </w:p>
        </w:tc>
        <w:tc>
          <w:tcPr>
            <w:tcW w:w="282" w:type="pct"/>
            <w:tcBorders>
              <w:top w:val="single" w:sz="4" w:space="0" w:color="auto"/>
              <w:bottom w:val="single" w:sz="4" w:space="0" w:color="auto"/>
            </w:tcBorders>
            <w:vAlign w:val="center"/>
          </w:tcPr>
          <w:p w14:paraId="2C536858"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编码</w:t>
            </w:r>
          </w:p>
        </w:tc>
        <w:tc>
          <w:tcPr>
            <w:tcW w:w="1193" w:type="pct"/>
            <w:tcBorders>
              <w:top w:val="single" w:sz="4" w:space="0" w:color="auto"/>
              <w:bottom w:val="single" w:sz="4" w:space="0" w:color="auto"/>
            </w:tcBorders>
            <w:vAlign w:val="center"/>
          </w:tcPr>
          <w:p w14:paraId="16D6C140"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风险因素</w:t>
            </w:r>
          </w:p>
        </w:tc>
      </w:tr>
      <w:tr w:rsidR="000B1599" w:rsidRPr="006437FB" w14:paraId="62FB29AF" w14:textId="77777777">
        <w:trPr>
          <w:trHeight w:val="87"/>
        </w:trPr>
        <w:tc>
          <w:tcPr>
            <w:tcW w:w="553" w:type="pct"/>
            <w:vMerge w:val="restart"/>
            <w:tcBorders>
              <w:top w:val="single" w:sz="4" w:space="0" w:color="auto"/>
            </w:tcBorders>
            <w:vAlign w:val="center"/>
          </w:tcPr>
          <w:p w14:paraId="3F0CB191"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人为因素</w:t>
            </w:r>
            <w:r w:rsidRPr="006437FB">
              <w:rPr>
                <w:rFonts w:cs="Times New Roman"/>
                <w:szCs w:val="21"/>
              </w:rPr>
              <w:t>H</w:t>
            </w:r>
          </w:p>
        </w:tc>
        <w:tc>
          <w:tcPr>
            <w:tcW w:w="293" w:type="pct"/>
            <w:tcBorders>
              <w:top w:val="single" w:sz="4" w:space="0" w:color="auto"/>
            </w:tcBorders>
            <w:vAlign w:val="center"/>
          </w:tcPr>
          <w:p w14:paraId="6504CFD4"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H1</w:t>
            </w:r>
          </w:p>
        </w:tc>
        <w:tc>
          <w:tcPr>
            <w:tcW w:w="1284" w:type="pct"/>
            <w:tcBorders>
              <w:top w:val="single" w:sz="4" w:space="0" w:color="auto"/>
            </w:tcBorders>
            <w:vAlign w:val="center"/>
          </w:tcPr>
          <w:p w14:paraId="04A5F526"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管廊周边人员素质低</w:t>
            </w:r>
          </w:p>
        </w:tc>
        <w:tc>
          <w:tcPr>
            <w:tcW w:w="292" w:type="pct"/>
            <w:tcBorders>
              <w:top w:val="single" w:sz="4" w:space="0" w:color="auto"/>
            </w:tcBorders>
            <w:vAlign w:val="center"/>
          </w:tcPr>
          <w:p w14:paraId="6DBA7351"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H2</w:t>
            </w:r>
          </w:p>
        </w:tc>
        <w:tc>
          <w:tcPr>
            <w:tcW w:w="1104" w:type="pct"/>
            <w:tcBorders>
              <w:top w:val="single" w:sz="4" w:space="0" w:color="auto"/>
            </w:tcBorders>
            <w:vAlign w:val="center"/>
          </w:tcPr>
          <w:p w14:paraId="24E6D354"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误操作</w:t>
            </w:r>
          </w:p>
        </w:tc>
        <w:tc>
          <w:tcPr>
            <w:tcW w:w="282" w:type="pct"/>
            <w:tcBorders>
              <w:top w:val="single" w:sz="4" w:space="0" w:color="auto"/>
            </w:tcBorders>
            <w:vAlign w:val="center"/>
          </w:tcPr>
          <w:p w14:paraId="4645FC61"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H3</w:t>
            </w:r>
          </w:p>
        </w:tc>
        <w:tc>
          <w:tcPr>
            <w:tcW w:w="1193" w:type="pct"/>
            <w:tcBorders>
              <w:top w:val="single" w:sz="4" w:space="0" w:color="auto"/>
            </w:tcBorders>
            <w:vAlign w:val="center"/>
          </w:tcPr>
          <w:p w14:paraId="05EFFE4B"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kern w:val="0"/>
                <w:szCs w:val="21"/>
              </w:rPr>
              <w:t>施工质量不良</w:t>
            </w:r>
          </w:p>
        </w:tc>
      </w:tr>
      <w:tr w:rsidR="000B1599" w:rsidRPr="006437FB" w14:paraId="3CA77CE2" w14:textId="77777777">
        <w:trPr>
          <w:trHeight w:val="87"/>
        </w:trPr>
        <w:tc>
          <w:tcPr>
            <w:tcW w:w="553" w:type="pct"/>
            <w:vMerge/>
            <w:vAlign w:val="center"/>
          </w:tcPr>
          <w:p w14:paraId="587AFF61" w14:textId="77777777" w:rsidR="000B1599" w:rsidRPr="006437FB" w:rsidRDefault="000B1599">
            <w:pPr>
              <w:ind w:firstLineChars="0" w:firstLine="0"/>
              <w:jc w:val="center"/>
              <w:rPr>
                <w:rFonts w:cs="Times New Roman"/>
                <w:szCs w:val="21"/>
              </w:rPr>
            </w:pPr>
          </w:p>
        </w:tc>
        <w:tc>
          <w:tcPr>
            <w:tcW w:w="293" w:type="pct"/>
            <w:vAlign w:val="center"/>
          </w:tcPr>
          <w:p w14:paraId="01A42028"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H4</w:t>
            </w:r>
          </w:p>
        </w:tc>
        <w:tc>
          <w:tcPr>
            <w:tcW w:w="1284" w:type="pct"/>
            <w:vAlign w:val="center"/>
          </w:tcPr>
          <w:p w14:paraId="107251EF"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安全意识淡薄</w:t>
            </w:r>
          </w:p>
        </w:tc>
        <w:tc>
          <w:tcPr>
            <w:tcW w:w="292" w:type="pct"/>
            <w:vAlign w:val="center"/>
          </w:tcPr>
          <w:p w14:paraId="0CBE0888"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H5</w:t>
            </w:r>
          </w:p>
        </w:tc>
        <w:tc>
          <w:tcPr>
            <w:tcW w:w="1104" w:type="pct"/>
            <w:vAlign w:val="center"/>
          </w:tcPr>
          <w:p w14:paraId="715A0C0D"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盗窃</w:t>
            </w:r>
          </w:p>
        </w:tc>
        <w:tc>
          <w:tcPr>
            <w:tcW w:w="282" w:type="pct"/>
            <w:vAlign w:val="center"/>
          </w:tcPr>
          <w:p w14:paraId="268D5196"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H6</w:t>
            </w:r>
          </w:p>
        </w:tc>
        <w:tc>
          <w:tcPr>
            <w:tcW w:w="1193" w:type="pct"/>
            <w:vAlign w:val="center"/>
          </w:tcPr>
          <w:p w14:paraId="167FB74B"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缺乏安全知识</w:t>
            </w:r>
          </w:p>
        </w:tc>
      </w:tr>
      <w:tr w:rsidR="000B1599" w:rsidRPr="006437FB" w14:paraId="33720663" w14:textId="77777777">
        <w:trPr>
          <w:trHeight w:val="139"/>
        </w:trPr>
        <w:tc>
          <w:tcPr>
            <w:tcW w:w="553" w:type="pct"/>
            <w:vMerge/>
            <w:vAlign w:val="center"/>
          </w:tcPr>
          <w:p w14:paraId="006EAC44" w14:textId="77777777" w:rsidR="000B1599" w:rsidRPr="006437FB" w:rsidRDefault="000B1599">
            <w:pPr>
              <w:ind w:firstLineChars="0" w:firstLine="0"/>
              <w:jc w:val="center"/>
              <w:rPr>
                <w:rFonts w:cs="Times New Roman"/>
                <w:szCs w:val="21"/>
              </w:rPr>
            </w:pPr>
          </w:p>
        </w:tc>
        <w:tc>
          <w:tcPr>
            <w:tcW w:w="293" w:type="pct"/>
            <w:vAlign w:val="center"/>
          </w:tcPr>
          <w:p w14:paraId="30D36F17"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H7</w:t>
            </w:r>
          </w:p>
        </w:tc>
        <w:tc>
          <w:tcPr>
            <w:tcW w:w="1284" w:type="pct"/>
            <w:vAlign w:val="center"/>
          </w:tcPr>
          <w:p w14:paraId="3A599CA6"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违章作业</w:t>
            </w:r>
          </w:p>
        </w:tc>
        <w:tc>
          <w:tcPr>
            <w:tcW w:w="292" w:type="pct"/>
            <w:vAlign w:val="center"/>
          </w:tcPr>
          <w:p w14:paraId="1ADB62BD"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w:t>
            </w:r>
          </w:p>
        </w:tc>
        <w:tc>
          <w:tcPr>
            <w:tcW w:w="1104" w:type="pct"/>
            <w:vAlign w:val="center"/>
          </w:tcPr>
          <w:p w14:paraId="6D67A0F5"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w:t>
            </w:r>
          </w:p>
        </w:tc>
        <w:tc>
          <w:tcPr>
            <w:tcW w:w="282" w:type="pct"/>
            <w:vAlign w:val="center"/>
          </w:tcPr>
          <w:p w14:paraId="3B96CEF7"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w:t>
            </w:r>
          </w:p>
        </w:tc>
        <w:tc>
          <w:tcPr>
            <w:tcW w:w="1193" w:type="pct"/>
            <w:vAlign w:val="center"/>
          </w:tcPr>
          <w:p w14:paraId="238EAC3B"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w:t>
            </w:r>
          </w:p>
        </w:tc>
      </w:tr>
      <w:tr w:rsidR="000B1599" w:rsidRPr="006437FB" w14:paraId="6052D643" w14:textId="77777777">
        <w:trPr>
          <w:trHeight w:val="87"/>
        </w:trPr>
        <w:tc>
          <w:tcPr>
            <w:tcW w:w="553" w:type="pct"/>
            <w:vMerge w:val="restart"/>
            <w:vAlign w:val="center"/>
          </w:tcPr>
          <w:p w14:paraId="386BCB39" w14:textId="77777777" w:rsidR="000B1599" w:rsidRPr="006437FB" w:rsidRDefault="00000000">
            <w:pPr>
              <w:tabs>
                <w:tab w:val="left" w:pos="5542"/>
              </w:tabs>
              <w:ind w:firstLineChars="0" w:firstLine="0"/>
              <w:jc w:val="center"/>
              <w:rPr>
                <w:rFonts w:eastAsiaTheme="minorEastAsia" w:cs="Times New Roman"/>
                <w:szCs w:val="21"/>
              </w:rPr>
            </w:pPr>
            <w:r w:rsidRPr="006437FB">
              <w:rPr>
                <w:rFonts w:ascii="宋体" w:eastAsia="宋体" w:hAnsi="宋体" w:cs="宋体" w:hint="eastAsia"/>
                <w:szCs w:val="21"/>
              </w:rPr>
              <w:t>设备因素</w:t>
            </w:r>
            <w:r w:rsidRPr="006437FB">
              <w:rPr>
                <w:rFonts w:cs="Times New Roman"/>
                <w:szCs w:val="21"/>
              </w:rPr>
              <w:t>F</w:t>
            </w:r>
          </w:p>
        </w:tc>
        <w:tc>
          <w:tcPr>
            <w:tcW w:w="293" w:type="pct"/>
            <w:vAlign w:val="center"/>
          </w:tcPr>
          <w:p w14:paraId="1A601995"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F1</w:t>
            </w:r>
          </w:p>
        </w:tc>
        <w:tc>
          <w:tcPr>
            <w:tcW w:w="1284" w:type="pct"/>
            <w:vAlign w:val="center"/>
          </w:tcPr>
          <w:p w14:paraId="73C234BB"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管廊结构破坏</w:t>
            </w:r>
          </w:p>
        </w:tc>
        <w:tc>
          <w:tcPr>
            <w:tcW w:w="292" w:type="pct"/>
            <w:vAlign w:val="center"/>
          </w:tcPr>
          <w:p w14:paraId="7C6DCE56"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F2</w:t>
            </w:r>
          </w:p>
        </w:tc>
        <w:tc>
          <w:tcPr>
            <w:tcW w:w="1104" w:type="pct"/>
            <w:vAlign w:val="center"/>
          </w:tcPr>
          <w:p w14:paraId="1B91A25E"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kern w:val="0"/>
                <w:szCs w:val="21"/>
              </w:rPr>
              <w:t>电缆受潮</w:t>
            </w:r>
          </w:p>
        </w:tc>
        <w:tc>
          <w:tcPr>
            <w:tcW w:w="282" w:type="pct"/>
            <w:vAlign w:val="center"/>
          </w:tcPr>
          <w:p w14:paraId="3D0EC3FE" w14:textId="77777777" w:rsidR="000B1599" w:rsidRPr="006437FB" w:rsidRDefault="00000000">
            <w:pPr>
              <w:tabs>
                <w:tab w:val="left" w:pos="5542"/>
              </w:tabs>
              <w:ind w:firstLineChars="0" w:firstLine="0"/>
              <w:jc w:val="center"/>
              <w:rPr>
                <w:rFonts w:cs="Times New Roman"/>
                <w:kern w:val="0"/>
                <w:szCs w:val="21"/>
              </w:rPr>
            </w:pPr>
            <w:r w:rsidRPr="006437FB">
              <w:rPr>
                <w:rFonts w:cs="Times New Roman"/>
                <w:szCs w:val="21"/>
              </w:rPr>
              <w:t>F3</w:t>
            </w:r>
          </w:p>
        </w:tc>
        <w:tc>
          <w:tcPr>
            <w:tcW w:w="1193" w:type="pct"/>
            <w:vAlign w:val="center"/>
          </w:tcPr>
          <w:p w14:paraId="7A81CAED" w14:textId="77777777" w:rsidR="000B1599" w:rsidRPr="006437FB" w:rsidRDefault="00000000">
            <w:pPr>
              <w:tabs>
                <w:tab w:val="left" w:pos="5542"/>
              </w:tabs>
              <w:ind w:firstLineChars="0" w:firstLine="0"/>
              <w:jc w:val="center"/>
              <w:rPr>
                <w:rFonts w:cs="Times New Roman"/>
                <w:kern w:val="0"/>
                <w:szCs w:val="21"/>
              </w:rPr>
            </w:pPr>
            <w:r w:rsidRPr="006437FB">
              <w:rPr>
                <w:rFonts w:ascii="宋体" w:eastAsia="宋体" w:hAnsi="宋体" w:cs="宋体" w:hint="eastAsia"/>
                <w:szCs w:val="21"/>
              </w:rPr>
              <w:t>绝缘老化</w:t>
            </w:r>
          </w:p>
        </w:tc>
      </w:tr>
      <w:tr w:rsidR="000B1599" w:rsidRPr="006437FB" w14:paraId="45AB3E0A" w14:textId="77777777">
        <w:trPr>
          <w:trHeight w:val="139"/>
        </w:trPr>
        <w:tc>
          <w:tcPr>
            <w:tcW w:w="553" w:type="pct"/>
            <w:vMerge/>
            <w:vAlign w:val="center"/>
          </w:tcPr>
          <w:p w14:paraId="64F2C565" w14:textId="77777777" w:rsidR="000B1599" w:rsidRPr="006437FB" w:rsidRDefault="000B1599">
            <w:pPr>
              <w:ind w:firstLineChars="0" w:firstLine="0"/>
              <w:jc w:val="center"/>
              <w:rPr>
                <w:rFonts w:cs="Times New Roman"/>
                <w:szCs w:val="21"/>
              </w:rPr>
            </w:pPr>
          </w:p>
        </w:tc>
        <w:tc>
          <w:tcPr>
            <w:tcW w:w="293" w:type="pct"/>
            <w:vAlign w:val="center"/>
          </w:tcPr>
          <w:p w14:paraId="508B9399"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F4</w:t>
            </w:r>
          </w:p>
        </w:tc>
        <w:tc>
          <w:tcPr>
            <w:tcW w:w="1284" w:type="pct"/>
            <w:vAlign w:val="center"/>
          </w:tcPr>
          <w:p w14:paraId="15AA419B"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管线孔洞封堵不严</w:t>
            </w:r>
          </w:p>
        </w:tc>
        <w:tc>
          <w:tcPr>
            <w:tcW w:w="292" w:type="pct"/>
            <w:vAlign w:val="center"/>
          </w:tcPr>
          <w:p w14:paraId="3FA395CD"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F5</w:t>
            </w:r>
          </w:p>
        </w:tc>
        <w:tc>
          <w:tcPr>
            <w:tcW w:w="1104" w:type="pct"/>
            <w:vAlign w:val="center"/>
          </w:tcPr>
          <w:p w14:paraId="01B69FAF"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kern w:val="0"/>
                <w:szCs w:val="21"/>
              </w:rPr>
              <w:t>长期超负荷运行</w:t>
            </w:r>
          </w:p>
        </w:tc>
        <w:tc>
          <w:tcPr>
            <w:tcW w:w="282" w:type="pct"/>
            <w:vAlign w:val="center"/>
          </w:tcPr>
          <w:p w14:paraId="5618B79E"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F6</w:t>
            </w:r>
          </w:p>
        </w:tc>
        <w:tc>
          <w:tcPr>
            <w:tcW w:w="1193" w:type="pct"/>
            <w:vAlign w:val="center"/>
          </w:tcPr>
          <w:p w14:paraId="0D490757"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管线及配件质量问题</w:t>
            </w:r>
          </w:p>
        </w:tc>
      </w:tr>
      <w:tr w:rsidR="000B1599" w:rsidRPr="006437FB" w14:paraId="07100B3F" w14:textId="77777777">
        <w:trPr>
          <w:trHeight w:val="87"/>
        </w:trPr>
        <w:tc>
          <w:tcPr>
            <w:tcW w:w="553" w:type="pct"/>
            <w:vMerge/>
            <w:vAlign w:val="center"/>
          </w:tcPr>
          <w:p w14:paraId="5577F0A1" w14:textId="77777777" w:rsidR="000B1599" w:rsidRPr="006437FB" w:rsidRDefault="000B1599">
            <w:pPr>
              <w:ind w:firstLineChars="0" w:firstLine="0"/>
              <w:jc w:val="center"/>
              <w:rPr>
                <w:rFonts w:cs="Times New Roman"/>
                <w:szCs w:val="21"/>
              </w:rPr>
            </w:pPr>
          </w:p>
        </w:tc>
        <w:tc>
          <w:tcPr>
            <w:tcW w:w="293" w:type="pct"/>
            <w:vAlign w:val="center"/>
          </w:tcPr>
          <w:p w14:paraId="75573903"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F7</w:t>
            </w:r>
          </w:p>
        </w:tc>
        <w:tc>
          <w:tcPr>
            <w:tcW w:w="1284" w:type="pct"/>
            <w:vAlign w:val="center"/>
          </w:tcPr>
          <w:p w14:paraId="2E3310D7"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kern w:val="0"/>
                <w:szCs w:val="21"/>
              </w:rPr>
              <w:t>电气保护装置缺失或异常</w:t>
            </w:r>
          </w:p>
        </w:tc>
        <w:tc>
          <w:tcPr>
            <w:tcW w:w="292" w:type="pct"/>
            <w:vAlign w:val="center"/>
          </w:tcPr>
          <w:p w14:paraId="7819DF8B"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F8</w:t>
            </w:r>
          </w:p>
        </w:tc>
        <w:tc>
          <w:tcPr>
            <w:tcW w:w="1104" w:type="pct"/>
            <w:vAlign w:val="center"/>
          </w:tcPr>
          <w:p w14:paraId="13A1D6BA" w14:textId="77777777" w:rsidR="000B1599" w:rsidRPr="006437FB" w:rsidRDefault="00000000">
            <w:pPr>
              <w:widowControl/>
              <w:ind w:firstLineChars="0" w:firstLine="0"/>
              <w:jc w:val="center"/>
              <w:rPr>
                <w:rFonts w:cs="Times New Roman"/>
                <w:szCs w:val="21"/>
              </w:rPr>
            </w:pPr>
            <w:r w:rsidRPr="006437FB">
              <w:rPr>
                <w:rFonts w:ascii="宋体" w:eastAsia="宋体" w:hAnsi="宋体" w:cs="宋体" w:hint="eastAsia"/>
                <w:kern w:val="0"/>
                <w:szCs w:val="21"/>
              </w:rPr>
              <w:t>排水设备缺失或异常</w:t>
            </w:r>
          </w:p>
        </w:tc>
        <w:tc>
          <w:tcPr>
            <w:tcW w:w="282" w:type="pct"/>
            <w:vAlign w:val="center"/>
          </w:tcPr>
          <w:p w14:paraId="42B76188" w14:textId="77777777" w:rsidR="000B1599" w:rsidRPr="006437FB" w:rsidRDefault="00000000">
            <w:pPr>
              <w:widowControl/>
              <w:ind w:firstLineChars="0" w:firstLine="0"/>
              <w:jc w:val="center"/>
              <w:rPr>
                <w:rFonts w:cs="Times New Roman"/>
                <w:szCs w:val="21"/>
              </w:rPr>
            </w:pPr>
            <w:r w:rsidRPr="006437FB">
              <w:rPr>
                <w:rFonts w:cs="Times New Roman"/>
                <w:szCs w:val="21"/>
              </w:rPr>
              <w:t>F9</w:t>
            </w:r>
          </w:p>
        </w:tc>
        <w:tc>
          <w:tcPr>
            <w:tcW w:w="1193" w:type="pct"/>
            <w:vAlign w:val="center"/>
          </w:tcPr>
          <w:p w14:paraId="10256E95" w14:textId="77777777" w:rsidR="000B1599" w:rsidRPr="006437FB" w:rsidRDefault="00000000">
            <w:pPr>
              <w:widowControl/>
              <w:ind w:firstLineChars="0" w:firstLine="0"/>
              <w:jc w:val="center"/>
              <w:rPr>
                <w:rFonts w:cs="Times New Roman"/>
                <w:szCs w:val="21"/>
              </w:rPr>
            </w:pPr>
            <w:r w:rsidRPr="006437FB">
              <w:rPr>
                <w:rFonts w:ascii="宋体" w:eastAsia="宋体" w:hAnsi="宋体" w:cs="宋体" w:hint="eastAsia"/>
                <w:kern w:val="0"/>
                <w:szCs w:val="21"/>
              </w:rPr>
              <w:t>报警、监控设备缺失或异常</w:t>
            </w:r>
          </w:p>
        </w:tc>
      </w:tr>
      <w:tr w:rsidR="000B1599" w:rsidRPr="006437FB" w14:paraId="1F026A1D" w14:textId="77777777">
        <w:trPr>
          <w:trHeight w:val="139"/>
        </w:trPr>
        <w:tc>
          <w:tcPr>
            <w:tcW w:w="553" w:type="pct"/>
            <w:vMerge/>
            <w:vAlign w:val="center"/>
          </w:tcPr>
          <w:p w14:paraId="0D8C1D72" w14:textId="77777777" w:rsidR="000B1599" w:rsidRPr="006437FB" w:rsidRDefault="000B1599">
            <w:pPr>
              <w:ind w:firstLineChars="0" w:firstLine="0"/>
              <w:jc w:val="center"/>
              <w:rPr>
                <w:rFonts w:cs="Times New Roman"/>
                <w:szCs w:val="21"/>
              </w:rPr>
            </w:pPr>
          </w:p>
        </w:tc>
        <w:tc>
          <w:tcPr>
            <w:tcW w:w="293" w:type="pct"/>
            <w:vAlign w:val="center"/>
          </w:tcPr>
          <w:p w14:paraId="535262AC"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F10</w:t>
            </w:r>
          </w:p>
        </w:tc>
        <w:tc>
          <w:tcPr>
            <w:tcW w:w="1284" w:type="pct"/>
            <w:vAlign w:val="center"/>
          </w:tcPr>
          <w:p w14:paraId="1AA04C89"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kern w:val="0"/>
                <w:szCs w:val="21"/>
              </w:rPr>
              <w:t>消防设备缺失或异常</w:t>
            </w:r>
          </w:p>
        </w:tc>
        <w:tc>
          <w:tcPr>
            <w:tcW w:w="292" w:type="pct"/>
            <w:vAlign w:val="center"/>
          </w:tcPr>
          <w:p w14:paraId="12A4D467"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F11</w:t>
            </w:r>
          </w:p>
        </w:tc>
        <w:tc>
          <w:tcPr>
            <w:tcW w:w="1104" w:type="pct"/>
            <w:vAlign w:val="center"/>
          </w:tcPr>
          <w:p w14:paraId="58752279"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kern w:val="0"/>
                <w:szCs w:val="21"/>
              </w:rPr>
              <w:t>绝缘损伤</w:t>
            </w:r>
          </w:p>
        </w:tc>
        <w:tc>
          <w:tcPr>
            <w:tcW w:w="282" w:type="pct"/>
            <w:vAlign w:val="center"/>
          </w:tcPr>
          <w:p w14:paraId="20B8587F" w14:textId="77777777" w:rsidR="000B1599" w:rsidRPr="006437FB" w:rsidRDefault="00000000">
            <w:pPr>
              <w:tabs>
                <w:tab w:val="left" w:pos="5542"/>
              </w:tabs>
              <w:ind w:firstLineChars="0" w:firstLine="0"/>
              <w:jc w:val="center"/>
              <w:rPr>
                <w:rFonts w:cs="Times New Roman"/>
                <w:kern w:val="0"/>
                <w:szCs w:val="21"/>
              </w:rPr>
            </w:pPr>
            <w:r w:rsidRPr="006437FB">
              <w:rPr>
                <w:rFonts w:cs="Times New Roman"/>
                <w:szCs w:val="21"/>
              </w:rPr>
              <w:t>F12</w:t>
            </w:r>
          </w:p>
        </w:tc>
        <w:tc>
          <w:tcPr>
            <w:tcW w:w="1193" w:type="pct"/>
            <w:vAlign w:val="center"/>
          </w:tcPr>
          <w:p w14:paraId="5B27C020" w14:textId="77777777" w:rsidR="000B1599" w:rsidRPr="006437FB" w:rsidRDefault="00000000">
            <w:pPr>
              <w:tabs>
                <w:tab w:val="left" w:pos="5542"/>
              </w:tabs>
              <w:ind w:firstLineChars="0" w:firstLine="0"/>
              <w:jc w:val="center"/>
              <w:rPr>
                <w:rFonts w:cs="Times New Roman"/>
                <w:kern w:val="0"/>
                <w:szCs w:val="21"/>
              </w:rPr>
            </w:pPr>
            <w:r w:rsidRPr="006437FB">
              <w:rPr>
                <w:rFonts w:ascii="宋体" w:eastAsia="宋体" w:hAnsi="宋体" w:cs="宋体" w:hint="eastAsia"/>
                <w:kern w:val="0"/>
                <w:szCs w:val="21"/>
              </w:rPr>
              <w:t>标识系统缺失或异常</w:t>
            </w:r>
          </w:p>
        </w:tc>
      </w:tr>
      <w:tr w:rsidR="000B1599" w:rsidRPr="006437FB" w14:paraId="0A07A3E2" w14:textId="77777777">
        <w:trPr>
          <w:trHeight w:val="139"/>
        </w:trPr>
        <w:tc>
          <w:tcPr>
            <w:tcW w:w="553" w:type="pct"/>
            <w:vMerge/>
            <w:vAlign w:val="center"/>
          </w:tcPr>
          <w:p w14:paraId="3AAD8FE2" w14:textId="77777777" w:rsidR="000B1599" w:rsidRPr="006437FB" w:rsidRDefault="000B1599">
            <w:pPr>
              <w:ind w:firstLineChars="0" w:firstLine="0"/>
              <w:jc w:val="center"/>
              <w:rPr>
                <w:rFonts w:cs="Times New Roman"/>
                <w:szCs w:val="21"/>
              </w:rPr>
            </w:pPr>
          </w:p>
        </w:tc>
        <w:tc>
          <w:tcPr>
            <w:tcW w:w="293" w:type="pct"/>
            <w:vAlign w:val="center"/>
          </w:tcPr>
          <w:p w14:paraId="2F75B788"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F13</w:t>
            </w:r>
          </w:p>
        </w:tc>
        <w:tc>
          <w:tcPr>
            <w:tcW w:w="1284" w:type="pct"/>
            <w:vAlign w:val="center"/>
          </w:tcPr>
          <w:p w14:paraId="520E9B7F" w14:textId="77777777" w:rsidR="000B1599" w:rsidRPr="006437FB" w:rsidRDefault="00000000">
            <w:pPr>
              <w:tabs>
                <w:tab w:val="left" w:pos="5542"/>
              </w:tabs>
              <w:ind w:firstLineChars="0" w:firstLine="0"/>
              <w:jc w:val="center"/>
              <w:rPr>
                <w:rFonts w:cs="Times New Roman"/>
                <w:kern w:val="0"/>
                <w:szCs w:val="21"/>
              </w:rPr>
            </w:pPr>
            <w:r w:rsidRPr="006437FB">
              <w:rPr>
                <w:rFonts w:ascii="宋体" w:eastAsia="宋体" w:hAnsi="宋体" w:cs="宋体" w:hint="eastAsia"/>
                <w:kern w:val="0"/>
                <w:szCs w:val="21"/>
              </w:rPr>
              <w:t>电缆接头故障</w:t>
            </w:r>
          </w:p>
        </w:tc>
        <w:tc>
          <w:tcPr>
            <w:tcW w:w="292" w:type="pct"/>
            <w:vAlign w:val="center"/>
          </w:tcPr>
          <w:p w14:paraId="15702EBB"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F14</w:t>
            </w:r>
          </w:p>
        </w:tc>
        <w:tc>
          <w:tcPr>
            <w:tcW w:w="1104" w:type="pct"/>
            <w:vAlign w:val="center"/>
          </w:tcPr>
          <w:p w14:paraId="0BBD7C60" w14:textId="77777777" w:rsidR="000B1599" w:rsidRPr="006437FB" w:rsidRDefault="00000000">
            <w:pPr>
              <w:tabs>
                <w:tab w:val="left" w:pos="5542"/>
              </w:tabs>
              <w:ind w:firstLineChars="0" w:firstLine="0"/>
              <w:jc w:val="center"/>
              <w:rPr>
                <w:rFonts w:cs="Times New Roman"/>
                <w:kern w:val="0"/>
                <w:szCs w:val="21"/>
              </w:rPr>
            </w:pPr>
            <w:r w:rsidRPr="006437FB">
              <w:rPr>
                <w:rFonts w:ascii="宋体" w:eastAsia="宋体" w:hAnsi="宋体" w:cs="宋体" w:hint="eastAsia"/>
                <w:kern w:val="0"/>
                <w:szCs w:val="21"/>
              </w:rPr>
              <w:t>电缆故障</w:t>
            </w:r>
          </w:p>
        </w:tc>
        <w:tc>
          <w:tcPr>
            <w:tcW w:w="282" w:type="pct"/>
            <w:vAlign w:val="center"/>
          </w:tcPr>
          <w:p w14:paraId="7F592A71" w14:textId="77777777" w:rsidR="000B1599" w:rsidRPr="006437FB" w:rsidRDefault="00000000">
            <w:pPr>
              <w:tabs>
                <w:tab w:val="left" w:pos="5542"/>
              </w:tabs>
              <w:ind w:firstLineChars="0" w:firstLine="0"/>
              <w:jc w:val="center"/>
              <w:rPr>
                <w:rFonts w:cs="Times New Roman"/>
                <w:kern w:val="0"/>
                <w:szCs w:val="21"/>
              </w:rPr>
            </w:pPr>
            <w:r w:rsidRPr="006437FB">
              <w:rPr>
                <w:rFonts w:cs="Times New Roman"/>
                <w:kern w:val="0"/>
                <w:szCs w:val="21"/>
              </w:rPr>
              <w:t>—</w:t>
            </w:r>
          </w:p>
        </w:tc>
        <w:tc>
          <w:tcPr>
            <w:tcW w:w="1193" w:type="pct"/>
            <w:vAlign w:val="center"/>
          </w:tcPr>
          <w:p w14:paraId="1ABE1A67" w14:textId="77777777" w:rsidR="000B1599" w:rsidRPr="006437FB" w:rsidRDefault="00000000">
            <w:pPr>
              <w:tabs>
                <w:tab w:val="left" w:pos="5542"/>
              </w:tabs>
              <w:ind w:firstLineChars="0" w:firstLine="0"/>
              <w:jc w:val="center"/>
              <w:rPr>
                <w:rFonts w:cs="Times New Roman"/>
                <w:kern w:val="0"/>
                <w:szCs w:val="21"/>
              </w:rPr>
            </w:pPr>
            <w:r w:rsidRPr="006437FB">
              <w:rPr>
                <w:rFonts w:cs="Times New Roman"/>
                <w:kern w:val="0"/>
                <w:szCs w:val="21"/>
              </w:rPr>
              <w:t>—</w:t>
            </w:r>
          </w:p>
        </w:tc>
      </w:tr>
      <w:tr w:rsidR="000B1599" w:rsidRPr="006437FB" w14:paraId="2CED7837" w14:textId="77777777">
        <w:trPr>
          <w:trHeight w:val="297"/>
        </w:trPr>
        <w:tc>
          <w:tcPr>
            <w:tcW w:w="553" w:type="pct"/>
            <w:vMerge w:val="restart"/>
            <w:vAlign w:val="center"/>
          </w:tcPr>
          <w:p w14:paraId="6226CCFF"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环境因素</w:t>
            </w:r>
            <w:r w:rsidRPr="006437FB">
              <w:rPr>
                <w:rFonts w:cs="Times New Roman"/>
                <w:szCs w:val="21"/>
              </w:rPr>
              <w:t>E</w:t>
            </w:r>
          </w:p>
        </w:tc>
        <w:tc>
          <w:tcPr>
            <w:tcW w:w="293" w:type="pct"/>
            <w:vAlign w:val="center"/>
          </w:tcPr>
          <w:p w14:paraId="05933FD0"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E1</w:t>
            </w:r>
          </w:p>
        </w:tc>
        <w:tc>
          <w:tcPr>
            <w:tcW w:w="1284" w:type="pct"/>
            <w:vAlign w:val="center"/>
          </w:tcPr>
          <w:p w14:paraId="7D03B49F"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地震</w:t>
            </w:r>
          </w:p>
        </w:tc>
        <w:tc>
          <w:tcPr>
            <w:tcW w:w="292" w:type="pct"/>
            <w:vAlign w:val="center"/>
          </w:tcPr>
          <w:p w14:paraId="12354275"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E2</w:t>
            </w:r>
          </w:p>
        </w:tc>
        <w:tc>
          <w:tcPr>
            <w:tcW w:w="1104" w:type="pct"/>
            <w:vAlign w:val="center"/>
          </w:tcPr>
          <w:p w14:paraId="20433E60"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暴雨</w:t>
            </w:r>
          </w:p>
        </w:tc>
        <w:tc>
          <w:tcPr>
            <w:tcW w:w="282" w:type="pct"/>
            <w:vAlign w:val="center"/>
          </w:tcPr>
          <w:p w14:paraId="4EBCA15F"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E3</w:t>
            </w:r>
          </w:p>
        </w:tc>
        <w:tc>
          <w:tcPr>
            <w:tcW w:w="1193" w:type="pct"/>
            <w:vAlign w:val="center"/>
          </w:tcPr>
          <w:p w14:paraId="358791B4"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路面塌陷</w:t>
            </w:r>
          </w:p>
        </w:tc>
      </w:tr>
      <w:tr w:rsidR="000B1599" w:rsidRPr="006437FB" w14:paraId="1E49252A" w14:textId="77777777">
        <w:trPr>
          <w:trHeight w:val="139"/>
        </w:trPr>
        <w:tc>
          <w:tcPr>
            <w:tcW w:w="553" w:type="pct"/>
            <w:vMerge/>
            <w:vAlign w:val="center"/>
          </w:tcPr>
          <w:p w14:paraId="2D2996F2" w14:textId="77777777" w:rsidR="000B1599" w:rsidRPr="006437FB" w:rsidRDefault="000B1599">
            <w:pPr>
              <w:tabs>
                <w:tab w:val="left" w:pos="5542"/>
              </w:tabs>
              <w:ind w:firstLineChars="0" w:firstLine="0"/>
              <w:jc w:val="center"/>
              <w:rPr>
                <w:rFonts w:cs="Times New Roman"/>
                <w:szCs w:val="21"/>
              </w:rPr>
            </w:pPr>
          </w:p>
        </w:tc>
        <w:tc>
          <w:tcPr>
            <w:tcW w:w="293" w:type="pct"/>
            <w:vAlign w:val="center"/>
          </w:tcPr>
          <w:p w14:paraId="2F9087E6"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E4</w:t>
            </w:r>
          </w:p>
        </w:tc>
        <w:tc>
          <w:tcPr>
            <w:tcW w:w="1284" w:type="pct"/>
            <w:vAlign w:val="center"/>
          </w:tcPr>
          <w:p w14:paraId="56BA4F0E"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积水</w:t>
            </w:r>
          </w:p>
        </w:tc>
        <w:tc>
          <w:tcPr>
            <w:tcW w:w="292" w:type="pct"/>
            <w:vAlign w:val="center"/>
          </w:tcPr>
          <w:p w14:paraId="4477B762"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E5</w:t>
            </w:r>
          </w:p>
        </w:tc>
        <w:tc>
          <w:tcPr>
            <w:tcW w:w="1104" w:type="pct"/>
            <w:vAlign w:val="center"/>
          </w:tcPr>
          <w:p w14:paraId="3FC308A3"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温度湿度异常</w:t>
            </w:r>
          </w:p>
        </w:tc>
        <w:tc>
          <w:tcPr>
            <w:tcW w:w="282" w:type="pct"/>
            <w:vAlign w:val="center"/>
          </w:tcPr>
          <w:p w14:paraId="382F2D7B"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E6</w:t>
            </w:r>
          </w:p>
        </w:tc>
        <w:tc>
          <w:tcPr>
            <w:tcW w:w="1193" w:type="pct"/>
            <w:vAlign w:val="center"/>
          </w:tcPr>
          <w:p w14:paraId="04F0A07A"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地质条件缺陷</w:t>
            </w:r>
          </w:p>
        </w:tc>
      </w:tr>
      <w:tr w:rsidR="000B1599" w:rsidRPr="006437FB" w14:paraId="7FB6016E" w14:textId="77777777">
        <w:trPr>
          <w:trHeight w:val="87"/>
        </w:trPr>
        <w:tc>
          <w:tcPr>
            <w:tcW w:w="553" w:type="pct"/>
            <w:vMerge/>
            <w:vAlign w:val="center"/>
          </w:tcPr>
          <w:p w14:paraId="7723829D" w14:textId="77777777" w:rsidR="000B1599" w:rsidRPr="006437FB" w:rsidRDefault="000B1599">
            <w:pPr>
              <w:ind w:firstLineChars="0" w:firstLine="0"/>
              <w:jc w:val="center"/>
              <w:rPr>
                <w:rFonts w:cs="Times New Roman"/>
                <w:szCs w:val="21"/>
              </w:rPr>
            </w:pPr>
          </w:p>
        </w:tc>
        <w:tc>
          <w:tcPr>
            <w:tcW w:w="293" w:type="pct"/>
            <w:vAlign w:val="center"/>
          </w:tcPr>
          <w:p w14:paraId="2856B061"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E7</w:t>
            </w:r>
          </w:p>
        </w:tc>
        <w:tc>
          <w:tcPr>
            <w:tcW w:w="1284" w:type="pct"/>
            <w:vAlign w:val="center"/>
          </w:tcPr>
          <w:p w14:paraId="20B95015" w14:textId="77777777" w:rsidR="000B1599" w:rsidRPr="006437FB" w:rsidRDefault="00000000">
            <w:pPr>
              <w:tabs>
                <w:tab w:val="left" w:pos="5542"/>
              </w:tabs>
              <w:ind w:firstLineChars="0" w:firstLine="0"/>
              <w:jc w:val="center"/>
              <w:rPr>
                <w:rFonts w:cs="Times New Roman"/>
                <w:szCs w:val="21"/>
                <w:highlight w:val="yellow"/>
              </w:rPr>
            </w:pPr>
            <w:r w:rsidRPr="006437FB">
              <w:rPr>
                <w:rFonts w:ascii="宋体" w:eastAsia="宋体" w:hAnsi="宋体" w:cs="宋体" w:hint="eastAsia"/>
                <w:szCs w:val="21"/>
              </w:rPr>
              <w:t>外部火源</w:t>
            </w:r>
          </w:p>
        </w:tc>
        <w:tc>
          <w:tcPr>
            <w:tcW w:w="292" w:type="pct"/>
            <w:vAlign w:val="center"/>
          </w:tcPr>
          <w:p w14:paraId="0041FD1D"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E8</w:t>
            </w:r>
          </w:p>
        </w:tc>
        <w:tc>
          <w:tcPr>
            <w:tcW w:w="1104" w:type="pct"/>
            <w:vAlign w:val="center"/>
          </w:tcPr>
          <w:p w14:paraId="7E97FFF2"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地质环境变动</w:t>
            </w:r>
          </w:p>
        </w:tc>
        <w:tc>
          <w:tcPr>
            <w:tcW w:w="282" w:type="pct"/>
            <w:vAlign w:val="center"/>
          </w:tcPr>
          <w:p w14:paraId="2842F2E2"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E9</w:t>
            </w:r>
          </w:p>
        </w:tc>
        <w:tc>
          <w:tcPr>
            <w:tcW w:w="1193" w:type="pct"/>
            <w:vAlign w:val="center"/>
          </w:tcPr>
          <w:p w14:paraId="2B6C95A7"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第三方施工破坏</w:t>
            </w:r>
          </w:p>
        </w:tc>
      </w:tr>
      <w:tr w:rsidR="000B1599" w:rsidRPr="006437FB" w14:paraId="77B14189" w14:textId="77777777">
        <w:trPr>
          <w:trHeight w:val="139"/>
        </w:trPr>
        <w:tc>
          <w:tcPr>
            <w:tcW w:w="553" w:type="pct"/>
            <w:vMerge/>
            <w:vAlign w:val="center"/>
          </w:tcPr>
          <w:p w14:paraId="0461CA08" w14:textId="77777777" w:rsidR="000B1599" w:rsidRPr="006437FB" w:rsidRDefault="000B1599">
            <w:pPr>
              <w:ind w:firstLineChars="0" w:firstLine="0"/>
              <w:jc w:val="center"/>
              <w:rPr>
                <w:rFonts w:cs="Times New Roman"/>
                <w:szCs w:val="21"/>
              </w:rPr>
            </w:pPr>
          </w:p>
        </w:tc>
        <w:tc>
          <w:tcPr>
            <w:tcW w:w="293" w:type="pct"/>
            <w:vAlign w:val="center"/>
          </w:tcPr>
          <w:p w14:paraId="36904C21"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E10</w:t>
            </w:r>
          </w:p>
        </w:tc>
        <w:tc>
          <w:tcPr>
            <w:tcW w:w="1284" w:type="pct"/>
            <w:vAlign w:val="center"/>
          </w:tcPr>
          <w:p w14:paraId="58C562CE"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有毒及易燃易爆气体浓度异常</w:t>
            </w:r>
          </w:p>
        </w:tc>
        <w:tc>
          <w:tcPr>
            <w:tcW w:w="292" w:type="pct"/>
            <w:vAlign w:val="center"/>
          </w:tcPr>
          <w:p w14:paraId="276C6A5B"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E11</w:t>
            </w:r>
          </w:p>
        </w:tc>
        <w:tc>
          <w:tcPr>
            <w:tcW w:w="1104" w:type="pct"/>
            <w:vAlign w:val="center"/>
          </w:tcPr>
          <w:p w14:paraId="0538DFA8"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上方道路荷载过大</w:t>
            </w:r>
          </w:p>
        </w:tc>
        <w:tc>
          <w:tcPr>
            <w:tcW w:w="282" w:type="pct"/>
            <w:vAlign w:val="center"/>
          </w:tcPr>
          <w:p w14:paraId="71E8E527"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E12</w:t>
            </w:r>
          </w:p>
        </w:tc>
        <w:tc>
          <w:tcPr>
            <w:tcW w:w="1193" w:type="pct"/>
            <w:vAlign w:val="center"/>
          </w:tcPr>
          <w:p w14:paraId="0EAC010E"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动物啃噬</w:t>
            </w:r>
            <w:r w:rsidRPr="006437FB">
              <w:rPr>
                <w:rFonts w:cs="Times New Roman"/>
                <w:szCs w:val="21"/>
              </w:rPr>
              <w:t>/</w:t>
            </w:r>
            <w:r w:rsidRPr="006437FB">
              <w:rPr>
                <w:rFonts w:ascii="宋体" w:eastAsia="宋体" w:hAnsi="宋体" w:cs="宋体" w:hint="eastAsia"/>
                <w:szCs w:val="21"/>
              </w:rPr>
              <w:t>异物短接</w:t>
            </w:r>
          </w:p>
        </w:tc>
      </w:tr>
      <w:tr w:rsidR="000B1599" w:rsidRPr="006437FB" w14:paraId="7CE02799" w14:textId="77777777">
        <w:trPr>
          <w:trHeight w:val="139"/>
        </w:trPr>
        <w:tc>
          <w:tcPr>
            <w:tcW w:w="553" w:type="pct"/>
            <w:vMerge/>
            <w:vAlign w:val="center"/>
          </w:tcPr>
          <w:p w14:paraId="662C2199" w14:textId="77777777" w:rsidR="000B1599" w:rsidRPr="006437FB" w:rsidRDefault="000B1599">
            <w:pPr>
              <w:ind w:firstLineChars="0" w:firstLine="0"/>
              <w:jc w:val="center"/>
              <w:rPr>
                <w:rFonts w:cs="Times New Roman"/>
                <w:szCs w:val="21"/>
              </w:rPr>
            </w:pPr>
          </w:p>
        </w:tc>
        <w:tc>
          <w:tcPr>
            <w:tcW w:w="293" w:type="pct"/>
            <w:vAlign w:val="center"/>
          </w:tcPr>
          <w:p w14:paraId="4611DC19"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E13</w:t>
            </w:r>
          </w:p>
        </w:tc>
        <w:tc>
          <w:tcPr>
            <w:tcW w:w="1284" w:type="pct"/>
            <w:vAlign w:val="center"/>
          </w:tcPr>
          <w:p w14:paraId="36358C0A"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用电负荷过大</w:t>
            </w:r>
          </w:p>
        </w:tc>
        <w:tc>
          <w:tcPr>
            <w:tcW w:w="292" w:type="pct"/>
            <w:vAlign w:val="center"/>
          </w:tcPr>
          <w:p w14:paraId="3F4A371F"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E14</w:t>
            </w:r>
          </w:p>
        </w:tc>
        <w:tc>
          <w:tcPr>
            <w:tcW w:w="1104" w:type="pct"/>
            <w:vAlign w:val="center"/>
          </w:tcPr>
          <w:p w14:paraId="1D3171C9"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渗水</w:t>
            </w:r>
          </w:p>
        </w:tc>
        <w:tc>
          <w:tcPr>
            <w:tcW w:w="282" w:type="pct"/>
            <w:vAlign w:val="center"/>
          </w:tcPr>
          <w:p w14:paraId="0CE6F77A"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w:t>
            </w:r>
          </w:p>
        </w:tc>
        <w:tc>
          <w:tcPr>
            <w:tcW w:w="1193" w:type="pct"/>
            <w:vAlign w:val="center"/>
          </w:tcPr>
          <w:p w14:paraId="13B0B36D"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w:t>
            </w:r>
          </w:p>
        </w:tc>
      </w:tr>
      <w:tr w:rsidR="000B1599" w:rsidRPr="006437FB" w14:paraId="15C47011" w14:textId="77777777">
        <w:trPr>
          <w:trHeight w:val="279"/>
        </w:trPr>
        <w:tc>
          <w:tcPr>
            <w:tcW w:w="553" w:type="pct"/>
            <w:vMerge w:val="restart"/>
            <w:vAlign w:val="center"/>
          </w:tcPr>
          <w:p w14:paraId="3E5C11F7"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管理因素</w:t>
            </w:r>
            <w:r w:rsidRPr="006437FB">
              <w:rPr>
                <w:rFonts w:cs="Times New Roman"/>
                <w:szCs w:val="21"/>
              </w:rPr>
              <w:t>M</w:t>
            </w:r>
          </w:p>
        </w:tc>
        <w:tc>
          <w:tcPr>
            <w:tcW w:w="293" w:type="pct"/>
            <w:vAlign w:val="center"/>
          </w:tcPr>
          <w:p w14:paraId="6D2A1475"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M1</w:t>
            </w:r>
          </w:p>
        </w:tc>
        <w:tc>
          <w:tcPr>
            <w:tcW w:w="1284" w:type="pct"/>
            <w:vAlign w:val="center"/>
          </w:tcPr>
          <w:p w14:paraId="025FC3A5"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管理制度不健全</w:t>
            </w:r>
          </w:p>
        </w:tc>
        <w:tc>
          <w:tcPr>
            <w:tcW w:w="292" w:type="pct"/>
            <w:vAlign w:val="center"/>
          </w:tcPr>
          <w:p w14:paraId="2EE13D3A"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M2</w:t>
            </w:r>
          </w:p>
        </w:tc>
        <w:tc>
          <w:tcPr>
            <w:tcW w:w="1104" w:type="pct"/>
            <w:vAlign w:val="center"/>
          </w:tcPr>
          <w:p w14:paraId="11F69AF7"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未落实安全生产责任制</w:t>
            </w:r>
          </w:p>
        </w:tc>
        <w:tc>
          <w:tcPr>
            <w:tcW w:w="282" w:type="pct"/>
            <w:vAlign w:val="center"/>
          </w:tcPr>
          <w:p w14:paraId="3CA3A563"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M3</w:t>
            </w:r>
          </w:p>
        </w:tc>
        <w:tc>
          <w:tcPr>
            <w:tcW w:w="1193" w:type="pct"/>
            <w:vAlign w:val="center"/>
          </w:tcPr>
          <w:p w14:paraId="6D0C8E85"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应急预案管理不到位</w:t>
            </w:r>
          </w:p>
        </w:tc>
      </w:tr>
      <w:tr w:rsidR="000B1599" w:rsidRPr="006437FB" w14:paraId="36BD9F1C" w14:textId="77777777">
        <w:trPr>
          <w:trHeight w:val="139"/>
        </w:trPr>
        <w:tc>
          <w:tcPr>
            <w:tcW w:w="553" w:type="pct"/>
            <w:vMerge/>
            <w:vAlign w:val="center"/>
          </w:tcPr>
          <w:p w14:paraId="2C0BF772" w14:textId="77777777" w:rsidR="000B1599" w:rsidRPr="006437FB" w:rsidRDefault="000B1599">
            <w:pPr>
              <w:ind w:firstLineChars="0" w:firstLine="0"/>
              <w:jc w:val="center"/>
              <w:rPr>
                <w:rFonts w:cs="Times New Roman"/>
                <w:szCs w:val="21"/>
              </w:rPr>
            </w:pPr>
          </w:p>
        </w:tc>
        <w:tc>
          <w:tcPr>
            <w:tcW w:w="293" w:type="pct"/>
            <w:vAlign w:val="center"/>
          </w:tcPr>
          <w:p w14:paraId="62209DE3"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M4</w:t>
            </w:r>
          </w:p>
        </w:tc>
        <w:tc>
          <w:tcPr>
            <w:tcW w:w="1284" w:type="pct"/>
            <w:vAlign w:val="center"/>
          </w:tcPr>
          <w:p w14:paraId="185606A0"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安全教育培训不到位</w:t>
            </w:r>
          </w:p>
        </w:tc>
        <w:tc>
          <w:tcPr>
            <w:tcW w:w="292" w:type="pct"/>
            <w:vAlign w:val="center"/>
          </w:tcPr>
          <w:p w14:paraId="3748F6F3"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M5</w:t>
            </w:r>
          </w:p>
        </w:tc>
        <w:tc>
          <w:tcPr>
            <w:tcW w:w="1104" w:type="pct"/>
            <w:vAlign w:val="center"/>
          </w:tcPr>
          <w:p w14:paraId="0536A56B"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安全检查不到位</w:t>
            </w:r>
          </w:p>
        </w:tc>
        <w:tc>
          <w:tcPr>
            <w:tcW w:w="282" w:type="pct"/>
            <w:vAlign w:val="center"/>
          </w:tcPr>
          <w:p w14:paraId="1C74A4E2"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M6</w:t>
            </w:r>
          </w:p>
        </w:tc>
        <w:tc>
          <w:tcPr>
            <w:tcW w:w="1193" w:type="pct"/>
            <w:vAlign w:val="center"/>
          </w:tcPr>
          <w:p w14:paraId="41E62F9E"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隐患排查治理不到位</w:t>
            </w:r>
          </w:p>
        </w:tc>
      </w:tr>
      <w:tr w:rsidR="000B1599" w:rsidRPr="006437FB" w14:paraId="073D5564" w14:textId="77777777">
        <w:trPr>
          <w:trHeight w:val="320"/>
        </w:trPr>
        <w:tc>
          <w:tcPr>
            <w:tcW w:w="553" w:type="pct"/>
            <w:vMerge/>
            <w:vAlign w:val="center"/>
          </w:tcPr>
          <w:p w14:paraId="238DBF6E" w14:textId="77777777" w:rsidR="000B1599" w:rsidRPr="006437FB" w:rsidRDefault="000B1599">
            <w:pPr>
              <w:ind w:firstLineChars="0" w:firstLine="0"/>
              <w:jc w:val="center"/>
              <w:rPr>
                <w:rFonts w:cs="Times New Roman"/>
                <w:szCs w:val="21"/>
              </w:rPr>
            </w:pPr>
          </w:p>
        </w:tc>
        <w:tc>
          <w:tcPr>
            <w:tcW w:w="293" w:type="pct"/>
            <w:vAlign w:val="center"/>
          </w:tcPr>
          <w:p w14:paraId="0FF592AA"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M7</w:t>
            </w:r>
          </w:p>
        </w:tc>
        <w:tc>
          <w:tcPr>
            <w:tcW w:w="1284" w:type="pct"/>
            <w:vAlign w:val="center"/>
          </w:tcPr>
          <w:p w14:paraId="5B0843F8"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电缆载流量设计偏低</w:t>
            </w:r>
          </w:p>
        </w:tc>
        <w:tc>
          <w:tcPr>
            <w:tcW w:w="292" w:type="pct"/>
            <w:vAlign w:val="center"/>
          </w:tcPr>
          <w:p w14:paraId="6724747B"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M8</w:t>
            </w:r>
          </w:p>
        </w:tc>
        <w:tc>
          <w:tcPr>
            <w:tcW w:w="1104" w:type="pct"/>
            <w:vAlign w:val="center"/>
          </w:tcPr>
          <w:p w14:paraId="7C958864"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附属设施维修养护不到位</w:t>
            </w:r>
          </w:p>
        </w:tc>
        <w:tc>
          <w:tcPr>
            <w:tcW w:w="282" w:type="pct"/>
            <w:vAlign w:val="center"/>
          </w:tcPr>
          <w:p w14:paraId="0F9E723F"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M9</w:t>
            </w:r>
          </w:p>
        </w:tc>
        <w:tc>
          <w:tcPr>
            <w:tcW w:w="1193" w:type="pct"/>
            <w:vAlign w:val="center"/>
          </w:tcPr>
          <w:p w14:paraId="4C918F90"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防水防洪措施不到位</w:t>
            </w:r>
          </w:p>
        </w:tc>
      </w:tr>
      <w:tr w:rsidR="000B1599" w:rsidRPr="006437FB" w14:paraId="5AD4AF0F" w14:textId="77777777">
        <w:trPr>
          <w:trHeight w:val="139"/>
        </w:trPr>
        <w:tc>
          <w:tcPr>
            <w:tcW w:w="553" w:type="pct"/>
            <w:vMerge/>
            <w:vAlign w:val="center"/>
          </w:tcPr>
          <w:p w14:paraId="57019B25" w14:textId="77777777" w:rsidR="000B1599" w:rsidRPr="006437FB" w:rsidRDefault="000B1599">
            <w:pPr>
              <w:ind w:firstLineChars="0" w:firstLine="0"/>
              <w:jc w:val="center"/>
              <w:rPr>
                <w:rFonts w:cs="Times New Roman"/>
                <w:szCs w:val="21"/>
              </w:rPr>
            </w:pPr>
          </w:p>
        </w:tc>
        <w:tc>
          <w:tcPr>
            <w:tcW w:w="293" w:type="pct"/>
            <w:vAlign w:val="center"/>
          </w:tcPr>
          <w:p w14:paraId="73A9AEA8"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M10</w:t>
            </w:r>
          </w:p>
        </w:tc>
        <w:tc>
          <w:tcPr>
            <w:tcW w:w="1284" w:type="pct"/>
            <w:vAlign w:val="center"/>
          </w:tcPr>
          <w:p w14:paraId="4F9E6987"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消防系统设计质量不良</w:t>
            </w:r>
          </w:p>
        </w:tc>
        <w:tc>
          <w:tcPr>
            <w:tcW w:w="292" w:type="pct"/>
            <w:vAlign w:val="center"/>
          </w:tcPr>
          <w:p w14:paraId="0B433BAF"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M11</w:t>
            </w:r>
          </w:p>
        </w:tc>
        <w:tc>
          <w:tcPr>
            <w:tcW w:w="1104" w:type="pct"/>
            <w:vAlign w:val="center"/>
          </w:tcPr>
          <w:p w14:paraId="2D5561AC"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防震措施不到位</w:t>
            </w:r>
          </w:p>
        </w:tc>
        <w:tc>
          <w:tcPr>
            <w:tcW w:w="282" w:type="pct"/>
            <w:vAlign w:val="center"/>
          </w:tcPr>
          <w:p w14:paraId="3F90C6B2"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M12</w:t>
            </w:r>
          </w:p>
        </w:tc>
        <w:tc>
          <w:tcPr>
            <w:tcW w:w="1193" w:type="pct"/>
            <w:vAlign w:val="center"/>
          </w:tcPr>
          <w:p w14:paraId="302371E2"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抗震等级设计不足</w:t>
            </w:r>
          </w:p>
        </w:tc>
      </w:tr>
      <w:tr w:rsidR="000B1599" w:rsidRPr="006437FB" w14:paraId="744B5352" w14:textId="77777777">
        <w:trPr>
          <w:trHeight w:val="297"/>
        </w:trPr>
        <w:tc>
          <w:tcPr>
            <w:tcW w:w="553" w:type="pct"/>
            <w:vMerge w:val="restart"/>
            <w:vAlign w:val="center"/>
          </w:tcPr>
          <w:p w14:paraId="2C4CC8FD"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事故后果</w:t>
            </w:r>
            <w:r w:rsidRPr="006437FB">
              <w:rPr>
                <w:rFonts w:cs="Times New Roman"/>
                <w:szCs w:val="21"/>
              </w:rPr>
              <w:t>R</w:t>
            </w:r>
          </w:p>
        </w:tc>
        <w:tc>
          <w:tcPr>
            <w:tcW w:w="293" w:type="pct"/>
            <w:vAlign w:val="center"/>
          </w:tcPr>
          <w:p w14:paraId="18C75307"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R1</w:t>
            </w:r>
          </w:p>
        </w:tc>
        <w:tc>
          <w:tcPr>
            <w:tcW w:w="1284" w:type="pct"/>
            <w:vAlign w:val="center"/>
          </w:tcPr>
          <w:p w14:paraId="31C8E11A"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火灾</w:t>
            </w:r>
          </w:p>
        </w:tc>
        <w:tc>
          <w:tcPr>
            <w:tcW w:w="292" w:type="pct"/>
            <w:vAlign w:val="center"/>
          </w:tcPr>
          <w:p w14:paraId="027066B6"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R2</w:t>
            </w:r>
          </w:p>
        </w:tc>
        <w:tc>
          <w:tcPr>
            <w:tcW w:w="1104" w:type="pct"/>
            <w:vAlign w:val="center"/>
          </w:tcPr>
          <w:p w14:paraId="2D20F370"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爆炸</w:t>
            </w:r>
          </w:p>
        </w:tc>
        <w:tc>
          <w:tcPr>
            <w:tcW w:w="282" w:type="pct"/>
            <w:vAlign w:val="center"/>
          </w:tcPr>
          <w:p w14:paraId="6427E6AE"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R3</w:t>
            </w:r>
          </w:p>
        </w:tc>
        <w:tc>
          <w:tcPr>
            <w:tcW w:w="1193" w:type="pct"/>
            <w:vAlign w:val="center"/>
          </w:tcPr>
          <w:p w14:paraId="69C98DA1"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人员伤亡</w:t>
            </w:r>
          </w:p>
        </w:tc>
      </w:tr>
      <w:tr w:rsidR="000B1599" w:rsidRPr="006437FB" w14:paraId="26E0F815" w14:textId="77777777">
        <w:trPr>
          <w:trHeight w:val="185"/>
        </w:trPr>
        <w:tc>
          <w:tcPr>
            <w:tcW w:w="553" w:type="pct"/>
            <w:vMerge/>
            <w:vAlign w:val="center"/>
          </w:tcPr>
          <w:p w14:paraId="08C857F8" w14:textId="77777777" w:rsidR="000B1599" w:rsidRPr="006437FB" w:rsidRDefault="000B1599">
            <w:pPr>
              <w:ind w:firstLineChars="0" w:firstLine="0"/>
              <w:jc w:val="center"/>
              <w:rPr>
                <w:rFonts w:cs="Times New Roman"/>
                <w:szCs w:val="21"/>
              </w:rPr>
            </w:pPr>
          </w:p>
        </w:tc>
        <w:tc>
          <w:tcPr>
            <w:tcW w:w="293" w:type="pct"/>
            <w:vAlign w:val="center"/>
          </w:tcPr>
          <w:p w14:paraId="08E37D38"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R4</w:t>
            </w:r>
          </w:p>
        </w:tc>
        <w:tc>
          <w:tcPr>
            <w:tcW w:w="1284" w:type="pct"/>
            <w:vAlign w:val="center"/>
          </w:tcPr>
          <w:p w14:paraId="1A4782B2"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范围性断电</w:t>
            </w:r>
          </w:p>
        </w:tc>
        <w:tc>
          <w:tcPr>
            <w:tcW w:w="292" w:type="pct"/>
            <w:vAlign w:val="center"/>
          </w:tcPr>
          <w:p w14:paraId="446DA6BA"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R5</w:t>
            </w:r>
          </w:p>
        </w:tc>
        <w:tc>
          <w:tcPr>
            <w:tcW w:w="1104" w:type="pct"/>
            <w:vAlign w:val="center"/>
          </w:tcPr>
          <w:p w14:paraId="3DA21306"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水灾</w:t>
            </w:r>
          </w:p>
        </w:tc>
        <w:tc>
          <w:tcPr>
            <w:tcW w:w="282" w:type="pct"/>
            <w:vAlign w:val="center"/>
          </w:tcPr>
          <w:p w14:paraId="0DC0A4C6" w14:textId="77777777" w:rsidR="000B1599" w:rsidRPr="006437FB" w:rsidRDefault="00000000">
            <w:pPr>
              <w:tabs>
                <w:tab w:val="left" w:pos="5542"/>
              </w:tabs>
              <w:ind w:firstLineChars="0" w:firstLine="0"/>
              <w:jc w:val="center"/>
              <w:rPr>
                <w:rFonts w:cs="Times New Roman"/>
                <w:szCs w:val="21"/>
              </w:rPr>
            </w:pPr>
            <w:r w:rsidRPr="006437FB">
              <w:rPr>
                <w:rFonts w:cs="Times New Roman"/>
                <w:szCs w:val="21"/>
              </w:rPr>
              <w:t>R6</w:t>
            </w:r>
          </w:p>
        </w:tc>
        <w:tc>
          <w:tcPr>
            <w:tcW w:w="1193" w:type="pct"/>
            <w:vAlign w:val="center"/>
          </w:tcPr>
          <w:p w14:paraId="327E005F" w14:textId="77777777" w:rsidR="000B1599" w:rsidRPr="006437FB" w:rsidRDefault="00000000">
            <w:pPr>
              <w:tabs>
                <w:tab w:val="left" w:pos="5542"/>
              </w:tabs>
              <w:ind w:firstLineChars="0" w:firstLine="0"/>
              <w:jc w:val="center"/>
              <w:rPr>
                <w:rFonts w:cs="Times New Roman"/>
                <w:szCs w:val="21"/>
              </w:rPr>
            </w:pPr>
            <w:r w:rsidRPr="006437FB">
              <w:rPr>
                <w:rFonts w:ascii="宋体" w:eastAsia="宋体" w:hAnsi="宋体" w:cs="宋体" w:hint="eastAsia"/>
                <w:szCs w:val="21"/>
              </w:rPr>
              <w:t>触电</w:t>
            </w:r>
          </w:p>
        </w:tc>
      </w:tr>
    </w:tbl>
    <w:p w14:paraId="1F9A009E" w14:textId="77777777" w:rsidR="000B1599" w:rsidRPr="006437FB" w:rsidRDefault="000B1599">
      <w:pPr>
        <w:keepNext/>
        <w:widowControl/>
        <w:spacing w:line="240" w:lineRule="atLeast"/>
        <w:ind w:firstLineChars="0" w:firstLine="0"/>
        <w:jc w:val="both"/>
        <w:outlineLvl w:val="1"/>
        <w:rPr>
          <w:rFonts w:cs="Times New Roman"/>
          <w:b/>
          <w:kern w:val="0"/>
          <w:szCs w:val="21"/>
        </w:rPr>
        <w:sectPr w:rsidR="000B1599" w:rsidRPr="006437FB">
          <w:type w:val="continuous"/>
          <w:pgSz w:w="11906" w:h="16838"/>
          <w:pgMar w:top="1985" w:right="1021" w:bottom="1021" w:left="1021" w:header="851" w:footer="992" w:gutter="0"/>
          <w:cols w:space="720"/>
          <w:docGrid w:type="lines" w:linePitch="288"/>
        </w:sectPr>
      </w:pPr>
    </w:p>
    <w:p w14:paraId="72166FB5" w14:textId="77777777" w:rsidR="000B1599" w:rsidRPr="006437FB" w:rsidRDefault="00000000">
      <w:pPr>
        <w:keepNext/>
        <w:widowControl/>
        <w:spacing w:line="240" w:lineRule="atLeast"/>
        <w:ind w:firstLineChars="0" w:firstLine="0"/>
        <w:jc w:val="both"/>
        <w:outlineLvl w:val="1"/>
        <w:rPr>
          <w:rFonts w:cs="Times New Roman"/>
          <w:b/>
          <w:kern w:val="0"/>
          <w:szCs w:val="21"/>
        </w:rPr>
      </w:pPr>
      <w:r w:rsidRPr="006437FB">
        <w:rPr>
          <w:rFonts w:cs="Times New Roman"/>
          <w:b/>
          <w:kern w:val="0"/>
          <w:szCs w:val="21"/>
        </w:rPr>
        <w:t>2.2</w:t>
      </w:r>
      <w:r w:rsidRPr="006437FB">
        <w:rPr>
          <w:rFonts w:cs="Times New Roman"/>
          <w:b/>
          <w:kern w:val="0"/>
          <w:szCs w:val="21"/>
        </w:rPr>
        <w:t>电力管廊风险传导有向加权复杂网络构建</w:t>
      </w:r>
    </w:p>
    <w:p w14:paraId="61C86970" w14:textId="77777777" w:rsidR="000B1599" w:rsidRPr="006437FB" w:rsidRDefault="00000000">
      <w:pPr>
        <w:ind w:firstLine="420"/>
        <w:jc w:val="both"/>
        <w:rPr>
          <w:rFonts w:cs="Times New Roman"/>
          <w:szCs w:val="21"/>
        </w:rPr>
        <w:sectPr w:rsidR="000B1599" w:rsidRPr="006437FB">
          <w:type w:val="continuous"/>
          <w:pgSz w:w="11906" w:h="16838"/>
          <w:pgMar w:top="1985" w:right="1021" w:bottom="1021" w:left="1021" w:header="851" w:footer="992" w:gutter="0"/>
          <w:cols w:num="2" w:space="720" w:equalWidth="0">
            <w:col w:w="4720" w:space="425"/>
            <w:col w:w="4719"/>
          </w:cols>
          <w:docGrid w:type="lines" w:linePitch="288"/>
        </w:sectPr>
      </w:pPr>
      <w:r w:rsidRPr="006437FB">
        <w:rPr>
          <w:rFonts w:cs="Times New Roman"/>
          <w:szCs w:val="21"/>
        </w:rPr>
        <w:t>本研究采用多源融合数据收集策略，主要通过国家电网公司出版的安全生产事故事件分析报告、媒体报道以及文献研究</w:t>
      </w:r>
      <w:r w:rsidRPr="006437FB">
        <w:rPr>
          <w:rFonts w:cs="Times New Roman"/>
          <w:szCs w:val="21"/>
          <w:vertAlign w:val="superscript"/>
        </w:rPr>
        <w:t>[16]</w:t>
      </w:r>
      <w:r w:rsidRPr="006437FB">
        <w:rPr>
          <w:rFonts w:cs="Times New Roman"/>
          <w:szCs w:val="21"/>
        </w:rPr>
        <w:t>实现事故案例数据收集。</w:t>
      </w:r>
      <w:r w:rsidRPr="006437FB">
        <w:rPr>
          <w:rFonts w:cs="Times New Roman"/>
          <w:szCs w:val="21"/>
        </w:rPr>
        <w:t>最终收集事故案例</w:t>
      </w:r>
      <w:r w:rsidRPr="006437FB">
        <w:rPr>
          <w:rFonts w:cs="Times New Roman"/>
          <w:szCs w:val="21"/>
        </w:rPr>
        <w:t>101</w:t>
      </w:r>
      <w:r w:rsidRPr="006437FB">
        <w:rPr>
          <w:rFonts w:cs="Times New Roman"/>
          <w:szCs w:val="21"/>
        </w:rPr>
        <w:t>起，基于已构建的电力管廊风险因素集，采用结构化文本分析方法提取各案例中的风险因素：将案例描述与因素集进行语义对齐，实现因素关联匹配</w:t>
      </w:r>
      <w:r w:rsidRPr="006437FB">
        <w:rPr>
          <w:rFonts w:cs="Times New Roman"/>
          <w:szCs w:val="21"/>
          <w:vertAlign w:val="superscript"/>
        </w:rPr>
        <w:t>[17]</w:t>
      </w:r>
      <w:r w:rsidRPr="006437FB">
        <w:rPr>
          <w:rFonts w:cs="Times New Roman"/>
          <w:szCs w:val="21"/>
        </w:rPr>
        <w:t>，如表</w:t>
      </w:r>
      <w:r w:rsidRPr="006437FB">
        <w:rPr>
          <w:rFonts w:cs="Times New Roman"/>
          <w:szCs w:val="21"/>
        </w:rPr>
        <w:t>2</w:t>
      </w:r>
      <w:r w:rsidRPr="006437FB">
        <w:rPr>
          <w:rFonts w:cs="Times New Roman"/>
          <w:szCs w:val="21"/>
        </w:rPr>
        <w:t>所示。</w:t>
      </w:r>
    </w:p>
    <w:p w14:paraId="6081E319" w14:textId="77777777" w:rsidR="000B1599" w:rsidRPr="006437FB" w:rsidRDefault="00000000">
      <w:pPr>
        <w:ind w:firstLineChars="0" w:firstLine="0"/>
        <w:jc w:val="center"/>
        <w:rPr>
          <w:rFonts w:cs="Times New Roman"/>
          <w:szCs w:val="21"/>
        </w:rPr>
      </w:pPr>
      <w:r w:rsidRPr="006437FB">
        <w:rPr>
          <w:rFonts w:cs="Times New Roman"/>
          <w:szCs w:val="21"/>
        </w:rPr>
        <w:t>表</w:t>
      </w:r>
      <w:r w:rsidRPr="006437FB">
        <w:rPr>
          <w:rFonts w:cs="Times New Roman"/>
          <w:szCs w:val="21"/>
        </w:rPr>
        <w:t>2</w:t>
      </w:r>
      <w:r w:rsidRPr="006437FB">
        <w:rPr>
          <w:rFonts w:cs="Times New Roman"/>
          <w:szCs w:val="21"/>
        </w:rPr>
        <w:t>：事故案例与风险因素关联匹配结果</w:t>
      </w:r>
    </w:p>
    <w:tbl>
      <w:tblPr>
        <w:tblStyle w:val="21"/>
        <w:tblW w:w="5000" w:type="pct"/>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9"/>
        <w:gridCol w:w="1342"/>
        <w:gridCol w:w="1059"/>
        <w:gridCol w:w="6544"/>
      </w:tblGrid>
      <w:tr w:rsidR="000B1599" w:rsidRPr="006437FB" w14:paraId="2727275D" w14:textId="77777777">
        <w:trPr>
          <w:jc w:val="center"/>
        </w:trPr>
        <w:tc>
          <w:tcPr>
            <w:tcW w:w="466" w:type="pct"/>
            <w:tcBorders>
              <w:top w:val="single" w:sz="4" w:space="0" w:color="auto"/>
              <w:bottom w:val="single" w:sz="4" w:space="0" w:color="auto"/>
            </w:tcBorders>
            <w:vAlign w:val="center"/>
          </w:tcPr>
          <w:p w14:paraId="71F2281F" w14:textId="77777777" w:rsidR="000B1599" w:rsidRPr="006437FB" w:rsidRDefault="00000000">
            <w:pPr>
              <w:ind w:firstLineChars="0" w:firstLine="0"/>
              <w:jc w:val="center"/>
              <w:rPr>
                <w:rFonts w:eastAsiaTheme="minorEastAsia" w:cs="Times New Roman"/>
                <w:szCs w:val="21"/>
              </w:rPr>
            </w:pPr>
            <w:r w:rsidRPr="006437FB">
              <w:rPr>
                <w:rFonts w:ascii="宋体" w:eastAsia="宋体" w:hAnsi="宋体" w:cs="宋体" w:hint="eastAsia"/>
                <w:szCs w:val="21"/>
              </w:rPr>
              <w:t>事故</w:t>
            </w:r>
          </w:p>
          <w:p w14:paraId="71FA18A2" w14:textId="77777777" w:rsidR="000B1599" w:rsidRPr="006437FB" w:rsidRDefault="00000000">
            <w:pPr>
              <w:ind w:firstLineChars="0" w:firstLine="0"/>
              <w:jc w:val="center"/>
              <w:rPr>
                <w:rFonts w:cs="Times New Roman"/>
                <w:szCs w:val="21"/>
              </w:rPr>
            </w:pPr>
            <w:r w:rsidRPr="006437FB">
              <w:rPr>
                <w:rFonts w:ascii="宋体" w:eastAsia="宋体" w:hAnsi="宋体" w:cs="宋体" w:hint="eastAsia"/>
                <w:szCs w:val="21"/>
              </w:rPr>
              <w:t>时间</w:t>
            </w:r>
          </w:p>
        </w:tc>
        <w:tc>
          <w:tcPr>
            <w:tcW w:w="680" w:type="pct"/>
            <w:tcBorders>
              <w:top w:val="single" w:sz="4" w:space="0" w:color="auto"/>
              <w:bottom w:val="single" w:sz="4" w:space="0" w:color="auto"/>
            </w:tcBorders>
            <w:vAlign w:val="center"/>
          </w:tcPr>
          <w:p w14:paraId="228FE3EF" w14:textId="77777777" w:rsidR="000B1599" w:rsidRPr="006437FB" w:rsidRDefault="00000000">
            <w:pPr>
              <w:ind w:firstLineChars="0" w:firstLine="0"/>
              <w:jc w:val="center"/>
              <w:rPr>
                <w:rFonts w:cs="Times New Roman"/>
                <w:szCs w:val="21"/>
              </w:rPr>
            </w:pPr>
            <w:r w:rsidRPr="006437FB">
              <w:rPr>
                <w:rFonts w:ascii="宋体" w:eastAsia="宋体" w:hAnsi="宋体" w:cs="宋体" w:hint="eastAsia"/>
                <w:szCs w:val="21"/>
              </w:rPr>
              <w:t>事故类型</w:t>
            </w:r>
          </w:p>
        </w:tc>
        <w:tc>
          <w:tcPr>
            <w:tcW w:w="537" w:type="pct"/>
            <w:tcBorders>
              <w:top w:val="single" w:sz="4" w:space="0" w:color="auto"/>
              <w:bottom w:val="single" w:sz="4" w:space="0" w:color="auto"/>
            </w:tcBorders>
            <w:vAlign w:val="center"/>
          </w:tcPr>
          <w:p w14:paraId="0527FCA7" w14:textId="77777777" w:rsidR="000B1599" w:rsidRPr="006437FB" w:rsidRDefault="00000000">
            <w:pPr>
              <w:ind w:firstLineChars="0" w:firstLine="0"/>
              <w:jc w:val="center"/>
              <w:rPr>
                <w:rFonts w:cs="Times New Roman"/>
                <w:szCs w:val="21"/>
              </w:rPr>
            </w:pPr>
            <w:r w:rsidRPr="006437FB">
              <w:rPr>
                <w:rFonts w:ascii="宋体" w:eastAsia="宋体" w:hAnsi="宋体" w:cs="宋体" w:hint="eastAsia"/>
                <w:szCs w:val="21"/>
              </w:rPr>
              <w:t>事故来源</w:t>
            </w:r>
          </w:p>
        </w:tc>
        <w:tc>
          <w:tcPr>
            <w:tcW w:w="3317" w:type="pct"/>
            <w:tcBorders>
              <w:top w:val="single" w:sz="4" w:space="0" w:color="auto"/>
              <w:bottom w:val="single" w:sz="4" w:space="0" w:color="auto"/>
            </w:tcBorders>
            <w:vAlign w:val="center"/>
          </w:tcPr>
          <w:p w14:paraId="6A144850" w14:textId="77777777" w:rsidR="000B1599" w:rsidRPr="006437FB" w:rsidRDefault="00000000">
            <w:pPr>
              <w:ind w:firstLineChars="0" w:firstLine="0"/>
              <w:jc w:val="center"/>
              <w:rPr>
                <w:rFonts w:cs="Times New Roman"/>
                <w:szCs w:val="21"/>
              </w:rPr>
            </w:pPr>
            <w:r w:rsidRPr="006437FB">
              <w:rPr>
                <w:rFonts w:ascii="宋体" w:eastAsia="宋体" w:hAnsi="宋体" w:cs="宋体" w:hint="eastAsia"/>
                <w:szCs w:val="21"/>
              </w:rPr>
              <w:t>风险因素关联匹配结果</w:t>
            </w:r>
          </w:p>
        </w:tc>
      </w:tr>
      <w:tr w:rsidR="000B1599" w:rsidRPr="006437FB" w14:paraId="5F5EB669" w14:textId="77777777">
        <w:trPr>
          <w:jc w:val="center"/>
        </w:trPr>
        <w:tc>
          <w:tcPr>
            <w:tcW w:w="466" w:type="pct"/>
            <w:tcBorders>
              <w:top w:val="single" w:sz="4" w:space="0" w:color="auto"/>
            </w:tcBorders>
            <w:vAlign w:val="center"/>
          </w:tcPr>
          <w:p w14:paraId="241DEFC2" w14:textId="77777777" w:rsidR="000B1599" w:rsidRPr="006437FB" w:rsidRDefault="00000000">
            <w:pPr>
              <w:ind w:firstLineChars="0" w:firstLine="0"/>
              <w:jc w:val="center"/>
              <w:rPr>
                <w:rFonts w:cs="Times New Roman"/>
                <w:szCs w:val="21"/>
              </w:rPr>
            </w:pPr>
            <w:r w:rsidRPr="006437FB">
              <w:rPr>
                <w:rFonts w:cs="Times New Roman"/>
                <w:szCs w:val="21"/>
              </w:rPr>
              <w:t>201</w:t>
            </w:r>
            <w:r w:rsidRPr="006437FB">
              <w:rPr>
                <w:rFonts w:eastAsiaTheme="minorEastAsia" w:cs="Times New Roman"/>
                <w:szCs w:val="21"/>
              </w:rPr>
              <w:t>8</w:t>
            </w:r>
            <w:r w:rsidRPr="006437FB">
              <w:rPr>
                <w:rFonts w:ascii="宋体" w:eastAsia="宋体" w:hAnsi="宋体" w:cs="宋体" w:hint="eastAsia"/>
                <w:szCs w:val="21"/>
              </w:rPr>
              <w:t>年</w:t>
            </w:r>
            <w:r w:rsidRPr="006437FB">
              <w:rPr>
                <w:rFonts w:eastAsiaTheme="minorEastAsia" w:cs="Times New Roman"/>
                <w:szCs w:val="21"/>
              </w:rPr>
              <w:t>8</w:t>
            </w:r>
            <w:r w:rsidRPr="006437FB">
              <w:rPr>
                <w:rFonts w:ascii="宋体" w:eastAsia="宋体" w:hAnsi="宋体" w:cs="宋体" w:hint="eastAsia"/>
                <w:szCs w:val="21"/>
              </w:rPr>
              <w:t>月</w:t>
            </w:r>
          </w:p>
        </w:tc>
        <w:tc>
          <w:tcPr>
            <w:tcW w:w="680" w:type="pct"/>
            <w:tcBorders>
              <w:top w:val="single" w:sz="4" w:space="0" w:color="auto"/>
            </w:tcBorders>
            <w:vAlign w:val="center"/>
          </w:tcPr>
          <w:p w14:paraId="2B839834" w14:textId="77777777" w:rsidR="000B1599" w:rsidRPr="006437FB" w:rsidRDefault="00000000">
            <w:pPr>
              <w:ind w:firstLineChars="0" w:firstLine="0"/>
              <w:jc w:val="center"/>
              <w:rPr>
                <w:rFonts w:cs="Times New Roman"/>
                <w:szCs w:val="21"/>
              </w:rPr>
            </w:pPr>
            <w:r w:rsidRPr="006437FB">
              <w:rPr>
                <w:rFonts w:ascii="宋体" w:eastAsia="宋体" w:hAnsi="宋体" w:cs="宋体" w:hint="eastAsia"/>
                <w:szCs w:val="21"/>
              </w:rPr>
              <w:t>范围性断电</w:t>
            </w:r>
          </w:p>
        </w:tc>
        <w:tc>
          <w:tcPr>
            <w:tcW w:w="537" w:type="pct"/>
            <w:tcBorders>
              <w:top w:val="single" w:sz="4" w:space="0" w:color="auto"/>
            </w:tcBorders>
            <w:vAlign w:val="center"/>
          </w:tcPr>
          <w:p w14:paraId="7272DB9A" w14:textId="77777777" w:rsidR="000B1599" w:rsidRPr="006437FB" w:rsidRDefault="00000000">
            <w:pPr>
              <w:ind w:firstLineChars="0" w:firstLine="0"/>
              <w:jc w:val="center"/>
              <w:rPr>
                <w:rFonts w:eastAsiaTheme="minorEastAsia" w:cs="Times New Roman"/>
                <w:szCs w:val="21"/>
              </w:rPr>
            </w:pPr>
            <w:r w:rsidRPr="006437FB">
              <w:rPr>
                <w:rFonts w:eastAsiaTheme="minorEastAsia" w:cs="Times New Roman"/>
                <w:szCs w:val="21"/>
              </w:rPr>
              <w:t>媒体报道</w:t>
            </w:r>
          </w:p>
        </w:tc>
        <w:tc>
          <w:tcPr>
            <w:tcW w:w="3317" w:type="pct"/>
            <w:tcBorders>
              <w:top w:val="single" w:sz="4" w:space="0" w:color="auto"/>
            </w:tcBorders>
            <w:vAlign w:val="center"/>
          </w:tcPr>
          <w:p w14:paraId="3B5FA58C" w14:textId="77777777" w:rsidR="000B1599" w:rsidRPr="006437FB" w:rsidRDefault="00000000">
            <w:pPr>
              <w:ind w:firstLineChars="0" w:firstLine="0"/>
              <w:jc w:val="center"/>
              <w:rPr>
                <w:rFonts w:cs="Times New Roman"/>
                <w:szCs w:val="21"/>
              </w:rPr>
            </w:pPr>
            <w:r w:rsidRPr="006437FB">
              <w:rPr>
                <w:rFonts w:ascii="宋体" w:eastAsia="宋体" w:hAnsi="宋体" w:cs="宋体" w:hint="eastAsia"/>
                <w:szCs w:val="21"/>
              </w:rPr>
              <w:t>违章作业，安全教育培训不到位，第三方施工破坏，绝缘损伤，电缆故障，范围性断电</w:t>
            </w:r>
          </w:p>
        </w:tc>
      </w:tr>
      <w:tr w:rsidR="000B1599" w:rsidRPr="006437FB" w14:paraId="62751EE1" w14:textId="77777777">
        <w:trPr>
          <w:jc w:val="center"/>
        </w:trPr>
        <w:tc>
          <w:tcPr>
            <w:tcW w:w="466" w:type="pct"/>
            <w:vAlign w:val="center"/>
          </w:tcPr>
          <w:p w14:paraId="4F88D015" w14:textId="77777777" w:rsidR="000B1599" w:rsidRPr="006437FB" w:rsidRDefault="00000000">
            <w:pPr>
              <w:ind w:firstLineChars="0" w:firstLine="0"/>
              <w:jc w:val="center"/>
              <w:rPr>
                <w:rFonts w:cs="Times New Roman"/>
                <w:szCs w:val="21"/>
              </w:rPr>
            </w:pPr>
            <w:r w:rsidRPr="006437FB">
              <w:rPr>
                <w:rFonts w:cs="Times New Roman"/>
                <w:szCs w:val="21"/>
              </w:rPr>
              <w:t>2020</w:t>
            </w:r>
            <w:r w:rsidRPr="006437FB">
              <w:rPr>
                <w:rFonts w:ascii="宋体" w:eastAsia="宋体" w:hAnsi="宋体" w:cs="宋体" w:hint="eastAsia"/>
                <w:szCs w:val="21"/>
              </w:rPr>
              <w:t>年</w:t>
            </w:r>
            <w:r w:rsidRPr="006437FB">
              <w:rPr>
                <w:rFonts w:cs="Times New Roman"/>
                <w:szCs w:val="21"/>
              </w:rPr>
              <w:t>9</w:t>
            </w:r>
            <w:r w:rsidRPr="006437FB">
              <w:rPr>
                <w:rFonts w:ascii="宋体" w:eastAsia="宋体" w:hAnsi="宋体" w:cs="宋体" w:hint="eastAsia"/>
                <w:szCs w:val="21"/>
              </w:rPr>
              <w:t>月</w:t>
            </w:r>
          </w:p>
        </w:tc>
        <w:tc>
          <w:tcPr>
            <w:tcW w:w="680" w:type="pct"/>
            <w:vAlign w:val="center"/>
          </w:tcPr>
          <w:p w14:paraId="4EA38BB9" w14:textId="77777777" w:rsidR="000B1599" w:rsidRPr="006437FB" w:rsidRDefault="00000000">
            <w:pPr>
              <w:ind w:firstLineChars="0" w:firstLine="0"/>
              <w:jc w:val="center"/>
              <w:rPr>
                <w:rFonts w:cs="Times New Roman"/>
                <w:szCs w:val="21"/>
              </w:rPr>
            </w:pPr>
            <w:r w:rsidRPr="006437FB">
              <w:rPr>
                <w:rFonts w:ascii="宋体" w:eastAsia="宋体" w:hAnsi="宋体" w:cs="宋体" w:hint="eastAsia"/>
                <w:szCs w:val="21"/>
              </w:rPr>
              <w:t>范围性断电</w:t>
            </w:r>
          </w:p>
        </w:tc>
        <w:tc>
          <w:tcPr>
            <w:tcW w:w="537" w:type="pct"/>
            <w:vAlign w:val="center"/>
          </w:tcPr>
          <w:p w14:paraId="733406BB" w14:textId="77777777" w:rsidR="000B1599" w:rsidRPr="006437FB" w:rsidRDefault="00000000">
            <w:pPr>
              <w:ind w:firstLineChars="0" w:firstLine="0"/>
              <w:jc w:val="center"/>
              <w:rPr>
                <w:rFonts w:cs="Times New Roman"/>
                <w:szCs w:val="21"/>
              </w:rPr>
            </w:pPr>
            <w:r w:rsidRPr="006437FB">
              <w:rPr>
                <w:rFonts w:ascii="宋体" w:eastAsia="宋体" w:hAnsi="宋体" w:cs="宋体" w:hint="eastAsia"/>
                <w:szCs w:val="21"/>
              </w:rPr>
              <w:t>国家电网公司</w:t>
            </w:r>
          </w:p>
        </w:tc>
        <w:tc>
          <w:tcPr>
            <w:tcW w:w="3317" w:type="pct"/>
            <w:vAlign w:val="center"/>
          </w:tcPr>
          <w:p w14:paraId="2DF31B90" w14:textId="77777777" w:rsidR="000B1599" w:rsidRPr="006437FB" w:rsidRDefault="00000000">
            <w:pPr>
              <w:ind w:firstLineChars="0" w:firstLine="0"/>
              <w:jc w:val="center"/>
              <w:rPr>
                <w:rFonts w:cs="Times New Roman"/>
                <w:szCs w:val="21"/>
              </w:rPr>
            </w:pPr>
            <w:r w:rsidRPr="006437FB">
              <w:rPr>
                <w:rFonts w:ascii="宋体" w:eastAsia="宋体" w:hAnsi="宋体" w:cs="宋体" w:hint="eastAsia"/>
                <w:szCs w:val="21"/>
              </w:rPr>
              <w:t>报警、监控设备缺失或异常，绝缘故障，电缆接头故障，范围性断电</w:t>
            </w:r>
          </w:p>
        </w:tc>
      </w:tr>
      <w:tr w:rsidR="000B1599" w:rsidRPr="006437FB" w14:paraId="52EE9FE8" w14:textId="77777777">
        <w:trPr>
          <w:jc w:val="center"/>
        </w:trPr>
        <w:tc>
          <w:tcPr>
            <w:tcW w:w="466" w:type="pct"/>
            <w:vAlign w:val="center"/>
          </w:tcPr>
          <w:p w14:paraId="422E8716" w14:textId="77777777" w:rsidR="000B1599" w:rsidRPr="006437FB" w:rsidRDefault="00000000">
            <w:pPr>
              <w:ind w:firstLineChars="0" w:firstLine="0"/>
              <w:jc w:val="center"/>
              <w:rPr>
                <w:rFonts w:cs="Times New Roman"/>
                <w:szCs w:val="21"/>
              </w:rPr>
            </w:pPr>
            <w:r w:rsidRPr="006437FB">
              <w:rPr>
                <w:rFonts w:cs="Times New Roman"/>
                <w:szCs w:val="21"/>
              </w:rPr>
              <w:t>2021</w:t>
            </w:r>
            <w:r w:rsidRPr="006437FB">
              <w:rPr>
                <w:rFonts w:ascii="宋体" w:eastAsia="宋体" w:hAnsi="宋体" w:cs="宋体" w:hint="eastAsia"/>
                <w:szCs w:val="21"/>
              </w:rPr>
              <w:t>年</w:t>
            </w:r>
            <w:r w:rsidRPr="006437FB">
              <w:rPr>
                <w:rFonts w:cs="Times New Roman"/>
                <w:szCs w:val="21"/>
              </w:rPr>
              <w:t>1</w:t>
            </w:r>
            <w:r w:rsidRPr="006437FB">
              <w:rPr>
                <w:rFonts w:ascii="宋体" w:eastAsia="宋体" w:hAnsi="宋体" w:cs="宋体" w:hint="eastAsia"/>
                <w:szCs w:val="21"/>
              </w:rPr>
              <w:t>月</w:t>
            </w:r>
          </w:p>
        </w:tc>
        <w:tc>
          <w:tcPr>
            <w:tcW w:w="680" w:type="pct"/>
            <w:vAlign w:val="center"/>
          </w:tcPr>
          <w:p w14:paraId="0E013FAC" w14:textId="77777777" w:rsidR="000B1599" w:rsidRPr="006437FB" w:rsidRDefault="00000000">
            <w:pPr>
              <w:ind w:firstLineChars="0" w:firstLine="0"/>
              <w:jc w:val="center"/>
              <w:rPr>
                <w:rFonts w:cs="Times New Roman"/>
                <w:szCs w:val="21"/>
              </w:rPr>
            </w:pPr>
            <w:r w:rsidRPr="006437FB">
              <w:rPr>
                <w:rFonts w:ascii="宋体" w:eastAsia="宋体" w:hAnsi="宋体" w:cs="宋体" w:hint="eastAsia"/>
                <w:szCs w:val="21"/>
              </w:rPr>
              <w:t>触电、人员伤亡</w:t>
            </w:r>
          </w:p>
        </w:tc>
        <w:tc>
          <w:tcPr>
            <w:tcW w:w="537" w:type="pct"/>
            <w:vAlign w:val="center"/>
          </w:tcPr>
          <w:p w14:paraId="60F45371" w14:textId="77777777" w:rsidR="000B1599" w:rsidRPr="006437FB" w:rsidRDefault="00000000">
            <w:pPr>
              <w:ind w:firstLineChars="0" w:firstLine="0"/>
              <w:jc w:val="center"/>
              <w:rPr>
                <w:rFonts w:cs="Times New Roman"/>
                <w:szCs w:val="21"/>
              </w:rPr>
            </w:pPr>
            <w:r w:rsidRPr="006437FB">
              <w:rPr>
                <w:rFonts w:ascii="宋体" w:eastAsia="宋体" w:hAnsi="宋体" w:cs="宋体" w:hint="eastAsia"/>
                <w:szCs w:val="21"/>
              </w:rPr>
              <w:t>文献研究</w:t>
            </w:r>
          </w:p>
        </w:tc>
        <w:tc>
          <w:tcPr>
            <w:tcW w:w="3317" w:type="pct"/>
            <w:vAlign w:val="center"/>
          </w:tcPr>
          <w:p w14:paraId="18320B77" w14:textId="77777777" w:rsidR="000B1599" w:rsidRPr="006437FB" w:rsidRDefault="00000000">
            <w:pPr>
              <w:ind w:firstLineChars="0" w:firstLine="0"/>
              <w:jc w:val="center"/>
              <w:rPr>
                <w:rFonts w:cs="Times New Roman"/>
                <w:szCs w:val="21"/>
              </w:rPr>
            </w:pPr>
            <w:r w:rsidRPr="006437FB">
              <w:rPr>
                <w:rFonts w:ascii="宋体" w:eastAsia="宋体" w:hAnsi="宋体" w:cs="宋体" w:hint="eastAsia"/>
                <w:szCs w:val="21"/>
              </w:rPr>
              <w:t>排水设备缺失或异常，积水，安全意识淡薄，误操作，触电，人员伤亡</w:t>
            </w:r>
          </w:p>
        </w:tc>
      </w:tr>
      <w:tr w:rsidR="000B1599" w:rsidRPr="006437FB" w14:paraId="5AE7CE39" w14:textId="77777777">
        <w:trPr>
          <w:jc w:val="center"/>
        </w:trPr>
        <w:tc>
          <w:tcPr>
            <w:tcW w:w="466" w:type="pct"/>
            <w:vAlign w:val="center"/>
          </w:tcPr>
          <w:p w14:paraId="277972A8" w14:textId="77777777" w:rsidR="000B1599" w:rsidRPr="006437FB" w:rsidRDefault="00000000">
            <w:pPr>
              <w:ind w:firstLineChars="0" w:firstLine="0"/>
              <w:jc w:val="center"/>
              <w:rPr>
                <w:rFonts w:cs="Times New Roman"/>
                <w:szCs w:val="21"/>
              </w:rPr>
            </w:pPr>
            <w:r w:rsidRPr="006437FB">
              <w:rPr>
                <w:rFonts w:cs="Times New Roman"/>
                <w:szCs w:val="21"/>
              </w:rPr>
              <w:t>2022</w:t>
            </w:r>
            <w:r w:rsidRPr="006437FB">
              <w:rPr>
                <w:rFonts w:ascii="宋体" w:eastAsia="宋体" w:hAnsi="宋体" w:cs="宋体" w:hint="eastAsia"/>
                <w:szCs w:val="21"/>
              </w:rPr>
              <w:t>年</w:t>
            </w:r>
            <w:r w:rsidRPr="006437FB">
              <w:rPr>
                <w:rFonts w:cs="Times New Roman"/>
                <w:szCs w:val="21"/>
              </w:rPr>
              <w:t>4</w:t>
            </w:r>
            <w:r w:rsidRPr="006437FB">
              <w:rPr>
                <w:rFonts w:ascii="宋体" w:eastAsia="宋体" w:hAnsi="宋体" w:cs="宋体" w:hint="eastAsia"/>
                <w:szCs w:val="21"/>
              </w:rPr>
              <w:t>月</w:t>
            </w:r>
          </w:p>
        </w:tc>
        <w:tc>
          <w:tcPr>
            <w:tcW w:w="680" w:type="pct"/>
            <w:vAlign w:val="center"/>
          </w:tcPr>
          <w:p w14:paraId="793055AB" w14:textId="77777777" w:rsidR="000B1599" w:rsidRPr="006437FB" w:rsidRDefault="00000000">
            <w:pPr>
              <w:ind w:firstLineChars="0" w:firstLine="0"/>
              <w:jc w:val="center"/>
              <w:rPr>
                <w:rFonts w:cs="Times New Roman"/>
                <w:szCs w:val="21"/>
              </w:rPr>
            </w:pPr>
            <w:r w:rsidRPr="006437FB">
              <w:rPr>
                <w:rFonts w:ascii="宋体" w:eastAsia="宋体" w:hAnsi="宋体" w:cs="宋体" w:hint="eastAsia"/>
                <w:szCs w:val="21"/>
              </w:rPr>
              <w:t>火灾、范围性断电</w:t>
            </w:r>
          </w:p>
        </w:tc>
        <w:tc>
          <w:tcPr>
            <w:tcW w:w="537" w:type="pct"/>
            <w:vAlign w:val="center"/>
          </w:tcPr>
          <w:p w14:paraId="4E537BA1" w14:textId="77777777" w:rsidR="000B1599" w:rsidRPr="006437FB" w:rsidRDefault="00000000">
            <w:pPr>
              <w:ind w:firstLineChars="0" w:firstLine="0"/>
              <w:jc w:val="center"/>
              <w:rPr>
                <w:rFonts w:cs="Times New Roman"/>
                <w:szCs w:val="21"/>
              </w:rPr>
            </w:pPr>
            <w:r w:rsidRPr="006437FB">
              <w:rPr>
                <w:rFonts w:ascii="宋体" w:eastAsia="宋体" w:hAnsi="宋体" w:cs="宋体" w:hint="eastAsia"/>
                <w:szCs w:val="21"/>
              </w:rPr>
              <w:t>国家电网公司</w:t>
            </w:r>
          </w:p>
        </w:tc>
        <w:tc>
          <w:tcPr>
            <w:tcW w:w="3317" w:type="pct"/>
            <w:vAlign w:val="center"/>
          </w:tcPr>
          <w:p w14:paraId="73BAA8BA" w14:textId="77777777" w:rsidR="000B1599" w:rsidRPr="006437FB" w:rsidRDefault="00000000">
            <w:pPr>
              <w:ind w:firstLineChars="0" w:firstLine="0"/>
              <w:jc w:val="center"/>
              <w:rPr>
                <w:rFonts w:cs="Times New Roman"/>
                <w:szCs w:val="21"/>
              </w:rPr>
            </w:pPr>
            <w:r w:rsidRPr="006437FB">
              <w:rPr>
                <w:rFonts w:ascii="宋体" w:eastAsia="宋体" w:hAnsi="宋体" w:cs="宋体" w:hint="eastAsia"/>
                <w:szCs w:val="21"/>
              </w:rPr>
              <w:t>隐患排查治理不到位，电缆老化，电缆故障，火灾，范围性断电</w:t>
            </w:r>
          </w:p>
        </w:tc>
      </w:tr>
    </w:tbl>
    <w:p w14:paraId="09DF34DB" w14:textId="77777777" w:rsidR="000B1599" w:rsidRPr="006437FB" w:rsidRDefault="000B1599">
      <w:pPr>
        <w:spacing w:line="320" w:lineRule="exact"/>
        <w:ind w:firstLineChars="0" w:firstLine="0"/>
        <w:jc w:val="both"/>
        <w:rPr>
          <w:rFonts w:cs="Times New Roman"/>
          <w:szCs w:val="21"/>
        </w:rPr>
        <w:sectPr w:rsidR="000B1599" w:rsidRPr="006437FB">
          <w:type w:val="continuous"/>
          <w:pgSz w:w="11906" w:h="16838"/>
          <w:pgMar w:top="1985" w:right="1021" w:bottom="1021" w:left="1021" w:header="851" w:footer="992" w:gutter="0"/>
          <w:cols w:space="425"/>
          <w:docGrid w:type="lines" w:linePitch="288"/>
        </w:sectPr>
      </w:pPr>
    </w:p>
    <w:p w14:paraId="52FB685C" w14:textId="77777777" w:rsidR="000B1599" w:rsidRPr="006437FB" w:rsidRDefault="00000000">
      <w:pPr>
        <w:spacing w:line="320" w:lineRule="exact"/>
        <w:ind w:firstLine="420"/>
        <w:jc w:val="both"/>
        <w:rPr>
          <w:rFonts w:cs="Times New Roman"/>
          <w:szCs w:val="21"/>
        </w:rPr>
      </w:pPr>
      <w:r w:rsidRPr="006437FB">
        <w:rPr>
          <w:rFonts w:cs="Times New Roman"/>
          <w:szCs w:val="21"/>
        </w:rPr>
        <w:t>关联规则挖掘算法</w:t>
      </w:r>
      <w:r w:rsidRPr="006437FB">
        <w:rPr>
          <w:rFonts w:cs="Times New Roman"/>
          <w:szCs w:val="21"/>
          <w:vertAlign w:val="superscript"/>
        </w:rPr>
        <w:t>[18]</w:t>
      </w:r>
      <w:r w:rsidRPr="006437FB">
        <w:rPr>
          <w:rFonts w:cs="Times New Roman"/>
          <w:szCs w:val="21"/>
        </w:rPr>
        <w:t>是一种用于从大规模数据集中发现不同项之间关联或相关关系的方法。若</w:t>
      </w:r>
      <w:r w:rsidRPr="006437FB">
        <w:rPr>
          <w:rFonts w:cs="Times New Roman"/>
          <w:position w:val="-10"/>
        </w:rPr>
        <w:object w:dxaOrig="1560" w:dyaOrig="320" w14:anchorId="09E06D47">
          <v:shape id="_x0000_i1026" type="#_x0000_t75" style="width:78pt;height:15.75pt" o:ole="">
            <v:imagedata r:id="rId16" o:title=""/>
          </v:shape>
          <o:OLEObject Type="Embed" ProgID="Equation.DSMT4" ShapeID="_x0000_i1026" DrawAspect="Content" ObjectID="_1845028489" r:id="rId17"/>
        </w:object>
      </w:r>
      <w:r w:rsidRPr="006437FB">
        <w:rPr>
          <w:rFonts w:cs="Times New Roman"/>
          <w:szCs w:val="21"/>
        </w:rPr>
        <w:t>是所有因子</w:t>
      </w:r>
      <w:bookmarkStart w:id="4" w:name="MTBlankEqn"/>
      <w:r w:rsidRPr="006437FB">
        <w:rPr>
          <w:rFonts w:cs="Times New Roman"/>
          <w:position w:val="-10"/>
        </w:rPr>
        <w:object w:dxaOrig="1330" w:dyaOrig="320" w14:anchorId="01CCE4BC">
          <v:shape id="_x0000_i1027" type="#_x0000_t75" style="width:66.75pt;height:15.75pt" o:ole="">
            <v:imagedata r:id="rId18" o:title=""/>
          </v:shape>
          <o:OLEObject Type="Embed" ProgID="Equation.DSMT4" ShapeID="_x0000_i1027" DrawAspect="Content" ObjectID="_1845028490" r:id="rId19"/>
        </w:object>
      </w:r>
      <w:bookmarkEnd w:id="4"/>
      <w:r w:rsidRPr="006437FB">
        <w:rPr>
          <w:rFonts w:cs="Times New Roman"/>
          <w:szCs w:val="21"/>
        </w:rPr>
        <w:t>,</w:t>
      </w:r>
      <w:r w:rsidRPr="006437FB">
        <w:rPr>
          <w:rFonts w:cs="Times New Roman"/>
          <w:szCs w:val="21"/>
        </w:rPr>
        <w:t>事故数据集</w:t>
      </w:r>
      <w:r w:rsidRPr="006437FB">
        <w:rPr>
          <w:rFonts w:cs="Times New Roman"/>
          <w:position w:val="-4"/>
        </w:rPr>
        <w:object w:dxaOrig="290" w:dyaOrig="240" w14:anchorId="2C6FACA8">
          <v:shape id="_x0000_i1028" type="#_x0000_t75" style="width:14.25pt;height:12pt" o:ole="">
            <v:imagedata r:id="rId20" o:title=""/>
          </v:shape>
          <o:OLEObject Type="Embed" ProgID="Equation.DSMT4" ShapeID="_x0000_i1028" DrawAspect="Content" ObjectID="_1845028491" r:id="rId21"/>
        </w:object>
      </w:r>
      <w:r w:rsidRPr="006437FB">
        <w:rPr>
          <w:rFonts w:cs="Times New Roman"/>
          <w:szCs w:val="21"/>
        </w:rPr>
        <w:t>是多个</w:t>
      </w:r>
      <w:r w:rsidRPr="006437FB">
        <w:rPr>
          <w:rFonts w:cs="Times New Roman"/>
          <w:position w:val="-4"/>
        </w:rPr>
        <w:object w:dxaOrig="240" w:dyaOrig="240" w14:anchorId="533F70E4">
          <v:shape id="_x0000_i1029" type="#_x0000_t75" style="width:12pt;height:12pt" o:ole="">
            <v:imagedata r:id="rId22" o:title=""/>
          </v:shape>
          <o:OLEObject Type="Embed" ProgID="Equation.DSMT4" ShapeID="_x0000_i1029" DrawAspect="Content" ObjectID="_1845028492" r:id="rId23"/>
        </w:object>
      </w:r>
      <w:r w:rsidRPr="006437FB">
        <w:rPr>
          <w:rFonts w:cs="Times New Roman"/>
          <w:szCs w:val="21"/>
        </w:rPr>
        <w:t>的集合，所有的事故数据集</w:t>
      </w:r>
      <w:r w:rsidRPr="006437FB">
        <w:rPr>
          <w:rFonts w:cs="Times New Roman"/>
          <w:position w:val="-4"/>
        </w:rPr>
        <w:object w:dxaOrig="290" w:dyaOrig="240" w14:anchorId="43DAACBA">
          <v:shape id="_x0000_i1030" type="#_x0000_t75" style="width:14.25pt;height:12pt" o:ole="">
            <v:imagedata r:id="rId24" o:title=""/>
          </v:shape>
          <o:OLEObject Type="Embed" ProgID="Equation.DSMT4" ShapeID="_x0000_i1030" DrawAspect="Content" ObjectID="_1845028493" r:id="rId25"/>
        </w:object>
      </w:r>
      <w:r w:rsidRPr="006437FB">
        <w:rPr>
          <w:rFonts w:cs="Times New Roman"/>
          <w:szCs w:val="21"/>
        </w:rPr>
        <w:t>形成一个集合为事故数据库</w:t>
      </w:r>
      <w:r w:rsidRPr="006437FB">
        <w:rPr>
          <w:rFonts w:cs="Times New Roman"/>
          <w:position w:val="-6"/>
        </w:rPr>
        <w:object w:dxaOrig="240" w:dyaOrig="270" w14:anchorId="37212381">
          <v:shape id="_x0000_i1031" type="#_x0000_t75" style="width:12pt;height:13.5pt" o:ole="">
            <v:imagedata r:id="rId26" o:title=""/>
          </v:shape>
          <o:OLEObject Type="Embed" ProgID="Equation.DSMT4" ShapeID="_x0000_i1031" DrawAspect="Content" ObjectID="_1845028494" r:id="rId27"/>
        </w:object>
      </w:r>
      <w:r w:rsidRPr="006437FB">
        <w:rPr>
          <w:rFonts w:cs="Times New Roman"/>
          <w:szCs w:val="21"/>
        </w:rPr>
        <w:t>，存在规则</w:t>
      </w:r>
      <w:r w:rsidRPr="006437FB">
        <w:rPr>
          <w:rFonts w:cs="Times New Roman"/>
          <w:position w:val="-6"/>
        </w:rPr>
        <w:object w:dxaOrig="680" w:dyaOrig="270" w14:anchorId="0D5BCDBB">
          <v:shape id="_x0000_i1032" type="#_x0000_t75" style="width:33.75pt;height:13.5pt" o:ole="">
            <v:imagedata r:id="rId28" o:title=""/>
          </v:shape>
          <o:OLEObject Type="Embed" ProgID="Equation.DSMT4" ShapeID="_x0000_i1032" DrawAspect="Content" ObjectID="_1845028495" r:id="rId29"/>
        </w:object>
      </w:r>
      <w:r w:rsidRPr="006437FB">
        <w:rPr>
          <w:rFonts w:cs="Times New Roman"/>
          <w:szCs w:val="21"/>
        </w:rPr>
        <w:t>，则表示</w:t>
      </w:r>
      <w:r w:rsidRPr="006437FB">
        <w:rPr>
          <w:rFonts w:cs="Times New Roman"/>
          <w:szCs w:val="21"/>
        </w:rPr>
        <w:t>“</w:t>
      </w:r>
      <w:r w:rsidRPr="006437FB">
        <w:rPr>
          <w:rFonts w:cs="Times New Roman"/>
          <w:position w:val="-8"/>
        </w:rPr>
        <w:object w:dxaOrig="870" w:dyaOrig="290" w14:anchorId="15F02573">
          <v:shape id="_x0000_i1033" type="#_x0000_t75" style="width:43.5pt;height:14.25pt" o:ole="">
            <v:imagedata r:id="rId30" o:title=""/>
          </v:shape>
          <o:OLEObject Type="Embed" ProgID="Equation.DSMT4" ShapeID="_x0000_i1033" DrawAspect="Content" ObjectID="_1845028496" r:id="rId31"/>
        </w:object>
      </w:r>
      <w:r w:rsidRPr="006437FB">
        <w:rPr>
          <w:rFonts w:cs="Times New Roman"/>
          <w:szCs w:val="21"/>
        </w:rPr>
        <w:t>如果事务中包含</w:t>
      </w:r>
      <w:r w:rsidRPr="006437FB">
        <w:rPr>
          <w:rFonts w:cs="Times New Roman"/>
          <w:position w:val="-4"/>
        </w:rPr>
        <w:object w:dxaOrig="270" w:dyaOrig="240" w14:anchorId="38D96E31">
          <v:shape id="_x0000_i1034" type="#_x0000_t75" style="width:13.5pt;height:12pt" o:ole="">
            <v:imagedata r:id="rId32" o:title=""/>
          </v:shape>
          <o:OLEObject Type="Embed" ProgID="Equation.DSMT4" ShapeID="_x0000_i1034" DrawAspect="Content" ObjectID="_1845028497" r:id="rId33"/>
        </w:object>
      </w:r>
      <w:r w:rsidRPr="006437FB">
        <w:rPr>
          <w:rFonts w:cs="Times New Roman"/>
          <w:szCs w:val="21"/>
        </w:rPr>
        <w:t>，那么它也倾向于包含</w:t>
      </w:r>
      <w:r w:rsidRPr="006437FB">
        <w:rPr>
          <w:rFonts w:cs="Times New Roman"/>
          <w:position w:val="-4"/>
        </w:rPr>
        <w:object w:dxaOrig="200" w:dyaOrig="240" w14:anchorId="0865173C">
          <v:shape id="_x0000_i1035" type="#_x0000_t75" style="width:9.75pt;height:12pt" o:ole="">
            <v:imagedata r:id="rId34" o:title=""/>
          </v:shape>
          <o:OLEObject Type="Embed" ProgID="Equation.DSMT4" ShapeID="_x0000_i1035" DrawAspect="Content" ObjectID="_1845028498" r:id="rId35"/>
        </w:object>
      </w:r>
      <w:r w:rsidRPr="006437FB">
        <w:rPr>
          <w:rFonts w:cs="Times New Roman"/>
          <w:szCs w:val="21"/>
        </w:rPr>
        <w:t>”</w:t>
      </w:r>
      <w:r w:rsidRPr="006437FB">
        <w:rPr>
          <w:rFonts w:cs="Times New Roman"/>
          <w:szCs w:val="21"/>
        </w:rPr>
        <w:t>，其中，且</w:t>
      </w:r>
      <w:r w:rsidRPr="006437FB">
        <w:rPr>
          <w:rFonts w:cs="Times New Roman"/>
          <w:position w:val="-8"/>
        </w:rPr>
        <w:object w:dxaOrig="980" w:dyaOrig="290" w14:anchorId="29390C93">
          <v:shape id="_x0000_i1036" type="#_x0000_t75" style="width:48.75pt;height:14.25pt" o:ole="">
            <v:imagedata r:id="rId36" o:title=""/>
          </v:shape>
          <o:OLEObject Type="Embed" ProgID="Equation.DSMT4" ShapeID="_x0000_i1036" DrawAspect="Content" ObjectID="_1845028499" r:id="rId37"/>
        </w:object>
      </w:r>
      <w:r w:rsidRPr="006437FB">
        <w:rPr>
          <w:rFonts w:cs="Times New Roman"/>
          <w:szCs w:val="21"/>
        </w:rPr>
        <w:t>。本文采用</w:t>
      </w:r>
      <w:r w:rsidRPr="006437FB">
        <w:rPr>
          <w:rFonts w:cs="Times New Roman"/>
          <w:szCs w:val="21"/>
        </w:rPr>
        <w:t>Apriori</w:t>
      </w:r>
      <w:r w:rsidRPr="006437FB">
        <w:rPr>
          <w:rFonts w:cs="Times New Roman"/>
          <w:szCs w:val="21"/>
        </w:rPr>
        <w:t>算法通过支持度、置信度和提升度三个指标计算实现风险因素强关联规则挖掘</w:t>
      </w:r>
      <w:r w:rsidRPr="006437FB">
        <w:rPr>
          <w:rFonts w:cs="Times New Roman"/>
          <w:szCs w:val="21"/>
          <w:vertAlign w:val="superscript"/>
        </w:rPr>
        <w:t>[19]</w:t>
      </w:r>
      <w:r w:rsidRPr="006437FB">
        <w:rPr>
          <w:rFonts w:cs="Times New Roman"/>
          <w:szCs w:val="21"/>
        </w:rPr>
        <w:t>。支持度、置信度和提升度的计算依次如公式</w:t>
      </w:r>
      <w:r w:rsidRPr="006437FB">
        <w:rPr>
          <w:rFonts w:cs="Times New Roman"/>
          <w:szCs w:val="21"/>
        </w:rPr>
        <w:t>(1)-(3)</w:t>
      </w:r>
      <w:r w:rsidRPr="006437FB">
        <w:rPr>
          <w:rFonts w:cs="Times New Roman"/>
          <w:szCs w:val="21"/>
        </w:rPr>
        <w:t>所示。为了最大程度挖掘电力管廊风险因素潜在关联关系，设置最小支持度</w:t>
      </w:r>
      <w:r w:rsidRPr="006437FB">
        <w:rPr>
          <w:rFonts w:cs="Times New Roman"/>
          <w:szCs w:val="21"/>
        </w:rPr>
        <w:t>0.01</w:t>
      </w:r>
      <w:r w:rsidRPr="006437FB">
        <w:rPr>
          <w:rFonts w:cs="Times New Roman"/>
          <w:szCs w:val="21"/>
        </w:rPr>
        <w:t>、最小置信度</w:t>
      </w:r>
      <w:r w:rsidRPr="006437FB">
        <w:rPr>
          <w:rFonts w:cs="Times New Roman"/>
          <w:szCs w:val="21"/>
        </w:rPr>
        <w:t>0.2</w:t>
      </w:r>
      <w:r w:rsidRPr="006437FB">
        <w:rPr>
          <w:rFonts w:cs="Times New Roman"/>
          <w:szCs w:val="21"/>
        </w:rPr>
        <w:t>，最小提升度</w:t>
      </w:r>
      <w:r w:rsidRPr="006437FB">
        <w:rPr>
          <w:rFonts w:cs="Times New Roman"/>
          <w:szCs w:val="21"/>
        </w:rPr>
        <w:t>1</w:t>
      </w:r>
      <w:r w:rsidRPr="006437FB">
        <w:rPr>
          <w:rFonts w:cs="Times New Roman"/>
          <w:szCs w:val="21"/>
          <w:vertAlign w:val="superscript"/>
        </w:rPr>
        <w:t>[20]</w:t>
      </w:r>
      <w:r w:rsidRPr="006437FB">
        <w:rPr>
          <w:rFonts w:cs="Times New Roman"/>
          <w:szCs w:val="21"/>
        </w:rPr>
        <w:t>，提取强关联规则，并剔除反向关联规则与不合理关联规则，获取</w:t>
      </w:r>
      <w:r w:rsidRPr="006437FB">
        <w:rPr>
          <w:rFonts w:cs="Times New Roman"/>
          <w:szCs w:val="21"/>
        </w:rPr>
        <w:t>256</w:t>
      </w:r>
      <w:r w:rsidRPr="006437FB">
        <w:rPr>
          <w:rFonts w:cs="Times New Roman"/>
          <w:szCs w:val="21"/>
        </w:rPr>
        <w:t>条有效强关联规则。</w:t>
      </w:r>
    </w:p>
    <w:p w14:paraId="11DF711C" w14:textId="77777777" w:rsidR="000B1599" w:rsidRPr="006437FB" w:rsidRDefault="00000000">
      <w:pPr>
        <w:ind w:firstLineChars="0" w:firstLine="0"/>
        <w:jc w:val="right"/>
        <w:rPr>
          <w:rFonts w:cs="Times New Roman"/>
        </w:rPr>
      </w:pPr>
      <w:r w:rsidRPr="006437FB">
        <w:rPr>
          <w:rFonts w:cs="Times New Roman"/>
          <w:position w:val="-28"/>
        </w:rPr>
        <w:object w:dxaOrig="4160" w:dyaOrig="720" w14:anchorId="0CA42A96">
          <v:shape id="_x0000_i1037" type="#_x0000_t75" style="width:207.75pt;height:36pt" o:ole="">
            <v:imagedata r:id="rId38" o:title=""/>
          </v:shape>
          <o:OLEObject Type="Embed" ProgID="Equation.DSMT4" ShapeID="_x0000_i1037" DrawAspect="Content" ObjectID="_1845028500" r:id="rId39"/>
        </w:object>
      </w:r>
      <w:r w:rsidRPr="006437FB">
        <w:rPr>
          <w:rFonts w:cs="Times New Roman"/>
        </w:rPr>
        <w:t>; (1)</w:t>
      </w:r>
    </w:p>
    <w:p w14:paraId="4402F0ED" w14:textId="77777777" w:rsidR="000B1599" w:rsidRPr="006437FB" w:rsidRDefault="00000000">
      <w:pPr>
        <w:ind w:firstLineChars="0" w:firstLine="0"/>
        <w:jc w:val="right"/>
        <w:rPr>
          <w:rFonts w:cs="Times New Roman"/>
        </w:rPr>
      </w:pPr>
      <w:r w:rsidRPr="006437FB">
        <w:rPr>
          <w:rFonts w:cs="Times New Roman"/>
          <w:position w:val="-64"/>
        </w:rPr>
        <w:object w:dxaOrig="4320" w:dyaOrig="1370" w14:anchorId="11028567">
          <v:shape id="_x0000_i1038" type="#_x0000_t75" style="width:3in;height:68.25pt" o:ole="">
            <v:imagedata r:id="rId40" o:title=""/>
          </v:shape>
          <o:OLEObject Type="Embed" ProgID="Equation.DSMT4" ShapeID="_x0000_i1038" DrawAspect="Content" ObjectID="_1845028501" r:id="rId41"/>
        </w:object>
      </w:r>
      <w:r w:rsidRPr="006437FB">
        <w:rPr>
          <w:rFonts w:cs="Times New Roman"/>
        </w:rPr>
        <w:t>;(2)</w:t>
      </w:r>
    </w:p>
    <w:p w14:paraId="3FE17EF4" w14:textId="77777777" w:rsidR="000B1599" w:rsidRPr="006437FB" w:rsidRDefault="00000000">
      <w:pPr>
        <w:ind w:firstLineChars="0" w:firstLine="0"/>
        <w:jc w:val="right"/>
        <w:rPr>
          <w:rFonts w:cs="Times New Roman"/>
        </w:rPr>
      </w:pPr>
      <w:r w:rsidRPr="006437FB">
        <w:rPr>
          <w:rFonts w:cs="Times New Roman"/>
          <w:position w:val="-26"/>
        </w:rPr>
        <w:object w:dxaOrig="3540" w:dyaOrig="600" w14:anchorId="28C469C8">
          <v:shape id="_x0000_i1039" type="#_x0000_t75" style="width:177pt;height:30pt" o:ole="">
            <v:imagedata r:id="rId42" o:title=""/>
          </v:shape>
          <o:OLEObject Type="Embed" ProgID="Equation.DSMT4" ShapeID="_x0000_i1039" DrawAspect="Content" ObjectID="_1845028502" r:id="rId43"/>
        </w:object>
      </w:r>
      <w:r w:rsidRPr="006437FB">
        <w:rPr>
          <w:rFonts w:cs="Times New Roman"/>
        </w:rPr>
        <w:t>.    (3)</w:t>
      </w:r>
    </w:p>
    <w:p w14:paraId="48D01BB9" w14:textId="77777777" w:rsidR="000B1599" w:rsidRPr="006437FB" w:rsidRDefault="00000000">
      <w:pPr>
        <w:ind w:firstLine="420"/>
        <w:jc w:val="both"/>
        <w:rPr>
          <w:rFonts w:cs="Times New Roman"/>
          <w:position w:val="-6"/>
          <w:szCs w:val="21"/>
        </w:rPr>
      </w:pPr>
      <w:r w:rsidRPr="006437FB">
        <w:rPr>
          <w:rFonts w:cs="Times New Roman"/>
          <w:szCs w:val="21"/>
        </w:rPr>
        <w:t>本文将复杂网络理论应用于电力管廊风险传导复杂网络，通过将电力管廊风险因素和事故后果抽象为网络节点，将关联规则挖掘所获取的</w:t>
      </w:r>
      <w:r w:rsidRPr="006437FB">
        <w:rPr>
          <w:rFonts w:cs="Times New Roman"/>
          <w:szCs w:val="21"/>
        </w:rPr>
        <w:t>256</w:t>
      </w:r>
      <w:r w:rsidRPr="006437FB">
        <w:rPr>
          <w:rFonts w:cs="Times New Roman"/>
          <w:szCs w:val="21"/>
        </w:rPr>
        <w:t>条强关联规则作为网络的边，利用</w:t>
      </w:r>
      <w:r w:rsidRPr="006437FB">
        <w:rPr>
          <w:rFonts w:cs="Times New Roman"/>
          <w:szCs w:val="21"/>
        </w:rPr>
        <w:t>Python</w:t>
      </w:r>
      <w:r w:rsidRPr="006437FB">
        <w:rPr>
          <w:rFonts w:cs="Times New Roman"/>
          <w:szCs w:val="21"/>
        </w:rPr>
        <w:t>的</w:t>
      </w:r>
      <w:r w:rsidRPr="006437FB">
        <w:rPr>
          <w:rFonts w:cs="Times New Roman"/>
          <w:szCs w:val="21"/>
        </w:rPr>
        <w:t>NetworkX</w:t>
      </w:r>
      <w:r w:rsidRPr="006437FB">
        <w:rPr>
          <w:rFonts w:cs="Times New Roman"/>
          <w:szCs w:val="21"/>
        </w:rPr>
        <w:t>库实现电力管廊风险传导有向加权复杂网络构建，如图</w:t>
      </w:r>
      <w:r w:rsidRPr="006437FB">
        <w:rPr>
          <w:rFonts w:cs="Times New Roman"/>
          <w:szCs w:val="21"/>
        </w:rPr>
        <w:t>2</w:t>
      </w:r>
      <w:r w:rsidRPr="006437FB">
        <w:rPr>
          <w:rFonts w:cs="Times New Roman"/>
          <w:szCs w:val="21"/>
        </w:rPr>
        <w:t>所示，该网络共包含</w:t>
      </w:r>
      <w:r w:rsidRPr="006437FB">
        <w:rPr>
          <w:rFonts w:cs="Times New Roman"/>
          <w:szCs w:val="21"/>
        </w:rPr>
        <w:t>53</w:t>
      </w:r>
      <w:r w:rsidRPr="006437FB">
        <w:rPr>
          <w:rFonts w:cs="Times New Roman"/>
          <w:szCs w:val="21"/>
        </w:rPr>
        <w:t>个节点，</w:t>
      </w:r>
      <w:r w:rsidRPr="006437FB">
        <w:rPr>
          <w:rFonts w:cs="Times New Roman"/>
          <w:szCs w:val="21"/>
        </w:rPr>
        <w:t>256</w:t>
      </w:r>
      <w:r w:rsidRPr="006437FB">
        <w:rPr>
          <w:rFonts w:cs="Times New Roman"/>
          <w:szCs w:val="21"/>
        </w:rPr>
        <w:t>条边。</w:t>
      </w:r>
    </w:p>
    <w:p w14:paraId="72C4742D" w14:textId="77777777" w:rsidR="000B1599" w:rsidRPr="006437FB" w:rsidRDefault="00000000">
      <w:pPr>
        <w:ind w:firstLine="420"/>
        <w:jc w:val="both"/>
        <w:rPr>
          <w:rFonts w:cs="Times New Roman"/>
          <w:szCs w:val="21"/>
        </w:rPr>
      </w:pPr>
      <w:r w:rsidRPr="006437FB">
        <w:rPr>
          <w:rFonts w:cs="Times New Roman"/>
          <w:szCs w:val="21"/>
        </w:rPr>
        <w:t>置信度和支持度通常作为网络边权重使用</w:t>
      </w:r>
      <w:r w:rsidRPr="006437FB">
        <w:rPr>
          <w:rFonts w:cs="Times New Roman"/>
          <w:szCs w:val="21"/>
          <w:vertAlign w:val="superscript"/>
        </w:rPr>
        <w:t>[21]</w:t>
      </w:r>
      <w:r w:rsidRPr="006437FB">
        <w:rPr>
          <w:rFonts w:cs="Times New Roman"/>
          <w:szCs w:val="21"/>
        </w:rPr>
        <w:t>。然而，仅使用置信度作为边权重容易受低频项影响，在数据稀疏时产生</w:t>
      </w:r>
      <w:r w:rsidRPr="006437FB">
        <w:rPr>
          <w:rFonts w:cs="Times New Roman"/>
          <w:szCs w:val="21"/>
        </w:rPr>
        <w:t>“</w:t>
      </w:r>
      <w:r w:rsidRPr="006437FB">
        <w:rPr>
          <w:rFonts w:cs="Times New Roman"/>
          <w:szCs w:val="21"/>
        </w:rPr>
        <w:t>虚假强关联</w:t>
      </w:r>
      <w:r w:rsidRPr="006437FB">
        <w:rPr>
          <w:rFonts w:cs="Times New Roman"/>
          <w:szCs w:val="21"/>
        </w:rPr>
        <w:t>”</w:t>
      </w:r>
      <w:r w:rsidRPr="006437FB">
        <w:rPr>
          <w:rFonts w:cs="Times New Roman"/>
          <w:szCs w:val="21"/>
        </w:rPr>
        <w:t>；而单独依赖支持度则可能无法充分反映规则本身的可靠性。因此，本文选取置信度作为网络的边权重，表征风险传导的条件概率和可靠性；风险因素在事故案例中的频率作为节点权重</w:t>
      </w:r>
      <w:r w:rsidRPr="006437FB">
        <w:rPr>
          <w:rFonts w:cs="Times New Roman"/>
          <w:szCs w:val="21"/>
          <w:vertAlign w:val="superscript"/>
        </w:rPr>
        <w:t>[22]</w:t>
      </w:r>
      <w:r w:rsidRPr="006437FB">
        <w:rPr>
          <w:rFonts w:cs="Times New Roman"/>
          <w:szCs w:val="21"/>
        </w:rPr>
        <w:t>，反映风险的激活频率和重要性。</w:t>
      </w:r>
    </w:p>
    <w:p w14:paraId="75A9D8BB" w14:textId="77777777" w:rsidR="000B1599" w:rsidRPr="006437FB" w:rsidRDefault="00000000">
      <w:pPr>
        <w:ind w:firstLineChars="0" w:firstLine="0"/>
        <w:jc w:val="center"/>
        <w:rPr>
          <w:rFonts w:cs="Times New Roman"/>
          <w:szCs w:val="21"/>
        </w:rPr>
      </w:pPr>
      <w:r w:rsidRPr="006437FB">
        <w:rPr>
          <w:rFonts w:cs="Times New Roman"/>
          <w:noProof/>
        </w:rPr>
        <w:lastRenderedPageBreak/>
        <w:drawing>
          <wp:inline distT="0" distB="0" distL="0" distR="0" wp14:anchorId="121ADB53" wp14:editId="2B5CC570">
            <wp:extent cx="2519680" cy="1960245"/>
            <wp:effectExtent l="0" t="0" r="0" b="1905"/>
            <wp:docPr id="6" name="图片 5" descr="图表, 气泡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descr="图表, 气泡图&#10;&#10;AI 生成的内容可能不正确。"/>
                    <pic:cNvPicPr>
                      <a:picLocks noChangeAspect="1" noChangeArrowheads="1"/>
                    </pic:cNvPicPr>
                  </pic:nvPicPr>
                  <pic:blipFill>
                    <a:blip r:embed="rId44" cstate="print">
                      <a:extLst>
                        <a:ext uri="{28A0092B-C50C-407E-A947-70E740481C1C}">
                          <a14:useLocalDpi xmlns:a14="http://schemas.microsoft.com/office/drawing/2010/main" val="0"/>
                        </a:ext>
                      </a:extLst>
                    </a:blip>
                    <a:srcRect t="4422" b="1539"/>
                    <a:stretch>
                      <a:fillRect/>
                    </a:stretch>
                  </pic:blipFill>
                  <pic:spPr>
                    <a:xfrm>
                      <a:off x="0" y="0"/>
                      <a:ext cx="2520000" cy="1960775"/>
                    </a:xfrm>
                    <a:prstGeom prst="rect">
                      <a:avLst/>
                    </a:prstGeom>
                    <a:noFill/>
                    <a:ln>
                      <a:noFill/>
                    </a:ln>
                  </pic:spPr>
                </pic:pic>
              </a:graphicData>
            </a:graphic>
          </wp:inline>
        </w:drawing>
      </w:r>
    </w:p>
    <w:p w14:paraId="0FEC7DD7" w14:textId="77777777" w:rsidR="000B1599" w:rsidRPr="006437FB" w:rsidRDefault="00000000">
      <w:pPr>
        <w:ind w:firstLineChars="0" w:firstLine="0"/>
        <w:jc w:val="center"/>
        <w:rPr>
          <w:rFonts w:cs="Times New Roman"/>
          <w:szCs w:val="21"/>
          <w:vertAlign w:val="superscript"/>
        </w:rPr>
      </w:pPr>
      <w:r w:rsidRPr="006437FB">
        <w:rPr>
          <w:rFonts w:cs="Times New Roman"/>
          <w:szCs w:val="21"/>
        </w:rPr>
        <w:t>图</w:t>
      </w:r>
      <w:r w:rsidRPr="006437FB">
        <w:rPr>
          <w:rFonts w:cs="Times New Roman"/>
          <w:szCs w:val="21"/>
        </w:rPr>
        <w:t>2</w:t>
      </w:r>
      <w:r w:rsidRPr="006437FB">
        <w:rPr>
          <w:rFonts w:cs="Times New Roman"/>
          <w:szCs w:val="21"/>
        </w:rPr>
        <w:t>：电力管廊复杂网络</w:t>
      </w:r>
    </w:p>
    <w:p w14:paraId="7EA456FA" w14:textId="77777777" w:rsidR="000B1599" w:rsidRPr="006437FB" w:rsidRDefault="00000000">
      <w:pPr>
        <w:keepNext/>
        <w:widowControl/>
        <w:spacing w:line="240" w:lineRule="atLeast"/>
        <w:ind w:firstLineChars="0" w:firstLine="0"/>
        <w:jc w:val="both"/>
        <w:outlineLvl w:val="1"/>
        <w:rPr>
          <w:rFonts w:cs="Times New Roman"/>
          <w:b/>
          <w:kern w:val="0"/>
          <w:szCs w:val="21"/>
        </w:rPr>
      </w:pPr>
      <w:r w:rsidRPr="006437FB">
        <w:rPr>
          <w:rFonts w:cs="Times New Roman"/>
          <w:b/>
          <w:kern w:val="0"/>
          <w:szCs w:val="21"/>
        </w:rPr>
        <w:t>2.3</w:t>
      </w:r>
      <w:r w:rsidRPr="006437FB">
        <w:rPr>
          <w:rFonts w:cs="Times New Roman"/>
          <w:b/>
          <w:kern w:val="0"/>
          <w:szCs w:val="21"/>
        </w:rPr>
        <w:t>电力管廊风险传导复杂网络静态结构分析</w:t>
      </w:r>
    </w:p>
    <w:p w14:paraId="01A9A5AB" w14:textId="77777777" w:rsidR="000B1599" w:rsidRPr="006437FB" w:rsidRDefault="00000000">
      <w:pPr>
        <w:ind w:firstLine="420"/>
        <w:jc w:val="both"/>
        <w:rPr>
          <w:rFonts w:cs="Times New Roman"/>
          <w:szCs w:val="21"/>
        </w:rPr>
      </w:pPr>
      <w:r w:rsidRPr="006437FB">
        <w:rPr>
          <w:rFonts w:cs="Times New Roman"/>
          <w:szCs w:val="21"/>
        </w:rPr>
        <w:t>本文构建的电力管廊风险传导复杂网络具有方向性和权重，加权入度、加权出度、加权介数中心性、加权出聚类系数计算公式如</w:t>
      </w:r>
      <w:r w:rsidRPr="006437FB">
        <w:rPr>
          <w:rFonts w:cs="Times New Roman"/>
          <w:szCs w:val="21"/>
        </w:rPr>
        <w:t>(4)-(7)</w:t>
      </w:r>
      <w:r w:rsidRPr="006437FB">
        <w:rPr>
          <w:rFonts w:cs="Times New Roman"/>
          <w:szCs w:val="21"/>
        </w:rPr>
        <w:t>所示。</w:t>
      </w:r>
    </w:p>
    <w:p w14:paraId="64453383" w14:textId="77777777" w:rsidR="000B1599" w:rsidRPr="006437FB" w:rsidRDefault="00000000">
      <w:pPr>
        <w:spacing w:line="240" w:lineRule="atLeast"/>
        <w:ind w:firstLineChars="0" w:firstLine="0"/>
        <w:jc w:val="right"/>
        <w:rPr>
          <w:rFonts w:cs="Times New Roman"/>
          <w:szCs w:val="21"/>
        </w:rPr>
      </w:pPr>
      <w:r w:rsidRPr="006437FB">
        <w:rPr>
          <w:rFonts w:cs="Times New Roman"/>
          <w:position w:val="-16"/>
        </w:rPr>
        <w:object w:dxaOrig="1120" w:dyaOrig="390" w14:anchorId="210F1BB4">
          <v:shape id="_x0000_i1040" type="#_x0000_t75" style="width:56.25pt;height:19.5pt" o:ole="">
            <v:imagedata r:id="rId45" o:title=""/>
          </v:shape>
          <o:OLEObject Type="Embed" ProgID="Equation.DSMT4" ShapeID="_x0000_i1040" DrawAspect="Content" ObjectID="_1845028503" r:id="rId46"/>
        </w:object>
      </w:r>
      <w:r w:rsidRPr="006437FB">
        <w:rPr>
          <w:rFonts w:cs="Times New Roman"/>
        </w:rPr>
        <w:t>;                (4)</w:t>
      </w:r>
    </w:p>
    <w:p w14:paraId="4DD610BE" w14:textId="77777777" w:rsidR="000B1599" w:rsidRPr="006437FB" w:rsidRDefault="00000000">
      <w:pPr>
        <w:spacing w:line="240" w:lineRule="atLeast"/>
        <w:ind w:firstLineChars="0" w:firstLine="0"/>
        <w:jc w:val="right"/>
        <w:rPr>
          <w:rFonts w:cs="Times New Roman"/>
          <w:szCs w:val="21"/>
        </w:rPr>
      </w:pPr>
      <w:r w:rsidRPr="006437FB">
        <w:rPr>
          <w:rFonts w:cs="Times New Roman"/>
          <w:position w:val="-14"/>
        </w:rPr>
        <w:object w:dxaOrig="1120" w:dyaOrig="380" w14:anchorId="5BA67CD7">
          <v:shape id="_x0000_i1041" type="#_x0000_t75" style="width:56.25pt;height:18.75pt" o:ole="">
            <v:imagedata r:id="rId47" o:title=""/>
          </v:shape>
          <o:OLEObject Type="Embed" ProgID="Equation.DSMT4" ShapeID="_x0000_i1041" DrawAspect="Content" ObjectID="_1845028504" r:id="rId48"/>
        </w:object>
      </w:r>
      <w:r w:rsidRPr="006437FB">
        <w:rPr>
          <w:rFonts w:cs="Times New Roman"/>
        </w:rPr>
        <w:t>.                (5)</w:t>
      </w:r>
    </w:p>
    <w:p w14:paraId="284D1A66" w14:textId="77777777" w:rsidR="000B1599" w:rsidRPr="006437FB" w:rsidRDefault="00000000">
      <w:pPr>
        <w:spacing w:line="320" w:lineRule="exact"/>
        <w:ind w:firstLineChars="0" w:firstLine="0"/>
        <w:jc w:val="both"/>
        <w:rPr>
          <w:rFonts w:cs="Times New Roman"/>
          <w:szCs w:val="21"/>
        </w:rPr>
      </w:pPr>
      <w:r w:rsidRPr="006437FB">
        <w:rPr>
          <w:rFonts w:cs="Times New Roman"/>
          <w:szCs w:val="21"/>
        </w:rPr>
        <w:t>其中：</w:t>
      </w:r>
      <w:r w:rsidRPr="006437FB">
        <w:rPr>
          <w:rFonts w:cs="Times New Roman"/>
          <w:position w:val="-10"/>
        </w:rPr>
        <w:object w:dxaOrig="310" w:dyaOrig="330" w14:anchorId="1D1023A4">
          <v:shape id="_x0000_i1042" type="#_x0000_t75" style="width:15.75pt;height:16.5pt" o:ole="">
            <v:imagedata r:id="rId49" o:title=""/>
          </v:shape>
          <o:OLEObject Type="Embed" ProgID="Equation.DSMT4" ShapeID="_x0000_i1042" DrawAspect="Content" ObjectID="_1845028505" r:id="rId50"/>
        </w:object>
      </w:r>
      <w:r w:rsidRPr="006437FB">
        <w:rPr>
          <w:rFonts w:cs="Times New Roman"/>
        </w:rPr>
        <w:t>为加权入度，</w:t>
      </w:r>
      <w:r w:rsidRPr="006437FB">
        <w:rPr>
          <w:rFonts w:cs="Times New Roman"/>
          <w:position w:val="-10"/>
        </w:rPr>
        <w:object w:dxaOrig="360" w:dyaOrig="330" w14:anchorId="0F3414C3">
          <v:shape id="_x0000_i1043" type="#_x0000_t75" style="width:18pt;height:16.5pt" o:ole="">
            <v:imagedata r:id="rId51" o:title=""/>
          </v:shape>
          <o:OLEObject Type="Embed" ProgID="Equation.DSMT4" ShapeID="_x0000_i1043" DrawAspect="Content" ObjectID="_1845028506" r:id="rId52"/>
        </w:object>
      </w:r>
      <w:r w:rsidRPr="006437FB">
        <w:rPr>
          <w:rFonts w:cs="Times New Roman"/>
        </w:rPr>
        <w:t>为加权出度，</w:t>
      </w:r>
      <w:r w:rsidRPr="006437FB">
        <w:rPr>
          <w:rFonts w:cs="Times New Roman"/>
          <w:position w:val="-6"/>
        </w:rPr>
        <w:object w:dxaOrig="140" w:dyaOrig="240" w14:anchorId="5C0D2992">
          <v:shape id="_x0000_i1044" type="#_x0000_t75" style="width:6.75pt;height:12pt" o:ole="">
            <v:imagedata r:id="rId53" o:title=""/>
          </v:shape>
          <o:OLEObject Type="Embed" ProgID="Equation.DSMT4" ShapeID="_x0000_i1044" DrawAspect="Content" ObjectID="_1845028507" r:id="rId54"/>
        </w:object>
      </w:r>
      <w:r w:rsidRPr="006437FB">
        <w:rPr>
          <w:rFonts w:cs="Times New Roman"/>
        </w:rPr>
        <w:t>、</w:t>
      </w:r>
      <w:r w:rsidRPr="006437FB">
        <w:rPr>
          <w:rFonts w:cs="Times New Roman"/>
          <w:position w:val="-10"/>
        </w:rPr>
        <w:object w:dxaOrig="180" w:dyaOrig="290" w14:anchorId="0000B0BE">
          <v:shape id="_x0000_i1045" type="#_x0000_t75" style="width:9pt;height:14.25pt" o:ole="">
            <v:imagedata r:id="rId55" o:title=""/>
          </v:shape>
          <o:OLEObject Type="Embed" ProgID="Equation.DSMT4" ShapeID="_x0000_i1045" DrawAspect="Content" ObjectID="_1845028508" r:id="rId56"/>
        </w:object>
      </w:r>
      <w:r w:rsidRPr="006437FB">
        <w:rPr>
          <w:rFonts w:cs="Times New Roman"/>
        </w:rPr>
        <w:t>均为节点，</w:t>
      </w:r>
      <w:r w:rsidRPr="006437FB">
        <w:rPr>
          <w:rFonts w:cs="Times New Roman"/>
          <w:position w:val="-14"/>
        </w:rPr>
        <w:object w:dxaOrig="310" w:dyaOrig="360" w14:anchorId="35890F50">
          <v:shape id="_x0000_i1046" type="#_x0000_t75" style="width:15.75pt;height:18pt" o:ole="">
            <v:imagedata r:id="rId57" o:title=""/>
          </v:shape>
          <o:OLEObject Type="Embed" ProgID="Equation.DSMT4" ShapeID="_x0000_i1046" DrawAspect="Content" ObjectID="_1845028509" r:id="rId58"/>
        </w:object>
      </w:r>
      <w:r w:rsidRPr="006437FB">
        <w:rPr>
          <w:rFonts w:cs="Times New Roman"/>
        </w:rPr>
        <w:t>为其他节点指向节点</w:t>
      </w:r>
      <w:r w:rsidRPr="006437FB">
        <w:rPr>
          <w:rFonts w:cs="Times New Roman"/>
          <w:position w:val="-6"/>
        </w:rPr>
        <w:object w:dxaOrig="140" w:dyaOrig="240" w14:anchorId="661D42EF">
          <v:shape id="_x0000_i1047" type="#_x0000_t75" style="width:6.75pt;height:12pt" o:ole="">
            <v:imagedata r:id="rId59" o:title=""/>
          </v:shape>
          <o:OLEObject Type="Embed" ProgID="Equation.DSMT4" ShapeID="_x0000_i1047" DrawAspect="Content" ObjectID="_1845028510" r:id="rId60"/>
        </w:object>
      </w:r>
      <w:r w:rsidRPr="006437FB">
        <w:rPr>
          <w:rFonts w:cs="Times New Roman"/>
        </w:rPr>
        <w:t>的边权重，</w:t>
      </w:r>
      <w:r w:rsidRPr="006437FB">
        <w:rPr>
          <w:rFonts w:cs="Times New Roman"/>
          <w:position w:val="-14"/>
        </w:rPr>
        <w:object w:dxaOrig="290" w:dyaOrig="360" w14:anchorId="0B9DAE68">
          <v:shape id="_x0000_i1048" type="#_x0000_t75" style="width:14.25pt;height:18pt" o:ole="">
            <v:imagedata r:id="rId61" o:title=""/>
          </v:shape>
          <o:OLEObject Type="Embed" ProgID="Equation.DSMT4" ShapeID="_x0000_i1048" DrawAspect="Content" ObjectID="_1845028511" r:id="rId62"/>
        </w:object>
      </w:r>
      <w:r w:rsidRPr="006437FB">
        <w:rPr>
          <w:rFonts w:cs="Times New Roman"/>
        </w:rPr>
        <w:t>为由节点</w:t>
      </w:r>
      <w:r w:rsidRPr="006437FB">
        <w:rPr>
          <w:rFonts w:cs="Times New Roman"/>
          <w:position w:val="-6"/>
        </w:rPr>
        <w:object w:dxaOrig="140" w:dyaOrig="240" w14:anchorId="3B388E9E">
          <v:shape id="_x0000_i1049" type="#_x0000_t75" style="width:6.75pt;height:12pt" o:ole="">
            <v:imagedata r:id="rId63" o:title=""/>
          </v:shape>
          <o:OLEObject Type="Embed" ProgID="Equation.DSMT4" ShapeID="_x0000_i1049" DrawAspect="Content" ObjectID="_1845028512" r:id="rId64"/>
        </w:object>
      </w:r>
      <w:r w:rsidRPr="006437FB">
        <w:rPr>
          <w:rFonts w:cs="Times New Roman"/>
        </w:rPr>
        <w:t>指向其他节点的边权重。</w:t>
      </w:r>
    </w:p>
    <w:p w14:paraId="30FA7892" w14:textId="77777777" w:rsidR="000B1599" w:rsidRPr="006437FB" w:rsidRDefault="00000000">
      <w:pPr>
        <w:spacing w:line="240" w:lineRule="atLeast"/>
        <w:ind w:firstLine="420"/>
        <w:jc w:val="right"/>
        <w:rPr>
          <w:rFonts w:cs="Times New Roman"/>
          <w:szCs w:val="21"/>
        </w:rPr>
      </w:pPr>
      <w:r w:rsidRPr="006437FB">
        <w:rPr>
          <w:rFonts w:cs="Times New Roman"/>
          <w:position w:val="-30"/>
        </w:rPr>
        <w:object w:dxaOrig="2740" w:dyaOrig="680" w14:anchorId="03C41E24">
          <v:shape id="_x0000_i1050" type="#_x0000_t75" style="width:137.25pt;height:33.75pt" o:ole="">
            <v:imagedata r:id="rId65" o:title=""/>
          </v:shape>
          <o:OLEObject Type="Embed" ProgID="Equation.DSMT4" ShapeID="_x0000_i1050" DrawAspect="Content" ObjectID="_1845028513" r:id="rId66"/>
        </w:object>
      </w:r>
      <w:r w:rsidRPr="006437FB">
        <w:rPr>
          <w:rFonts w:cs="Times New Roman"/>
        </w:rPr>
        <w:t>.          (6)</w:t>
      </w:r>
    </w:p>
    <w:p w14:paraId="13F057C0" w14:textId="77777777" w:rsidR="000B1599" w:rsidRPr="006437FB" w:rsidRDefault="00000000">
      <w:pPr>
        <w:spacing w:line="320" w:lineRule="exact"/>
        <w:ind w:firstLineChars="0" w:firstLine="0"/>
        <w:jc w:val="both"/>
        <w:rPr>
          <w:rFonts w:cs="Times New Roman"/>
          <w:szCs w:val="21"/>
        </w:rPr>
      </w:pPr>
      <w:r w:rsidRPr="006437FB">
        <w:rPr>
          <w:rFonts w:cs="Times New Roman"/>
        </w:rPr>
        <w:t>其中：</w:t>
      </w:r>
      <w:r w:rsidRPr="006437FB">
        <w:rPr>
          <w:rFonts w:cs="Times New Roman"/>
          <w:position w:val="-6"/>
        </w:rPr>
        <w:object w:dxaOrig="180" w:dyaOrig="200" w14:anchorId="15C4FD48">
          <v:shape id="_x0000_i1051" type="#_x0000_t75" style="width:9pt;height:9.75pt" o:ole="">
            <v:imagedata r:id="rId67" o:title=""/>
          </v:shape>
          <o:OLEObject Type="Embed" ProgID="Equation.DSMT4" ShapeID="_x0000_i1051" DrawAspect="Content" ObjectID="_1845028514" r:id="rId68"/>
        </w:object>
      </w:r>
      <w:r w:rsidRPr="006437FB">
        <w:rPr>
          <w:rFonts w:cs="Times New Roman"/>
        </w:rPr>
        <w:t>为网络中节点总数，</w:t>
      </w:r>
      <w:r w:rsidRPr="006437FB">
        <w:rPr>
          <w:rFonts w:cs="Times New Roman"/>
          <w:position w:val="-14"/>
        </w:rPr>
        <w:object w:dxaOrig="320" w:dyaOrig="360" w14:anchorId="41358175">
          <v:shape id="_x0000_i1052" type="#_x0000_t75" style="width:15.75pt;height:18pt" o:ole="">
            <v:imagedata r:id="rId69" o:title=""/>
          </v:shape>
          <o:OLEObject Type="Embed" ProgID="Equation.DSMT4" ShapeID="_x0000_i1052" DrawAspect="Content" ObjectID="_1845028515" r:id="rId70"/>
        </w:object>
      </w:r>
      <w:r w:rsidRPr="006437FB">
        <w:rPr>
          <w:rFonts w:cs="Times New Roman"/>
          <w:szCs w:val="21"/>
        </w:rPr>
        <w:t>为从节点</w:t>
      </w:r>
      <w:r w:rsidRPr="006437FB">
        <w:rPr>
          <w:rFonts w:cs="Times New Roman"/>
          <w:position w:val="-10"/>
        </w:rPr>
        <w:object w:dxaOrig="180" w:dyaOrig="290" w14:anchorId="3CB4383A">
          <v:shape id="_x0000_i1053" type="#_x0000_t75" style="width:9pt;height:14.25pt" o:ole="">
            <v:imagedata r:id="rId55" o:title=""/>
          </v:shape>
          <o:OLEObject Type="Embed" ProgID="Equation.DSMT4" ShapeID="_x0000_i1053" DrawAspect="Content" ObjectID="_1845028516" r:id="rId71"/>
        </w:object>
      </w:r>
      <w:r w:rsidRPr="006437FB">
        <w:rPr>
          <w:rFonts w:cs="Times New Roman"/>
          <w:szCs w:val="21"/>
        </w:rPr>
        <w:t>到</w:t>
      </w:r>
      <w:r w:rsidRPr="006437FB">
        <w:rPr>
          <w:rFonts w:cs="Times New Roman"/>
          <w:position w:val="-6"/>
        </w:rPr>
        <w:object w:dxaOrig="180" w:dyaOrig="200" w14:anchorId="68DDD0ED">
          <v:shape id="_x0000_i1054" type="#_x0000_t75" style="width:9pt;height:9.75pt" o:ole="">
            <v:imagedata r:id="rId72" o:title=""/>
          </v:shape>
          <o:OLEObject Type="Embed" ProgID="Equation.DSMT4" ShapeID="_x0000_i1054" DrawAspect="Content" ObjectID="_1845028517" r:id="rId73"/>
        </w:object>
      </w:r>
      <w:r w:rsidRPr="006437FB">
        <w:rPr>
          <w:rFonts w:cs="Times New Roman"/>
          <w:szCs w:val="21"/>
        </w:rPr>
        <w:t>的最短加权路径，</w:t>
      </w:r>
      <w:r w:rsidRPr="006437FB">
        <w:rPr>
          <w:rFonts w:cs="Times New Roman"/>
          <w:position w:val="-14"/>
        </w:rPr>
        <w:object w:dxaOrig="560" w:dyaOrig="360" w14:anchorId="20A4F55B">
          <v:shape id="_x0000_i1055" type="#_x0000_t75" style="width:27.75pt;height:18pt" o:ole="">
            <v:imagedata r:id="rId74" o:title=""/>
          </v:shape>
          <o:OLEObject Type="Embed" ProgID="Equation.DSMT4" ShapeID="_x0000_i1055" DrawAspect="Content" ObjectID="_1845028518" r:id="rId75"/>
        </w:object>
      </w:r>
      <w:r w:rsidRPr="006437FB">
        <w:rPr>
          <w:rFonts w:cs="Times New Roman"/>
        </w:rPr>
        <w:t>为经过</w:t>
      </w:r>
      <w:r w:rsidRPr="006437FB">
        <w:rPr>
          <w:rFonts w:cs="Times New Roman"/>
          <w:szCs w:val="21"/>
        </w:rPr>
        <w:t>节点</w:t>
      </w:r>
      <w:r w:rsidRPr="006437FB">
        <w:rPr>
          <w:rFonts w:cs="Times New Roman"/>
          <w:position w:val="-6"/>
        </w:rPr>
        <w:object w:dxaOrig="140" w:dyaOrig="240" w14:anchorId="7365750E">
          <v:shape id="_x0000_i1056" type="#_x0000_t75" style="width:6.75pt;height:12pt" o:ole="">
            <v:imagedata r:id="rId76" o:title=""/>
          </v:shape>
          <o:OLEObject Type="Embed" ProgID="Equation.DSMT4" ShapeID="_x0000_i1056" DrawAspect="Content" ObjectID="_1845028519" r:id="rId77"/>
        </w:object>
      </w:r>
      <w:r w:rsidRPr="006437FB">
        <w:rPr>
          <w:rFonts w:cs="Times New Roman"/>
        </w:rPr>
        <w:t>的最短加权路径。</w:t>
      </w:r>
    </w:p>
    <w:p w14:paraId="06632B02" w14:textId="77777777" w:rsidR="000B1599" w:rsidRPr="006437FB" w:rsidRDefault="00000000">
      <w:pPr>
        <w:spacing w:line="240" w:lineRule="atLeast"/>
        <w:ind w:firstLine="420"/>
        <w:jc w:val="right"/>
        <w:rPr>
          <w:rFonts w:cs="Times New Roman"/>
          <w:szCs w:val="21"/>
        </w:rPr>
      </w:pPr>
      <w:r w:rsidRPr="006437FB">
        <w:rPr>
          <w:rFonts w:cs="Times New Roman"/>
          <w:position w:val="-34"/>
        </w:rPr>
        <w:object w:dxaOrig="3660" w:dyaOrig="780" w14:anchorId="1648817D">
          <v:shape id="_x0000_i1057" type="#_x0000_t75" style="width:183pt;height:39pt" o:ole="">
            <v:imagedata r:id="rId78" o:title=""/>
          </v:shape>
          <o:OLEObject Type="Embed" ProgID="Equation.DSMT4" ShapeID="_x0000_i1057" DrawAspect="Content" ObjectID="_1845028520" r:id="rId79"/>
        </w:object>
      </w:r>
      <w:r w:rsidRPr="006437FB">
        <w:rPr>
          <w:rFonts w:cs="Times New Roman"/>
        </w:rPr>
        <w:t xml:space="preserve">.  </w:t>
      </w:r>
      <w:r w:rsidRPr="006437FB">
        <w:rPr>
          <w:rFonts w:cs="Times New Roman"/>
          <w:szCs w:val="21"/>
        </w:rPr>
        <w:t>(7)</w:t>
      </w:r>
    </w:p>
    <w:p w14:paraId="25759F6E" w14:textId="77777777" w:rsidR="000B1599" w:rsidRPr="006437FB" w:rsidRDefault="00000000">
      <w:pPr>
        <w:spacing w:line="320" w:lineRule="exact"/>
        <w:ind w:firstLineChars="0" w:firstLine="0"/>
        <w:jc w:val="both"/>
        <w:rPr>
          <w:rFonts w:cs="Times New Roman"/>
          <w:szCs w:val="21"/>
        </w:rPr>
      </w:pPr>
      <w:r w:rsidRPr="006437FB">
        <w:rPr>
          <w:rFonts w:cs="Times New Roman"/>
          <w:szCs w:val="21"/>
        </w:rPr>
        <w:t>其中：</w:t>
      </w:r>
      <w:r w:rsidRPr="006437FB">
        <w:rPr>
          <w:rFonts w:cs="Times New Roman"/>
          <w:position w:val="-10"/>
        </w:rPr>
        <w:object w:dxaOrig="360" w:dyaOrig="330" w14:anchorId="769C655C">
          <v:shape id="_x0000_i1058" type="#_x0000_t75" style="width:18pt;height:16.5pt" o:ole="">
            <v:imagedata r:id="rId80" o:title=""/>
          </v:shape>
          <o:OLEObject Type="Embed" ProgID="Equation.DSMT4" ShapeID="_x0000_i1058" DrawAspect="Content" ObjectID="_1845028521" r:id="rId81"/>
        </w:object>
      </w:r>
      <w:r w:rsidRPr="006437FB">
        <w:rPr>
          <w:rFonts w:cs="Times New Roman"/>
        </w:rPr>
        <w:t>为节点的出邻居集合，</w:t>
      </w:r>
      <w:r w:rsidRPr="006437FB">
        <w:rPr>
          <w:rFonts w:cs="Times New Roman"/>
          <w:szCs w:val="21"/>
        </w:rPr>
        <w:t>表示节点间的边是否存在，</w:t>
      </w:r>
      <w:bookmarkStart w:id="5" w:name="_Hlk205024206"/>
      <w:r w:rsidRPr="006437FB">
        <w:rPr>
          <w:rFonts w:cs="Times New Roman"/>
          <w:position w:val="-14"/>
        </w:rPr>
        <w:object w:dxaOrig="290" w:dyaOrig="360" w14:anchorId="68E9692A">
          <v:shape id="_x0000_i1059" type="#_x0000_t75" style="width:14.25pt;height:18pt" o:ole="">
            <v:imagedata r:id="rId82" o:title=""/>
          </v:shape>
          <o:OLEObject Type="Embed" ProgID="Equation.DSMT4" ShapeID="_x0000_i1059" DrawAspect="Content" ObjectID="_1845028522" r:id="rId83"/>
        </w:object>
      </w:r>
      <w:r w:rsidRPr="006437FB">
        <w:rPr>
          <w:rFonts w:cs="Times New Roman"/>
          <w:szCs w:val="21"/>
        </w:rPr>
        <w:t>为从节点</w:t>
      </w:r>
      <w:r w:rsidRPr="006437FB">
        <w:rPr>
          <w:rFonts w:cs="Times New Roman"/>
          <w:position w:val="-6"/>
        </w:rPr>
        <w:object w:dxaOrig="140" w:dyaOrig="240" w14:anchorId="5D745C14">
          <v:shape id="_x0000_i1060" type="#_x0000_t75" style="width:6.75pt;height:12pt" o:ole="">
            <v:imagedata r:id="rId76" o:title=""/>
          </v:shape>
          <o:OLEObject Type="Embed" ProgID="Equation.DSMT4" ShapeID="_x0000_i1060" DrawAspect="Content" ObjectID="_1845028523" r:id="rId84"/>
        </w:object>
      </w:r>
      <w:r w:rsidRPr="006437FB">
        <w:rPr>
          <w:rFonts w:cs="Times New Roman"/>
          <w:szCs w:val="21"/>
        </w:rPr>
        <w:t>到</w:t>
      </w:r>
      <w:r w:rsidRPr="006437FB">
        <w:rPr>
          <w:rFonts w:cs="Times New Roman"/>
          <w:position w:val="-10"/>
        </w:rPr>
        <w:object w:dxaOrig="180" w:dyaOrig="290" w14:anchorId="53FD53B7">
          <v:shape id="_x0000_i1061" type="#_x0000_t75" style="width:9pt;height:14.25pt" o:ole="">
            <v:imagedata r:id="rId85" o:title=""/>
          </v:shape>
          <o:OLEObject Type="Embed" ProgID="Equation.DSMT4" ShapeID="_x0000_i1061" DrawAspect="Content" ObjectID="_1845028524" r:id="rId86"/>
        </w:object>
      </w:r>
      <w:r w:rsidRPr="006437FB">
        <w:rPr>
          <w:rFonts w:cs="Times New Roman"/>
          <w:szCs w:val="21"/>
        </w:rPr>
        <w:t>的边的权重，</w:t>
      </w:r>
      <w:bookmarkEnd w:id="5"/>
      <w:r w:rsidRPr="006437FB">
        <w:rPr>
          <w:rFonts w:cs="Times New Roman"/>
          <w:position w:val="-10"/>
        </w:rPr>
        <w:object w:dxaOrig="310" w:dyaOrig="320" w14:anchorId="38817543">
          <v:shape id="_x0000_i1062" type="#_x0000_t75" style="width:15.75pt;height:15.75pt" o:ole="">
            <v:imagedata r:id="rId87" o:title=""/>
          </v:shape>
          <o:OLEObject Type="Embed" ProgID="Equation.DSMT4" ShapeID="_x0000_i1062" DrawAspect="Content" ObjectID="_1845028525" r:id="rId88"/>
        </w:object>
      </w:r>
      <w:r w:rsidRPr="006437FB">
        <w:rPr>
          <w:rFonts w:cs="Times New Roman"/>
          <w:szCs w:val="21"/>
        </w:rPr>
        <w:t>为从节点</w:t>
      </w:r>
      <w:r w:rsidRPr="006437FB">
        <w:rPr>
          <w:rFonts w:cs="Times New Roman"/>
          <w:position w:val="-6"/>
        </w:rPr>
        <w:object w:dxaOrig="140" w:dyaOrig="240" w14:anchorId="597C66C0">
          <v:shape id="_x0000_i1063" type="#_x0000_t75" style="width:6.75pt;height:12pt" o:ole="">
            <v:imagedata r:id="rId89" o:title=""/>
          </v:shape>
          <o:OLEObject Type="Embed" ProgID="Equation.DSMT4" ShapeID="_x0000_i1063" DrawAspect="Content" ObjectID="_1845028526" r:id="rId90"/>
        </w:object>
      </w:r>
      <w:r w:rsidRPr="006437FB">
        <w:rPr>
          <w:rFonts w:cs="Times New Roman"/>
          <w:szCs w:val="21"/>
        </w:rPr>
        <w:t>到</w:t>
      </w:r>
      <w:bookmarkStart w:id="6" w:name="_Hlk205024456"/>
      <w:r w:rsidRPr="006437FB">
        <w:rPr>
          <w:rFonts w:cs="Times New Roman"/>
          <w:position w:val="-6"/>
        </w:rPr>
        <w:object w:dxaOrig="180" w:dyaOrig="200" w14:anchorId="147EC4AB">
          <v:shape id="_x0000_i1064" type="#_x0000_t75" style="width:9pt;height:9.75pt" o:ole="">
            <v:imagedata r:id="rId91" o:title=""/>
          </v:shape>
          <o:OLEObject Type="Embed" ProgID="Equation.DSMT4" ShapeID="_x0000_i1064" DrawAspect="Content" ObjectID="_1845028527" r:id="rId92"/>
        </w:object>
      </w:r>
      <w:r w:rsidRPr="006437FB">
        <w:rPr>
          <w:rFonts w:cs="Times New Roman"/>
          <w:szCs w:val="21"/>
        </w:rPr>
        <w:t>的边</w:t>
      </w:r>
      <w:bookmarkEnd w:id="6"/>
      <w:r w:rsidRPr="006437FB">
        <w:rPr>
          <w:rFonts w:cs="Times New Roman"/>
          <w:szCs w:val="21"/>
        </w:rPr>
        <w:t>的权重，</w:t>
      </w:r>
      <w:r w:rsidRPr="006437FB">
        <w:rPr>
          <w:rFonts w:cs="Times New Roman"/>
          <w:position w:val="-14"/>
        </w:rPr>
        <w:object w:dxaOrig="320" w:dyaOrig="360" w14:anchorId="5E4BA3B2">
          <v:shape id="_x0000_i1065" type="#_x0000_t75" style="width:15.75pt;height:18pt" o:ole="">
            <v:imagedata r:id="rId93" o:title=""/>
          </v:shape>
          <o:OLEObject Type="Embed" ProgID="Equation.DSMT4" ShapeID="_x0000_i1065" DrawAspect="Content" ObjectID="_1845028528" r:id="rId94"/>
        </w:object>
      </w:r>
      <w:r w:rsidRPr="006437FB">
        <w:rPr>
          <w:rFonts w:cs="Times New Roman"/>
          <w:szCs w:val="21"/>
        </w:rPr>
        <w:t>为从节点</w:t>
      </w:r>
      <w:r w:rsidRPr="006437FB">
        <w:rPr>
          <w:rFonts w:cs="Times New Roman"/>
          <w:position w:val="-10"/>
        </w:rPr>
        <w:object w:dxaOrig="180" w:dyaOrig="290" w14:anchorId="16D3B9C2">
          <v:shape id="_x0000_i1066" type="#_x0000_t75" style="width:9pt;height:14.25pt" o:ole="">
            <v:imagedata r:id="rId95" o:title=""/>
          </v:shape>
          <o:OLEObject Type="Embed" ProgID="Equation.DSMT4" ShapeID="_x0000_i1066" DrawAspect="Content" ObjectID="_1845028529" r:id="rId96"/>
        </w:object>
      </w:r>
      <w:r w:rsidRPr="006437FB">
        <w:rPr>
          <w:rFonts w:cs="Times New Roman"/>
          <w:szCs w:val="21"/>
        </w:rPr>
        <w:t>到</w:t>
      </w:r>
      <w:r w:rsidRPr="006437FB">
        <w:rPr>
          <w:rFonts w:cs="Times New Roman"/>
          <w:position w:val="-6"/>
        </w:rPr>
        <w:object w:dxaOrig="180" w:dyaOrig="200" w14:anchorId="538A1600">
          <v:shape id="_x0000_i1067" type="#_x0000_t75" style="width:9pt;height:9.75pt" o:ole="">
            <v:imagedata r:id="rId97" o:title=""/>
          </v:shape>
          <o:OLEObject Type="Embed" ProgID="Equation.DSMT4" ShapeID="_x0000_i1067" DrawAspect="Content" ObjectID="_1845028530" r:id="rId98"/>
        </w:object>
      </w:r>
      <w:r w:rsidRPr="006437FB">
        <w:rPr>
          <w:rFonts w:cs="Times New Roman"/>
          <w:szCs w:val="21"/>
        </w:rPr>
        <w:t>的边的权重，</w:t>
      </w:r>
      <w:r w:rsidRPr="006437FB">
        <w:rPr>
          <w:rFonts w:cs="Times New Roman"/>
          <w:position w:val="-14"/>
        </w:rPr>
        <w:object w:dxaOrig="310" w:dyaOrig="360" w14:anchorId="737AE59F">
          <v:shape id="_x0000_i1068" type="#_x0000_t75" style="width:15.75pt;height:18pt" o:ole="">
            <v:imagedata r:id="rId99" o:title=""/>
          </v:shape>
          <o:OLEObject Type="Embed" ProgID="Equation.DSMT4" ShapeID="_x0000_i1068" DrawAspect="Content" ObjectID="_1845028531" r:id="rId100"/>
        </w:object>
      </w:r>
      <w:r w:rsidRPr="006437FB">
        <w:rPr>
          <w:rFonts w:cs="Times New Roman"/>
          <w:szCs w:val="21"/>
        </w:rPr>
        <w:t>当节点</w:t>
      </w:r>
      <w:r w:rsidRPr="006437FB">
        <w:rPr>
          <w:rFonts w:cs="Times New Roman"/>
          <w:position w:val="-10"/>
        </w:rPr>
        <w:object w:dxaOrig="180" w:dyaOrig="290" w14:anchorId="4CC80CFB">
          <v:shape id="_x0000_i1069" type="#_x0000_t75" style="width:9pt;height:14.25pt" o:ole="">
            <v:imagedata r:id="rId101" o:title=""/>
          </v:shape>
          <o:OLEObject Type="Embed" ProgID="Equation.DSMT4" ShapeID="_x0000_i1069" DrawAspect="Content" ObjectID="_1845028532" r:id="rId102"/>
        </w:object>
      </w:r>
      <w:r w:rsidRPr="006437FB">
        <w:rPr>
          <w:rFonts w:cs="Times New Roman"/>
          <w:szCs w:val="21"/>
        </w:rPr>
        <w:t>到</w:t>
      </w:r>
      <w:r w:rsidRPr="006437FB">
        <w:rPr>
          <w:rFonts w:cs="Times New Roman"/>
          <w:position w:val="-6"/>
        </w:rPr>
        <w:object w:dxaOrig="180" w:dyaOrig="200" w14:anchorId="31A6DBB7">
          <v:shape id="_x0000_i1070" type="#_x0000_t75" style="width:9pt;height:9.75pt" o:ole="">
            <v:imagedata r:id="rId91" o:title=""/>
          </v:shape>
          <o:OLEObject Type="Embed" ProgID="Equation.DSMT4" ShapeID="_x0000_i1070" DrawAspect="Content" ObjectID="_1845028533" r:id="rId103"/>
        </w:object>
      </w:r>
      <w:r w:rsidRPr="006437FB">
        <w:rPr>
          <w:rFonts w:cs="Times New Roman"/>
          <w:szCs w:val="21"/>
        </w:rPr>
        <w:t>的边存在时为</w:t>
      </w:r>
      <w:r w:rsidRPr="006437FB">
        <w:rPr>
          <w:rFonts w:cs="Times New Roman"/>
          <w:szCs w:val="21"/>
        </w:rPr>
        <w:t>1</w:t>
      </w:r>
      <w:r w:rsidRPr="006437FB">
        <w:rPr>
          <w:rFonts w:cs="Times New Roman"/>
          <w:szCs w:val="21"/>
        </w:rPr>
        <w:t>，否则为</w:t>
      </w:r>
      <w:r w:rsidRPr="006437FB">
        <w:rPr>
          <w:rFonts w:cs="Times New Roman"/>
          <w:szCs w:val="21"/>
        </w:rPr>
        <w:t>0</w:t>
      </w:r>
      <w:r w:rsidRPr="006437FB">
        <w:rPr>
          <w:rFonts w:cs="Times New Roman"/>
          <w:szCs w:val="21"/>
        </w:rPr>
        <w:t>。</w:t>
      </w:r>
    </w:p>
    <w:p w14:paraId="2C71FF2D" w14:textId="77777777" w:rsidR="000B1599" w:rsidRPr="006437FB" w:rsidRDefault="00000000">
      <w:pPr>
        <w:keepNext/>
        <w:ind w:firstLineChars="0" w:firstLine="0"/>
        <w:jc w:val="center"/>
        <w:rPr>
          <w:rFonts w:cs="Times New Roman"/>
          <w:szCs w:val="21"/>
        </w:rPr>
      </w:pPr>
      <w:r w:rsidRPr="006437FB">
        <w:rPr>
          <w:rFonts w:cs="Times New Roman"/>
          <w:noProof/>
        </w:rPr>
        <w:drawing>
          <wp:inline distT="0" distB="0" distL="0" distR="0" wp14:anchorId="6947CFD9" wp14:editId="02FDA5E8">
            <wp:extent cx="2519680" cy="2322195"/>
            <wp:effectExtent l="0" t="0" r="0" b="1905"/>
            <wp:docPr id="4" name="图片 3" descr="图表, 雷达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descr="图表, 雷达图&#10;&#10;AI 生成的内容可能不正确。"/>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a:xfrm>
                      <a:off x="0" y="0"/>
                      <a:ext cx="2520000" cy="2322650"/>
                    </a:xfrm>
                    <a:prstGeom prst="rect">
                      <a:avLst/>
                    </a:prstGeom>
                    <a:noFill/>
                    <a:ln>
                      <a:noFill/>
                    </a:ln>
                  </pic:spPr>
                </pic:pic>
              </a:graphicData>
            </a:graphic>
          </wp:inline>
        </w:drawing>
      </w:r>
    </w:p>
    <w:p w14:paraId="2C572E60" w14:textId="77777777" w:rsidR="000B1599" w:rsidRPr="006437FB" w:rsidRDefault="00000000">
      <w:pPr>
        <w:ind w:firstLineChars="0" w:firstLine="0"/>
        <w:jc w:val="center"/>
        <w:rPr>
          <w:rFonts w:cs="Times New Roman"/>
          <w:szCs w:val="21"/>
        </w:rPr>
      </w:pPr>
      <w:r w:rsidRPr="006437FB">
        <w:rPr>
          <w:rFonts w:cs="Times New Roman"/>
          <w:szCs w:val="21"/>
        </w:rPr>
        <w:t>图</w:t>
      </w:r>
      <w:r w:rsidRPr="006437FB">
        <w:rPr>
          <w:rFonts w:cs="Times New Roman"/>
          <w:szCs w:val="21"/>
        </w:rPr>
        <w:t>3</w:t>
      </w:r>
      <w:r w:rsidRPr="006437FB">
        <w:rPr>
          <w:rFonts w:cs="Times New Roman"/>
          <w:szCs w:val="21"/>
        </w:rPr>
        <w:t>：节点加权出</w:t>
      </w:r>
      <w:r w:rsidRPr="006437FB">
        <w:rPr>
          <w:rFonts w:cs="Times New Roman"/>
          <w:szCs w:val="21"/>
        </w:rPr>
        <w:t>/</w:t>
      </w:r>
      <w:r w:rsidRPr="006437FB">
        <w:rPr>
          <w:rFonts w:cs="Times New Roman"/>
          <w:szCs w:val="21"/>
        </w:rPr>
        <w:t>入度雷达图</w:t>
      </w:r>
    </w:p>
    <w:p w14:paraId="279AE83A" w14:textId="77777777" w:rsidR="000B1599" w:rsidRPr="006437FB" w:rsidRDefault="000B1599">
      <w:pPr>
        <w:ind w:firstLine="420"/>
        <w:rPr>
          <w:rFonts w:cs="Times New Roman"/>
          <w:szCs w:val="21"/>
        </w:rPr>
        <w:sectPr w:rsidR="000B1599" w:rsidRPr="006437FB">
          <w:type w:val="continuous"/>
          <w:pgSz w:w="11906" w:h="16838"/>
          <w:pgMar w:top="1985" w:right="1021" w:bottom="1021" w:left="1021" w:header="851" w:footer="992" w:gutter="0"/>
          <w:cols w:num="2" w:space="720" w:equalWidth="0">
            <w:col w:w="4720" w:space="425"/>
            <w:col w:w="4719"/>
          </w:cols>
          <w:docGrid w:type="lines" w:linePitch="288"/>
        </w:sectPr>
      </w:pPr>
    </w:p>
    <w:p w14:paraId="7CCBBA41" w14:textId="77777777" w:rsidR="000B1599" w:rsidRPr="006437FB" w:rsidRDefault="00000000">
      <w:pPr>
        <w:ind w:firstLineChars="0" w:firstLine="0"/>
        <w:jc w:val="center"/>
        <w:rPr>
          <w:rFonts w:cs="Times New Roman"/>
          <w:szCs w:val="21"/>
        </w:rPr>
      </w:pPr>
      <w:r w:rsidRPr="006437FB">
        <w:rPr>
          <w:rFonts w:cs="Times New Roman"/>
          <w:noProof/>
        </w:rPr>
        <w:drawing>
          <wp:inline distT="0" distB="0" distL="0" distR="0" wp14:anchorId="57D2623D" wp14:editId="3DE0D6FB">
            <wp:extent cx="5039995" cy="2465070"/>
            <wp:effectExtent l="0" t="0" r="8255" b="0"/>
            <wp:docPr id="2" name="图片 1" descr="图表, 直方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图表, 直方图&#10;&#10;AI 生成的内容可能不正确。"/>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a:xfrm>
                      <a:off x="0" y="0"/>
                      <a:ext cx="5040000" cy="2465242"/>
                    </a:xfrm>
                    <a:prstGeom prst="rect">
                      <a:avLst/>
                    </a:prstGeom>
                    <a:noFill/>
                    <a:ln>
                      <a:noFill/>
                    </a:ln>
                  </pic:spPr>
                </pic:pic>
              </a:graphicData>
            </a:graphic>
          </wp:inline>
        </w:drawing>
      </w:r>
    </w:p>
    <w:p w14:paraId="2EB550DE" w14:textId="77777777" w:rsidR="000B1599" w:rsidRPr="006437FB" w:rsidRDefault="00000000">
      <w:pPr>
        <w:ind w:firstLineChars="0" w:firstLine="0"/>
        <w:jc w:val="center"/>
        <w:rPr>
          <w:rFonts w:cs="Times New Roman"/>
          <w:szCs w:val="21"/>
        </w:rPr>
        <w:sectPr w:rsidR="000B1599" w:rsidRPr="006437FB">
          <w:type w:val="continuous"/>
          <w:pgSz w:w="11906" w:h="16838"/>
          <w:pgMar w:top="1985" w:right="1021" w:bottom="1021" w:left="1021" w:header="851" w:footer="992" w:gutter="0"/>
          <w:cols w:space="720"/>
          <w:docGrid w:type="lines" w:linePitch="288"/>
        </w:sectPr>
      </w:pPr>
      <w:r w:rsidRPr="006437FB">
        <w:rPr>
          <w:rFonts w:cs="Times New Roman"/>
          <w:szCs w:val="21"/>
        </w:rPr>
        <w:t>图</w:t>
      </w:r>
      <w:r w:rsidRPr="006437FB">
        <w:rPr>
          <w:rFonts w:cs="Times New Roman"/>
          <w:szCs w:val="21"/>
        </w:rPr>
        <w:t>4</w:t>
      </w:r>
      <w:r w:rsidRPr="006437FB">
        <w:rPr>
          <w:rFonts w:cs="Times New Roman"/>
          <w:szCs w:val="21"/>
        </w:rPr>
        <w:t>：电力管廊风险传导复杂网络指标值计算结果折线图</w:t>
      </w:r>
    </w:p>
    <w:p w14:paraId="7CEC14DC" w14:textId="77777777" w:rsidR="000B1599" w:rsidRPr="006437FB" w:rsidRDefault="00000000">
      <w:pPr>
        <w:ind w:firstLine="420"/>
        <w:jc w:val="both"/>
        <w:rPr>
          <w:rFonts w:cs="Times New Roman"/>
          <w:szCs w:val="21"/>
        </w:rPr>
      </w:pPr>
      <w:r w:rsidRPr="006437FB">
        <w:rPr>
          <w:rFonts w:cs="Times New Roman"/>
          <w:szCs w:val="21"/>
        </w:rPr>
        <w:t>基于公式</w:t>
      </w:r>
      <w:r w:rsidRPr="006437FB">
        <w:rPr>
          <w:rFonts w:cs="Times New Roman"/>
          <w:szCs w:val="21"/>
        </w:rPr>
        <w:t>(4)–(7)</w:t>
      </w:r>
      <w:r w:rsidRPr="006437FB">
        <w:rPr>
          <w:rFonts w:cs="Times New Roman"/>
          <w:szCs w:val="21"/>
        </w:rPr>
        <w:t>计算网络指标，结果如图</w:t>
      </w:r>
      <w:r w:rsidRPr="006437FB">
        <w:rPr>
          <w:rFonts w:cs="Times New Roman"/>
          <w:szCs w:val="21"/>
        </w:rPr>
        <w:t>3</w:t>
      </w:r>
      <w:r w:rsidRPr="006437FB">
        <w:rPr>
          <w:rFonts w:cs="Times New Roman"/>
          <w:szCs w:val="21"/>
        </w:rPr>
        <w:t>、图</w:t>
      </w:r>
      <w:r w:rsidRPr="006437FB">
        <w:rPr>
          <w:rFonts w:cs="Times New Roman"/>
          <w:szCs w:val="21"/>
        </w:rPr>
        <w:t>4</w:t>
      </w:r>
      <w:r w:rsidRPr="006437FB">
        <w:rPr>
          <w:rFonts w:cs="Times New Roman"/>
          <w:szCs w:val="21"/>
        </w:rPr>
        <w:t>所示。</w:t>
      </w:r>
      <w:r w:rsidRPr="006437FB">
        <w:rPr>
          <w:rFonts w:cs="Times New Roman"/>
          <w:szCs w:val="21"/>
        </w:rPr>
        <w:t>F14</w:t>
      </w:r>
      <w:r w:rsidRPr="006437FB">
        <w:rPr>
          <w:rFonts w:cs="Times New Roman"/>
          <w:szCs w:val="21"/>
        </w:rPr>
        <w:t>电缆故障节点加权入度最大，是各类风险因素最终引发事故的关键枢纽；</w:t>
      </w:r>
      <w:r w:rsidRPr="006437FB">
        <w:rPr>
          <w:rFonts w:cs="Times New Roman"/>
          <w:szCs w:val="21"/>
        </w:rPr>
        <w:t>M2</w:t>
      </w:r>
      <w:r w:rsidRPr="006437FB">
        <w:rPr>
          <w:rFonts w:cs="Times New Roman"/>
          <w:szCs w:val="21"/>
        </w:rPr>
        <w:t>未落实安全生产责任制节点加权出度最大，其失控可通过关联链条广泛传导引发设备、环境、人员等多维度风险，是风险传导的关键枢纽；</w:t>
      </w:r>
      <w:r w:rsidRPr="006437FB">
        <w:rPr>
          <w:rFonts w:cs="Times New Roman"/>
          <w:szCs w:val="21"/>
        </w:rPr>
        <w:t>F9</w:t>
      </w:r>
      <w:r w:rsidRPr="006437FB">
        <w:rPr>
          <w:rFonts w:cs="Times New Roman"/>
          <w:szCs w:val="21"/>
        </w:rPr>
        <w:t>第三方施工破坏节点加权</w:t>
      </w:r>
      <w:r w:rsidRPr="006437FB">
        <w:rPr>
          <w:rFonts w:cs="Times New Roman"/>
          <w:szCs w:val="21"/>
        </w:rPr>
        <w:t>介数中心性最大，是网络风险传导的关键枢纽；</w:t>
      </w:r>
      <w:r w:rsidRPr="006437FB">
        <w:rPr>
          <w:rFonts w:cs="Times New Roman"/>
          <w:szCs w:val="21"/>
        </w:rPr>
        <w:t>E5</w:t>
      </w:r>
      <w:r w:rsidRPr="006437FB">
        <w:rPr>
          <w:rFonts w:cs="Times New Roman"/>
          <w:szCs w:val="21"/>
        </w:rPr>
        <w:t>温度湿度异常节点加权出聚类系数最大，表明其与关联因素高度互联，易引发局部风险的快速升级与级联效应。在电力管廊风险防控中，应重点关注</w:t>
      </w:r>
      <w:r w:rsidRPr="006437FB">
        <w:rPr>
          <w:rFonts w:cs="Times New Roman"/>
          <w:szCs w:val="21"/>
        </w:rPr>
        <w:t>M2</w:t>
      </w:r>
      <w:r w:rsidRPr="006437FB">
        <w:rPr>
          <w:rFonts w:cs="Times New Roman"/>
          <w:szCs w:val="21"/>
        </w:rPr>
        <w:t>、</w:t>
      </w:r>
      <w:r w:rsidRPr="006437FB">
        <w:rPr>
          <w:rFonts w:cs="Times New Roman"/>
          <w:szCs w:val="21"/>
        </w:rPr>
        <w:t>F9</w:t>
      </w:r>
      <w:r w:rsidRPr="006437FB">
        <w:rPr>
          <w:rFonts w:cs="Times New Roman"/>
          <w:szCs w:val="21"/>
        </w:rPr>
        <w:t>、</w:t>
      </w:r>
      <w:r w:rsidRPr="006437FB">
        <w:rPr>
          <w:rFonts w:cs="Times New Roman"/>
          <w:szCs w:val="21"/>
        </w:rPr>
        <w:t>F14</w:t>
      </w:r>
      <w:r w:rsidRPr="006437FB">
        <w:rPr>
          <w:rFonts w:cs="Times New Roman"/>
          <w:szCs w:val="21"/>
        </w:rPr>
        <w:t>、</w:t>
      </w:r>
      <w:r w:rsidRPr="006437FB">
        <w:rPr>
          <w:rFonts w:cs="Times New Roman"/>
          <w:szCs w:val="21"/>
        </w:rPr>
        <w:t>E5</w:t>
      </w:r>
      <w:r w:rsidRPr="006437FB">
        <w:rPr>
          <w:rFonts w:cs="Times New Roman"/>
          <w:szCs w:val="21"/>
        </w:rPr>
        <w:t>等因素。</w:t>
      </w:r>
    </w:p>
    <w:p w14:paraId="07E92F51" w14:textId="77777777" w:rsidR="000B1599" w:rsidRPr="006437FB" w:rsidRDefault="00000000">
      <w:pPr>
        <w:ind w:firstLine="420"/>
        <w:jc w:val="both"/>
        <w:rPr>
          <w:rFonts w:cs="Times New Roman"/>
          <w:szCs w:val="21"/>
        </w:rPr>
      </w:pPr>
      <w:r w:rsidRPr="006437FB">
        <w:rPr>
          <w:rFonts w:cs="Times New Roman"/>
          <w:szCs w:val="21"/>
        </w:rPr>
        <w:t>基于专家（</w:t>
      </w:r>
      <w:r w:rsidRPr="006437FB">
        <w:rPr>
          <w:rFonts w:cs="Times New Roman"/>
          <w:szCs w:val="21"/>
        </w:rPr>
        <w:t>5</w:t>
      </w:r>
      <w:r w:rsidRPr="006437FB">
        <w:rPr>
          <w:rFonts w:cs="Times New Roman"/>
          <w:szCs w:val="21"/>
        </w:rPr>
        <w:t>位分别拥有电力管廊、复杂网络背</w:t>
      </w:r>
      <w:r w:rsidRPr="006437FB">
        <w:rPr>
          <w:rFonts w:cs="Times New Roman"/>
          <w:szCs w:val="21"/>
        </w:rPr>
        <w:lastRenderedPageBreak/>
        <w:t>景的专家）意见，考虑各个指标的特点，对网络中风险因素指标的加权入度、加权出度、加权介数中心性以及加权出聚类系数分别赋予</w:t>
      </w:r>
      <w:r w:rsidRPr="006437FB">
        <w:rPr>
          <w:rFonts w:cs="Times New Roman"/>
          <w:szCs w:val="21"/>
        </w:rPr>
        <w:t>0.2</w:t>
      </w:r>
      <w:r w:rsidRPr="006437FB">
        <w:rPr>
          <w:rFonts w:cs="Times New Roman"/>
          <w:szCs w:val="21"/>
        </w:rPr>
        <w:t>、</w:t>
      </w:r>
      <w:r w:rsidRPr="006437FB">
        <w:rPr>
          <w:rFonts w:cs="Times New Roman"/>
          <w:szCs w:val="21"/>
        </w:rPr>
        <w:t>0.4</w:t>
      </w:r>
      <w:r w:rsidRPr="006437FB">
        <w:rPr>
          <w:rFonts w:cs="Times New Roman"/>
          <w:szCs w:val="21"/>
        </w:rPr>
        <w:t>、</w:t>
      </w:r>
      <w:r w:rsidRPr="006437FB">
        <w:rPr>
          <w:rFonts w:cs="Times New Roman"/>
          <w:szCs w:val="21"/>
        </w:rPr>
        <w:t>0.3</w:t>
      </w:r>
      <w:r w:rsidRPr="006437FB">
        <w:rPr>
          <w:rFonts w:cs="Times New Roman"/>
          <w:szCs w:val="21"/>
        </w:rPr>
        <w:t>、</w:t>
      </w:r>
      <w:r w:rsidRPr="006437FB">
        <w:rPr>
          <w:rFonts w:cs="Times New Roman"/>
          <w:szCs w:val="21"/>
        </w:rPr>
        <w:t>0.1</w:t>
      </w:r>
      <w:r w:rsidRPr="006437FB">
        <w:rPr>
          <w:rFonts w:cs="Times New Roman"/>
          <w:szCs w:val="21"/>
        </w:rPr>
        <w:t>的权重，并将所计算网络指标标准化，计算网络指标综合重要度</w:t>
      </w:r>
      <w:r w:rsidRPr="006437FB">
        <w:rPr>
          <w:rFonts w:cs="Times New Roman"/>
          <w:szCs w:val="21"/>
        </w:rPr>
        <w:t>D</w:t>
      </w:r>
      <w:r w:rsidRPr="006437FB">
        <w:rPr>
          <w:rFonts w:cs="Times New Roman"/>
          <w:szCs w:val="21"/>
        </w:rPr>
        <w:t>。以节点出度为例表征指标标准化计算方法，计算公式如</w:t>
      </w:r>
      <w:r w:rsidRPr="006437FB">
        <w:rPr>
          <w:rFonts w:cs="Times New Roman"/>
          <w:szCs w:val="21"/>
        </w:rPr>
        <w:t>(8)-(9)</w:t>
      </w:r>
      <w:r w:rsidRPr="006437FB">
        <w:rPr>
          <w:rFonts w:cs="Times New Roman"/>
          <w:szCs w:val="21"/>
        </w:rPr>
        <w:t>。计算结果由图</w:t>
      </w:r>
      <w:r w:rsidRPr="006437FB">
        <w:rPr>
          <w:rFonts w:cs="Times New Roman"/>
          <w:szCs w:val="21"/>
        </w:rPr>
        <w:t>5</w:t>
      </w:r>
      <w:r w:rsidRPr="006437FB">
        <w:rPr>
          <w:rFonts w:cs="Times New Roman"/>
          <w:szCs w:val="21"/>
        </w:rPr>
        <w:t>节点大小表征。</w:t>
      </w:r>
    </w:p>
    <w:p w14:paraId="17C8DF6A" w14:textId="77777777" w:rsidR="000B1599" w:rsidRPr="006437FB" w:rsidRDefault="00000000">
      <w:pPr>
        <w:spacing w:line="240" w:lineRule="atLeast"/>
        <w:ind w:firstLineChars="0" w:firstLine="0"/>
        <w:jc w:val="right"/>
        <w:rPr>
          <w:rFonts w:cs="Times New Roman"/>
        </w:rPr>
      </w:pPr>
      <w:r w:rsidRPr="006437FB">
        <w:rPr>
          <w:rFonts w:cs="Times New Roman"/>
          <w:position w:val="-28"/>
        </w:rPr>
        <w:object w:dxaOrig="1860" w:dyaOrig="660" w14:anchorId="1A3021B6">
          <v:shape id="_x0000_i1071" type="#_x0000_t75" style="width:93pt;height:33pt" o:ole="">
            <v:imagedata r:id="rId106" o:title=""/>
          </v:shape>
          <o:OLEObject Type="Embed" ProgID="Equation.DSMT4" ShapeID="_x0000_i1071" DrawAspect="Content" ObjectID="_1845028534" r:id="rId107"/>
        </w:object>
      </w:r>
      <w:r w:rsidRPr="006437FB">
        <w:rPr>
          <w:rFonts w:cs="Times New Roman"/>
        </w:rPr>
        <w:t>.          (8)</w:t>
      </w:r>
    </w:p>
    <w:p w14:paraId="102FA6B3" w14:textId="77777777" w:rsidR="000B1599" w:rsidRPr="006437FB" w:rsidRDefault="00000000">
      <w:pPr>
        <w:spacing w:line="320" w:lineRule="exact"/>
        <w:ind w:firstLineChars="0" w:firstLine="0"/>
        <w:jc w:val="right"/>
        <w:rPr>
          <w:rFonts w:cs="Times New Roman"/>
          <w:szCs w:val="21"/>
        </w:rPr>
      </w:pPr>
      <w:r w:rsidRPr="006437FB">
        <w:rPr>
          <w:rFonts w:cs="Times New Roman"/>
          <w:position w:val="-10"/>
        </w:rPr>
        <w:object w:dxaOrig="4030" w:dyaOrig="330" w14:anchorId="438A0E0C">
          <v:shape id="_x0000_i1072" type="#_x0000_t75" style="width:201.75pt;height:16.5pt" o:ole="">
            <v:imagedata r:id="rId108" o:title=""/>
          </v:shape>
          <o:OLEObject Type="Embed" ProgID="Equation.DSMT4" ShapeID="_x0000_i1072" DrawAspect="Content" ObjectID="_1845028535" r:id="rId109"/>
        </w:object>
      </w:r>
      <w:r w:rsidRPr="006437FB">
        <w:rPr>
          <w:rFonts w:cs="Times New Roman"/>
        </w:rPr>
        <w:t xml:space="preserve"> (9)</w:t>
      </w:r>
    </w:p>
    <w:p w14:paraId="0F1AD58E" w14:textId="77777777" w:rsidR="000B1599" w:rsidRPr="006437FB" w:rsidRDefault="00000000">
      <w:pPr>
        <w:keepNext/>
        <w:spacing w:line="320" w:lineRule="exact"/>
        <w:ind w:firstLineChars="0" w:firstLine="0"/>
        <w:jc w:val="both"/>
        <w:rPr>
          <w:rFonts w:cs="Times New Roman"/>
        </w:rPr>
      </w:pPr>
      <w:r w:rsidRPr="006437FB">
        <w:rPr>
          <w:rFonts w:cs="Times New Roman"/>
        </w:rPr>
        <w:t>其中：</w:t>
      </w:r>
      <w:r w:rsidRPr="006437FB">
        <w:rPr>
          <w:rFonts w:cs="Times New Roman"/>
          <w:position w:val="-10"/>
        </w:rPr>
        <w:object w:dxaOrig="420" w:dyaOrig="330" w14:anchorId="2249AE6A">
          <v:shape id="_x0000_i1073" type="#_x0000_t75" style="width:21pt;height:16.5pt" o:ole="">
            <v:imagedata r:id="rId110" o:title=""/>
          </v:shape>
          <o:OLEObject Type="Embed" ProgID="Equation.DSMT4" ShapeID="_x0000_i1073" DrawAspect="Content" ObjectID="_1845028536" r:id="rId111"/>
        </w:object>
      </w:r>
      <w:r w:rsidRPr="006437FB">
        <w:rPr>
          <w:rFonts w:cs="Times New Roman"/>
        </w:rPr>
        <w:t>、</w:t>
      </w:r>
      <w:r w:rsidRPr="006437FB">
        <w:rPr>
          <w:rFonts w:cs="Times New Roman"/>
          <w:position w:val="-10"/>
        </w:rPr>
        <w:object w:dxaOrig="360" w:dyaOrig="330" w14:anchorId="7FB4D9FE">
          <v:shape id="_x0000_i1074" type="#_x0000_t75" style="width:18pt;height:16.5pt" o:ole="">
            <v:imagedata r:id="rId112" o:title=""/>
          </v:shape>
          <o:OLEObject Type="Embed" ProgID="Equation.DSMT4" ShapeID="_x0000_i1074" DrawAspect="Content" ObjectID="_1845028537" r:id="rId113"/>
        </w:object>
      </w:r>
      <w:r w:rsidRPr="006437FB">
        <w:rPr>
          <w:rFonts w:cs="Times New Roman"/>
        </w:rPr>
        <w:t>、</w:t>
      </w:r>
      <w:r w:rsidRPr="006437FB">
        <w:rPr>
          <w:rFonts w:cs="Times New Roman"/>
          <w:position w:val="-10"/>
        </w:rPr>
        <w:object w:dxaOrig="480" w:dyaOrig="310" w14:anchorId="581BDC09">
          <v:shape id="_x0000_i1075" type="#_x0000_t75" style="width:24pt;height:15.75pt" o:ole="">
            <v:imagedata r:id="rId114" o:title=""/>
          </v:shape>
          <o:OLEObject Type="Embed" ProgID="Equation.DSMT4" ShapeID="_x0000_i1075" DrawAspect="Content" ObjectID="_1845028538" r:id="rId115"/>
        </w:object>
      </w:r>
      <w:r w:rsidRPr="006437FB">
        <w:rPr>
          <w:rFonts w:cs="Times New Roman"/>
        </w:rPr>
        <w:t>、</w:t>
      </w:r>
      <w:r w:rsidRPr="006437FB">
        <w:rPr>
          <w:rFonts w:cs="Times New Roman"/>
          <w:position w:val="-10"/>
        </w:rPr>
        <w:object w:dxaOrig="570" w:dyaOrig="320" w14:anchorId="3FD51B5D">
          <v:shape id="_x0000_i1076" type="#_x0000_t75" style="width:28.5pt;height:15.75pt" o:ole="">
            <v:imagedata r:id="rId116" o:title=""/>
          </v:shape>
          <o:OLEObject Type="Embed" ProgID="Equation.DSMT4" ShapeID="_x0000_i1076" DrawAspect="Content" ObjectID="_1845028539" r:id="rId117"/>
        </w:object>
      </w:r>
      <w:r w:rsidRPr="006437FB">
        <w:rPr>
          <w:rFonts w:cs="Times New Roman"/>
        </w:rPr>
        <w:t>分别为</w:t>
      </w:r>
      <w:r w:rsidRPr="006437FB">
        <w:rPr>
          <w:rFonts w:cs="Times New Roman"/>
          <w:position w:val="-10"/>
        </w:rPr>
        <w:object w:dxaOrig="360" w:dyaOrig="330" w14:anchorId="6D878D4F">
          <v:shape id="_x0000_i1077" type="#_x0000_t75" style="width:18pt;height:16.5pt" o:ole="">
            <v:imagedata r:id="rId118" o:title=""/>
          </v:shape>
          <o:OLEObject Type="Embed" ProgID="Equation.DSMT4" ShapeID="_x0000_i1077" DrawAspect="Content" ObjectID="_1845028540" r:id="rId119"/>
        </w:object>
      </w:r>
      <w:r w:rsidRPr="006437FB">
        <w:rPr>
          <w:rFonts w:cs="Times New Roman"/>
        </w:rPr>
        <w:t>、</w:t>
      </w:r>
      <w:r w:rsidRPr="006437FB">
        <w:rPr>
          <w:rFonts w:cs="Times New Roman"/>
          <w:position w:val="-10"/>
        </w:rPr>
        <w:object w:dxaOrig="290" w:dyaOrig="330" w14:anchorId="0444F754">
          <v:shape id="_x0000_i1078" type="#_x0000_t75" style="width:14.25pt;height:16.5pt" o:ole="">
            <v:imagedata r:id="rId120" o:title=""/>
          </v:shape>
          <o:OLEObject Type="Embed" ProgID="Equation.DSMT4" ShapeID="_x0000_i1078" DrawAspect="Content" ObjectID="_1845028541" r:id="rId121"/>
        </w:object>
      </w:r>
      <w:r w:rsidRPr="006437FB">
        <w:rPr>
          <w:rFonts w:cs="Times New Roman"/>
        </w:rPr>
        <w:t>、</w:t>
      </w:r>
      <w:r w:rsidRPr="006437FB">
        <w:rPr>
          <w:rFonts w:cs="Times New Roman"/>
          <w:position w:val="-10"/>
        </w:rPr>
        <w:object w:dxaOrig="420" w:dyaOrig="310" w14:anchorId="64D10D15">
          <v:shape id="_x0000_i1079" type="#_x0000_t75" style="width:21pt;height:15.75pt" o:ole="">
            <v:imagedata r:id="rId122" o:title=""/>
          </v:shape>
          <o:OLEObject Type="Embed" ProgID="Equation.DSMT4" ShapeID="_x0000_i1079" DrawAspect="Content" ObjectID="_1845028542" r:id="rId123"/>
        </w:object>
      </w:r>
      <w:r w:rsidRPr="006437FB">
        <w:rPr>
          <w:rFonts w:cs="Times New Roman"/>
        </w:rPr>
        <w:t>、</w:t>
      </w:r>
      <w:r w:rsidRPr="006437FB">
        <w:rPr>
          <w:rFonts w:cs="Times New Roman"/>
          <w:position w:val="-10"/>
        </w:rPr>
        <w:object w:dxaOrig="520" w:dyaOrig="320" w14:anchorId="42EFC7FA">
          <v:shape id="_x0000_i1080" type="#_x0000_t75" style="width:26.25pt;height:15.75pt" o:ole="">
            <v:imagedata r:id="rId124" o:title=""/>
          </v:shape>
          <o:OLEObject Type="Embed" ProgID="Equation.DSMT4" ShapeID="_x0000_i1080" DrawAspect="Content" ObjectID="_1845028543" r:id="rId125"/>
        </w:object>
      </w:r>
      <w:r w:rsidRPr="006437FB">
        <w:rPr>
          <w:rFonts w:cs="Times New Roman"/>
        </w:rPr>
        <w:t>标准化后的值。</w:t>
      </w:r>
    </w:p>
    <w:p w14:paraId="137F68BA" w14:textId="77777777" w:rsidR="000B1599" w:rsidRPr="006437FB" w:rsidRDefault="00000000">
      <w:pPr>
        <w:keepNext/>
        <w:ind w:firstLineChars="0" w:firstLine="0"/>
        <w:jc w:val="center"/>
        <w:rPr>
          <w:rFonts w:cs="Times New Roman"/>
        </w:rPr>
      </w:pPr>
      <w:r w:rsidRPr="006437FB">
        <w:rPr>
          <w:rFonts w:cs="Times New Roman"/>
          <w:noProof/>
        </w:rPr>
        <w:drawing>
          <wp:inline distT="0" distB="0" distL="0" distR="0" wp14:anchorId="03D7AA80" wp14:editId="03B49A77">
            <wp:extent cx="2519045" cy="2039620"/>
            <wp:effectExtent l="0" t="0" r="0" b="0"/>
            <wp:docPr id="5" name="图片 4" descr="图表, 气泡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表, 气泡图&#10;&#10;AI 生成的内容可能不正确。"/>
                    <pic:cNvPicPr>
                      <a:picLocks noChangeAspect="1" noChangeArrowheads="1"/>
                    </pic:cNvPicPr>
                  </pic:nvPicPr>
                  <pic:blipFill>
                    <a:blip r:embed="rId126" cstate="print">
                      <a:extLst>
                        <a:ext uri="{28A0092B-C50C-407E-A947-70E740481C1C}">
                          <a14:useLocalDpi xmlns:a14="http://schemas.microsoft.com/office/drawing/2010/main" val="0"/>
                        </a:ext>
                      </a:extLst>
                    </a:blip>
                    <a:srcRect t="4332"/>
                    <a:stretch>
                      <a:fillRect/>
                    </a:stretch>
                  </pic:blipFill>
                  <pic:spPr>
                    <a:xfrm>
                      <a:off x="0" y="0"/>
                      <a:ext cx="2520000" cy="2040451"/>
                    </a:xfrm>
                    <a:prstGeom prst="rect">
                      <a:avLst/>
                    </a:prstGeom>
                    <a:noFill/>
                    <a:ln>
                      <a:noFill/>
                    </a:ln>
                  </pic:spPr>
                </pic:pic>
              </a:graphicData>
            </a:graphic>
          </wp:inline>
        </w:drawing>
      </w:r>
    </w:p>
    <w:p w14:paraId="19E16DA2" w14:textId="77777777" w:rsidR="000B1599" w:rsidRPr="006437FB" w:rsidRDefault="00000000">
      <w:pPr>
        <w:ind w:firstLineChars="0" w:firstLine="0"/>
        <w:jc w:val="center"/>
        <w:rPr>
          <w:rFonts w:cs="Times New Roman"/>
          <w:szCs w:val="21"/>
        </w:rPr>
      </w:pPr>
      <w:r w:rsidRPr="006437FB">
        <w:rPr>
          <w:rFonts w:cs="Times New Roman"/>
        </w:rPr>
        <w:t>图</w:t>
      </w:r>
      <w:r w:rsidRPr="006437FB">
        <w:rPr>
          <w:rFonts w:cs="Times New Roman"/>
        </w:rPr>
        <w:t>5</w:t>
      </w:r>
      <w:r w:rsidRPr="006437FB">
        <w:rPr>
          <w:rFonts w:cs="Times New Roman"/>
        </w:rPr>
        <w:t>：综合重要度计算结果</w:t>
      </w:r>
    </w:p>
    <w:p w14:paraId="78378CF5" w14:textId="49FBA439" w:rsidR="000B1599" w:rsidRPr="006437FB" w:rsidRDefault="00000000">
      <w:pPr>
        <w:spacing w:line="320" w:lineRule="exact"/>
        <w:ind w:firstLine="420"/>
        <w:jc w:val="both"/>
        <w:rPr>
          <w:rFonts w:cs="Times New Roman"/>
          <w:szCs w:val="21"/>
        </w:rPr>
      </w:pPr>
      <w:r w:rsidRPr="006437FB">
        <w:rPr>
          <w:rFonts w:cs="Times New Roman"/>
          <w:szCs w:val="21"/>
        </w:rPr>
        <w:t>综合重要度排名前</w:t>
      </w:r>
      <w:r w:rsidRPr="006437FB">
        <w:rPr>
          <w:rFonts w:cs="Times New Roman"/>
          <w:szCs w:val="21"/>
        </w:rPr>
        <w:t>10</w:t>
      </w:r>
      <w:r w:rsidRPr="006437FB">
        <w:rPr>
          <w:rFonts w:cs="Times New Roman"/>
          <w:szCs w:val="21"/>
        </w:rPr>
        <w:t>的指标如表</w:t>
      </w:r>
      <w:r w:rsidR="007517D3" w:rsidRPr="006437FB">
        <w:rPr>
          <w:rFonts w:cs="Times New Roman"/>
          <w:szCs w:val="21"/>
        </w:rPr>
        <w:t>3</w:t>
      </w:r>
      <w:r w:rsidRPr="006437FB">
        <w:rPr>
          <w:rFonts w:cs="Times New Roman"/>
          <w:szCs w:val="21"/>
        </w:rPr>
        <w:t>所示。管理因素中，</w:t>
      </w:r>
      <w:r w:rsidRPr="006437FB">
        <w:rPr>
          <w:rFonts w:cs="Times New Roman"/>
          <w:szCs w:val="21"/>
        </w:rPr>
        <w:t>M2</w:t>
      </w:r>
      <w:r w:rsidRPr="006437FB">
        <w:rPr>
          <w:rFonts w:cs="Times New Roman"/>
          <w:szCs w:val="21"/>
        </w:rPr>
        <w:t>、</w:t>
      </w:r>
      <w:r w:rsidRPr="006437FB">
        <w:rPr>
          <w:rFonts w:cs="Times New Roman"/>
          <w:szCs w:val="21"/>
        </w:rPr>
        <w:t>M6</w:t>
      </w:r>
      <w:r w:rsidRPr="006437FB">
        <w:rPr>
          <w:rFonts w:cs="Times New Roman"/>
          <w:szCs w:val="21"/>
        </w:rPr>
        <w:t>、</w:t>
      </w:r>
      <w:r w:rsidRPr="006437FB">
        <w:rPr>
          <w:rFonts w:cs="Times New Roman"/>
          <w:szCs w:val="21"/>
        </w:rPr>
        <w:t>M3</w:t>
      </w:r>
      <w:r w:rsidRPr="006437FB">
        <w:rPr>
          <w:rFonts w:cs="Times New Roman"/>
          <w:szCs w:val="21"/>
        </w:rPr>
        <w:t>及</w:t>
      </w:r>
      <w:r w:rsidRPr="006437FB">
        <w:rPr>
          <w:rFonts w:cs="Times New Roman"/>
          <w:szCs w:val="21"/>
        </w:rPr>
        <w:t>M5</w:t>
      </w:r>
      <w:r w:rsidRPr="006437FB">
        <w:rPr>
          <w:rFonts w:cs="Times New Roman"/>
          <w:szCs w:val="21"/>
        </w:rPr>
        <w:t>进入前十，其中</w:t>
      </w:r>
      <w:r w:rsidRPr="006437FB">
        <w:rPr>
          <w:rFonts w:cs="Times New Roman"/>
          <w:szCs w:val="21"/>
        </w:rPr>
        <w:t>M2</w:t>
      </w:r>
      <w:r w:rsidRPr="006437FB">
        <w:rPr>
          <w:rFonts w:cs="Times New Roman"/>
          <w:szCs w:val="21"/>
        </w:rPr>
        <w:t>与</w:t>
      </w:r>
      <w:r w:rsidRPr="006437FB">
        <w:rPr>
          <w:rFonts w:cs="Times New Roman"/>
          <w:szCs w:val="21"/>
        </w:rPr>
        <w:t>M6</w:t>
      </w:r>
      <w:r w:rsidRPr="006437FB">
        <w:rPr>
          <w:rFonts w:cs="Times New Roman"/>
          <w:szCs w:val="21"/>
        </w:rPr>
        <w:t>分别位列第</w:t>
      </w:r>
      <w:r w:rsidRPr="006437FB">
        <w:rPr>
          <w:rFonts w:cs="Times New Roman"/>
          <w:szCs w:val="21"/>
        </w:rPr>
        <w:t>1</w:t>
      </w:r>
      <w:r w:rsidRPr="006437FB">
        <w:rPr>
          <w:rFonts w:cs="Times New Roman"/>
          <w:szCs w:val="21"/>
        </w:rPr>
        <w:t>、</w:t>
      </w:r>
      <w:r w:rsidRPr="006437FB">
        <w:rPr>
          <w:rFonts w:cs="Times New Roman"/>
          <w:szCs w:val="21"/>
        </w:rPr>
        <w:t>3</w:t>
      </w:r>
      <w:r w:rsidRPr="006437FB">
        <w:rPr>
          <w:rFonts w:cs="Times New Roman"/>
          <w:szCs w:val="21"/>
        </w:rPr>
        <w:t>位，体现出管理缺陷在风险传导中的根源性影响；设备因素方面，</w:t>
      </w:r>
      <w:r w:rsidRPr="006437FB">
        <w:rPr>
          <w:rFonts w:cs="Times New Roman"/>
          <w:szCs w:val="21"/>
        </w:rPr>
        <w:t>F3</w:t>
      </w:r>
      <w:r w:rsidRPr="006437FB">
        <w:rPr>
          <w:rFonts w:cs="Times New Roman"/>
          <w:szCs w:val="21"/>
        </w:rPr>
        <w:t>、</w:t>
      </w:r>
      <w:r w:rsidRPr="006437FB">
        <w:rPr>
          <w:rFonts w:cs="Times New Roman"/>
          <w:szCs w:val="21"/>
        </w:rPr>
        <w:t>F9</w:t>
      </w:r>
      <w:r w:rsidRPr="006437FB">
        <w:rPr>
          <w:rFonts w:cs="Times New Roman"/>
          <w:szCs w:val="21"/>
        </w:rPr>
        <w:t>、</w:t>
      </w:r>
      <w:r w:rsidRPr="006437FB">
        <w:rPr>
          <w:rFonts w:cs="Times New Roman"/>
          <w:szCs w:val="21"/>
        </w:rPr>
        <w:t>F14</w:t>
      </w:r>
      <w:r w:rsidRPr="006437FB">
        <w:rPr>
          <w:rFonts w:cs="Times New Roman"/>
          <w:szCs w:val="21"/>
        </w:rPr>
        <w:t>等</w:t>
      </w:r>
      <w:r w:rsidRPr="006437FB">
        <w:rPr>
          <w:rFonts w:cs="Times New Roman"/>
          <w:szCs w:val="21"/>
        </w:rPr>
        <w:t>5</w:t>
      </w:r>
      <w:r w:rsidRPr="006437FB">
        <w:rPr>
          <w:rFonts w:cs="Times New Roman"/>
          <w:szCs w:val="21"/>
        </w:rPr>
        <w:t>项指标位列前十，是风险传导的枢纽节点；环境因素中仅</w:t>
      </w:r>
      <w:r w:rsidRPr="006437FB">
        <w:rPr>
          <w:rFonts w:cs="Times New Roman"/>
          <w:szCs w:val="21"/>
        </w:rPr>
        <w:t>E4</w:t>
      </w:r>
      <w:r w:rsidRPr="006437FB">
        <w:rPr>
          <w:rFonts w:cs="Times New Roman"/>
          <w:szCs w:val="21"/>
        </w:rPr>
        <w:t>进入前十，是主要的风险传导触发因素。研究结果可为电力管廊风险防控优化提供支撑，未来应结合管廊运行实际通过管理、设备与环境的协同防控阻断风险传导，助力优化电力管廊风险防控策略。</w:t>
      </w:r>
    </w:p>
    <w:p w14:paraId="06277A2F" w14:textId="48B42DBE" w:rsidR="000B1599" w:rsidRPr="006437FB" w:rsidRDefault="00000000">
      <w:pPr>
        <w:keepNext/>
        <w:ind w:firstLineChars="0" w:firstLine="0"/>
        <w:jc w:val="center"/>
        <w:rPr>
          <w:rFonts w:cs="Times New Roman"/>
          <w:szCs w:val="21"/>
        </w:rPr>
      </w:pPr>
      <w:r w:rsidRPr="006437FB">
        <w:rPr>
          <w:rFonts w:cs="Times New Roman"/>
          <w:szCs w:val="21"/>
        </w:rPr>
        <w:t>表</w:t>
      </w:r>
      <w:r w:rsidR="007517D3" w:rsidRPr="006437FB">
        <w:rPr>
          <w:rFonts w:cs="Times New Roman"/>
          <w:szCs w:val="21"/>
        </w:rPr>
        <w:t>3</w:t>
      </w:r>
      <w:r w:rsidRPr="006437FB">
        <w:rPr>
          <w:rFonts w:cs="Times New Roman"/>
          <w:szCs w:val="21"/>
        </w:rPr>
        <w:t>：排名前</w:t>
      </w:r>
      <w:r w:rsidRPr="006437FB">
        <w:rPr>
          <w:rFonts w:cs="Times New Roman"/>
          <w:szCs w:val="21"/>
        </w:rPr>
        <w:t>10</w:t>
      </w:r>
      <w:r w:rsidRPr="006437FB">
        <w:rPr>
          <w:rFonts w:cs="Times New Roman"/>
          <w:szCs w:val="21"/>
        </w:rPr>
        <w:t>的风险因素清单</w:t>
      </w:r>
    </w:p>
    <w:tbl>
      <w:tblPr>
        <w:tblStyle w:val="aa"/>
        <w:tblW w:w="4996" w:type="pct"/>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6"/>
        <w:gridCol w:w="735"/>
        <w:gridCol w:w="814"/>
        <w:gridCol w:w="735"/>
        <w:gridCol w:w="735"/>
        <w:gridCol w:w="813"/>
      </w:tblGrid>
      <w:tr w:rsidR="000B1599" w:rsidRPr="006437FB" w14:paraId="35BDBF98" w14:textId="77777777">
        <w:trPr>
          <w:trHeight w:val="90"/>
          <w:jc w:val="center"/>
        </w:trPr>
        <w:tc>
          <w:tcPr>
            <w:tcW w:w="805" w:type="pct"/>
            <w:tcBorders>
              <w:top w:val="single" w:sz="4" w:space="0" w:color="auto"/>
              <w:bottom w:val="single" w:sz="4" w:space="0" w:color="auto"/>
            </w:tcBorders>
            <w:vAlign w:val="center"/>
          </w:tcPr>
          <w:p w14:paraId="33871532" w14:textId="77777777" w:rsidR="000B1599" w:rsidRPr="006437FB" w:rsidRDefault="00000000">
            <w:pPr>
              <w:ind w:firstLineChars="0" w:firstLine="0"/>
              <w:jc w:val="center"/>
              <w:rPr>
                <w:rFonts w:cs="Times New Roman"/>
                <w:szCs w:val="21"/>
              </w:rPr>
            </w:pPr>
            <w:r w:rsidRPr="006437FB">
              <w:rPr>
                <w:rFonts w:cs="Times New Roman"/>
                <w:szCs w:val="21"/>
              </w:rPr>
              <w:t>排名</w:t>
            </w:r>
          </w:p>
        </w:tc>
        <w:tc>
          <w:tcPr>
            <w:tcW w:w="805" w:type="pct"/>
            <w:tcBorders>
              <w:top w:val="single" w:sz="4" w:space="0" w:color="auto"/>
              <w:bottom w:val="single" w:sz="4" w:space="0" w:color="auto"/>
            </w:tcBorders>
            <w:vAlign w:val="center"/>
          </w:tcPr>
          <w:p w14:paraId="6044FAE0" w14:textId="77777777" w:rsidR="000B1599" w:rsidRPr="006437FB" w:rsidRDefault="00000000">
            <w:pPr>
              <w:ind w:firstLineChars="0" w:firstLine="0"/>
              <w:jc w:val="center"/>
              <w:rPr>
                <w:rFonts w:cs="Times New Roman"/>
                <w:szCs w:val="21"/>
              </w:rPr>
            </w:pPr>
            <w:r w:rsidRPr="006437FB">
              <w:rPr>
                <w:rFonts w:cs="Times New Roman"/>
                <w:szCs w:val="21"/>
              </w:rPr>
              <w:t>节点</w:t>
            </w:r>
          </w:p>
        </w:tc>
        <w:tc>
          <w:tcPr>
            <w:tcW w:w="891" w:type="pct"/>
            <w:tcBorders>
              <w:top w:val="single" w:sz="4" w:space="0" w:color="auto"/>
              <w:bottom w:val="single" w:sz="4" w:space="0" w:color="auto"/>
            </w:tcBorders>
            <w:vAlign w:val="center"/>
          </w:tcPr>
          <w:p w14:paraId="515949CD" w14:textId="77777777" w:rsidR="000B1599" w:rsidRPr="006437FB" w:rsidRDefault="00000000">
            <w:pPr>
              <w:widowControl/>
              <w:ind w:firstLineChars="0" w:firstLine="0"/>
              <w:jc w:val="center"/>
              <w:textAlignment w:val="center"/>
              <w:rPr>
                <w:rFonts w:cs="Times New Roman"/>
                <w:color w:val="000000"/>
                <w:kern w:val="0"/>
                <w:szCs w:val="21"/>
                <w:lang w:bidi="ar"/>
              </w:rPr>
            </w:pPr>
            <w:r w:rsidRPr="006437FB">
              <w:rPr>
                <w:rFonts w:cs="Times New Roman"/>
                <w:color w:val="000000"/>
                <w:kern w:val="0"/>
                <w:szCs w:val="21"/>
                <w:lang w:bidi="ar"/>
              </w:rPr>
              <w:t>D</w:t>
            </w:r>
          </w:p>
        </w:tc>
        <w:tc>
          <w:tcPr>
            <w:tcW w:w="804" w:type="pct"/>
            <w:tcBorders>
              <w:top w:val="single" w:sz="4" w:space="0" w:color="auto"/>
              <w:bottom w:val="single" w:sz="4" w:space="0" w:color="auto"/>
            </w:tcBorders>
            <w:vAlign w:val="center"/>
          </w:tcPr>
          <w:p w14:paraId="697122EC" w14:textId="77777777" w:rsidR="000B1599" w:rsidRPr="006437FB" w:rsidRDefault="00000000">
            <w:pPr>
              <w:ind w:firstLineChars="0" w:firstLine="0"/>
              <w:jc w:val="center"/>
              <w:rPr>
                <w:rFonts w:cs="Times New Roman"/>
                <w:szCs w:val="21"/>
              </w:rPr>
            </w:pPr>
            <w:r w:rsidRPr="006437FB">
              <w:rPr>
                <w:rFonts w:cs="Times New Roman"/>
                <w:szCs w:val="21"/>
              </w:rPr>
              <w:t>排名</w:t>
            </w:r>
          </w:p>
        </w:tc>
        <w:tc>
          <w:tcPr>
            <w:tcW w:w="805" w:type="pct"/>
            <w:tcBorders>
              <w:top w:val="single" w:sz="4" w:space="0" w:color="auto"/>
              <w:bottom w:val="single" w:sz="4" w:space="0" w:color="auto"/>
            </w:tcBorders>
            <w:vAlign w:val="center"/>
          </w:tcPr>
          <w:p w14:paraId="3455B5B1" w14:textId="77777777" w:rsidR="000B1599" w:rsidRPr="006437FB" w:rsidRDefault="00000000">
            <w:pPr>
              <w:widowControl/>
              <w:ind w:firstLineChars="0" w:firstLine="0"/>
              <w:jc w:val="center"/>
              <w:textAlignment w:val="center"/>
              <w:rPr>
                <w:rFonts w:cs="Times New Roman"/>
                <w:color w:val="000000"/>
                <w:kern w:val="0"/>
                <w:szCs w:val="21"/>
                <w:lang w:bidi="ar"/>
              </w:rPr>
            </w:pPr>
            <w:r w:rsidRPr="006437FB">
              <w:rPr>
                <w:rFonts w:cs="Times New Roman"/>
                <w:color w:val="000000"/>
                <w:kern w:val="0"/>
                <w:szCs w:val="21"/>
                <w:lang w:bidi="ar"/>
              </w:rPr>
              <w:t>节点</w:t>
            </w:r>
          </w:p>
        </w:tc>
        <w:tc>
          <w:tcPr>
            <w:tcW w:w="891" w:type="pct"/>
            <w:tcBorders>
              <w:top w:val="single" w:sz="4" w:space="0" w:color="auto"/>
              <w:bottom w:val="single" w:sz="4" w:space="0" w:color="auto"/>
            </w:tcBorders>
            <w:vAlign w:val="center"/>
          </w:tcPr>
          <w:p w14:paraId="572807BD" w14:textId="77777777" w:rsidR="000B1599" w:rsidRPr="006437FB" w:rsidRDefault="00000000">
            <w:pPr>
              <w:widowControl/>
              <w:ind w:firstLineChars="0" w:firstLine="0"/>
              <w:jc w:val="center"/>
              <w:textAlignment w:val="center"/>
              <w:rPr>
                <w:rFonts w:cs="Times New Roman"/>
                <w:color w:val="000000"/>
                <w:kern w:val="0"/>
                <w:szCs w:val="21"/>
                <w:lang w:bidi="ar"/>
              </w:rPr>
            </w:pPr>
            <w:r w:rsidRPr="006437FB">
              <w:rPr>
                <w:rFonts w:cs="Times New Roman"/>
                <w:color w:val="000000"/>
                <w:kern w:val="0"/>
                <w:szCs w:val="21"/>
                <w:lang w:bidi="ar"/>
              </w:rPr>
              <w:t>D</w:t>
            </w:r>
          </w:p>
        </w:tc>
      </w:tr>
      <w:tr w:rsidR="000B1599" w:rsidRPr="006437FB" w14:paraId="38BDAE9A" w14:textId="77777777">
        <w:trPr>
          <w:trHeight w:val="90"/>
          <w:jc w:val="center"/>
        </w:trPr>
        <w:tc>
          <w:tcPr>
            <w:tcW w:w="805" w:type="pct"/>
            <w:tcBorders>
              <w:top w:val="single" w:sz="4" w:space="0" w:color="auto"/>
            </w:tcBorders>
            <w:vAlign w:val="center"/>
          </w:tcPr>
          <w:p w14:paraId="4B6BED34" w14:textId="77777777" w:rsidR="000B1599" w:rsidRPr="006437FB" w:rsidRDefault="00000000">
            <w:pPr>
              <w:ind w:firstLineChars="0" w:firstLine="0"/>
              <w:jc w:val="center"/>
              <w:rPr>
                <w:rFonts w:cs="Times New Roman"/>
                <w:szCs w:val="21"/>
              </w:rPr>
            </w:pPr>
            <w:r w:rsidRPr="006437FB">
              <w:rPr>
                <w:rFonts w:cs="Times New Roman"/>
                <w:szCs w:val="21"/>
              </w:rPr>
              <w:t>1</w:t>
            </w:r>
          </w:p>
        </w:tc>
        <w:tc>
          <w:tcPr>
            <w:tcW w:w="805" w:type="pct"/>
            <w:tcBorders>
              <w:top w:val="single" w:sz="4" w:space="0" w:color="auto"/>
            </w:tcBorders>
            <w:vAlign w:val="center"/>
          </w:tcPr>
          <w:p w14:paraId="0677CC92" w14:textId="77777777" w:rsidR="000B1599" w:rsidRPr="006437FB" w:rsidRDefault="00000000">
            <w:pPr>
              <w:ind w:firstLineChars="0" w:firstLine="0"/>
              <w:jc w:val="center"/>
              <w:rPr>
                <w:rFonts w:cs="Times New Roman"/>
                <w:szCs w:val="21"/>
              </w:rPr>
            </w:pPr>
            <w:r w:rsidRPr="006437FB">
              <w:rPr>
                <w:rFonts w:cs="Times New Roman"/>
                <w:szCs w:val="21"/>
              </w:rPr>
              <w:t>M2</w:t>
            </w:r>
          </w:p>
        </w:tc>
        <w:tc>
          <w:tcPr>
            <w:tcW w:w="891" w:type="pct"/>
            <w:tcBorders>
              <w:top w:val="single" w:sz="4" w:space="0" w:color="auto"/>
            </w:tcBorders>
            <w:vAlign w:val="center"/>
          </w:tcPr>
          <w:p w14:paraId="3CEFA700" w14:textId="77777777" w:rsidR="000B1599" w:rsidRPr="006437FB" w:rsidRDefault="00000000">
            <w:pPr>
              <w:widowControl/>
              <w:ind w:firstLineChars="0" w:firstLine="0"/>
              <w:jc w:val="center"/>
              <w:textAlignment w:val="center"/>
              <w:rPr>
                <w:rFonts w:cs="Times New Roman"/>
                <w:szCs w:val="21"/>
              </w:rPr>
            </w:pPr>
            <w:r w:rsidRPr="006437FB">
              <w:rPr>
                <w:rFonts w:cs="Times New Roman"/>
                <w:color w:val="000000"/>
                <w:kern w:val="0"/>
                <w:szCs w:val="21"/>
                <w:lang w:bidi="ar"/>
              </w:rPr>
              <w:t>0.4450</w:t>
            </w:r>
          </w:p>
        </w:tc>
        <w:tc>
          <w:tcPr>
            <w:tcW w:w="804" w:type="pct"/>
            <w:tcBorders>
              <w:top w:val="single" w:sz="4" w:space="0" w:color="auto"/>
            </w:tcBorders>
            <w:vAlign w:val="center"/>
          </w:tcPr>
          <w:p w14:paraId="50E67A0C" w14:textId="77777777" w:rsidR="000B1599" w:rsidRPr="006437FB" w:rsidRDefault="00000000">
            <w:pPr>
              <w:ind w:firstLineChars="0" w:firstLine="0"/>
              <w:jc w:val="center"/>
              <w:rPr>
                <w:rFonts w:cs="Times New Roman"/>
                <w:szCs w:val="21"/>
              </w:rPr>
            </w:pPr>
            <w:r w:rsidRPr="006437FB">
              <w:rPr>
                <w:rFonts w:cs="Times New Roman"/>
                <w:szCs w:val="21"/>
              </w:rPr>
              <w:t>6</w:t>
            </w:r>
          </w:p>
        </w:tc>
        <w:tc>
          <w:tcPr>
            <w:tcW w:w="805" w:type="pct"/>
            <w:tcBorders>
              <w:top w:val="single" w:sz="4" w:space="0" w:color="auto"/>
            </w:tcBorders>
            <w:vAlign w:val="center"/>
          </w:tcPr>
          <w:p w14:paraId="34E51067" w14:textId="77777777" w:rsidR="000B1599" w:rsidRPr="006437FB" w:rsidRDefault="00000000">
            <w:pPr>
              <w:widowControl/>
              <w:ind w:firstLineChars="0" w:firstLine="0"/>
              <w:jc w:val="center"/>
              <w:textAlignment w:val="center"/>
              <w:rPr>
                <w:rFonts w:cs="Times New Roman"/>
                <w:szCs w:val="21"/>
              </w:rPr>
            </w:pPr>
            <w:r w:rsidRPr="006437FB">
              <w:rPr>
                <w:rFonts w:cs="Times New Roman"/>
                <w:color w:val="000000"/>
                <w:kern w:val="0"/>
                <w:szCs w:val="21"/>
                <w:lang w:bidi="ar"/>
              </w:rPr>
              <w:t>E4</w:t>
            </w:r>
          </w:p>
        </w:tc>
        <w:tc>
          <w:tcPr>
            <w:tcW w:w="891" w:type="pct"/>
            <w:tcBorders>
              <w:top w:val="single" w:sz="4" w:space="0" w:color="auto"/>
            </w:tcBorders>
            <w:vAlign w:val="center"/>
          </w:tcPr>
          <w:p w14:paraId="52B3046D" w14:textId="77777777" w:rsidR="000B1599" w:rsidRPr="006437FB" w:rsidRDefault="00000000">
            <w:pPr>
              <w:widowControl/>
              <w:ind w:firstLineChars="0" w:firstLine="0"/>
              <w:jc w:val="center"/>
              <w:textAlignment w:val="center"/>
              <w:rPr>
                <w:rFonts w:cs="Times New Roman"/>
                <w:szCs w:val="21"/>
              </w:rPr>
            </w:pPr>
            <w:r w:rsidRPr="006437FB">
              <w:rPr>
                <w:rFonts w:cs="Times New Roman"/>
                <w:color w:val="000000"/>
                <w:kern w:val="0"/>
                <w:szCs w:val="21"/>
                <w:lang w:bidi="ar"/>
              </w:rPr>
              <w:t>0.3745</w:t>
            </w:r>
          </w:p>
        </w:tc>
      </w:tr>
      <w:tr w:rsidR="000B1599" w:rsidRPr="006437FB" w14:paraId="5F0DCB22" w14:textId="77777777">
        <w:trPr>
          <w:jc w:val="center"/>
        </w:trPr>
        <w:tc>
          <w:tcPr>
            <w:tcW w:w="805" w:type="pct"/>
            <w:vAlign w:val="center"/>
          </w:tcPr>
          <w:p w14:paraId="5FE01E17" w14:textId="77777777" w:rsidR="000B1599" w:rsidRPr="006437FB" w:rsidRDefault="00000000">
            <w:pPr>
              <w:ind w:firstLineChars="0" w:firstLine="0"/>
              <w:jc w:val="center"/>
              <w:rPr>
                <w:rFonts w:cs="Times New Roman"/>
                <w:szCs w:val="21"/>
              </w:rPr>
            </w:pPr>
            <w:r w:rsidRPr="006437FB">
              <w:rPr>
                <w:rFonts w:cs="Times New Roman"/>
                <w:szCs w:val="21"/>
              </w:rPr>
              <w:t>2</w:t>
            </w:r>
          </w:p>
        </w:tc>
        <w:tc>
          <w:tcPr>
            <w:tcW w:w="805" w:type="pct"/>
            <w:vAlign w:val="center"/>
          </w:tcPr>
          <w:p w14:paraId="33EF3185" w14:textId="77777777" w:rsidR="000B1599" w:rsidRPr="006437FB" w:rsidRDefault="00000000">
            <w:pPr>
              <w:ind w:firstLineChars="0" w:firstLine="0"/>
              <w:jc w:val="center"/>
              <w:rPr>
                <w:rFonts w:cs="Times New Roman"/>
                <w:szCs w:val="21"/>
              </w:rPr>
            </w:pPr>
            <w:r w:rsidRPr="006437FB">
              <w:rPr>
                <w:rFonts w:cs="Times New Roman"/>
                <w:szCs w:val="21"/>
              </w:rPr>
              <w:t>F3</w:t>
            </w:r>
          </w:p>
        </w:tc>
        <w:tc>
          <w:tcPr>
            <w:tcW w:w="891" w:type="pct"/>
            <w:vAlign w:val="center"/>
          </w:tcPr>
          <w:p w14:paraId="7A4B9AFF" w14:textId="77777777" w:rsidR="000B1599" w:rsidRPr="006437FB" w:rsidRDefault="00000000">
            <w:pPr>
              <w:widowControl/>
              <w:ind w:firstLineChars="0" w:firstLine="0"/>
              <w:jc w:val="center"/>
              <w:textAlignment w:val="center"/>
              <w:rPr>
                <w:rFonts w:cs="Times New Roman"/>
                <w:szCs w:val="21"/>
              </w:rPr>
            </w:pPr>
            <w:r w:rsidRPr="006437FB">
              <w:rPr>
                <w:rFonts w:cs="Times New Roman"/>
                <w:color w:val="000000"/>
                <w:kern w:val="0"/>
                <w:szCs w:val="21"/>
                <w:lang w:bidi="ar"/>
              </w:rPr>
              <w:t>0.4021</w:t>
            </w:r>
          </w:p>
        </w:tc>
        <w:tc>
          <w:tcPr>
            <w:tcW w:w="804" w:type="pct"/>
            <w:vAlign w:val="center"/>
          </w:tcPr>
          <w:p w14:paraId="4186271E" w14:textId="77777777" w:rsidR="000B1599" w:rsidRPr="006437FB" w:rsidRDefault="00000000">
            <w:pPr>
              <w:ind w:firstLineChars="0" w:firstLine="0"/>
              <w:jc w:val="center"/>
              <w:rPr>
                <w:rFonts w:cs="Times New Roman"/>
                <w:szCs w:val="21"/>
              </w:rPr>
            </w:pPr>
            <w:r w:rsidRPr="006437FB">
              <w:rPr>
                <w:rFonts w:cs="Times New Roman"/>
                <w:szCs w:val="21"/>
              </w:rPr>
              <w:t>7</w:t>
            </w:r>
          </w:p>
        </w:tc>
        <w:tc>
          <w:tcPr>
            <w:tcW w:w="805" w:type="pct"/>
            <w:vAlign w:val="center"/>
          </w:tcPr>
          <w:p w14:paraId="529774C0" w14:textId="77777777" w:rsidR="000B1599" w:rsidRPr="006437FB" w:rsidRDefault="00000000">
            <w:pPr>
              <w:widowControl/>
              <w:ind w:firstLineChars="0" w:firstLine="0"/>
              <w:jc w:val="center"/>
              <w:textAlignment w:val="center"/>
              <w:rPr>
                <w:rFonts w:cs="Times New Roman"/>
                <w:szCs w:val="21"/>
              </w:rPr>
            </w:pPr>
            <w:r w:rsidRPr="006437FB">
              <w:rPr>
                <w:rFonts w:cs="Times New Roman"/>
                <w:color w:val="000000"/>
                <w:kern w:val="0"/>
                <w:szCs w:val="21"/>
                <w:lang w:bidi="ar"/>
              </w:rPr>
              <w:t>F14</w:t>
            </w:r>
          </w:p>
        </w:tc>
        <w:tc>
          <w:tcPr>
            <w:tcW w:w="891" w:type="pct"/>
            <w:vAlign w:val="center"/>
          </w:tcPr>
          <w:p w14:paraId="1766D533" w14:textId="77777777" w:rsidR="000B1599" w:rsidRPr="006437FB" w:rsidRDefault="00000000">
            <w:pPr>
              <w:widowControl/>
              <w:ind w:firstLineChars="0" w:firstLine="0"/>
              <w:jc w:val="center"/>
              <w:textAlignment w:val="center"/>
              <w:rPr>
                <w:rFonts w:cs="Times New Roman"/>
                <w:szCs w:val="21"/>
              </w:rPr>
            </w:pPr>
            <w:r w:rsidRPr="006437FB">
              <w:rPr>
                <w:rFonts w:cs="Times New Roman"/>
                <w:color w:val="000000"/>
                <w:kern w:val="0"/>
                <w:szCs w:val="21"/>
                <w:lang w:bidi="ar"/>
              </w:rPr>
              <w:t>0.2946</w:t>
            </w:r>
          </w:p>
        </w:tc>
      </w:tr>
      <w:tr w:rsidR="000B1599" w:rsidRPr="006437FB" w14:paraId="007920E2" w14:textId="77777777">
        <w:trPr>
          <w:trHeight w:val="90"/>
          <w:jc w:val="center"/>
        </w:trPr>
        <w:tc>
          <w:tcPr>
            <w:tcW w:w="805" w:type="pct"/>
            <w:vAlign w:val="center"/>
          </w:tcPr>
          <w:p w14:paraId="2F36CDBD" w14:textId="77777777" w:rsidR="000B1599" w:rsidRPr="006437FB" w:rsidRDefault="00000000">
            <w:pPr>
              <w:ind w:firstLineChars="0" w:firstLine="0"/>
              <w:jc w:val="center"/>
              <w:rPr>
                <w:rFonts w:cs="Times New Roman"/>
                <w:szCs w:val="21"/>
              </w:rPr>
            </w:pPr>
            <w:r w:rsidRPr="006437FB">
              <w:rPr>
                <w:rFonts w:cs="Times New Roman"/>
                <w:szCs w:val="21"/>
              </w:rPr>
              <w:t>3</w:t>
            </w:r>
          </w:p>
        </w:tc>
        <w:tc>
          <w:tcPr>
            <w:tcW w:w="805" w:type="pct"/>
            <w:vAlign w:val="center"/>
          </w:tcPr>
          <w:p w14:paraId="647FA533" w14:textId="77777777" w:rsidR="000B1599" w:rsidRPr="006437FB" w:rsidRDefault="00000000">
            <w:pPr>
              <w:ind w:firstLineChars="0" w:firstLine="0"/>
              <w:jc w:val="center"/>
              <w:rPr>
                <w:rFonts w:cs="Times New Roman"/>
                <w:szCs w:val="21"/>
              </w:rPr>
            </w:pPr>
            <w:r w:rsidRPr="006437FB">
              <w:rPr>
                <w:rFonts w:cs="Times New Roman"/>
                <w:szCs w:val="21"/>
              </w:rPr>
              <w:t>M6</w:t>
            </w:r>
          </w:p>
        </w:tc>
        <w:tc>
          <w:tcPr>
            <w:tcW w:w="891" w:type="pct"/>
            <w:vAlign w:val="center"/>
          </w:tcPr>
          <w:p w14:paraId="0FF171B1" w14:textId="77777777" w:rsidR="000B1599" w:rsidRPr="006437FB" w:rsidRDefault="00000000">
            <w:pPr>
              <w:widowControl/>
              <w:ind w:firstLineChars="0" w:firstLine="0"/>
              <w:jc w:val="center"/>
              <w:textAlignment w:val="center"/>
              <w:rPr>
                <w:rFonts w:cs="Times New Roman"/>
                <w:szCs w:val="21"/>
              </w:rPr>
            </w:pPr>
            <w:r w:rsidRPr="006437FB">
              <w:rPr>
                <w:rFonts w:cs="Times New Roman"/>
                <w:color w:val="000000"/>
                <w:kern w:val="0"/>
                <w:szCs w:val="21"/>
                <w:lang w:bidi="ar"/>
              </w:rPr>
              <w:t>0.3957</w:t>
            </w:r>
          </w:p>
        </w:tc>
        <w:tc>
          <w:tcPr>
            <w:tcW w:w="804" w:type="pct"/>
            <w:vAlign w:val="center"/>
          </w:tcPr>
          <w:p w14:paraId="3CA356D0" w14:textId="77777777" w:rsidR="000B1599" w:rsidRPr="006437FB" w:rsidRDefault="00000000">
            <w:pPr>
              <w:ind w:firstLineChars="0" w:firstLine="0"/>
              <w:jc w:val="center"/>
              <w:rPr>
                <w:rFonts w:cs="Times New Roman"/>
                <w:szCs w:val="21"/>
              </w:rPr>
            </w:pPr>
            <w:r w:rsidRPr="006437FB">
              <w:rPr>
                <w:rFonts w:cs="Times New Roman"/>
                <w:szCs w:val="21"/>
              </w:rPr>
              <w:t>8</w:t>
            </w:r>
          </w:p>
        </w:tc>
        <w:tc>
          <w:tcPr>
            <w:tcW w:w="805" w:type="pct"/>
            <w:vAlign w:val="center"/>
          </w:tcPr>
          <w:p w14:paraId="6146364A" w14:textId="77777777" w:rsidR="000B1599" w:rsidRPr="006437FB" w:rsidRDefault="00000000">
            <w:pPr>
              <w:widowControl/>
              <w:ind w:firstLineChars="0" w:firstLine="0"/>
              <w:jc w:val="center"/>
              <w:textAlignment w:val="center"/>
              <w:rPr>
                <w:rFonts w:cs="Times New Roman"/>
                <w:szCs w:val="21"/>
              </w:rPr>
            </w:pPr>
            <w:r w:rsidRPr="006437FB">
              <w:rPr>
                <w:rFonts w:cs="Times New Roman"/>
                <w:color w:val="000000"/>
                <w:kern w:val="0"/>
                <w:szCs w:val="21"/>
                <w:lang w:bidi="ar"/>
              </w:rPr>
              <w:t>F8</w:t>
            </w:r>
          </w:p>
        </w:tc>
        <w:tc>
          <w:tcPr>
            <w:tcW w:w="891" w:type="pct"/>
            <w:vAlign w:val="center"/>
          </w:tcPr>
          <w:p w14:paraId="5D9D8EB8" w14:textId="77777777" w:rsidR="000B1599" w:rsidRPr="006437FB" w:rsidRDefault="00000000">
            <w:pPr>
              <w:widowControl/>
              <w:ind w:firstLineChars="0" w:firstLine="0"/>
              <w:jc w:val="center"/>
              <w:textAlignment w:val="center"/>
              <w:rPr>
                <w:rFonts w:cs="Times New Roman"/>
                <w:szCs w:val="21"/>
              </w:rPr>
            </w:pPr>
            <w:r w:rsidRPr="006437FB">
              <w:rPr>
                <w:rFonts w:cs="Times New Roman"/>
                <w:color w:val="000000"/>
                <w:kern w:val="0"/>
                <w:szCs w:val="21"/>
                <w:lang w:bidi="ar"/>
              </w:rPr>
              <w:t>0.2855</w:t>
            </w:r>
          </w:p>
        </w:tc>
      </w:tr>
      <w:tr w:rsidR="000B1599" w:rsidRPr="006437FB" w14:paraId="2845C01F" w14:textId="77777777">
        <w:trPr>
          <w:jc w:val="center"/>
        </w:trPr>
        <w:tc>
          <w:tcPr>
            <w:tcW w:w="805" w:type="pct"/>
            <w:vAlign w:val="center"/>
          </w:tcPr>
          <w:p w14:paraId="41EF3121" w14:textId="77777777" w:rsidR="000B1599" w:rsidRPr="006437FB" w:rsidRDefault="00000000">
            <w:pPr>
              <w:ind w:firstLineChars="0" w:firstLine="0"/>
              <w:jc w:val="center"/>
              <w:rPr>
                <w:rFonts w:cs="Times New Roman"/>
                <w:szCs w:val="21"/>
              </w:rPr>
            </w:pPr>
            <w:r w:rsidRPr="006437FB">
              <w:rPr>
                <w:rFonts w:cs="Times New Roman"/>
                <w:szCs w:val="21"/>
              </w:rPr>
              <w:t>4</w:t>
            </w:r>
          </w:p>
        </w:tc>
        <w:tc>
          <w:tcPr>
            <w:tcW w:w="805" w:type="pct"/>
            <w:vAlign w:val="center"/>
          </w:tcPr>
          <w:p w14:paraId="103C8D38" w14:textId="77777777" w:rsidR="000B1599" w:rsidRPr="006437FB" w:rsidRDefault="00000000">
            <w:pPr>
              <w:ind w:firstLineChars="0" w:firstLine="0"/>
              <w:jc w:val="center"/>
              <w:rPr>
                <w:rFonts w:cs="Times New Roman"/>
                <w:szCs w:val="21"/>
              </w:rPr>
            </w:pPr>
            <w:r w:rsidRPr="006437FB">
              <w:rPr>
                <w:rFonts w:cs="Times New Roman"/>
                <w:szCs w:val="21"/>
              </w:rPr>
              <w:t>F9</w:t>
            </w:r>
          </w:p>
        </w:tc>
        <w:tc>
          <w:tcPr>
            <w:tcW w:w="891" w:type="pct"/>
            <w:vAlign w:val="center"/>
          </w:tcPr>
          <w:p w14:paraId="7E024E32" w14:textId="77777777" w:rsidR="000B1599" w:rsidRPr="006437FB" w:rsidRDefault="00000000">
            <w:pPr>
              <w:widowControl/>
              <w:ind w:firstLineChars="0" w:firstLine="0"/>
              <w:jc w:val="center"/>
              <w:textAlignment w:val="center"/>
              <w:rPr>
                <w:rFonts w:cs="Times New Roman"/>
                <w:szCs w:val="21"/>
              </w:rPr>
            </w:pPr>
            <w:r w:rsidRPr="006437FB">
              <w:rPr>
                <w:rFonts w:cs="Times New Roman"/>
                <w:color w:val="000000"/>
                <w:kern w:val="0"/>
                <w:szCs w:val="21"/>
                <w:lang w:bidi="ar"/>
              </w:rPr>
              <w:t>0.3820</w:t>
            </w:r>
          </w:p>
        </w:tc>
        <w:tc>
          <w:tcPr>
            <w:tcW w:w="804" w:type="pct"/>
            <w:vAlign w:val="center"/>
          </w:tcPr>
          <w:p w14:paraId="397EBE7D" w14:textId="77777777" w:rsidR="000B1599" w:rsidRPr="006437FB" w:rsidRDefault="00000000">
            <w:pPr>
              <w:ind w:firstLineChars="0" w:firstLine="0"/>
              <w:jc w:val="center"/>
              <w:rPr>
                <w:rFonts w:cs="Times New Roman"/>
                <w:szCs w:val="21"/>
              </w:rPr>
            </w:pPr>
            <w:r w:rsidRPr="006437FB">
              <w:rPr>
                <w:rFonts w:cs="Times New Roman"/>
                <w:szCs w:val="21"/>
              </w:rPr>
              <w:t>9</w:t>
            </w:r>
          </w:p>
        </w:tc>
        <w:tc>
          <w:tcPr>
            <w:tcW w:w="805" w:type="pct"/>
            <w:vAlign w:val="center"/>
          </w:tcPr>
          <w:p w14:paraId="4E5E91A8" w14:textId="77777777" w:rsidR="000B1599" w:rsidRPr="006437FB" w:rsidRDefault="00000000">
            <w:pPr>
              <w:widowControl/>
              <w:ind w:firstLineChars="0" w:firstLine="0"/>
              <w:jc w:val="center"/>
              <w:textAlignment w:val="center"/>
              <w:rPr>
                <w:rFonts w:cs="Times New Roman"/>
                <w:szCs w:val="21"/>
              </w:rPr>
            </w:pPr>
            <w:r w:rsidRPr="006437FB">
              <w:rPr>
                <w:rFonts w:cs="Times New Roman"/>
                <w:color w:val="000000"/>
                <w:kern w:val="0"/>
                <w:szCs w:val="21"/>
                <w:lang w:bidi="ar"/>
              </w:rPr>
              <w:t>F11</w:t>
            </w:r>
          </w:p>
        </w:tc>
        <w:tc>
          <w:tcPr>
            <w:tcW w:w="891" w:type="pct"/>
            <w:vAlign w:val="center"/>
          </w:tcPr>
          <w:p w14:paraId="1D06C87A" w14:textId="77777777" w:rsidR="000B1599" w:rsidRPr="006437FB" w:rsidRDefault="00000000">
            <w:pPr>
              <w:widowControl/>
              <w:ind w:firstLineChars="0" w:firstLine="0"/>
              <w:jc w:val="center"/>
              <w:textAlignment w:val="center"/>
              <w:rPr>
                <w:rFonts w:cs="Times New Roman"/>
                <w:szCs w:val="21"/>
              </w:rPr>
            </w:pPr>
            <w:r w:rsidRPr="006437FB">
              <w:rPr>
                <w:rFonts w:cs="Times New Roman"/>
                <w:color w:val="000000"/>
                <w:kern w:val="0"/>
                <w:szCs w:val="21"/>
                <w:lang w:bidi="ar"/>
              </w:rPr>
              <w:t>0.2726</w:t>
            </w:r>
          </w:p>
        </w:tc>
      </w:tr>
      <w:tr w:rsidR="000B1599" w:rsidRPr="006437FB" w14:paraId="7A9E4FF6" w14:textId="77777777">
        <w:trPr>
          <w:jc w:val="center"/>
        </w:trPr>
        <w:tc>
          <w:tcPr>
            <w:tcW w:w="805" w:type="pct"/>
            <w:vAlign w:val="center"/>
          </w:tcPr>
          <w:p w14:paraId="16E829E6" w14:textId="77777777" w:rsidR="000B1599" w:rsidRPr="006437FB" w:rsidRDefault="00000000">
            <w:pPr>
              <w:ind w:firstLineChars="0" w:firstLine="0"/>
              <w:jc w:val="center"/>
              <w:rPr>
                <w:rFonts w:cs="Times New Roman"/>
                <w:szCs w:val="21"/>
              </w:rPr>
            </w:pPr>
            <w:r w:rsidRPr="006437FB">
              <w:rPr>
                <w:rFonts w:cs="Times New Roman"/>
                <w:szCs w:val="21"/>
              </w:rPr>
              <w:t>5</w:t>
            </w:r>
          </w:p>
        </w:tc>
        <w:tc>
          <w:tcPr>
            <w:tcW w:w="805" w:type="pct"/>
            <w:vAlign w:val="center"/>
          </w:tcPr>
          <w:p w14:paraId="639C1EB7" w14:textId="77777777" w:rsidR="000B1599" w:rsidRPr="006437FB" w:rsidRDefault="00000000">
            <w:pPr>
              <w:ind w:firstLineChars="0" w:firstLine="0"/>
              <w:jc w:val="center"/>
              <w:rPr>
                <w:rFonts w:cs="Times New Roman"/>
                <w:szCs w:val="21"/>
              </w:rPr>
            </w:pPr>
            <w:r w:rsidRPr="006437FB">
              <w:rPr>
                <w:rFonts w:cs="Times New Roman"/>
                <w:szCs w:val="21"/>
              </w:rPr>
              <w:t>M3</w:t>
            </w:r>
          </w:p>
        </w:tc>
        <w:tc>
          <w:tcPr>
            <w:tcW w:w="891" w:type="pct"/>
            <w:vAlign w:val="center"/>
          </w:tcPr>
          <w:p w14:paraId="77533B3A" w14:textId="77777777" w:rsidR="000B1599" w:rsidRPr="006437FB" w:rsidRDefault="00000000">
            <w:pPr>
              <w:widowControl/>
              <w:ind w:firstLineChars="0" w:firstLine="0"/>
              <w:jc w:val="center"/>
              <w:textAlignment w:val="center"/>
              <w:rPr>
                <w:rFonts w:cs="Times New Roman"/>
                <w:szCs w:val="21"/>
              </w:rPr>
            </w:pPr>
            <w:r w:rsidRPr="006437FB">
              <w:rPr>
                <w:rFonts w:cs="Times New Roman"/>
                <w:color w:val="000000"/>
                <w:kern w:val="0"/>
                <w:szCs w:val="21"/>
                <w:lang w:bidi="ar"/>
              </w:rPr>
              <w:t>0.3789</w:t>
            </w:r>
          </w:p>
        </w:tc>
        <w:tc>
          <w:tcPr>
            <w:tcW w:w="804" w:type="pct"/>
            <w:vAlign w:val="center"/>
          </w:tcPr>
          <w:p w14:paraId="4F141DB9" w14:textId="77777777" w:rsidR="000B1599" w:rsidRPr="006437FB" w:rsidRDefault="00000000">
            <w:pPr>
              <w:ind w:firstLineChars="0" w:firstLine="0"/>
              <w:jc w:val="center"/>
              <w:rPr>
                <w:rFonts w:cs="Times New Roman"/>
                <w:szCs w:val="21"/>
              </w:rPr>
            </w:pPr>
            <w:r w:rsidRPr="006437FB">
              <w:rPr>
                <w:rFonts w:cs="Times New Roman"/>
                <w:szCs w:val="21"/>
              </w:rPr>
              <w:t>10</w:t>
            </w:r>
          </w:p>
        </w:tc>
        <w:tc>
          <w:tcPr>
            <w:tcW w:w="805" w:type="pct"/>
            <w:vAlign w:val="center"/>
          </w:tcPr>
          <w:p w14:paraId="51C53393" w14:textId="77777777" w:rsidR="000B1599" w:rsidRPr="006437FB" w:rsidRDefault="00000000">
            <w:pPr>
              <w:widowControl/>
              <w:ind w:firstLineChars="0" w:firstLine="0"/>
              <w:jc w:val="center"/>
              <w:textAlignment w:val="center"/>
              <w:rPr>
                <w:rFonts w:cs="Times New Roman"/>
                <w:szCs w:val="21"/>
              </w:rPr>
            </w:pPr>
            <w:r w:rsidRPr="006437FB">
              <w:rPr>
                <w:rFonts w:cs="Times New Roman"/>
                <w:color w:val="000000"/>
                <w:kern w:val="0"/>
                <w:szCs w:val="21"/>
                <w:lang w:bidi="ar"/>
              </w:rPr>
              <w:t>M5</w:t>
            </w:r>
          </w:p>
        </w:tc>
        <w:tc>
          <w:tcPr>
            <w:tcW w:w="891" w:type="pct"/>
            <w:vAlign w:val="center"/>
          </w:tcPr>
          <w:p w14:paraId="1558616D" w14:textId="77777777" w:rsidR="000B1599" w:rsidRPr="006437FB" w:rsidRDefault="00000000">
            <w:pPr>
              <w:widowControl/>
              <w:ind w:firstLineChars="0" w:firstLine="0"/>
              <w:jc w:val="center"/>
              <w:textAlignment w:val="center"/>
              <w:rPr>
                <w:rFonts w:cs="Times New Roman"/>
                <w:szCs w:val="21"/>
              </w:rPr>
            </w:pPr>
            <w:r w:rsidRPr="006437FB">
              <w:rPr>
                <w:rFonts w:cs="Times New Roman"/>
                <w:color w:val="000000"/>
                <w:kern w:val="0"/>
                <w:szCs w:val="21"/>
                <w:lang w:bidi="ar"/>
              </w:rPr>
              <w:t>0.2719</w:t>
            </w:r>
          </w:p>
        </w:tc>
      </w:tr>
    </w:tbl>
    <w:p w14:paraId="266E8781" w14:textId="77777777" w:rsidR="000B1599" w:rsidRPr="006437FB" w:rsidRDefault="00000000">
      <w:pPr>
        <w:keepNext/>
        <w:widowControl/>
        <w:spacing w:line="240" w:lineRule="atLeast"/>
        <w:ind w:firstLineChars="0" w:firstLine="0"/>
        <w:jc w:val="both"/>
        <w:outlineLvl w:val="0"/>
        <w:rPr>
          <w:rFonts w:cs="Times New Roman"/>
          <w:b/>
          <w:bCs/>
          <w:kern w:val="0"/>
          <w:sz w:val="24"/>
        </w:rPr>
      </w:pPr>
      <w:r w:rsidRPr="006437FB">
        <w:rPr>
          <w:rFonts w:cs="Times New Roman"/>
          <w:b/>
          <w:bCs/>
          <w:kern w:val="0"/>
          <w:sz w:val="24"/>
        </w:rPr>
        <w:t>3</w:t>
      </w:r>
      <w:r w:rsidRPr="006437FB">
        <w:rPr>
          <w:rFonts w:cs="Times New Roman"/>
          <w:b/>
          <w:bCs/>
          <w:kern w:val="0"/>
          <w:sz w:val="24"/>
        </w:rPr>
        <w:t>多场景电力管廊风险动态传导分析</w:t>
      </w:r>
    </w:p>
    <w:p w14:paraId="79513282" w14:textId="77777777" w:rsidR="000B1599" w:rsidRPr="006437FB" w:rsidRDefault="00000000">
      <w:pPr>
        <w:ind w:firstLine="420"/>
        <w:jc w:val="both"/>
        <w:rPr>
          <w:rFonts w:cs="Times New Roman"/>
          <w:szCs w:val="21"/>
        </w:rPr>
      </w:pPr>
      <w:r w:rsidRPr="006437FB">
        <w:rPr>
          <w:rFonts w:cs="Times New Roman"/>
          <w:szCs w:val="21"/>
        </w:rPr>
        <w:t>本章以上文所构建电力管廊风险传导复杂网络为基础，结合传染病模型提出</w:t>
      </w:r>
      <w:r w:rsidRPr="006437FB">
        <w:rPr>
          <w:rFonts w:cs="Times New Roman"/>
          <w:szCs w:val="21"/>
        </w:rPr>
        <w:t>SEIRS-C</w:t>
      </w:r>
      <w:r w:rsidRPr="006437FB">
        <w:rPr>
          <w:rFonts w:cs="Times New Roman"/>
          <w:szCs w:val="21"/>
        </w:rPr>
        <w:t>模型，开展了不同初始触发节点、不同整体风险水平特征及不同风险响应度多场景模拟与分析，通过分析多场景下风险传导的差异化规律，精准识别风险防控关键环节，为制定针对性的风险防控优化策略提供科学依据。</w:t>
      </w:r>
    </w:p>
    <w:p w14:paraId="3B0B8C7A" w14:textId="77777777" w:rsidR="000B1599" w:rsidRPr="006437FB" w:rsidRDefault="00000000">
      <w:pPr>
        <w:keepNext/>
        <w:widowControl/>
        <w:spacing w:line="240" w:lineRule="atLeast"/>
        <w:ind w:firstLineChars="0" w:firstLine="0"/>
        <w:jc w:val="both"/>
        <w:outlineLvl w:val="1"/>
        <w:rPr>
          <w:rFonts w:cs="Times New Roman"/>
          <w:b/>
          <w:kern w:val="0"/>
          <w:szCs w:val="21"/>
        </w:rPr>
      </w:pPr>
      <w:r w:rsidRPr="006437FB">
        <w:rPr>
          <w:rFonts w:cs="Times New Roman"/>
          <w:b/>
          <w:kern w:val="0"/>
          <w:szCs w:val="21"/>
        </w:rPr>
        <w:t>3.1</w:t>
      </w:r>
      <w:r w:rsidRPr="006437FB">
        <w:rPr>
          <w:rFonts w:cs="Times New Roman"/>
          <w:b/>
          <w:kern w:val="0"/>
          <w:szCs w:val="21"/>
        </w:rPr>
        <w:t>电力管廊动态风险传导模型构建</w:t>
      </w:r>
    </w:p>
    <w:p w14:paraId="451909D9" w14:textId="77777777" w:rsidR="000B1599" w:rsidRPr="006437FB" w:rsidRDefault="00000000">
      <w:pPr>
        <w:ind w:firstLine="420"/>
        <w:jc w:val="both"/>
        <w:rPr>
          <w:rFonts w:cs="Times New Roman"/>
          <w:szCs w:val="21"/>
        </w:rPr>
      </w:pPr>
      <w:r w:rsidRPr="006437FB">
        <w:rPr>
          <w:rFonts w:cs="Times New Roman"/>
          <w:szCs w:val="21"/>
        </w:rPr>
        <w:t>为刻画电力管廊风险累积和防护失效效应，本文基于</w:t>
      </w:r>
      <w:r w:rsidRPr="006437FB">
        <w:rPr>
          <w:rFonts w:cs="Times New Roman"/>
          <w:szCs w:val="21"/>
        </w:rPr>
        <w:t>SEIRS</w:t>
      </w:r>
      <w:r w:rsidRPr="006437FB">
        <w:rPr>
          <w:rFonts w:cs="Times New Roman"/>
          <w:szCs w:val="21"/>
        </w:rPr>
        <w:t>传染病模型，同时引入控制（</w:t>
      </w:r>
      <w:r w:rsidRPr="006437FB">
        <w:rPr>
          <w:rFonts w:cs="Times New Roman"/>
          <w:szCs w:val="21"/>
        </w:rPr>
        <w:t>Controlled, C</w:t>
      </w:r>
      <w:r w:rsidRPr="006437FB">
        <w:rPr>
          <w:rFonts w:cs="Times New Roman"/>
          <w:szCs w:val="21"/>
        </w:rPr>
        <w:t>）状态以显式表征主动控制措施，构建了</w:t>
      </w:r>
      <w:r w:rsidRPr="006437FB">
        <w:rPr>
          <w:rFonts w:cs="Times New Roman"/>
          <w:szCs w:val="21"/>
        </w:rPr>
        <w:t>SEIRS-C</w:t>
      </w:r>
      <w:r w:rsidRPr="006437FB">
        <w:rPr>
          <w:rFonts w:cs="Times New Roman"/>
          <w:szCs w:val="21"/>
        </w:rPr>
        <w:t>模型，从而更贴合实际地模拟风险传导与控制过程</w:t>
      </w:r>
      <w:r w:rsidRPr="006437FB">
        <w:rPr>
          <w:rFonts w:cs="Times New Roman"/>
          <w:szCs w:val="21"/>
          <w:vertAlign w:val="superscript"/>
        </w:rPr>
        <w:t>[23]</w:t>
      </w:r>
      <w:r w:rsidRPr="006437FB">
        <w:rPr>
          <w:rFonts w:cs="Times New Roman"/>
          <w:szCs w:val="21"/>
        </w:rPr>
        <w:t>，助力电力管廊风险防控策略优化。</w:t>
      </w:r>
    </w:p>
    <w:p w14:paraId="6C9BA864" w14:textId="77777777" w:rsidR="000B1599" w:rsidRPr="006437FB" w:rsidRDefault="00000000">
      <w:pPr>
        <w:keepNext/>
        <w:ind w:firstLineChars="0" w:firstLine="0"/>
        <w:jc w:val="center"/>
        <w:rPr>
          <w:rFonts w:cs="Times New Roman"/>
          <w:szCs w:val="21"/>
        </w:rPr>
      </w:pPr>
      <w:r w:rsidRPr="006437FB">
        <w:rPr>
          <w:rFonts w:cs="Times New Roman"/>
          <w:szCs w:val="21"/>
        </w:rPr>
        <w:object w:dxaOrig="4160" w:dyaOrig="2250" w14:anchorId="42966FEB">
          <v:shape id="_x0000_i1081" type="#_x0000_t75" style="width:207.75pt;height:112.5pt" o:ole="">
            <v:imagedata r:id="rId127" o:title="" cropright="4785f"/>
            <o:lock v:ext="edit" aspectratio="f"/>
          </v:shape>
          <o:OLEObject Type="Embed" ProgID="Visio.Drawing.15" ShapeID="_x0000_i1081" DrawAspect="Content" ObjectID="_1845028544" r:id="rId128"/>
        </w:object>
      </w:r>
    </w:p>
    <w:p w14:paraId="2A97E703" w14:textId="77777777" w:rsidR="000B1599" w:rsidRPr="006437FB" w:rsidRDefault="00000000">
      <w:pPr>
        <w:ind w:firstLineChars="0" w:firstLine="0"/>
        <w:jc w:val="center"/>
        <w:rPr>
          <w:rFonts w:cs="Times New Roman"/>
          <w:szCs w:val="21"/>
        </w:rPr>
      </w:pPr>
      <w:r w:rsidRPr="006437FB">
        <w:rPr>
          <w:rFonts w:cs="Times New Roman"/>
          <w:szCs w:val="21"/>
        </w:rPr>
        <w:t>图</w:t>
      </w:r>
      <w:r w:rsidRPr="006437FB">
        <w:rPr>
          <w:rFonts w:cs="Times New Roman"/>
          <w:szCs w:val="21"/>
        </w:rPr>
        <w:t>6</w:t>
      </w:r>
      <w:r w:rsidRPr="006437FB">
        <w:rPr>
          <w:rFonts w:cs="Times New Roman"/>
          <w:szCs w:val="21"/>
        </w:rPr>
        <w:t>：状态转移规则示意图</w:t>
      </w:r>
    </w:p>
    <w:p w14:paraId="20861A1C" w14:textId="77777777" w:rsidR="000B1599" w:rsidRPr="006437FB" w:rsidRDefault="00000000">
      <w:pPr>
        <w:spacing w:line="320" w:lineRule="exact"/>
        <w:ind w:firstLine="420"/>
        <w:jc w:val="both"/>
        <w:rPr>
          <w:rFonts w:cs="Times New Roman"/>
          <w:szCs w:val="21"/>
        </w:rPr>
      </w:pPr>
      <w:r w:rsidRPr="006437FB">
        <w:rPr>
          <w:rFonts w:cs="Times New Roman"/>
          <w:szCs w:val="21"/>
        </w:rPr>
        <w:t>本文耦合网络拓扑特性、整体风险水平特征与风险响应度影响，设置</w:t>
      </w:r>
      <w:r w:rsidRPr="006437FB">
        <w:rPr>
          <w:rFonts w:cs="Times New Roman"/>
          <w:szCs w:val="21"/>
        </w:rPr>
        <w:t>SEIRS-C</w:t>
      </w:r>
      <w:r w:rsidRPr="006437FB">
        <w:rPr>
          <w:rFonts w:cs="Times New Roman"/>
          <w:szCs w:val="21"/>
        </w:rPr>
        <w:t>模型参数。</w:t>
      </w:r>
      <w:r w:rsidRPr="006437FB">
        <w:rPr>
          <w:rFonts w:cs="Times New Roman"/>
          <w:szCs w:val="21"/>
        </w:rPr>
        <w:t>S→E</w:t>
      </w:r>
      <w:r w:rsidRPr="006437FB">
        <w:rPr>
          <w:rFonts w:cs="Times New Roman"/>
          <w:szCs w:val="21"/>
        </w:rPr>
        <w:t>风险暴露概率</w:t>
      </w:r>
      <w:r w:rsidRPr="006437FB">
        <w:rPr>
          <w:rFonts w:cs="Times New Roman"/>
          <w:position w:val="-6"/>
        </w:rPr>
        <w:object w:dxaOrig="220" w:dyaOrig="200" w14:anchorId="2050560D">
          <v:shape id="_x0000_i1082" type="#_x0000_t75" style="width:11.25pt;height:9.75pt" o:ole="">
            <v:imagedata r:id="rId129" o:title=""/>
          </v:shape>
          <o:OLEObject Type="Embed" ProgID="Equation.DSMT4" ShapeID="_x0000_i1082" DrawAspect="Content" ObjectID="_1845028545" r:id="rId130"/>
        </w:object>
      </w:r>
      <w:r w:rsidRPr="006437FB">
        <w:rPr>
          <w:rFonts w:cs="Times New Roman"/>
          <w:szCs w:val="21"/>
        </w:rPr>
        <w:t>由复杂网络边权重决定；</w:t>
      </w:r>
      <w:r w:rsidRPr="006437FB">
        <w:rPr>
          <w:rFonts w:cs="Times New Roman"/>
          <w:szCs w:val="21"/>
        </w:rPr>
        <w:t>E→I</w:t>
      </w:r>
      <w:r w:rsidRPr="006437FB">
        <w:rPr>
          <w:rFonts w:cs="Times New Roman"/>
          <w:szCs w:val="21"/>
        </w:rPr>
        <w:t>风险激活概率</w:t>
      </w:r>
      <w:r w:rsidRPr="006437FB">
        <w:rPr>
          <w:rFonts w:cs="Times New Roman"/>
          <w:position w:val="-10"/>
        </w:rPr>
        <w:object w:dxaOrig="220" w:dyaOrig="300" w14:anchorId="4501F5BB">
          <v:shape id="_x0000_i1083" type="#_x0000_t75" style="width:11.25pt;height:15pt" o:ole="">
            <v:imagedata r:id="rId131" o:title=""/>
          </v:shape>
          <o:OLEObject Type="Embed" ProgID="Equation.DSMT4" ShapeID="_x0000_i1083" DrawAspect="Content" ObjectID="_1845028546" r:id="rId132"/>
        </w:object>
      </w:r>
      <w:r w:rsidRPr="006437FB">
        <w:rPr>
          <w:rFonts w:cs="Times New Roman"/>
          <w:szCs w:val="21"/>
        </w:rPr>
        <w:t>由节点权重决定；整体风险传导参数</w:t>
      </w:r>
      <w:r w:rsidRPr="006437FB">
        <w:rPr>
          <w:rFonts w:cs="Times New Roman"/>
          <w:position w:val="-6"/>
        </w:rPr>
        <w:object w:dxaOrig="180" w:dyaOrig="260" w14:anchorId="773CEBEF">
          <v:shape id="_x0000_i1084" type="#_x0000_t75" style="width:9pt;height:12.75pt" o:ole="">
            <v:imagedata r:id="rId133" o:title=""/>
          </v:shape>
          <o:OLEObject Type="Embed" ProgID="Equation.DSMT4" ShapeID="_x0000_i1084" DrawAspect="Content" ObjectID="_1845028547" r:id="rId134"/>
        </w:object>
      </w:r>
      <w:r w:rsidRPr="006437FB">
        <w:rPr>
          <w:rFonts w:cs="Times New Roman"/>
        </w:rPr>
        <w:t>（</w:t>
      </w:r>
      <w:r w:rsidRPr="006437FB">
        <w:rPr>
          <w:rFonts w:cs="Times New Roman"/>
          <w:position w:val="-6"/>
        </w:rPr>
        <w:object w:dxaOrig="180" w:dyaOrig="260" w14:anchorId="77342A54">
          <v:shape id="_x0000_i1085" type="#_x0000_t75" style="width:9pt;height:12.75pt" o:ole="">
            <v:imagedata r:id="rId133" o:title=""/>
          </v:shape>
          <o:OLEObject Type="Embed" ProgID="Equation.DSMT4" ShapeID="_x0000_i1085" DrawAspect="Content" ObjectID="_1845028548" r:id="rId135"/>
        </w:object>
      </w:r>
      <w:r w:rsidRPr="006437FB">
        <w:rPr>
          <w:rFonts w:cs="Times New Roman"/>
        </w:rPr>
        <w:t>值在</w:t>
      </w:r>
      <w:r w:rsidRPr="006437FB">
        <w:rPr>
          <w:rFonts w:cs="Times New Roman"/>
        </w:rPr>
        <w:t>0-1</w:t>
      </w:r>
      <w:r w:rsidRPr="006437FB">
        <w:rPr>
          <w:rFonts w:cs="Times New Roman"/>
        </w:rPr>
        <w:t>范围内，可取</w:t>
      </w:r>
      <w:r w:rsidRPr="006437FB">
        <w:rPr>
          <w:rFonts w:cs="Times New Roman"/>
        </w:rPr>
        <w:t>1</w:t>
      </w:r>
      <w:r w:rsidRPr="006437FB">
        <w:rPr>
          <w:rFonts w:cs="Times New Roman"/>
        </w:rPr>
        <w:t>）</w:t>
      </w:r>
      <w:r w:rsidRPr="006437FB">
        <w:rPr>
          <w:rFonts w:cs="Times New Roman"/>
          <w:szCs w:val="21"/>
        </w:rPr>
        <w:t>通过统一缩放</w:t>
      </w:r>
      <w:r w:rsidRPr="006437FB">
        <w:rPr>
          <w:rFonts w:cs="Times New Roman"/>
        </w:rPr>
        <w:t>网络边权重和节点权重</w:t>
      </w:r>
      <w:r w:rsidRPr="006437FB">
        <w:rPr>
          <w:rFonts w:cs="Times New Roman"/>
          <w:szCs w:val="21"/>
        </w:rPr>
        <w:t>，适配不同场景下的整体风险水平（高风险环境取较大</w:t>
      </w:r>
      <w:r w:rsidRPr="006437FB">
        <w:rPr>
          <w:rFonts w:cs="Times New Roman"/>
          <w:position w:val="-6"/>
        </w:rPr>
        <w:object w:dxaOrig="180" w:dyaOrig="270" w14:anchorId="2748D81F">
          <v:shape id="_x0000_i1086" type="#_x0000_t75" style="width:9pt;height:13.5pt" o:ole="">
            <v:imagedata r:id="rId136" o:title=""/>
          </v:shape>
          <o:OLEObject Type="Embed" ProgID="Equation.DSMT4" ShapeID="_x0000_i1086" DrawAspect="Content" ObjectID="_1845028549" r:id="rId137"/>
        </w:object>
      </w:r>
      <w:r w:rsidRPr="006437FB">
        <w:rPr>
          <w:rFonts w:cs="Times New Roman"/>
          <w:szCs w:val="21"/>
        </w:rPr>
        <w:t>值）；</w:t>
      </w:r>
      <w:r w:rsidRPr="006437FB">
        <w:rPr>
          <w:rFonts w:cs="Times New Roman"/>
          <w:position w:val="-10"/>
        </w:rPr>
        <w:object w:dxaOrig="200" w:dyaOrig="240" w14:anchorId="3097DDA0">
          <v:shape id="_x0000_i1087" type="#_x0000_t75" style="width:9.75pt;height:12pt" o:ole="">
            <v:imagedata r:id="rId138" o:title=""/>
          </v:shape>
          <o:OLEObject Type="Embed" ProgID="Equation.DSMT4" ShapeID="_x0000_i1087" DrawAspect="Content" ObjectID="_1845028550" r:id="rId139"/>
        </w:object>
      </w:r>
      <w:r w:rsidRPr="006437FB">
        <w:rPr>
          <w:rFonts w:cs="Times New Roman"/>
        </w:rPr>
        <w:t>和</w:t>
      </w:r>
      <w:r w:rsidRPr="006437FB">
        <w:rPr>
          <w:rFonts w:cs="Times New Roman"/>
          <w:position w:val="-10"/>
        </w:rPr>
        <w:object w:dxaOrig="220" w:dyaOrig="240" w14:anchorId="4D1E1E16">
          <v:shape id="_x0000_i1088" type="#_x0000_t75" style="width:11.25pt;height:12pt" o:ole="">
            <v:imagedata r:id="rId140" o:title=""/>
          </v:shape>
          <o:OLEObject Type="Embed" ProgID="Equation.DSMT4" ShapeID="_x0000_i1088" DrawAspect="Content" ObjectID="_1845028551" r:id="rId141"/>
        </w:object>
      </w:r>
      <w:r w:rsidRPr="006437FB">
        <w:rPr>
          <w:rFonts w:cs="Times New Roman"/>
          <w:szCs w:val="21"/>
        </w:rPr>
        <w:t>分别为受控概率和防护失效概率</w:t>
      </w:r>
      <w:r w:rsidRPr="006437FB">
        <w:rPr>
          <w:rFonts w:cs="Times New Roman"/>
        </w:rPr>
        <w:t>。</w:t>
      </w:r>
      <w:r w:rsidRPr="006437FB">
        <w:rPr>
          <w:rFonts w:cs="Times New Roman"/>
          <w:szCs w:val="21"/>
        </w:rPr>
        <w:t>风险响应度</w:t>
      </w:r>
      <w:r w:rsidRPr="006437FB">
        <w:rPr>
          <w:rFonts w:cs="Times New Roman"/>
          <w:position w:val="-10"/>
        </w:rPr>
        <w:object w:dxaOrig="1020" w:dyaOrig="310" w14:anchorId="17751F77">
          <v:shape id="_x0000_i1089" type="#_x0000_t75" style="width:51pt;height:15.75pt" o:ole="">
            <v:imagedata r:id="rId142" o:title=""/>
          </v:shape>
          <o:OLEObject Type="Embed" ProgID="Equation.DSMT4" ShapeID="_x0000_i1089" DrawAspect="Content" ObjectID="_1845028552" r:id="rId143"/>
        </w:object>
      </w:r>
      <w:r w:rsidRPr="006437FB">
        <w:rPr>
          <w:rFonts w:cs="Times New Roman"/>
          <w:szCs w:val="21"/>
        </w:rPr>
        <w:t>，是衡量组织或系统针对电力管廊已识别风险采取应对措施的充分性、及时性和有效性的综合性指标，风险响应度越高，控制措施效果越显著。具体状态转移规则如图</w:t>
      </w:r>
      <w:r w:rsidRPr="006437FB">
        <w:rPr>
          <w:rFonts w:cs="Times New Roman"/>
          <w:szCs w:val="21"/>
        </w:rPr>
        <w:t>6</w:t>
      </w:r>
      <w:r w:rsidRPr="006437FB">
        <w:rPr>
          <w:rFonts w:cs="Times New Roman"/>
          <w:szCs w:val="21"/>
        </w:rPr>
        <w:t>所示。</w:t>
      </w:r>
    </w:p>
    <w:p w14:paraId="53A46A9B" w14:textId="77777777" w:rsidR="000B1599" w:rsidRPr="006437FB" w:rsidRDefault="00000000">
      <w:pPr>
        <w:ind w:firstLine="420"/>
        <w:jc w:val="both"/>
        <w:rPr>
          <w:rFonts w:cs="Times New Roman"/>
          <w:szCs w:val="21"/>
        </w:rPr>
      </w:pPr>
      <w:r w:rsidRPr="006437FB">
        <w:rPr>
          <w:rFonts w:cs="Times New Roman"/>
          <w:szCs w:val="21"/>
        </w:rPr>
        <w:t>电力管廊风险传导复杂网络基于</w:t>
      </w:r>
      <w:r w:rsidRPr="006437FB">
        <w:rPr>
          <w:rFonts w:cs="Times New Roman"/>
          <w:szCs w:val="21"/>
        </w:rPr>
        <w:t>SEIRS-C</w:t>
      </w:r>
      <w:r w:rsidRPr="006437FB">
        <w:rPr>
          <w:rFonts w:cs="Times New Roman"/>
          <w:szCs w:val="21"/>
        </w:rPr>
        <w:t>模型的风险传导动力学公式如下</w:t>
      </w:r>
      <w:r w:rsidRPr="006437FB">
        <w:rPr>
          <w:rFonts w:cs="Times New Roman"/>
          <w:szCs w:val="21"/>
        </w:rPr>
        <w:t>(10)-(14)</w:t>
      </w:r>
      <w:r w:rsidRPr="006437FB">
        <w:rPr>
          <w:rFonts w:cs="Times New Roman"/>
          <w:szCs w:val="21"/>
        </w:rPr>
        <w:t>所示</w:t>
      </w:r>
      <w:r w:rsidRPr="006437FB">
        <w:rPr>
          <w:rFonts w:cs="Times New Roman"/>
          <w:szCs w:val="21"/>
          <w:vertAlign w:val="superscript"/>
        </w:rPr>
        <w:t>[24]</w:t>
      </w:r>
      <w:r w:rsidRPr="006437FB">
        <w:rPr>
          <w:rFonts w:cs="Times New Roman"/>
          <w:szCs w:val="21"/>
        </w:rPr>
        <w:t>。</w:t>
      </w:r>
    </w:p>
    <w:p w14:paraId="659A8C41" w14:textId="77777777" w:rsidR="000B1599" w:rsidRPr="006437FB" w:rsidRDefault="00000000">
      <w:pPr>
        <w:ind w:firstLineChars="0" w:firstLine="0"/>
        <w:jc w:val="right"/>
        <w:rPr>
          <w:rFonts w:cs="Times New Roman"/>
          <w:position w:val="-10"/>
          <w:szCs w:val="21"/>
        </w:rPr>
      </w:pPr>
      <w:r w:rsidRPr="006437FB">
        <w:rPr>
          <w:rFonts w:cs="Times New Roman"/>
          <w:position w:val="-10"/>
        </w:rPr>
        <w:object w:dxaOrig="2320" w:dyaOrig="310" w14:anchorId="0344DA2C">
          <v:shape id="_x0000_i1090" type="#_x0000_t75" style="width:116.25pt;height:15.75pt" o:ole="">
            <v:imagedata r:id="rId144" o:title=""/>
          </v:shape>
          <o:OLEObject Type="Embed" ProgID="Equation.DSMT4" ShapeID="_x0000_i1090" DrawAspect="Content" ObjectID="_1845028553" r:id="rId145"/>
        </w:object>
      </w:r>
      <w:r w:rsidRPr="006437FB">
        <w:rPr>
          <w:rFonts w:cs="Times New Roman"/>
        </w:rPr>
        <w:t>;         (10)</w:t>
      </w:r>
    </w:p>
    <w:p w14:paraId="7503928B" w14:textId="77777777" w:rsidR="000B1599" w:rsidRPr="006437FB" w:rsidRDefault="00000000">
      <w:pPr>
        <w:spacing w:line="240" w:lineRule="atLeast"/>
        <w:ind w:firstLineChars="0" w:firstLine="0"/>
        <w:jc w:val="right"/>
        <w:rPr>
          <w:rFonts w:cs="Times New Roman"/>
          <w:position w:val="-14"/>
          <w:szCs w:val="21"/>
        </w:rPr>
      </w:pPr>
      <w:r w:rsidRPr="006437FB">
        <w:rPr>
          <w:rFonts w:cs="Times New Roman"/>
          <w:position w:val="-14"/>
        </w:rPr>
        <w:object w:dxaOrig="730" w:dyaOrig="360" w14:anchorId="03727778">
          <v:shape id="_x0000_i1091" type="#_x0000_t75" style="width:36.75pt;height:18pt" o:ole="">
            <v:imagedata r:id="rId146" o:title=""/>
          </v:shape>
          <o:OLEObject Type="Embed" ProgID="Equation.DSMT4" ShapeID="_x0000_i1091" DrawAspect="Content" ObjectID="_1845028554" r:id="rId147"/>
        </w:object>
      </w:r>
      <w:r w:rsidRPr="006437FB">
        <w:rPr>
          <w:rFonts w:cs="Times New Roman"/>
        </w:rPr>
        <w:t>;                 (11)</w:t>
      </w:r>
    </w:p>
    <w:p w14:paraId="2519E525" w14:textId="77777777" w:rsidR="000B1599" w:rsidRPr="006437FB" w:rsidRDefault="00000000">
      <w:pPr>
        <w:wordWrap w:val="0"/>
        <w:spacing w:line="360" w:lineRule="exact"/>
        <w:ind w:firstLineChars="0" w:firstLine="0"/>
        <w:jc w:val="right"/>
        <w:rPr>
          <w:rFonts w:cs="Times New Roman"/>
          <w:position w:val="-14"/>
        </w:rPr>
        <w:sectPr w:rsidR="000B1599" w:rsidRPr="006437FB">
          <w:type w:val="continuous"/>
          <w:pgSz w:w="11906" w:h="16838"/>
          <w:pgMar w:top="1985" w:right="1021" w:bottom="1021" w:left="1021" w:header="851" w:footer="992" w:gutter="0"/>
          <w:cols w:num="2" w:space="720" w:equalWidth="0">
            <w:col w:w="4720" w:space="425"/>
            <w:col w:w="4719"/>
          </w:cols>
          <w:docGrid w:type="lines" w:linePitch="288"/>
        </w:sectPr>
      </w:pPr>
      <w:r w:rsidRPr="006437FB">
        <w:rPr>
          <w:rFonts w:cs="Times New Roman"/>
          <w:position w:val="-10"/>
        </w:rPr>
        <w:object w:dxaOrig="700" w:dyaOrig="320" w14:anchorId="595DF3E3">
          <v:shape id="_x0000_i1092" type="#_x0000_t75" style="width:35.25pt;height:15.75pt" o:ole="">
            <v:imagedata r:id="rId148" o:title=""/>
          </v:shape>
          <o:OLEObject Type="Embed" ProgID="Equation.DSMT4" ShapeID="_x0000_i1092" DrawAspect="Content" ObjectID="_1845028555" r:id="rId149"/>
        </w:object>
      </w:r>
      <w:r w:rsidRPr="006437FB">
        <w:rPr>
          <w:rFonts w:cs="Times New Roman"/>
        </w:rPr>
        <w:t>;                 (12)</w:t>
      </w:r>
    </w:p>
    <w:p w14:paraId="6D787FA6" w14:textId="77777777" w:rsidR="000B1599" w:rsidRPr="006437FB" w:rsidRDefault="00000000">
      <w:pPr>
        <w:spacing w:line="240" w:lineRule="atLeast"/>
        <w:ind w:firstLineChars="0" w:firstLine="0"/>
        <w:jc w:val="right"/>
        <w:rPr>
          <w:rFonts w:cs="Times New Roman"/>
        </w:rPr>
        <w:sectPr w:rsidR="000B1599" w:rsidRPr="006437FB">
          <w:type w:val="continuous"/>
          <w:pgSz w:w="11906" w:h="16838"/>
          <w:pgMar w:top="1985" w:right="1021" w:bottom="1021" w:left="1021" w:header="851" w:footer="992" w:gutter="0"/>
          <w:cols w:space="425"/>
          <w:docGrid w:type="lines" w:linePitch="288"/>
        </w:sectPr>
      </w:pPr>
      <w:r w:rsidRPr="006437FB">
        <w:rPr>
          <w:rFonts w:cs="Times New Roman"/>
          <w:position w:val="-38"/>
        </w:rPr>
        <w:object w:dxaOrig="4500" w:dyaOrig="860" w14:anchorId="04622C44">
          <v:shape id="_x0000_i1093" type="#_x0000_t75" style="width:225pt;height:42.75pt" o:ole="">
            <v:imagedata r:id="rId150" o:title=""/>
          </v:shape>
          <o:OLEObject Type="Embed" ProgID="Equation.DSMT4" ShapeID="_x0000_i1093" DrawAspect="Content" ObjectID="_1845028556" r:id="rId151"/>
        </w:object>
      </w:r>
      <w:r w:rsidRPr="006437FB">
        <w:rPr>
          <w:rFonts w:cs="Times New Roman"/>
        </w:rPr>
        <w:t xml:space="preserve">                      (13)</w:t>
      </w:r>
    </w:p>
    <w:p w14:paraId="42C600E2" w14:textId="77777777" w:rsidR="000B1599" w:rsidRPr="006437FB" w:rsidRDefault="00000000">
      <w:pPr>
        <w:spacing w:line="240" w:lineRule="atLeast"/>
        <w:ind w:firstLineChars="0" w:firstLine="0"/>
        <w:jc w:val="right"/>
        <w:rPr>
          <w:rFonts w:cs="Times New Roman"/>
          <w:szCs w:val="21"/>
        </w:rPr>
        <w:sectPr w:rsidR="000B1599" w:rsidRPr="006437FB">
          <w:type w:val="continuous"/>
          <w:pgSz w:w="11906" w:h="16838"/>
          <w:pgMar w:top="1985" w:right="1021" w:bottom="1021" w:left="1021" w:header="851" w:footer="992" w:gutter="0"/>
          <w:cols w:space="425"/>
          <w:docGrid w:type="lines" w:linePitch="288"/>
        </w:sectPr>
      </w:pPr>
      <w:r w:rsidRPr="006437FB">
        <w:rPr>
          <w:rFonts w:cs="Times New Roman"/>
          <w:position w:val="-110"/>
        </w:rPr>
        <w:object w:dxaOrig="6030" w:dyaOrig="2310" w14:anchorId="4548EAF8">
          <v:shape id="_x0000_i1094" type="#_x0000_t75" style="width:301.5pt;height:115.5pt" o:ole="">
            <v:imagedata r:id="rId152" o:title=""/>
          </v:shape>
          <o:OLEObject Type="Embed" ProgID="Equation.DSMT4" ShapeID="_x0000_i1094" DrawAspect="Content" ObjectID="_1845028557" r:id="rId153"/>
        </w:object>
      </w:r>
      <w:r w:rsidRPr="006437FB">
        <w:rPr>
          <w:rFonts w:cs="Times New Roman"/>
        </w:rPr>
        <w:t xml:space="preserve">               (14)</w:t>
      </w:r>
    </w:p>
    <w:p w14:paraId="411CC86D" w14:textId="77777777" w:rsidR="000B1599" w:rsidRPr="006437FB" w:rsidRDefault="00000000">
      <w:pPr>
        <w:spacing w:line="320" w:lineRule="exact"/>
        <w:ind w:firstLineChars="0" w:firstLine="0"/>
        <w:jc w:val="both"/>
        <w:rPr>
          <w:rFonts w:cs="Times New Roman"/>
          <w:szCs w:val="21"/>
        </w:rPr>
      </w:pPr>
      <w:r w:rsidRPr="006437FB">
        <w:rPr>
          <w:rFonts w:cs="Times New Roman"/>
          <w:szCs w:val="21"/>
        </w:rPr>
        <w:t>其中：</w:t>
      </w:r>
      <w:r w:rsidRPr="006437FB">
        <w:rPr>
          <w:rFonts w:cs="Times New Roman"/>
          <w:position w:val="-10"/>
        </w:rPr>
        <w:object w:dxaOrig="220" w:dyaOrig="320" w14:anchorId="196B03C3">
          <v:shape id="_x0000_i1095" type="#_x0000_t75" style="width:11.25pt;height:15.75pt" o:ole="">
            <v:imagedata r:id="rId154" o:title=""/>
          </v:shape>
          <o:OLEObject Type="Embed" ProgID="Equation.DSMT4" ShapeID="_x0000_i1095" DrawAspect="Content" ObjectID="_1845028558" r:id="rId155"/>
        </w:object>
      </w:r>
      <w:r w:rsidRPr="006437FB">
        <w:rPr>
          <w:rFonts w:cs="Times New Roman"/>
          <w:szCs w:val="21"/>
        </w:rPr>
        <w:t>、</w:t>
      </w:r>
      <w:r w:rsidRPr="006437FB">
        <w:rPr>
          <w:rFonts w:cs="Times New Roman"/>
          <w:position w:val="-10"/>
        </w:rPr>
        <w:object w:dxaOrig="240" w:dyaOrig="320" w14:anchorId="397C173F">
          <v:shape id="_x0000_i1096" type="#_x0000_t75" style="width:12pt;height:15.75pt" o:ole="">
            <v:imagedata r:id="rId156" o:title=""/>
          </v:shape>
          <o:OLEObject Type="Embed" ProgID="Equation.DSMT4" ShapeID="_x0000_i1096" DrawAspect="Content" ObjectID="_1845028559" r:id="rId157"/>
        </w:object>
      </w:r>
      <w:r w:rsidRPr="006437FB">
        <w:rPr>
          <w:rFonts w:cs="Times New Roman"/>
          <w:szCs w:val="21"/>
        </w:rPr>
        <w:t>表示节点</w:t>
      </w:r>
      <w:r w:rsidRPr="006437FB">
        <w:rPr>
          <w:rFonts w:cs="Times New Roman"/>
          <w:position w:val="-6"/>
        </w:rPr>
        <w:object w:dxaOrig="140" w:dyaOrig="240" w14:anchorId="6894A9B2">
          <v:shape id="_x0000_i1097" type="#_x0000_t75" style="width:6.75pt;height:12pt" o:ole="">
            <v:imagedata r:id="rId158" o:title=""/>
          </v:shape>
          <o:OLEObject Type="Embed" ProgID="Equation.DSMT4" ShapeID="_x0000_i1097" DrawAspect="Content" ObjectID="_1845028560" r:id="rId159"/>
        </w:object>
      </w:r>
      <w:r w:rsidRPr="006437FB">
        <w:rPr>
          <w:rFonts w:cs="Times New Roman"/>
          <w:szCs w:val="21"/>
        </w:rPr>
        <w:t>处于</w:t>
      </w:r>
      <w:r w:rsidRPr="006437FB">
        <w:rPr>
          <w:rFonts w:cs="Times New Roman"/>
          <w:szCs w:val="21"/>
        </w:rPr>
        <w:t>S</w:t>
      </w:r>
      <w:r w:rsidRPr="006437FB">
        <w:rPr>
          <w:rFonts w:cs="Times New Roman"/>
          <w:szCs w:val="21"/>
        </w:rPr>
        <w:t>或</w:t>
      </w:r>
      <w:r w:rsidRPr="006437FB">
        <w:rPr>
          <w:rFonts w:cs="Times New Roman"/>
          <w:szCs w:val="21"/>
        </w:rPr>
        <w:t>E</w:t>
      </w:r>
      <w:r w:rsidRPr="006437FB">
        <w:rPr>
          <w:rFonts w:cs="Times New Roman"/>
          <w:szCs w:val="21"/>
        </w:rPr>
        <w:t>状态，</w:t>
      </w:r>
      <w:r w:rsidRPr="006437FB">
        <w:rPr>
          <w:rFonts w:cs="Times New Roman"/>
          <w:position w:val="-14"/>
        </w:rPr>
        <w:object w:dxaOrig="310" w:dyaOrig="360" w14:anchorId="2A3EFB64">
          <v:shape id="_x0000_i1098" type="#_x0000_t75" style="width:15.75pt;height:18pt" o:ole="">
            <v:imagedata r:id="rId160" o:title=""/>
          </v:shape>
          <o:OLEObject Type="Embed" ProgID="Equation.DSMT4" ShapeID="_x0000_i1098" DrawAspect="Content" ObjectID="_1845028561" r:id="rId161"/>
        </w:object>
      </w:r>
      <w:r w:rsidRPr="006437FB">
        <w:rPr>
          <w:rFonts w:cs="Times New Roman"/>
          <w:szCs w:val="21"/>
        </w:rPr>
        <w:t>表示节点</w:t>
      </w:r>
      <w:r w:rsidRPr="006437FB">
        <w:rPr>
          <w:rFonts w:cs="Times New Roman"/>
          <w:position w:val="-6"/>
        </w:rPr>
        <w:object w:dxaOrig="140" w:dyaOrig="240" w14:anchorId="4D3EEA1E">
          <v:shape id="_x0000_i1099" type="#_x0000_t75" style="width:6.75pt;height:12pt" o:ole="">
            <v:imagedata r:id="rId162" o:title=""/>
          </v:shape>
          <o:OLEObject Type="Embed" ProgID="Equation.DSMT4" ShapeID="_x0000_i1099" DrawAspect="Content" ObjectID="_1845028562" r:id="rId163"/>
        </w:object>
      </w:r>
      <w:r w:rsidRPr="006437FB">
        <w:rPr>
          <w:rFonts w:cs="Times New Roman"/>
          <w:szCs w:val="21"/>
        </w:rPr>
        <w:t>的</w:t>
      </w:r>
      <w:r w:rsidRPr="006437FB">
        <w:rPr>
          <w:rFonts w:cs="Times New Roman"/>
          <w:szCs w:val="21"/>
        </w:rPr>
        <w:t>I</w:t>
      </w:r>
      <w:r w:rsidRPr="006437FB">
        <w:rPr>
          <w:rFonts w:cs="Times New Roman"/>
          <w:szCs w:val="21"/>
        </w:rPr>
        <w:t>状态节点邻接矩阵，</w:t>
      </w:r>
      <w:r w:rsidRPr="006437FB">
        <w:rPr>
          <w:rFonts w:cs="Times New Roman"/>
          <w:position w:val="-10"/>
        </w:rPr>
        <w:object w:dxaOrig="500" w:dyaOrig="320" w14:anchorId="01A862FC">
          <v:shape id="_x0000_i1100" type="#_x0000_t75" style="width:24.75pt;height:15.75pt" o:ole="">
            <v:imagedata r:id="rId164" o:title=""/>
          </v:shape>
          <o:OLEObject Type="Embed" ProgID="Equation.DSMT4" ShapeID="_x0000_i1100" DrawAspect="Content" ObjectID="_1845028563" r:id="rId165"/>
        </w:object>
      </w:r>
      <w:r w:rsidRPr="006437FB">
        <w:rPr>
          <w:rFonts w:cs="Times New Roman"/>
          <w:szCs w:val="21"/>
        </w:rPr>
        <w:t>、</w:t>
      </w:r>
      <w:r w:rsidRPr="006437FB">
        <w:rPr>
          <w:rFonts w:cs="Times New Roman"/>
          <w:position w:val="-10"/>
        </w:rPr>
        <w:object w:dxaOrig="530" w:dyaOrig="320" w14:anchorId="33EA081B">
          <v:shape id="_x0000_i1101" type="#_x0000_t75" style="width:26.25pt;height:15.75pt" o:ole="">
            <v:imagedata r:id="rId166" o:title=""/>
          </v:shape>
          <o:OLEObject Type="Embed" ProgID="Equation.DSMT4" ShapeID="_x0000_i1101" DrawAspect="Content" ObjectID="_1845028564" r:id="rId167"/>
        </w:object>
      </w:r>
      <w:r w:rsidRPr="006437FB">
        <w:rPr>
          <w:rFonts w:cs="Times New Roman"/>
          <w:szCs w:val="21"/>
        </w:rPr>
        <w:t>、</w:t>
      </w:r>
      <w:r w:rsidRPr="006437FB">
        <w:rPr>
          <w:rFonts w:cs="Times New Roman"/>
          <w:position w:val="-10"/>
        </w:rPr>
        <w:object w:dxaOrig="500" w:dyaOrig="320" w14:anchorId="3445D43E">
          <v:shape id="_x0000_i1102" type="#_x0000_t75" style="width:24.75pt;height:15.75pt" o:ole="">
            <v:imagedata r:id="rId168" o:title=""/>
          </v:shape>
          <o:OLEObject Type="Embed" ProgID="Equation.DSMT4" ShapeID="_x0000_i1102" DrawAspect="Content" ObjectID="_1845028565" r:id="rId169"/>
        </w:object>
      </w:r>
      <w:r w:rsidRPr="006437FB">
        <w:rPr>
          <w:rFonts w:cs="Times New Roman"/>
          <w:szCs w:val="21"/>
        </w:rPr>
        <w:t>分别为</w:t>
      </w:r>
      <w:r w:rsidRPr="006437FB">
        <w:rPr>
          <w:rFonts w:cs="Times New Roman"/>
          <w:szCs w:val="21"/>
        </w:rPr>
        <w:t>S</w:t>
      </w:r>
      <w:r w:rsidRPr="006437FB">
        <w:rPr>
          <w:rFonts w:cs="Times New Roman"/>
          <w:szCs w:val="21"/>
        </w:rPr>
        <w:t>、</w:t>
      </w:r>
      <w:r w:rsidRPr="006437FB">
        <w:rPr>
          <w:rFonts w:cs="Times New Roman"/>
          <w:szCs w:val="21"/>
        </w:rPr>
        <w:t>E</w:t>
      </w:r>
      <w:r w:rsidRPr="006437FB">
        <w:rPr>
          <w:rFonts w:cs="Times New Roman"/>
          <w:szCs w:val="21"/>
        </w:rPr>
        <w:t>、</w:t>
      </w:r>
      <w:r w:rsidRPr="006437FB">
        <w:rPr>
          <w:rFonts w:cs="Times New Roman"/>
          <w:szCs w:val="21"/>
        </w:rPr>
        <w:t>I</w:t>
      </w:r>
      <w:r w:rsidRPr="006437FB">
        <w:rPr>
          <w:rFonts w:cs="Times New Roman"/>
          <w:szCs w:val="21"/>
        </w:rPr>
        <w:t>状态节点中</w:t>
      </w:r>
      <w:r w:rsidRPr="006437FB">
        <w:rPr>
          <w:rFonts w:cs="Times New Roman"/>
          <w:szCs w:val="21"/>
        </w:rPr>
        <w:t>C</w:t>
      </w:r>
      <w:r w:rsidRPr="006437FB">
        <w:rPr>
          <w:rFonts w:cs="Times New Roman"/>
          <w:szCs w:val="21"/>
        </w:rPr>
        <w:t>状态节点在</w:t>
      </w:r>
      <w:r w:rsidRPr="006437FB">
        <w:rPr>
          <w:rFonts w:cs="Times New Roman"/>
          <w:szCs w:val="21"/>
        </w:rPr>
        <w:t>t</w:t>
      </w:r>
      <w:r w:rsidRPr="006437FB">
        <w:rPr>
          <w:rFonts w:cs="Times New Roman"/>
          <w:szCs w:val="21"/>
        </w:rPr>
        <w:t>时刻所占的比例。</w:t>
      </w:r>
    </w:p>
    <w:p w14:paraId="0841CDC6" w14:textId="77777777" w:rsidR="000B1599" w:rsidRPr="006437FB" w:rsidRDefault="00000000">
      <w:pPr>
        <w:ind w:firstLine="420"/>
        <w:jc w:val="both"/>
        <w:rPr>
          <w:rFonts w:cs="Times New Roman"/>
          <w:szCs w:val="21"/>
        </w:rPr>
      </w:pPr>
      <w:r w:rsidRPr="006437FB">
        <w:rPr>
          <w:rFonts w:cs="Times New Roman"/>
          <w:szCs w:val="21"/>
        </w:rPr>
        <w:t>本文所提出的</w:t>
      </w:r>
      <w:r w:rsidRPr="006437FB">
        <w:rPr>
          <w:rFonts w:cs="Times New Roman"/>
          <w:szCs w:val="21"/>
        </w:rPr>
        <w:t>SEIRS-C</w:t>
      </w:r>
      <w:r w:rsidRPr="006437FB">
        <w:rPr>
          <w:rFonts w:cs="Times New Roman"/>
          <w:szCs w:val="21"/>
        </w:rPr>
        <w:t>模型仿真步骤如下：</w:t>
      </w:r>
    </w:p>
    <w:p w14:paraId="5F7FE60A" w14:textId="77777777" w:rsidR="000B1599" w:rsidRPr="006437FB" w:rsidRDefault="00000000">
      <w:pPr>
        <w:spacing w:line="320" w:lineRule="exact"/>
        <w:ind w:firstLine="420"/>
        <w:jc w:val="both"/>
        <w:rPr>
          <w:rFonts w:cs="Times New Roman"/>
          <w:szCs w:val="21"/>
        </w:rPr>
      </w:pPr>
      <w:r w:rsidRPr="006437FB">
        <w:rPr>
          <w:rFonts w:cs="Times New Roman"/>
          <w:szCs w:val="21"/>
        </w:rPr>
        <w:t>步骤</w:t>
      </w:r>
      <w:r w:rsidRPr="006437FB">
        <w:rPr>
          <w:rFonts w:cs="Times New Roman"/>
          <w:szCs w:val="21"/>
        </w:rPr>
        <w:t>1</w:t>
      </w:r>
      <w:r w:rsidRPr="006437FB">
        <w:rPr>
          <w:rFonts w:cs="Times New Roman"/>
          <w:szCs w:val="21"/>
        </w:rPr>
        <w:t>：初始化网络各节点状态（设定</w:t>
      </w:r>
      <w:r w:rsidRPr="006437FB">
        <w:rPr>
          <w:rFonts w:cs="Times New Roman"/>
          <w:szCs w:val="21"/>
        </w:rPr>
        <w:t>1</w:t>
      </w:r>
      <w:r w:rsidRPr="006437FB">
        <w:rPr>
          <w:rFonts w:cs="Times New Roman"/>
          <w:szCs w:val="21"/>
        </w:rPr>
        <w:t>个节点为初始激活节点，即处于</w:t>
      </w:r>
      <w:r w:rsidRPr="006437FB">
        <w:rPr>
          <w:rFonts w:cs="Times New Roman"/>
          <w:szCs w:val="21"/>
        </w:rPr>
        <w:t>I</w:t>
      </w:r>
      <w:r w:rsidRPr="006437FB">
        <w:rPr>
          <w:rFonts w:cs="Times New Roman"/>
          <w:szCs w:val="21"/>
        </w:rPr>
        <w:t>状态，其余节点为</w:t>
      </w:r>
      <w:r w:rsidRPr="006437FB">
        <w:rPr>
          <w:rFonts w:cs="Times New Roman"/>
          <w:szCs w:val="21"/>
        </w:rPr>
        <w:t>S</w:t>
      </w:r>
      <w:r w:rsidRPr="006437FB">
        <w:rPr>
          <w:rFonts w:cs="Times New Roman"/>
          <w:szCs w:val="21"/>
        </w:rPr>
        <w:t>状态），设定</w:t>
      </w:r>
      <w:r w:rsidRPr="006437FB">
        <w:rPr>
          <w:rFonts w:cs="Times New Roman"/>
          <w:position w:val="-6"/>
        </w:rPr>
        <w:object w:dxaOrig="180" w:dyaOrig="270" w14:anchorId="75EC2B18">
          <v:shape id="_x0000_i1103" type="#_x0000_t75" style="width:9pt;height:13.5pt" o:ole="">
            <v:imagedata r:id="rId170" o:title=""/>
          </v:shape>
          <o:OLEObject Type="Embed" ProgID="Equation.DSMT4" ShapeID="_x0000_i1103" DrawAspect="Content" ObjectID="_1845028566" r:id="rId171"/>
        </w:object>
      </w:r>
      <w:r w:rsidRPr="006437FB">
        <w:rPr>
          <w:rFonts w:cs="Times New Roman"/>
          <w:position w:val="-6"/>
          <w:szCs w:val="21"/>
        </w:rPr>
        <w:t>、</w:t>
      </w:r>
      <w:r w:rsidRPr="006437FB">
        <w:rPr>
          <w:rFonts w:cs="Times New Roman"/>
          <w:position w:val="-6"/>
        </w:rPr>
        <w:object w:dxaOrig="180" w:dyaOrig="200" w14:anchorId="003E34BE">
          <v:shape id="_x0000_i1104" type="#_x0000_t75" style="width:9pt;height:9.75pt" o:ole="">
            <v:imagedata r:id="rId172" o:title=""/>
          </v:shape>
          <o:OLEObject Type="Embed" ProgID="Equation.DSMT4" ShapeID="_x0000_i1104" DrawAspect="Content" ObjectID="_1845028567" r:id="rId173"/>
        </w:object>
      </w:r>
      <w:r w:rsidRPr="006437FB">
        <w:rPr>
          <w:rFonts w:cs="Times New Roman"/>
          <w:szCs w:val="21"/>
        </w:rPr>
        <w:t>值；</w:t>
      </w:r>
    </w:p>
    <w:p w14:paraId="48A907EA" w14:textId="77777777" w:rsidR="000B1599" w:rsidRPr="006437FB" w:rsidRDefault="00000000">
      <w:pPr>
        <w:spacing w:line="320" w:lineRule="exact"/>
        <w:ind w:firstLine="420"/>
        <w:jc w:val="both"/>
        <w:rPr>
          <w:rFonts w:cs="Times New Roman"/>
          <w:szCs w:val="21"/>
        </w:rPr>
      </w:pPr>
      <w:r w:rsidRPr="006437FB">
        <w:rPr>
          <w:rFonts w:cs="Times New Roman"/>
          <w:szCs w:val="21"/>
        </w:rPr>
        <w:t>步骤</w:t>
      </w:r>
      <w:r w:rsidRPr="006437FB">
        <w:rPr>
          <w:rFonts w:cs="Times New Roman"/>
          <w:szCs w:val="21"/>
        </w:rPr>
        <w:t>2</w:t>
      </w:r>
      <w:r w:rsidRPr="006437FB">
        <w:rPr>
          <w:rFonts w:cs="Times New Roman"/>
          <w:szCs w:val="21"/>
        </w:rPr>
        <w:t>：对于未附加</w:t>
      </w:r>
      <w:r w:rsidRPr="006437FB">
        <w:rPr>
          <w:rFonts w:cs="Times New Roman"/>
          <w:szCs w:val="21"/>
        </w:rPr>
        <w:t>C</w:t>
      </w:r>
      <w:r w:rsidRPr="006437FB">
        <w:rPr>
          <w:rFonts w:cs="Times New Roman"/>
          <w:szCs w:val="21"/>
        </w:rPr>
        <w:t>状态的节点，</w:t>
      </w:r>
      <w:r w:rsidRPr="006437FB">
        <w:rPr>
          <w:rFonts w:cs="Times New Roman"/>
          <w:szCs w:val="21"/>
        </w:rPr>
        <w:t>S</w:t>
      </w:r>
      <w:r w:rsidRPr="006437FB">
        <w:rPr>
          <w:rFonts w:cs="Times New Roman"/>
          <w:szCs w:val="21"/>
        </w:rPr>
        <w:t>状态节点以概率</w:t>
      </w:r>
      <w:r w:rsidRPr="006437FB">
        <w:rPr>
          <w:rFonts w:cs="Times New Roman"/>
          <w:position w:val="-6"/>
        </w:rPr>
        <w:object w:dxaOrig="220" w:dyaOrig="200" w14:anchorId="6D7A0003">
          <v:shape id="_x0000_i1105" type="#_x0000_t75" style="width:11.25pt;height:9.75pt" o:ole="">
            <v:imagedata r:id="rId174" o:title=""/>
          </v:shape>
          <o:OLEObject Type="Embed" ProgID="Equation.DSMT4" ShapeID="_x0000_i1105" DrawAspect="Content" ObjectID="_1845028568" r:id="rId175"/>
        </w:object>
      </w:r>
      <w:r w:rsidRPr="006437FB">
        <w:rPr>
          <w:rFonts w:cs="Times New Roman"/>
          <w:szCs w:val="21"/>
        </w:rPr>
        <w:t>转化为</w:t>
      </w:r>
      <w:r w:rsidRPr="006437FB">
        <w:rPr>
          <w:rFonts w:cs="Times New Roman"/>
          <w:szCs w:val="21"/>
        </w:rPr>
        <w:t>E</w:t>
      </w:r>
      <w:r w:rsidRPr="006437FB">
        <w:rPr>
          <w:rFonts w:cs="Times New Roman"/>
          <w:szCs w:val="21"/>
        </w:rPr>
        <w:t>状态，</w:t>
      </w:r>
      <w:r w:rsidRPr="006437FB">
        <w:rPr>
          <w:rFonts w:cs="Times New Roman"/>
          <w:szCs w:val="21"/>
        </w:rPr>
        <w:t>E</w:t>
      </w:r>
      <w:r w:rsidRPr="006437FB">
        <w:rPr>
          <w:rFonts w:cs="Times New Roman"/>
          <w:szCs w:val="21"/>
        </w:rPr>
        <w:t>状态节点以概率</w:t>
      </w:r>
      <w:r w:rsidRPr="006437FB">
        <w:rPr>
          <w:rFonts w:cs="Times New Roman"/>
          <w:position w:val="-10"/>
        </w:rPr>
        <w:object w:dxaOrig="220" w:dyaOrig="310" w14:anchorId="7C5F6C9F">
          <v:shape id="_x0000_i1106" type="#_x0000_t75" style="width:11.25pt;height:15.75pt" o:ole="">
            <v:imagedata r:id="rId176" o:title=""/>
          </v:shape>
          <o:OLEObject Type="Embed" ProgID="Equation.DSMT4" ShapeID="_x0000_i1106" DrawAspect="Content" ObjectID="_1845028569" r:id="rId177"/>
        </w:object>
      </w:r>
      <w:r w:rsidRPr="006437FB">
        <w:rPr>
          <w:rFonts w:cs="Times New Roman"/>
          <w:szCs w:val="21"/>
        </w:rPr>
        <w:t>转化为</w:t>
      </w:r>
      <w:r w:rsidRPr="006437FB">
        <w:rPr>
          <w:rFonts w:cs="Times New Roman"/>
          <w:szCs w:val="21"/>
        </w:rPr>
        <w:t>I</w:t>
      </w:r>
      <w:r w:rsidRPr="006437FB">
        <w:rPr>
          <w:rFonts w:cs="Times New Roman"/>
          <w:szCs w:val="21"/>
        </w:rPr>
        <w:t>状态；</w:t>
      </w:r>
    </w:p>
    <w:p w14:paraId="17A186A2" w14:textId="77777777" w:rsidR="000B1599" w:rsidRPr="006437FB" w:rsidRDefault="00000000">
      <w:pPr>
        <w:spacing w:line="320" w:lineRule="exact"/>
        <w:ind w:firstLine="420"/>
        <w:jc w:val="both"/>
        <w:rPr>
          <w:rFonts w:cs="Times New Roman"/>
          <w:szCs w:val="21"/>
        </w:rPr>
      </w:pPr>
      <w:r w:rsidRPr="006437FB">
        <w:rPr>
          <w:rFonts w:cs="Times New Roman"/>
          <w:szCs w:val="21"/>
        </w:rPr>
        <w:t>步骤</w:t>
      </w:r>
      <w:r w:rsidRPr="006437FB">
        <w:rPr>
          <w:rFonts w:cs="Times New Roman"/>
          <w:szCs w:val="21"/>
        </w:rPr>
        <w:t>3</w:t>
      </w:r>
      <w:r w:rsidRPr="006437FB">
        <w:rPr>
          <w:rFonts w:cs="Times New Roman"/>
          <w:szCs w:val="21"/>
        </w:rPr>
        <w:t>：对于附加</w:t>
      </w:r>
      <w:r w:rsidRPr="006437FB">
        <w:rPr>
          <w:rFonts w:cs="Times New Roman"/>
          <w:szCs w:val="21"/>
        </w:rPr>
        <w:t>C</w:t>
      </w:r>
      <w:r w:rsidRPr="006437FB">
        <w:rPr>
          <w:rFonts w:cs="Times New Roman"/>
          <w:szCs w:val="21"/>
        </w:rPr>
        <w:t>状态的节点，</w:t>
      </w:r>
      <w:r w:rsidRPr="006437FB">
        <w:rPr>
          <w:rFonts w:cs="Times New Roman"/>
          <w:szCs w:val="21"/>
        </w:rPr>
        <w:t>S</w:t>
      </w:r>
      <w:r w:rsidRPr="006437FB">
        <w:rPr>
          <w:rFonts w:cs="Times New Roman"/>
          <w:szCs w:val="21"/>
        </w:rPr>
        <w:t>状态节点以概率</w:t>
      </w:r>
      <w:r w:rsidRPr="006437FB">
        <w:rPr>
          <w:rFonts w:cs="Times New Roman"/>
          <w:position w:val="-10"/>
        </w:rPr>
        <w:object w:dxaOrig="730" w:dyaOrig="310" w14:anchorId="73D70FD0">
          <v:shape id="_x0000_i1107" type="#_x0000_t75" style="width:36.75pt;height:15.75pt" o:ole="">
            <v:imagedata r:id="rId178" o:title=""/>
          </v:shape>
          <o:OLEObject Type="Embed" ProgID="Equation.DSMT4" ShapeID="_x0000_i1107" DrawAspect="Content" ObjectID="_1845028570" r:id="rId179"/>
        </w:object>
      </w:r>
      <w:r w:rsidRPr="006437FB">
        <w:rPr>
          <w:rFonts w:cs="Times New Roman"/>
          <w:szCs w:val="21"/>
        </w:rPr>
        <w:t>转化为</w:t>
      </w:r>
      <w:r w:rsidRPr="006437FB">
        <w:rPr>
          <w:rFonts w:cs="Times New Roman"/>
          <w:szCs w:val="21"/>
        </w:rPr>
        <w:t>E</w:t>
      </w:r>
      <w:r w:rsidRPr="006437FB">
        <w:rPr>
          <w:rFonts w:cs="Times New Roman"/>
          <w:szCs w:val="21"/>
        </w:rPr>
        <w:t>状态，</w:t>
      </w:r>
      <w:r w:rsidRPr="006437FB">
        <w:rPr>
          <w:rFonts w:cs="Times New Roman"/>
          <w:szCs w:val="21"/>
        </w:rPr>
        <w:t>E</w:t>
      </w:r>
      <w:r w:rsidRPr="006437FB">
        <w:rPr>
          <w:rFonts w:cs="Times New Roman"/>
          <w:szCs w:val="21"/>
        </w:rPr>
        <w:t>状态节点以概率</w:t>
      </w:r>
      <w:r w:rsidRPr="006437FB">
        <w:rPr>
          <w:rFonts w:cs="Times New Roman"/>
          <w:position w:val="-10"/>
        </w:rPr>
        <w:object w:dxaOrig="730" w:dyaOrig="310" w14:anchorId="1C8688BD">
          <v:shape id="_x0000_i1108" type="#_x0000_t75" style="width:36.75pt;height:15.75pt" o:ole="">
            <v:imagedata r:id="rId180" o:title=""/>
          </v:shape>
          <o:OLEObject Type="Embed" ProgID="Equation.DSMT4" ShapeID="_x0000_i1108" DrawAspect="Content" ObjectID="_1845028571" r:id="rId181"/>
        </w:object>
      </w:r>
      <w:r w:rsidRPr="006437FB">
        <w:rPr>
          <w:rFonts w:cs="Times New Roman"/>
          <w:szCs w:val="21"/>
        </w:rPr>
        <w:t>转化为</w:t>
      </w:r>
      <w:r w:rsidRPr="006437FB">
        <w:rPr>
          <w:rFonts w:cs="Times New Roman"/>
          <w:szCs w:val="21"/>
        </w:rPr>
        <w:t>I</w:t>
      </w:r>
      <w:r w:rsidRPr="006437FB">
        <w:rPr>
          <w:rFonts w:cs="Times New Roman"/>
          <w:szCs w:val="21"/>
        </w:rPr>
        <w:t>状态，</w:t>
      </w:r>
      <w:r w:rsidRPr="006437FB">
        <w:rPr>
          <w:rFonts w:cs="Times New Roman"/>
          <w:szCs w:val="21"/>
        </w:rPr>
        <w:t>S</w:t>
      </w:r>
      <w:r w:rsidRPr="006437FB">
        <w:rPr>
          <w:rFonts w:cs="Times New Roman"/>
          <w:szCs w:val="21"/>
        </w:rPr>
        <w:t>、</w:t>
      </w:r>
      <w:r w:rsidRPr="006437FB">
        <w:rPr>
          <w:rFonts w:cs="Times New Roman"/>
          <w:szCs w:val="21"/>
        </w:rPr>
        <w:t>E</w:t>
      </w:r>
      <w:r w:rsidRPr="006437FB">
        <w:rPr>
          <w:rFonts w:cs="Times New Roman"/>
          <w:szCs w:val="21"/>
        </w:rPr>
        <w:t>、</w:t>
      </w:r>
      <w:r w:rsidRPr="006437FB">
        <w:rPr>
          <w:rFonts w:cs="Times New Roman"/>
          <w:szCs w:val="21"/>
        </w:rPr>
        <w:t>I</w:t>
      </w:r>
      <w:r w:rsidRPr="006437FB">
        <w:rPr>
          <w:rFonts w:cs="Times New Roman"/>
          <w:szCs w:val="21"/>
        </w:rPr>
        <w:t>状态节点均以概率</w:t>
      </w:r>
      <w:r w:rsidRPr="006437FB">
        <w:rPr>
          <w:rFonts w:cs="Times New Roman"/>
          <w:position w:val="-10"/>
        </w:rPr>
        <w:object w:dxaOrig="310" w:dyaOrig="240" w14:anchorId="70387CF8">
          <v:shape id="_x0000_i1109" type="#_x0000_t75" style="width:15.75pt;height:12pt" o:ole="">
            <v:imagedata r:id="rId182" o:title=""/>
          </v:shape>
          <o:OLEObject Type="Embed" ProgID="Equation.DSMT4" ShapeID="_x0000_i1109" DrawAspect="Content" ObjectID="_1845028572" r:id="rId183"/>
        </w:object>
      </w:r>
      <w:r w:rsidRPr="006437FB">
        <w:rPr>
          <w:rFonts w:cs="Times New Roman"/>
          <w:szCs w:val="21"/>
        </w:rPr>
        <w:t>转化为</w:t>
      </w:r>
      <w:r w:rsidRPr="006437FB">
        <w:rPr>
          <w:rFonts w:cs="Times New Roman"/>
          <w:szCs w:val="21"/>
        </w:rPr>
        <w:t>R</w:t>
      </w:r>
      <w:r w:rsidRPr="006437FB">
        <w:rPr>
          <w:rFonts w:cs="Times New Roman"/>
          <w:szCs w:val="21"/>
        </w:rPr>
        <w:t>状态，</w:t>
      </w:r>
      <w:r w:rsidRPr="006437FB">
        <w:rPr>
          <w:rFonts w:cs="Times New Roman"/>
          <w:szCs w:val="21"/>
        </w:rPr>
        <w:t>R</w:t>
      </w:r>
      <w:r w:rsidRPr="006437FB">
        <w:rPr>
          <w:rFonts w:cs="Times New Roman"/>
          <w:szCs w:val="21"/>
        </w:rPr>
        <w:t>状态节点以概率</w:t>
      </w:r>
      <w:r w:rsidRPr="006437FB">
        <w:rPr>
          <w:rFonts w:cs="Times New Roman"/>
          <w:position w:val="-10"/>
        </w:rPr>
        <w:object w:dxaOrig="730" w:dyaOrig="310" w14:anchorId="421F2CC8">
          <v:shape id="_x0000_i1110" type="#_x0000_t75" style="width:36.75pt;height:15.75pt" o:ole="">
            <v:imagedata r:id="rId184" o:title=""/>
          </v:shape>
          <o:OLEObject Type="Embed" ProgID="Equation.DSMT4" ShapeID="_x0000_i1110" DrawAspect="Content" ObjectID="_1845028573" r:id="rId185"/>
        </w:object>
      </w:r>
      <w:r w:rsidRPr="006437FB">
        <w:rPr>
          <w:rFonts w:cs="Times New Roman"/>
          <w:szCs w:val="21"/>
        </w:rPr>
        <w:t>发生防护失效，转化为</w:t>
      </w:r>
      <w:r w:rsidRPr="006437FB">
        <w:rPr>
          <w:rFonts w:cs="Times New Roman"/>
          <w:szCs w:val="21"/>
        </w:rPr>
        <w:t>S</w:t>
      </w:r>
      <w:r w:rsidRPr="006437FB">
        <w:rPr>
          <w:rFonts w:cs="Times New Roman"/>
          <w:szCs w:val="21"/>
        </w:rPr>
        <w:t>状态；</w:t>
      </w:r>
    </w:p>
    <w:p w14:paraId="2AB6BA89" w14:textId="77777777" w:rsidR="000B1599" w:rsidRPr="006437FB" w:rsidRDefault="00000000">
      <w:pPr>
        <w:ind w:firstLine="420"/>
        <w:jc w:val="both"/>
        <w:rPr>
          <w:rFonts w:cs="Times New Roman"/>
          <w:szCs w:val="21"/>
        </w:rPr>
      </w:pPr>
      <w:r w:rsidRPr="006437FB">
        <w:rPr>
          <w:rFonts w:cs="Times New Roman"/>
          <w:szCs w:val="21"/>
        </w:rPr>
        <w:t>步骤</w:t>
      </w:r>
      <w:r w:rsidRPr="006437FB">
        <w:rPr>
          <w:rFonts w:cs="Times New Roman"/>
          <w:szCs w:val="21"/>
        </w:rPr>
        <w:t>4</w:t>
      </w:r>
      <w:r w:rsidRPr="006437FB">
        <w:rPr>
          <w:rFonts w:cs="Times New Roman"/>
          <w:szCs w:val="21"/>
        </w:rPr>
        <w:t>：更新节点状态，重复步骤</w:t>
      </w:r>
      <w:r w:rsidRPr="006437FB">
        <w:rPr>
          <w:rFonts w:cs="Times New Roman"/>
          <w:szCs w:val="21"/>
        </w:rPr>
        <w:t>2</w:t>
      </w:r>
      <w:r w:rsidRPr="006437FB">
        <w:rPr>
          <w:rFonts w:cs="Times New Roman"/>
          <w:szCs w:val="21"/>
        </w:rPr>
        <w:t>和</w:t>
      </w:r>
      <w:r w:rsidRPr="006437FB">
        <w:rPr>
          <w:rFonts w:cs="Times New Roman"/>
          <w:szCs w:val="21"/>
        </w:rPr>
        <w:t>3</w:t>
      </w:r>
      <w:r w:rsidRPr="006437FB">
        <w:rPr>
          <w:rFonts w:cs="Times New Roman"/>
          <w:szCs w:val="21"/>
        </w:rPr>
        <w:t>；</w:t>
      </w:r>
    </w:p>
    <w:p w14:paraId="3F1EF0C3" w14:textId="77777777" w:rsidR="000B1599" w:rsidRPr="006437FB" w:rsidRDefault="00000000">
      <w:pPr>
        <w:ind w:firstLine="420"/>
        <w:jc w:val="both"/>
        <w:rPr>
          <w:rFonts w:cs="Times New Roman"/>
          <w:szCs w:val="21"/>
        </w:rPr>
      </w:pPr>
      <w:r w:rsidRPr="006437FB">
        <w:rPr>
          <w:rFonts w:cs="Times New Roman"/>
          <w:szCs w:val="21"/>
        </w:rPr>
        <w:t>步骤</w:t>
      </w:r>
      <w:r w:rsidRPr="006437FB">
        <w:rPr>
          <w:rFonts w:cs="Times New Roman"/>
          <w:szCs w:val="21"/>
        </w:rPr>
        <w:t>5</w:t>
      </w:r>
      <w:r w:rsidRPr="006437FB">
        <w:rPr>
          <w:rFonts w:cs="Times New Roman"/>
          <w:szCs w:val="21"/>
        </w:rPr>
        <w:t>：模拟到达设定步数，结束。</w:t>
      </w:r>
    </w:p>
    <w:p w14:paraId="21073E43" w14:textId="77777777" w:rsidR="000B1599" w:rsidRPr="006437FB" w:rsidRDefault="00000000">
      <w:pPr>
        <w:keepNext/>
        <w:widowControl/>
        <w:spacing w:line="240" w:lineRule="atLeast"/>
        <w:ind w:firstLineChars="0" w:firstLine="0"/>
        <w:jc w:val="both"/>
        <w:outlineLvl w:val="1"/>
        <w:rPr>
          <w:rFonts w:cs="Times New Roman"/>
          <w:b/>
          <w:kern w:val="0"/>
          <w:szCs w:val="21"/>
        </w:rPr>
      </w:pPr>
      <w:r w:rsidRPr="006437FB">
        <w:rPr>
          <w:rFonts w:cs="Times New Roman"/>
          <w:b/>
          <w:kern w:val="0"/>
          <w:szCs w:val="21"/>
        </w:rPr>
        <w:t>3.2</w:t>
      </w:r>
      <w:r w:rsidRPr="006437FB">
        <w:rPr>
          <w:rFonts w:cs="Times New Roman"/>
          <w:b/>
          <w:kern w:val="0"/>
          <w:szCs w:val="21"/>
        </w:rPr>
        <w:t>不同初始触发因素的影响分析</w:t>
      </w:r>
    </w:p>
    <w:p w14:paraId="2DEC4684" w14:textId="77777777" w:rsidR="000B1599" w:rsidRPr="006437FB" w:rsidRDefault="00000000">
      <w:pPr>
        <w:ind w:firstLine="420"/>
        <w:jc w:val="both"/>
        <w:rPr>
          <w:rFonts w:cs="Times New Roman"/>
          <w:szCs w:val="21"/>
        </w:rPr>
      </w:pPr>
      <w:r w:rsidRPr="006437FB">
        <w:rPr>
          <w:rFonts w:cs="Times New Roman"/>
          <w:szCs w:val="21"/>
        </w:rPr>
        <w:t>为分析不同因素的动态风险传导能力，假设不采取外部控制措施，固定</w:t>
      </w:r>
      <w:r w:rsidRPr="006437FB">
        <w:rPr>
          <w:rFonts w:cs="Times New Roman"/>
          <w:szCs w:val="21"/>
        </w:rPr>
        <w:t>k=0.4</w:t>
      </w:r>
      <w:r w:rsidRPr="006437FB">
        <w:rPr>
          <w:rFonts w:cs="Times New Roman"/>
          <w:szCs w:val="21"/>
          <w:vertAlign w:val="superscript"/>
        </w:rPr>
        <w:t>[12]</w:t>
      </w:r>
      <w:r w:rsidRPr="006437FB">
        <w:rPr>
          <w:rFonts w:cs="Times New Roman"/>
          <w:szCs w:val="21"/>
        </w:rPr>
        <w:t>，开展以</w:t>
      </w:r>
      <w:r w:rsidRPr="006437FB">
        <w:rPr>
          <w:rFonts w:cs="Times New Roman"/>
          <w:szCs w:val="21"/>
        </w:rPr>
        <w:t>H</w:t>
      </w:r>
      <w:r w:rsidRPr="006437FB">
        <w:rPr>
          <w:rFonts w:cs="Times New Roman"/>
          <w:szCs w:val="21"/>
        </w:rPr>
        <w:t>、</w:t>
      </w:r>
      <w:r w:rsidRPr="006437FB">
        <w:rPr>
          <w:rFonts w:cs="Times New Roman"/>
          <w:szCs w:val="21"/>
        </w:rPr>
        <w:t>F</w:t>
      </w:r>
      <w:r w:rsidRPr="006437FB">
        <w:rPr>
          <w:rFonts w:cs="Times New Roman"/>
          <w:szCs w:val="21"/>
        </w:rPr>
        <w:t>、</w:t>
      </w:r>
      <w:r w:rsidRPr="006437FB">
        <w:rPr>
          <w:rFonts w:cs="Times New Roman"/>
          <w:szCs w:val="21"/>
        </w:rPr>
        <w:t>E</w:t>
      </w:r>
      <w:r w:rsidRPr="006437FB">
        <w:rPr>
          <w:rFonts w:cs="Times New Roman"/>
          <w:szCs w:val="21"/>
        </w:rPr>
        <w:t>、</w:t>
      </w:r>
      <w:r w:rsidRPr="006437FB">
        <w:rPr>
          <w:rFonts w:cs="Times New Roman"/>
          <w:szCs w:val="21"/>
        </w:rPr>
        <w:t>M</w:t>
      </w:r>
      <w:r w:rsidRPr="006437FB">
        <w:rPr>
          <w:rFonts w:cs="Times New Roman"/>
          <w:szCs w:val="21"/>
        </w:rPr>
        <w:t>四类风险因素节点作为事故初始触发因素的风险传导模拟，重复</w:t>
      </w:r>
      <w:r w:rsidRPr="006437FB">
        <w:rPr>
          <w:rFonts w:cs="Times New Roman"/>
          <w:szCs w:val="21"/>
        </w:rPr>
        <w:t>1000</w:t>
      </w:r>
      <w:r w:rsidRPr="006437FB">
        <w:rPr>
          <w:rFonts w:cs="Times New Roman"/>
          <w:szCs w:val="21"/>
        </w:rPr>
        <w:t>轮，计算网络风险因素节点中感染状态节点比例随时间变化的平均值。如图</w:t>
      </w:r>
      <w:r w:rsidRPr="006437FB">
        <w:rPr>
          <w:rFonts w:cs="Times New Roman"/>
          <w:szCs w:val="21"/>
        </w:rPr>
        <w:t>7</w:t>
      </w:r>
      <w:r w:rsidRPr="006437FB">
        <w:rPr>
          <w:rFonts w:cs="Times New Roman"/>
          <w:szCs w:val="21"/>
        </w:rPr>
        <w:t>所示，对比四组风险传导结果，从电力管廊实际运行来看，设备故障多直接触发电力管廊事故，形成局部风险传导子网络，对整体电力管廊风险传导复杂网络的影响范围有限；而管理缺陷位于事故链条的起始位置，可通过网络中相关关联链路引发连锁反应，激活多个致因链条，使风险在整个网络中广泛传导。</w:t>
      </w:r>
    </w:p>
    <w:p w14:paraId="5C59F5F1" w14:textId="22FE0DD7" w:rsidR="000B1599" w:rsidRPr="006437FB" w:rsidRDefault="00000000">
      <w:pPr>
        <w:ind w:firstLine="420"/>
        <w:jc w:val="both"/>
        <w:rPr>
          <w:rFonts w:cs="Times New Roman"/>
          <w:szCs w:val="21"/>
        </w:rPr>
      </w:pPr>
      <w:r w:rsidRPr="006437FB">
        <w:rPr>
          <w:rFonts w:cs="Times New Roman"/>
          <w:szCs w:val="21"/>
        </w:rPr>
        <w:t>为降低节点结构位置对风险评估的干扰，兼顾实际工程中风险早期控制的需求，本文选取风险快速传导期的第</w:t>
      </w:r>
      <w:r w:rsidRPr="006437FB">
        <w:rPr>
          <w:rFonts w:cs="Times New Roman"/>
          <w:szCs w:val="21"/>
        </w:rPr>
        <w:t>50</w:t>
      </w:r>
      <w:r w:rsidRPr="006437FB">
        <w:rPr>
          <w:rFonts w:cs="Times New Roman"/>
          <w:szCs w:val="21"/>
        </w:rPr>
        <w:t>时间步分析节点动态风险传导能力。</w:t>
      </w:r>
      <w:r w:rsidRPr="006437FB">
        <w:rPr>
          <w:rFonts w:cs="Times New Roman"/>
          <w:szCs w:val="21"/>
        </w:rPr>
        <w:t>将第</w:t>
      </w:r>
      <w:r w:rsidRPr="006437FB">
        <w:rPr>
          <w:rFonts w:cs="Times New Roman"/>
          <w:szCs w:val="21"/>
        </w:rPr>
        <w:t>50</w:t>
      </w:r>
      <w:r w:rsidRPr="006437FB">
        <w:rPr>
          <w:rFonts w:cs="Times New Roman"/>
          <w:szCs w:val="21"/>
        </w:rPr>
        <w:t>时间步的</w:t>
      </w:r>
      <w:r w:rsidRPr="006437FB">
        <w:rPr>
          <w:rFonts w:cs="Times New Roman"/>
          <w:szCs w:val="21"/>
        </w:rPr>
        <w:t>I(t)</w:t>
      </w:r>
      <w:r w:rsidRPr="006437FB">
        <w:rPr>
          <w:rFonts w:cs="Times New Roman"/>
          <w:szCs w:val="21"/>
        </w:rPr>
        <w:t>值视为各节点的风险传导能力评分，风险传导能力排名前</w:t>
      </w:r>
      <w:r w:rsidRPr="006437FB">
        <w:rPr>
          <w:rFonts w:cs="Times New Roman"/>
          <w:szCs w:val="21"/>
        </w:rPr>
        <w:t>10</w:t>
      </w:r>
      <w:r w:rsidRPr="006437FB">
        <w:rPr>
          <w:rFonts w:cs="Times New Roman"/>
          <w:szCs w:val="21"/>
        </w:rPr>
        <w:t>的风险因素指标如表</w:t>
      </w:r>
      <w:r w:rsidR="007517D3" w:rsidRPr="006437FB">
        <w:rPr>
          <w:rFonts w:cs="Times New Roman"/>
          <w:szCs w:val="21"/>
        </w:rPr>
        <w:t>4</w:t>
      </w:r>
      <w:r w:rsidRPr="006437FB">
        <w:rPr>
          <w:rFonts w:cs="Times New Roman"/>
          <w:szCs w:val="21"/>
        </w:rPr>
        <w:t>所示。</w:t>
      </w:r>
    </w:p>
    <w:p w14:paraId="023CFD0A" w14:textId="59D13FBF"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表</w:t>
      </w:r>
      <w:r w:rsidR="007517D3" w:rsidRPr="006437FB">
        <w:rPr>
          <w:sz w:val="21"/>
          <w:szCs w:val="21"/>
        </w:rPr>
        <w:t>4</w:t>
      </w:r>
      <w:r w:rsidRPr="006437FB">
        <w:rPr>
          <w:sz w:val="21"/>
          <w:szCs w:val="21"/>
        </w:rPr>
        <w:t>：风险传导能力排名前</w:t>
      </w:r>
      <w:r w:rsidRPr="006437FB">
        <w:rPr>
          <w:sz w:val="21"/>
          <w:szCs w:val="21"/>
        </w:rPr>
        <w:t>10</w:t>
      </w:r>
      <w:r w:rsidRPr="006437FB">
        <w:rPr>
          <w:sz w:val="21"/>
          <w:szCs w:val="21"/>
        </w:rPr>
        <w:t>风险因素</w:t>
      </w:r>
    </w:p>
    <w:tbl>
      <w:tblPr>
        <w:tblStyle w:val="aa"/>
        <w:tblW w:w="5000" w:type="pct"/>
        <w:tblBorders>
          <w:top w:val="single" w:sz="4" w:space="0" w:color="000000"/>
          <w:left w:val="none" w:sz="0" w:space="0" w:color="auto"/>
          <w:bottom w:val="single" w:sz="4" w:space="0" w:color="000000"/>
          <w:right w:val="none" w:sz="0" w:space="0" w:color="auto"/>
          <w:insideH w:val="none" w:sz="0" w:space="0" w:color="auto"/>
          <w:insideV w:val="none" w:sz="0" w:space="0" w:color="auto"/>
        </w:tblBorders>
        <w:tblLook w:val="04A0" w:firstRow="1" w:lastRow="0" w:firstColumn="1" w:lastColumn="0" w:noHBand="0" w:noVBand="1"/>
      </w:tblPr>
      <w:tblGrid>
        <w:gridCol w:w="1152"/>
        <w:gridCol w:w="1196"/>
        <w:gridCol w:w="1152"/>
        <w:gridCol w:w="1219"/>
      </w:tblGrid>
      <w:tr w:rsidR="000B1599" w:rsidRPr="006437FB" w14:paraId="35648A37" w14:textId="77777777">
        <w:trPr>
          <w:trHeight w:val="282"/>
        </w:trPr>
        <w:tc>
          <w:tcPr>
            <w:tcW w:w="1220" w:type="pct"/>
            <w:tcBorders>
              <w:top w:val="single" w:sz="8" w:space="0" w:color="000000"/>
              <w:bottom w:val="single" w:sz="4" w:space="0" w:color="000000"/>
            </w:tcBorders>
            <w:vAlign w:val="center"/>
          </w:tcPr>
          <w:p w14:paraId="78C41DFB"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排名</w:t>
            </w:r>
          </w:p>
        </w:tc>
        <w:tc>
          <w:tcPr>
            <w:tcW w:w="1266" w:type="pct"/>
            <w:tcBorders>
              <w:top w:val="single" w:sz="8" w:space="0" w:color="000000"/>
              <w:bottom w:val="single" w:sz="4" w:space="0" w:color="000000"/>
            </w:tcBorders>
            <w:vAlign w:val="center"/>
          </w:tcPr>
          <w:p w14:paraId="16BF0C9E"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节点</w:t>
            </w:r>
          </w:p>
        </w:tc>
        <w:tc>
          <w:tcPr>
            <w:tcW w:w="1221" w:type="pct"/>
            <w:tcBorders>
              <w:top w:val="single" w:sz="8" w:space="0" w:color="000000"/>
              <w:bottom w:val="single" w:sz="4" w:space="0" w:color="000000"/>
            </w:tcBorders>
            <w:vAlign w:val="center"/>
          </w:tcPr>
          <w:p w14:paraId="3A53B921"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排名</w:t>
            </w:r>
          </w:p>
        </w:tc>
        <w:tc>
          <w:tcPr>
            <w:tcW w:w="1292" w:type="pct"/>
            <w:tcBorders>
              <w:top w:val="single" w:sz="8" w:space="0" w:color="000000"/>
              <w:bottom w:val="single" w:sz="4" w:space="0" w:color="000000"/>
            </w:tcBorders>
            <w:vAlign w:val="center"/>
          </w:tcPr>
          <w:p w14:paraId="38F1F584"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节点</w:t>
            </w:r>
          </w:p>
        </w:tc>
      </w:tr>
      <w:tr w:rsidR="000B1599" w:rsidRPr="006437FB" w14:paraId="0F4E6F85" w14:textId="77777777">
        <w:trPr>
          <w:trHeight w:val="282"/>
        </w:trPr>
        <w:tc>
          <w:tcPr>
            <w:tcW w:w="1220" w:type="pct"/>
            <w:tcBorders>
              <w:top w:val="single" w:sz="4" w:space="0" w:color="000000"/>
            </w:tcBorders>
            <w:vAlign w:val="center"/>
          </w:tcPr>
          <w:p w14:paraId="6D1741D6"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1</w:t>
            </w:r>
          </w:p>
        </w:tc>
        <w:tc>
          <w:tcPr>
            <w:tcW w:w="1266" w:type="pct"/>
            <w:tcBorders>
              <w:top w:val="single" w:sz="4" w:space="0" w:color="000000"/>
            </w:tcBorders>
            <w:vAlign w:val="center"/>
          </w:tcPr>
          <w:p w14:paraId="30459120"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M2</w:t>
            </w:r>
          </w:p>
        </w:tc>
        <w:tc>
          <w:tcPr>
            <w:tcW w:w="1221" w:type="pct"/>
            <w:tcBorders>
              <w:top w:val="single" w:sz="4" w:space="0" w:color="000000"/>
            </w:tcBorders>
            <w:vAlign w:val="center"/>
          </w:tcPr>
          <w:p w14:paraId="77DD3F21"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6</w:t>
            </w:r>
          </w:p>
        </w:tc>
        <w:tc>
          <w:tcPr>
            <w:tcW w:w="1292" w:type="pct"/>
            <w:tcBorders>
              <w:top w:val="single" w:sz="4" w:space="0" w:color="000000"/>
            </w:tcBorders>
            <w:vAlign w:val="center"/>
          </w:tcPr>
          <w:p w14:paraId="7DCBD244"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E14</w:t>
            </w:r>
          </w:p>
        </w:tc>
      </w:tr>
      <w:tr w:rsidR="000B1599" w:rsidRPr="006437FB" w14:paraId="26DF3B61" w14:textId="77777777">
        <w:tc>
          <w:tcPr>
            <w:tcW w:w="1220" w:type="pct"/>
            <w:vAlign w:val="center"/>
          </w:tcPr>
          <w:p w14:paraId="4F18FBAF"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2</w:t>
            </w:r>
          </w:p>
        </w:tc>
        <w:tc>
          <w:tcPr>
            <w:tcW w:w="1266" w:type="pct"/>
            <w:vAlign w:val="center"/>
          </w:tcPr>
          <w:p w14:paraId="0C7C5586"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M5</w:t>
            </w:r>
          </w:p>
        </w:tc>
        <w:tc>
          <w:tcPr>
            <w:tcW w:w="1221" w:type="pct"/>
            <w:vAlign w:val="center"/>
          </w:tcPr>
          <w:p w14:paraId="18E9AD34"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7</w:t>
            </w:r>
          </w:p>
        </w:tc>
        <w:tc>
          <w:tcPr>
            <w:tcW w:w="1292" w:type="pct"/>
            <w:vAlign w:val="center"/>
          </w:tcPr>
          <w:p w14:paraId="57A66E38"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E6</w:t>
            </w:r>
          </w:p>
        </w:tc>
      </w:tr>
      <w:tr w:rsidR="000B1599" w:rsidRPr="006437FB" w14:paraId="519CDF9C" w14:textId="77777777">
        <w:trPr>
          <w:trHeight w:val="292"/>
        </w:trPr>
        <w:tc>
          <w:tcPr>
            <w:tcW w:w="1220" w:type="pct"/>
            <w:vAlign w:val="center"/>
          </w:tcPr>
          <w:p w14:paraId="5CF5B454"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3</w:t>
            </w:r>
          </w:p>
        </w:tc>
        <w:tc>
          <w:tcPr>
            <w:tcW w:w="1266" w:type="pct"/>
            <w:vAlign w:val="center"/>
          </w:tcPr>
          <w:p w14:paraId="5913EE47"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M1</w:t>
            </w:r>
          </w:p>
        </w:tc>
        <w:tc>
          <w:tcPr>
            <w:tcW w:w="1221" w:type="pct"/>
            <w:vAlign w:val="center"/>
          </w:tcPr>
          <w:p w14:paraId="6CA90BFB"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8</w:t>
            </w:r>
          </w:p>
        </w:tc>
        <w:tc>
          <w:tcPr>
            <w:tcW w:w="1292" w:type="pct"/>
            <w:vAlign w:val="center"/>
          </w:tcPr>
          <w:p w14:paraId="2C3D957E"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E4</w:t>
            </w:r>
          </w:p>
        </w:tc>
      </w:tr>
      <w:tr w:rsidR="000B1599" w:rsidRPr="006437FB" w14:paraId="3D47F29C" w14:textId="77777777">
        <w:tc>
          <w:tcPr>
            <w:tcW w:w="1220" w:type="pct"/>
            <w:vAlign w:val="center"/>
          </w:tcPr>
          <w:p w14:paraId="0A3B3F8A"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4</w:t>
            </w:r>
          </w:p>
        </w:tc>
        <w:tc>
          <w:tcPr>
            <w:tcW w:w="1266" w:type="pct"/>
            <w:vAlign w:val="center"/>
          </w:tcPr>
          <w:p w14:paraId="1E0138C6"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E8</w:t>
            </w:r>
          </w:p>
        </w:tc>
        <w:tc>
          <w:tcPr>
            <w:tcW w:w="1221" w:type="pct"/>
            <w:vAlign w:val="center"/>
          </w:tcPr>
          <w:p w14:paraId="2FEBBAC7"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9</w:t>
            </w:r>
          </w:p>
        </w:tc>
        <w:tc>
          <w:tcPr>
            <w:tcW w:w="1292" w:type="pct"/>
            <w:vAlign w:val="center"/>
          </w:tcPr>
          <w:p w14:paraId="01693CA3"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F4</w:t>
            </w:r>
          </w:p>
        </w:tc>
      </w:tr>
      <w:tr w:rsidR="000B1599" w:rsidRPr="006437FB" w14:paraId="0C3CA581" w14:textId="77777777">
        <w:tc>
          <w:tcPr>
            <w:tcW w:w="1220" w:type="pct"/>
            <w:tcBorders>
              <w:bottom w:val="single" w:sz="8" w:space="0" w:color="000000"/>
            </w:tcBorders>
            <w:vAlign w:val="center"/>
          </w:tcPr>
          <w:p w14:paraId="0C3329C3"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5</w:t>
            </w:r>
          </w:p>
        </w:tc>
        <w:tc>
          <w:tcPr>
            <w:tcW w:w="1266" w:type="pct"/>
            <w:tcBorders>
              <w:bottom w:val="single" w:sz="8" w:space="0" w:color="000000"/>
            </w:tcBorders>
            <w:vAlign w:val="center"/>
          </w:tcPr>
          <w:p w14:paraId="21D5C9AD"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F8</w:t>
            </w:r>
          </w:p>
        </w:tc>
        <w:tc>
          <w:tcPr>
            <w:tcW w:w="1221" w:type="pct"/>
            <w:tcBorders>
              <w:bottom w:val="single" w:sz="8" w:space="0" w:color="000000"/>
            </w:tcBorders>
            <w:vAlign w:val="center"/>
          </w:tcPr>
          <w:p w14:paraId="21A6AF4B"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10</w:t>
            </w:r>
          </w:p>
        </w:tc>
        <w:tc>
          <w:tcPr>
            <w:tcW w:w="1292" w:type="pct"/>
            <w:tcBorders>
              <w:bottom w:val="single" w:sz="8" w:space="0" w:color="000000"/>
            </w:tcBorders>
            <w:vAlign w:val="center"/>
          </w:tcPr>
          <w:p w14:paraId="129F81A0" w14:textId="77777777" w:rsidR="000B1599" w:rsidRPr="006437FB" w:rsidRDefault="00000000">
            <w:pPr>
              <w:pStyle w:val="a7"/>
              <w:widowControl/>
              <w:spacing w:beforeAutospacing="0" w:afterAutospacing="0"/>
              <w:ind w:firstLineChars="0" w:firstLine="0"/>
              <w:jc w:val="center"/>
              <w:rPr>
                <w:sz w:val="21"/>
                <w:szCs w:val="21"/>
              </w:rPr>
            </w:pPr>
            <w:r w:rsidRPr="006437FB">
              <w:rPr>
                <w:sz w:val="21"/>
                <w:szCs w:val="21"/>
              </w:rPr>
              <w:t>H4</w:t>
            </w:r>
          </w:p>
        </w:tc>
      </w:tr>
    </w:tbl>
    <w:p w14:paraId="0DA5F931" w14:textId="77777777" w:rsidR="000B1599" w:rsidRPr="006437FB" w:rsidRDefault="00000000">
      <w:pPr>
        <w:pStyle w:val="a7"/>
        <w:widowControl/>
        <w:spacing w:beforeAutospacing="0" w:afterAutospacing="0"/>
        <w:ind w:firstLine="420"/>
        <w:jc w:val="both"/>
        <w:rPr>
          <w:sz w:val="21"/>
          <w:szCs w:val="21"/>
        </w:rPr>
      </w:pPr>
      <w:r w:rsidRPr="006437FB">
        <w:rPr>
          <w:sz w:val="21"/>
          <w:szCs w:val="21"/>
        </w:rPr>
        <w:t>动态风险传导能力排名前</w:t>
      </w:r>
      <w:r w:rsidRPr="006437FB">
        <w:rPr>
          <w:sz w:val="21"/>
          <w:szCs w:val="21"/>
        </w:rPr>
        <w:t>10</w:t>
      </w:r>
      <w:r w:rsidRPr="006437FB">
        <w:rPr>
          <w:sz w:val="21"/>
          <w:szCs w:val="21"/>
        </w:rPr>
        <w:t>的因素中管理（</w:t>
      </w:r>
      <w:r w:rsidRPr="006437FB">
        <w:rPr>
          <w:sz w:val="21"/>
          <w:szCs w:val="21"/>
        </w:rPr>
        <w:t>M</w:t>
      </w:r>
      <w:r w:rsidRPr="006437FB">
        <w:rPr>
          <w:sz w:val="21"/>
          <w:szCs w:val="21"/>
        </w:rPr>
        <w:t>）和环境（</w:t>
      </w:r>
      <w:r w:rsidRPr="006437FB">
        <w:rPr>
          <w:sz w:val="21"/>
          <w:szCs w:val="21"/>
        </w:rPr>
        <w:t>E</w:t>
      </w:r>
      <w:r w:rsidRPr="006437FB">
        <w:rPr>
          <w:sz w:val="21"/>
          <w:szCs w:val="21"/>
        </w:rPr>
        <w:t>）因素占比高达</w:t>
      </w:r>
      <w:r w:rsidRPr="006437FB">
        <w:rPr>
          <w:sz w:val="21"/>
          <w:szCs w:val="21"/>
        </w:rPr>
        <w:t>70%</w:t>
      </w:r>
      <w:r w:rsidRPr="006437FB">
        <w:rPr>
          <w:sz w:val="21"/>
          <w:szCs w:val="21"/>
        </w:rPr>
        <w:t>，凸显了管理和环境风险在电力管廊中的风险传导能力和防控必要性。</w:t>
      </w:r>
      <w:r w:rsidRPr="006437FB">
        <w:rPr>
          <w:sz w:val="21"/>
          <w:szCs w:val="21"/>
        </w:rPr>
        <w:t>M2</w:t>
      </w:r>
      <w:r w:rsidRPr="006437FB">
        <w:rPr>
          <w:sz w:val="21"/>
          <w:szCs w:val="21"/>
        </w:rPr>
        <w:t>节点风险传导能力评分排名第一，其缺陷易导致风险责任界定模糊、追责机制失效，局部风险失去约束而自由传导，强调需强化责任制的落实，明确各管段、各设备的责任主体；</w:t>
      </w:r>
      <w:r w:rsidRPr="006437FB">
        <w:rPr>
          <w:sz w:val="21"/>
          <w:szCs w:val="21"/>
        </w:rPr>
        <w:t>E8</w:t>
      </w:r>
      <w:r w:rsidRPr="006437FB">
        <w:rPr>
          <w:sz w:val="21"/>
          <w:szCs w:val="21"/>
        </w:rPr>
        <w:t>节点可直接引发电力管廊结构损伤，指导风险防控优化需加强地质监测，对易发生地质环境变动的区域提前采取加固措施。本节基于动态风险传导能力研究与静态结构分析（设备因素占比</w:t>
      </w:r>
      <w:r w:rsidRPr="006437FB">
        <w:rPr>
          <w:sz w:val="21"/>
          <w:szCs w:val="21"/>
        </w:rPr>
        <w:t>50%</w:t>
      </w:r>
      <w:r w:rsidRPr="006437FB">
        <w:rPr>
          <w:sz w:val="21"/>
          <w:szCs w:val="21"/>
        </w:rPr>
        <w:t>）所发现的关键风险因素存在差异。静态结构分析聚焦于节点自身的局部影响力及其在网络中的枢纽地位，更侧重于评估单一节点失效对网络连通性和风险传导的潜在影响。相反，动态风险传导分析则着眼于风险沿事件链的实际传导过程及其级联效应，管理因素扮演着系统</w:t>
      </w:r>
      <w:r w:rsidRPr="006437FB">
        <w:rPr>
          <w:sz w:val="21"/>
          <w:szCs w:val="21"/>
        </w:rPr>
        <w:t>“</w:t>
      </w:r>
      <w:r w:rsidRPr="006437FB">
        <w:rPr>
          <w:sz w:val="21"/>
          <w:szCs w:val="21"/>
        </w:rPr>
        <w:t>控制中枢</w:t>
      </w:r>
      <w:r w:rsidRPr="006437FB">
        <w:rPr>
          <w:sz w:val="21"/>
          <w:szCs w:val="21"/>
        </w:rPr>
        <w:t>”</w:t>
      </w:r>
      <w:r w:rsidRPr="006437FB">
        <w:rPr>
          <w:sz w:val="21"/>
          <w:szCs w:val="21"/>
        </w:rPr>
        <w:t>的角色，具有较强的全局连通性，局部风险传导难以有效控制，从而更易导致风险级联传导。因此，静态结构分析揭示了关键脆弱点，可指导风险防控实施定期检修与长期监测策略，而动态风险传导分析则揭示了网络中的</w:t>
      </w:r>
      <w:r w:rsidRPr="006437FB">
        <w:rPr>
          <w:sz w:val="21"/>
          <w:szCs w:val="21"/>
        </w:rPr>
        <w:t>“</w:t>
      </w:r>
      <w:r w:rsidRPr="006437FB">
        <w:rPr>
          <w:sz w:val="21"/>
          <w:szCs w:val="21"/>
        </w:rPr>
        <w:t>风险超级传播者</w:t>
      </w:r>
      <w:r w:rsidRPr="006437FB">
        <w:rPr>
          <w:sz w:val="21"/>
          <w:szCs w:val="21"/>
        </w:rPr>
        <w:t>”</w:t>
      </w:r>
      <w:r w:rsidRPr="006437FB">
        <w:rPr>
          <w:sz w:val="21"/>
          <w:szCs w:val="21"/>
        </w:rPr>
        <w:t>，为风险防控的事件链阻断提供了方向，二者结合有利于更全面、更有效地实现电力管廊风险防控优化。</w:t>
      </w:r>
    </w:p>
    <w:p w14:paraId="33559089" w14:textId="77777777" w:rsidR="000B1599" w:rsidRPr="006437FB" w:rsidRDefault="000B1599">
      <w:pPr>
        <w:ind w:firstLine="420"/>
        <w:jc w:val="both"/>
        <w:rPr>
          <w:rFonts w:cs="Times New Roman"/>
          <w:szCs w:val="21"/>
        </w:rPr>
        <w:sectPr w:rsidR="000B1599" w:rsidRPr="006437FB">
          <w:type w:val="continuous"/>
          <w:pgSz w:w="11906" w:h="16838"/>
          <w:pgMar w:top="1985" w:right="1021" w:bottom="1021" w:left="1021" w:header="851" w:footer="992" w:gutter="0"/>
          <w:cols w:num="2" w:space="425"/>
          <w:docGrid w:type="lines" w:linePitch="288"/>
        </w:sectPr>
      </w:pPr>
    </w:p>
    <w:p w14:paraId="7496B966" w14:textId="77777777" w:rsidR="000B1599" w:rsidRPr="006437FB" w:rsidRDefault="00000000">
      <w:pPr>
        <w:ind w:firstLineChars="0" w:firstLine="0"/>
        <w:jc w:val="center"/>
        <w:rPr>
          <w:rFonts w:cs="Times New Roman"/>
          <w:szCs w:val="21"/>
        </w:rPr>
      </w:pPr>
      <w:bookmarkStart w:id="7" w:name="_Hlk204779110"/>
      <w:r w:rsidRPr="006437FB">
        <w:rPr>
          <w:rFonts w:cs="Times New Roman"/>
          <w:noProof/>
          <w:szCs w:val="21"/>
        </w:rPr>
        <w:lastRenderedPageBreak/>
        <w:drawing>
          <wp:inline distT="0" distB="0" distL="0" distR="0" wp14:anchorId="4105C3B5" wp14:editId="1531C26F">
            <wp:extent cx="5039995" cy="4432300"/>
            <wp:effectExtent l="0" t="0" r="8255" b="6350"/>
            <wp:docPr id="1676878863" name="图片 4" descr="图形用户界面, 图表&#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878863" name="图片 4" descr="图形用户界面, 图表&#10;&#10;AI 生成的内容可能不正确。"/>
                    <pic:cNvPicPr>
                      <a:picLocks noChangeAspect="1" noChangeArrowheads="1"/>
                    </pic:cNvPicPr>
                  </pic:nvPicPr>
                  <pic:blipFill>
                    <a:blip r:embed="rId186" cstate="print">
                      <a:extLst>
                        <a:ext uri="{28A0092B-C50C-407E-A947-70E740481C1C}">
                          <a14:useLocalDpi xmlns:a14="http://schemas.microsoft.com/office/drawing/2010/main" val="0"/>
                        </a:ext>
                      </a:extLst>
                    </a:blip>
                    <a:srcRect/>
                    <a:stretch>
                      <a:fillRect/>
                    </a:stretch>
                  </pic:blipFill>
                  <pic:spPr>
                    <a:xfrm>
                      <a:off x="0" y="0"/>
                      <a:ext cx="5040000" cy="4432421"/>
                    </a:xfrm>
                    <a:prstGeom prst="rect">
                      <a:avLst/>
                    </a:prstGeom>
                    <a:noFill/>
                  </pic:spPr>
                </pic:pic>
              </a:graphicData>
            </a:graphic>
          </wp:inline>
        </w:drawing>
      </w:r>
    </w:p>
    <w:bookmarkEnd w:id="7"/>
    <w:p w14:paraId="555371E5" w14:textId="77777777" w:rsidR="000B1599" w:rsidRPr="006437FB" w:rsidRDefault="00000000">
      <w:pPr>
        <w:ind w:firstLineChars="0" w:firstLine="0"/>
        <w:jc w:val="center"/>
        <w:rPr>
          <w:rFonts w:cs="Times New Roman"/>
          <w:szCs w:val="21"/>
        </w:rPr>
        <w:sectPr w:rsidR="000B1599" w:rsidRPr="006437FB">
          <w:type w:val="continuous"/>
          <w:pgSz w:w="11906" w:h="16838"/>
          <w:pgMar w:top="1985" w:right="1021" w:bottom="1021" w:left="1021" w:header="851" w:footer="992" w:gutter="0"/>
          <w:cols w:space="425"/>
          <w:docGrid w:type="lines" w:linePitch="288"/>
        </w:sectPr>
      </w:pPr>
      <w:r w:rsidRPr="006437FB">
        <w:rPr>
          <w:rFonts w:cs="Times New Roman"/>
          <w:szCs w:val="21"/>
        </w:rPr>
        <w:t>图</w:t>
      </w:r>
      <w:r w:rsidRPr="006437FB">
        <w:rPr>
          <w:rFonts w:cs="Times New Roman"/>
          <w:szCs w:val="21"/>
        </w:rPr>
        <w:t>7</w:t>
      </w:r>
      <w:r w:rsidRPr="006437FB">
        <w:rPr>
          <w:rFonts w:cs="Times New Roman"/>
          <w:szCs w:val="21"/>
        </w:rPr>
        <w:t>：不同组初始触发因素下感染状态节点比例随时间变化</w:t>
      </w:r>
    </w:p>
    <w:p w14:paraId="7D453122" w14:textId="77777777" w:rsidR="000B1599" w:rsidRPr="006437FB" w:rsidRDefault="00000000">
      <w:pPr>
        <w:keepNext/>
        <w:widowControl/>
        <w:spacing w:line="240" w:lineRule="atLeast"/>
        <w:ind w:firstLineChars="0" w:firstLine="0"/>
        <w:jc w:val="both"/>
        <w:outlineLvl w:val="1"/>
        <w:rPr>
          <w:rFonts w:cs="Times New Roman"/>
          <w:b/>
          <w:kern w:val="0"/>
          <w:szCs w:val="21"/>
        </w:rPr>
      </w:pPr>
      <w:r w:rsidRPr="006437FB">
        <w:rPr>
          <w:rFonts w:cs="Times New Roman"/>
          <w:b/>
          <w:kern w:val="0"/>
          <w:szCs w:val="21"/>
        </w:rPr>
        <w:t>3.3</w:t>
      </w:r>
      <w:r w:rsidRPr="006437FB">
        <w:rPr>
          <w:rFonts w:cs="Times New Roman"/>
          <w:b/>
          <w:kern w:val="0"/>
          <w:szCs w:val="21"/>
        </w:rPr>
        <w:t>整体风险水平特征对风险传导的影响</w:t>
      </w:r>
    </w:p>
    <w:p w14:paraId="627AE879" w14:textId="77777777" w:rsidR="000B1599" w:rsidRPr="006437FB" w:rsidRDefault="00000000">
      <w:pPr>
        <w:ind w:firstLine="420"/>
        <w:jc w:val="both"/>
        <w:rPr>
          <w:rFonts w:cs="Times New Roman"/>
          <w:szCs w:val="21"/>
        </w:rPr>
      </w:pPr>
      <w:r w:rsidRPr="006437FB">
        <w:rPr>
          <w:rFonts w:cs="Times New Roman"/>
          <w:szCs w:val="21"/>
        </w:rPr>
        <w:t>电力管廊舱室环境失稳及管线老化等将导致系统固有风险水平升高，本节通过整体风险传导参数</w:t>
      </w:r>
      <w:r w:rsidRPr="006437FB">
        <w:rPr>
          <w:rFonts w:cs="Times New Roman"/>
          <w:position w:val="-6"/>
        </w:rPr>
        <w:object w:dxaOrig="180" w:dyaOrig="270" w14:anchorId="30FCE156">
          <v:shape id="_x0000_i1111" type="#_x0000_t75" style="width:9pt;height:13.5pt" o:ole="">
            <v:imagedata r:id="rId187" o:title=""/>
          </v:shape>
          <o:OLEObject Type="Embed" ProgID="Equation.DSMT4" ShapeID="_x0000_i1111" DrawAspect="Content" ObjectID="_1845028574" r:id="rId188"/>
        </w:object>
      </w:r>
      <w:r w:rsidRPr="006437FB">
        <w:rPr>
          <w:rFonts w:cs="Times New Roman"/>
          <w:szCs w:val="21"/>
        </w:rPr>
        <w:t>分析其对电力管廊风险传导的影响。固定</w:t>
      </w:r>
      <w:r w:rsidRPr="006437FB">
        <w:rPr>
          <w:rFonts w:cs="Times New Roman"/>
          <w:szCs w:val="21"/>
        </w:rPr>
        <w:t>γ=0.6</w:t>
      </w:r>
      <w:r w:rsidRPr="006437FB">
        <w:rPr>
          <w:rFonts w:cs="Times New Roman"/>
          <w:szCs w:val="21"/>
        </w:rPr>
        <w:t>、</w:t>
      </w:r>
      <w:r w:rsidRPr="006437FB">
        <w:rPr>
          <w:rFonts w:cs="Times New Roman"/>
          <w:szCs w:val="21"/>
        </w:rPr>
        <w:t>μ=0.05</w:t>
      </w:r>
      <w:r w:rsidRPr="006437FB">
        <w:rPr>
          <w:rFonts w:cs="Times New Roman"/>
          <w:szCs w:val="21"/>
        </w:rPr>
        <w:t>、</w:t>
      </w:r>
      <w:r w:rsidRPr="006437FB">
        <w:rPr>
          <w:rFonts w:cs="Times New Roman"/>
          <w:position w:val="-6"/>
        </w:rPr>
        <w:object w:dxaOrig="180" w:dyaOrig="200" w14:anchorId="705D5EE1">
          <v:shape id="_x0000_i1112" type="#_x0000_t75" style="width:9pt;height:9.75pt" o:ole="">
            <v:imagedata r:id="rId189" o:title=""/>
          </v:shape>
          <o:OLEObject Type="Embed" ProgID="Equation.DSMT4" ShapeID="_x0000_i1112" DrawAspect="Content" ObjectID="_1845028575" r:id="rId190"/>
        </w:object>
      </w:r>
      <w:r w:rsidRPr="006437FB">
        <w:rPr>
          <w:rFonts w:cs="Times New Roman"/>
          <w:szCs w:val="21"/>
        </w:rPr>
        <w:t>=0.4</w:t>
      </w:r>
      <w:r w:rsidRPr="006437FB">
        <w:rPr>
          <w:rFonts w:cs="Times New Roman"/>
          <w:szCs w:val="21"/>
        </w:rPr>
        <w:t>、</w:t>
      </w:r>
      <w:r w:rsidRPr="006437FB">
        <w:rPr>
          <w:rFonts w:cs="Times New Roman"/>
          <w:szCs w:val="21"/>
        </w:rPr>
        <w:t>t</w:t>
      </w:r>
      <w:r w:rsidRPr="006437FB">
        <w:rPr>
          <w:rFonts w:cs="Times New Roman"/>
          <w:szCs w:val="21"/>
          <w:vertAlign w:val="subscript"/>
        </w:rPr>
        <w:t>控制</w:t>
      </w:r>
      <w:r w:rsidRPr="006437FB">
        <w:rPr>
          <w:rFonts w:cs="Times New Roman"/>
          <w:szCs w:val="21"/>
        </w:rPr>
        <w:t>=50</w:t>
      </w:r>
      <w:r w:rsidRPr="006437FB">
        <w:rPr>
          <w:rFonts w:cs="Times New Roman"/>
          <w:szCs w:val="21"/>
        </w:rPr>
        <w:t>，设置</w:t>
      </w:r>
      <w:r w:rsidRPr="006437FB">
        <w:rPr>
          <w:rFonts w:cs="Times New Roman"/>
          <w:szCs w:val="21"/>
        </w:rPr>
        <w:t>k</w:t>
      </w:r>
      <w:r w:rsidRPr="006437FB">
        <w:rPr>
          <w:rFonts w:ascii="宋体" w:hAnsi="宋体" w:cs="宋体" w:hint="eastAsia"/>
          <w:szCs w:val="21"/>
        </w:rPr>
        <w:t>∈</w:t>
      </w:r>
      <w:r w:rsidRPr="006437FB">
        <w:rPr>
          <w:rFonts w:cs="Times New Roman"/>
          <w:szCs w:val="21"/>
        </w:rPr>
        <w:t>{0.2, 0.4,0.6, 0.8, 1.0}</w:t>
      </w:r>
      <w:r w:rsidRPr="006437FB">
        <w:rPr>
          <w:rFonts w:cs="Times New Roman"/>
          <w:szCs w:val="21"/>
        </w:rPr>
        <w:t>，并以静态结构分析和动态风险传导能力分析均处于前列的节点</w:t>
      </w:r>
      <w:r w:rsidRPr="006437FB">
        <w:rPr>
          <w:rFonts w:cs="Times New Roman"/>
          <w:szCs w:val="21"/>
        </w:rPr>
        <w:t>M2</w:t>
      </w:r>
      <w:r w:rsidRPr="006437FB">
        <w:rPr>
          <w:rFonts w:cs="Times New Roman"/>
          <w:szCs w:val="21"/>
        </w:rPr>
        <w:t>为初始触发节点，开展</w:t>
      </w:r>
      <w:r w:rsidRPr="006437FB">
        <w:rPr>
          <w:rFonts w:cs="Times New Roman"/>
          <w:szCs w:val="21"/>
        </w:rPr>
        <w:t>1000</w:t>
      </w:r>
      <w:r w:rsidRPr="006437FB">
        <w:rPr>
          <w:rFonts w:cs="Times New Roman"/>
          <w:szCs w:val="21"/>
        </w:rPr>
        <w:t>轮模拟，计算感染状态节点比例（</w:t>
      </w:r>
      <w:r w:rsidRPr="006437FB">
        <w:rPr>
          <w:rFonts w:cs="Times New Roman"/>
          <w:szCs w:val="21"/>
        </w:rPr>
        <w:t>I(t)</w:t>
      </w:r>
      <w:r w:rsidRPr="006437FB">
        <w:rPr>
          <w:rFonts w:cs="Times New Roman"/>
          <w:szCs w:val="21"/>
        </w:rPr>
        <w:t>）随时间变化的平均值，如图</w:t>
      </w:r>
      <w:r w:rsidRPr="006437FB">
        <w:rPr>
          <w:rFonts w:cs="Times New Roman"/>
          <w:szCs w:val="21"/>
        </w:rPr>
        <w:t>8</w:t>
      </w:r>
      <w:r w:rsidRPr="006437FB">
        <w:rPr>
          <w:rFonts w:cs="Times New Roman"/>
          <w:szCs w:val="21"/>
        </w:rPr>
        <w:t>所示。</w:t>
      </w:r>
    </w:p>
    <w:p w14:paraId="2035655E" w14:textId="77777777" w:rsidR="000B1599" w:rsidRPr="006437FB" w:rsidRDefault="00000000">
      <w:pPr>
        <w:ind w:firstLine="420"/>
        <w:rPr>
          <w:rFonts w:cs="Times New Roman"/>
          <w:szCs w:val="21"/>
        </w:rPr>
      </w:pPr>
      <w:r w:rsidRPr="006437FB">
        <w:rPr>
          <w:rFonts w:cs="Times New Roman"/>
          <w:szCs w:val="21"/>
        </w:rPr>
        <w:t>在电力管廊风险防控场景中，整体风险传导参数</w:t>
      </w:r>
      <w:r w:rsidRPr="006437FB">
        <w:rPr>
          <w:rFonts w:cs="Times New Roman"/>
          <w:position w:val="-6"/>
        </w:rPr>
        <w:object w:dxaOrig="180" w:dyaOrig="270" w14:anchorId="490DD83F">
          <v:shape id="_x0000_i1113" type="#_x0000_t75" style="width:9pt;height:13.5pt" o:ole="">
            <v:imagedata r:id="rId191" o:title=""/>
          </v:shape>
          <o:OLEObject Type="Embed" ProgID="Equation.DSMT4" ShapeID="_x0000_i1113" DrawAspect="Content" ObjectID="_1845028576" r:id="rId192"/>
        </w:object>
      </w:r>
      <w:r w:rsidRPr="006437FB">
        <w:rPr>
          <w:rFonts w:cs="Times New Roman"/>
          <w:szCs w:val="21"/>
        </w:rPr>
        <w:t>对风险传导的动态过程具有显著影响。随着</w:t>
      </w:r>
      <w:r w:rsidRPr="006437FB">
        <w:rPr>
          <w:rFonts w:cs="Times New Roman"/>
          <w:position w:val="-6"/>
        </w:rPr>
        <w:object w:dxaOrig="180" w:dyaOrig="270" w14:anchorId="332DC221">
          <v:shape id="_x0000_i1114" type="#_x0000_t75" style="width:9pt;height:13.5pt" o:ole="">
            <v:imagedata r:id="rId193" o:title=""/>
          </v:shape>
          <o:OLEObject Type="Embed" ProgID="Equation.DSMT4" ShapeID="_x0000_i1114" DrawAspect="Content" ObjectID="_1845028577" r:id="rId194"/>
        </w:object>
      </w:r>
      <w:r w:rsidRPr="006437FB">
        <w:rPr>
          <w:rFonts w:cs="Times New Roman"/>
          <w:szCs w:val="21"/>
        </w:rPr>
        <w:t>即电力管廊本身固有风险水平的增大，风险传导速度明显增加，</w:t>
      </w:r>
      <w:bookmarkStart w:id="8" w:name="_Hlk204801633"/>
      <w:r w:rsidRPr="006437FB">
        <w:rPr>
          <w:rFonts w:cs="Times New Roman"/>
          <w:szCs w:val="21"/>
        </w:rPr>
        <w:t>I(t)</w:t>
      </w:r>
      <w:bookmarkEnd w:id="8"/>
      <w:r w:rsidRPr="006437FB">
        <w:rPr>
          <w:rFonts w:cs="Times New Roman"/>
          <w:szCs w:val="21"/>
        </w:rPr>
        <w:t>峰值呈现逐步上升趋势，揭示了风险传导速率和范围与</w:t>
      </w:r>
      <w:r w:rsidRPr="006437FB">
        <w:rPr>
          <w:rFonts w:cs="Times New Roman"/>
          <w:position w:val="-6"/>
        </w:rPr>
        <w:object w:dxaOrig="180" w:dyaOrig="270" w14:anchorId="7D7D2C46">
          <v:shape id="_x0000_i1115" type="#_x0000_t75" style="width:9pt;height:13.5pt" o:ole="">
            <v:imagedata r:id="rId195" o:title=""/>
          </v:shape>
          <o:OLEObject Type="Embed" ProgID="Equation.DSMT4" ShapeID="_x0000_i1115" DrawAspect="Content" ObjectID="_1845028578" r:id="rId196"/>
        </w:object>
      </w:r>
      <w:r w:rsidRPr="006437FB">
        <w:rPr>
          <w:rFonts w:cs="Times New Roman"/>
          <w:szCs w:val="21"/>
        </w:rPr>
        <w:t>大小呈正相关，高</w:t>
      </w:r>
      <w:r w:rsidRPr="006437FB">
        <w:rPr>
          <w:rFonts w:cs="Times New Roman"/>
          <w:position w:val="-6"/>
        </w:rPr>
        <w:object w:dxaOrig="180" w:dyaOrig="270" w14:anchorId="461873CA">
          <v:shape id="_x0000_i1116" type="#_x0000_t75" style="width:9pt;height:13.5pt" o:ole="">
            <v:imagedata r:id="rId197" o:title=""/>
          </v:shape>
          <o:OLEObject Type="Embed" ProgID="Equation.DSMT4" ShapeID="_x0000_i1116" DrawAspect="Content" ObjectID="_1845028579" r:id="rId198"/>
        </w:object>
      </w:r>
      <w:r w:rsidRPr="006437FB">
        <w:rPr>
          <w:rFonts w:cs="Times New Roman"/>
          <w:szCs w:val="21"/>
        </w:rPr>
        <w:t>值下电力管廊风险更大。随着</w:t>
      </w:r>
      <w:r w:rsidRPr="006437FB">
        <w:rPr>
          <w:rFonts w:cs="Times New Roman"/>
          <w:position w:val="-6"/>
        </w:rPr>
        <w:object w:dxaOrig="180" w:dyaOrig="270" w14:anchorId="331ED7B0">
          <v:shape id="_x0000_i1117" type="#_x0000_t75" style="width:9pt;height:13.5pt" o:ole="">
            <v:imagedata r:id="rId199" o:title=""/>
          </v:shape>
          <o:OLEObject Type="Embed" ProgID="Equation.DSMT4" ShapeID="_x0000_i1117" DrawAspect="Content" ObjectID="_1845028580" r:id="rId200"/>
        </w:object>
      </w:r>
      <w:r w:rsidRPr="006437FB">
        <w:rPr>
          <w:rFonts w:cs="Times New Roman"/>
          <w:szCs w:val="21"/>
        </w:rPr>
        <w:t>增大，</w:t>
      </w:r>
      <w:r w:rsidRPr="006437FB">
        <w:rPr>
          <w:rFonts w:cs="Times New Roman"/>
          <w:szCs w:val="21"/>
        </w:rPr>
        <w:t>I(t)</w:t>
      </w:r>
      <w:r w:rsidRPr="006437FB">
        <w:rPr>
          <w:rFonts w:cs="Times New Roman"/>
          <w:szCs w:val="21"/>
        </w:rPr>
        <w:t>峰值和达峰速度逐渐增大，且当</w:t>
      </w:r>
      <w:r w:rsidRPr="006437FB">
        <w:rPr>
          <w:rFonts w:cs="Times New Roman"/>
          <w:position w:val="-6"/>
        </w:rPr>
        <w:object w:dxaOrig="180" w:dyaOrig="270" w14:anchorId="41454378">
          <v:shape id="_x0000_i1118" type="#_x0000_t75" style="width:9pt;height:13.5pt" o:ole="">
            <v:imagedata r:id="rId201" o:title=""/>
          </v:shape>
          <o:OLEObject Type="Embed" ProgID="Equation.DSMT4" ShapeID="_x0000_i1118" DrawAspect="Content" ObjectID="_1845028581" r:id="rId202"/>
        </w:object>
      </w:r>
      <w:r w:rsidRPr="006437FB">
        <w:rPr>
          <w:rFonts w:cs="Times New Roman"/>
          <w:szCs w:val="21"/>
        </w:rPr>
        <w:t>小于</w:t>
      </w:r>
      <w:r w:rsidRPr="006437FB">
        <w:rPr>
          <w:rFonts w:cs="Times New Roman"/>
          <w:szCs w:val="21"/>
        </w:rPr>
        <w:t>0.8</w:t>
      </w:r>
      <w:r w:rsidRPr="006437FB">
        <w:rPr>
          <w:rFonts w:cs="Times New Roman"/>
          <w:szCs w:val="21"/>
        </w:rPr>
        <w:t>时，</w:t>
      </w:r>
      <w:r w:rsidRPr="006437FB">
        <w:rPr>
          <w:rFonts w:cs="Times New Roman"/>
          <w:szCs w:val="21"/>
        </w:rPr>
        <w:t>I(t)</w:t>
      </w:r>
      <w:r w:rsidRPr="006437FB">
        <w:rPr>
          <w:rFonts w:cs="Times New Roman"/>
          <w:szCs w:val="21"/>
        </w:rPr>
        <w:t>受</w:t>
      </w:r>
      <w:r w:rsidRPr="006437FB">
        <w:rPr>
          <w:rFonts w:cs="Times New Roman"/>
          <w:position w:val="-6"/>
        </w:rPr>
        <w:object w:dxaOrig="180" w:dyaOrig="270" w14:anchorId="193A25D7">
          <v:shape id="_x0000_i1119" type="#_x0000_t75" style="width:9pt;height:13.5pt" o:ole="">
            <v:imagedata r:id="rId203" o:title=""/>
          </v:shape>
          <o:OLEObject Type="Embed" ProgID="Equation.DSMT4" ShapeID="_x0000_i1119" DrawAspect="Content" ObjectID="_1845028582" r:id="rId204"/>
        </w:object>
      </w:r>
      <w:r w:rsidRPr="006437FB">
        <w:rPr>
          <w:rFonts w:cs="Times New Roman"/>
          <w:szCs w:val="21"/>
        </w:rPr>
        <w:t>大小影响相对较大，增幅大于</w:t>
      </w:r>
      <w:r w:rsidRPr="006437FB">
        <w:rPr>
          <w:rFonts w:cs="Times New Roman"/>
          <w:szCs w:val="21"/>
        </w:rPr>
        <w:t>30%</w:t>
      </w:r>
      <w:r w:rsidRPr="006437FB">
        <w:rPr>
          <w:rFonts w:cs="Times New Roman"/>
          <w:szCs w:val="21"/>
        </w:rPr>
        <w:t>，即舱室和环境的微小状态变化就会对风险传导产生显著影响，比如轻微的管线绝缘层损坏，在特定环境下就可能快速引发更大范围的风险传导；同时，在开始采取控制措施后，</w:t>
      </w:r>
      <w:r w:rsidRPr="006437FB">
        <w:rPr>
          <w:rFonts w:cs="Times New Roman"/>
          <w:position w:val="-6"/>
        </w:rPr>
        <w:object w:dxaOrig="180" w:dyaOrig="270" w14:anchorId="66CA7B60">
          <v:shape id="_x0000_i1120" type="#_x0000_t75" style="width:9pt;height:13.5pt" o:ole="">
            <v:imagedata r:id="rId205" o:title=""/>
          </v:shape>
          <o:OLEObject Type="Embed" ProgID="Equation.DSMT4" ShapeID="_x0000_i1120" DrawAspect="Content" ObjectID="_1845028583" r:id="rId206"/>
        </w:object>
      </w:r>
      <w:r w:rsidRPr="006437FB">
        <w:rPr>
          <w:rFonts w:cs="Times New Roman"/>
          <w:szCs w:val="21"/>
        </w:rPr>
        <w:t>值越大，电力管廊的风险全部受控所需的时间就</w:t>
      </w:r>
      <w:r w:rsidRPr="006437FB">
        <w:rPr>
          <w:rFonts w:cs="Times New Roman"/>
          <w:szCs w:val="21"/>
        </w:rPr>
        <w:t>越长，风险持续存在的周期也相应延长，将显著增加风险处置过程中的安全资源投入需求。</w:t>
      </w:r>
    </w:p>
    <w:p w14:paraId="3B7E80D8" w14:textId="77777777" w:rsidR="000B1599" w:rsidRPr="006437FB" w:rsidRDefault="00000000">
      <w:pPr>
        <w:ind w:firstLine="420"/>
        <w:rPr>
          <w:rFonts w:cs="Times New Roman"/>
          <w:szCs w:val="21"/>
        </w:rPr>
      </w:pPr>
      <w:r w:rsidRPr="006437FB">
        <w:rPr>
          <w:rFonts w:cs="Times New Roman"/>
          <w:noProof/>
          <w:szCs w:val="21"/>
        </w:rPr>
        <w:drawing>
          <wp:inline distT="0" distB="0" distL="0" distR="0" wp14:anchorId="00EBFCA7" wp14:editId="78483FEC">
            <wp:extent cx="2519680" cy="2071370"/>
            <wp:effectExtent l="0" t="0" r="0" b="5080"/>
            <wp:docPr id="139444979" name="图片 3" descr="图表&#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444979" name="图片 3" descr="图表&#10;&#10;AI 生成的内容可能不正确。"/>
                    <pic:cNvPicPr>
                      <a:picLocks noChangeAspect="1"/>
                    </pic:cNvPicPr>
                  </pic:nvPicPr>
                  <pic:blipFill>
                    <a:blip r:embed="rId207" cstate="print">
                      <a:extLst>
                        <a:ext uri="{28A0092B-C50C-407E-A947-70E740481C1C}">
                          <a14:useLocalDpi xmlns:a14="http://schemas.microsoft.com/office/drawing/2010/main" val="0"/>
                        </a:ext>
                      </a:extLst>
                    </a:blip>
                    <a:srcRect l="8529" t="8002" r="10343" b="4830"/>
                    <a:stretch>
                      <a:fillRect/>
                    </a:stretch>
                  </pic:blipFill>
                  <pic:spPr>
                    <a:xfrm>
                      <a:off x="0" y="0"/>
                      <a:ext cx="2520000" cy="2071633"/>
                    </a:xfrm>
                    <a:prstGeom prst="rect">
                      <a:avLst/>
                    </a:prstGeom>
                    <a:ln>
                      <a:noFill/>
                    </a:ln>
                  </pic:spPr>
                </pic:pic>
              </a:graphicData>
            </a:graphic>
          </wp:inline>
        </w:drawing>
      </w:r>
    </w:p>
    <w:p w14:paraId="7F21B30F" w14:textId="77777777" w:rsidR="000B1599" w:rsidRPr="006437FB" w:rsidRDefault="00000000">
      <w:pPr>
        <w:ind w:firstLineChars="0" w:firstLine="0"/>
        <w:jc w:val="center"/>
        <w:rPr>
          <w:rFonts w:cs="Times New Roman"/>
          <w:szCs w:val="21"/>
        </w:rPr>
      </w:pPr>
      <w:r w:rsidRPr="006437FB">
        <w:rPr>
          <w:rFonts w:cs="Times New Roman"/>
          <w:szCs w:val="21"/>
        </w:rPr>
        <w:t>图</w:t>
      </w:r>
      <w:r w:rsidRPr="006437FB">
        <w:rPr>
          <w:rFonts w:cs="Times New Roman"/>
          <w:szCs w:val="21"/>
        </w:rPr>
        <w:t>8</w:t>
      </w:r>
      <w:r w:rsidRPr="006437FB">
        <w:rPr>
          <w:rFonts w:cs="Times New Roman"/>
          <w:szCs w:val="21"/>
        </w:rPr>
        <w:t>：不同</w:t>
      </w:r>
      <w:r w:rsidRPr="006437FB">
        <w:rPr>
          <w:rFonts w:cs="Times New Roman"/>
          <w:position w:val="-6"/>
        </w:rPr>
        <w:object w:dxaOrig="180" w:dyaOrig="270" w14:anchorId="06C935DA">
          <v:shape id="_x0000_i1121" type="#_x0000_t75" style="width:9pt;height:13.5pt" o:ole="">
            <v:imagedata r:id="rId208" o:title=""/>
          </v:shape>
          <o:OLEObject Type="Embed" ProgID="Equation.DSMT4" ShapeID="_x0000_i1121" DrawAspect="Content" ObjectID="_1845028584" r:id="rId209"/>
        </w:object>
      </w:r>
      <w:r w:rsidRPr="006437FB">
        <w:rPr>
          <w:rFonts w:cs="Times New Roman"/>
          <w:szCs w:val="21"/>
        </w:rPr>
        <w:t>下感染状态节点比例随时间的变化</w:t>
      </w:r>
    </w:p>
    <w:p w14:paraId="4ADF496C" w14:textId="77777777" w:rsidR="000B1599" w:rsidRPr="006437FB" w:rsidRDefault="00000000">
      <w:pPr>
        <w:ind w:firstLine="420"/>
        <w:rPr>
          <w:rFonts w:cs="Times New Roman"/>
          <w:szCs w:val="21"/>
        </w:rPr>
      </w:pPr>
      <w:r w:rsidRPr="006437FB">
        <w:rPr>
          <w:rFonts w:cs="Times New Roman"/>
          <w:szCs w:val="21"/>
        </w:rPr>
        <w:t>为验证整体风险传导参数</w:t>
      </w:r>
      <w:r w:rsidRPr="006437FB">
        <w:rPr>
          <w:rFonts w:cs="Times New Roman"/>
          <w:position w:val="-6"/>
        </w:rPr>
        <w:object w:dxaOrig="180" w:dyaOrig="270" w14:anchorId="7023A79C">
          <v:shape id="_x0000_i1122" type="#_x0000_t75" style="width:9pt;height:13.5pt" o:ole="">
            <v:imagedata r:id="rId210" o:title=""/>
          </v:shape>
          <o:OLEObject Type="Embed" ProgID="Equation.DSMT4" ShapeID="_x0000_i1122" DrawAspect="Content" ObjectID="_1845028585" r:id="rId211"/>
        </w:object>
      </w:r>
      <w:r w:rsidRPr="006437FB">
        <w:rPr>
          <w:rFonts w:cs="Times New Roman"/>
          <w:szCs w:val="21"/>
        </w:rPr>
        <w:t>的影响不受风险响应度</w:t>
      </w:r>
      <w:r w:rsidRPr="006437FB">
        <w:rPr>
          <w:rFonts w:cs="Times New Roman"/>
          <w:position w:val="-6"/>
        </w:rPr>
        <w:object w:dxaOrig="180" w:dyaOrig="200" w14:anchorId="22E20D73">
          <v:shape id="_x0000_i1123" type="#_x0000_t75" style="width:9pt;height:9.75pt" o:ole="">
            <v:imagedata r:id="rId212" o:title=""/>
          </v:shape>
          <o:OLEObject Type="Embed" ProgID="Equation.DSMT4" ShapeID="_x0000_i1123" DrawAspect="Content" ObjectID="_1845028586" r:id="rId213"/>
        </w:object>
      </w:r>
      <w:r w:rsidRPr="006437FB">
        <w:rPr>
          <w:rFonts w:cs="Times New Roman"/>
          <w:szCs w:val="21"/>
        </w:rPr>
        <w:t>的干扰，本研究补充模拟了</w:t>
      </w:r>
      <w:r w:rsidRPr="006437FB">
        <w:rPr>
          <w:rFonts w:cs="Times New Roman"/>
          <w:position w:val="-6"/>
        </w:rPr>
        <w:object w:dxaOrig="180" w:dyaOrig="200" w14:anchorId="552ABF54">
          <v:shape id="_x0000_i1124" type="#_x0000_t75" style="width:9pt;height:9.75pt" o:ole="">
            <v:imagedata r:id="rId214" o:title=""/>
          </v:shape>
          <o:OLEObject Type="Embed" ProgID="Equation.DSMT4" ShapeID="_x0000_i1124" DrawAspect="Content" ObjectID="_1845028587" r:id="rId215"/>
        </w:object>
      </w:r>
      <w:r w:rsidRPr="006437FB">
        <w:rPr>
          <w:rFonts w:cs="Times New Roman"/>
          <w:szCs w:val="21"/>
        </w:rPr>
        <w:t>=0.4</w:t>
      </w:r>
      <w:r w:rsidRPr="006437FB">
        <w:rPr>
          <w:rFonts w:cs="Times New Roman"/>
          <w:szCs w:val="21"/>
        </w:rPr>
        <w:t>和</w:t>
      </w:r>
      <w:r w:rsidRPr="006437FB">
        <w:rPr>
          <w:rFonts w:cs="Times New Roman"/>
          <w:position w:val="-6"/>
        </w:rPr>
        <w:object w:dxaOrig="180" w:dyaOrig="200" w14:anchorId="63FAEF73">
          <v:shape id="_x0000_i1125" type="#_x0000_t75" style="width:9pt;height:9.75pt" o:ole="">
            <v:imagedata r:id="rId216" o:title=""/>
          </v:shape>
          <o:OLEObject Type="Embed" ProgID="Equation.DSMT4" ShapeID="_x0000_i1125" DrawAspect="Content" ObjectID="_1845028588" r:id="rId217"/>
        </w:object>
      </w:r>
      <w:r w:rsidRPr="006437FB">
        <w:rPr>
          <w:rFonts w:cs="Times New Roman"/>
          <w:szCs w:val="21"/>
        </w:rPr>
        <w:t>=0.8</w:t>
      </w:r>
      <w:r w:rsidRPr="006437FB">
        <w:rPr>
          <w:rFonts w:cs="Times New Roman"/>
          <w:szCs w:val="21"/>
        </w:rPr>
        <w:t>条件下</w:t>
      </w:r>
      <w:r w:rsidRPr="006437FB">
        <w:rPr>
          <w:rFonts w:cs="Times New Roman"/>
          <w:position w:val="-6"/>
        </w:rPr>
        <w:object w:dxaOrig="180" w:dyaOrig="270" w14:anchorId="2CC10B3C">
          <v:shape id="_x0000_i1126" type="#_x0000_t75" style="width:9pt;height:13.5pt" o:ole="">
            <v:imagedata r:id="rId218" o:title=""/>
          </v:shape>
          <o:OLEObject Type="Embed" ProgID="Equation.DSMT4" ShapeID="_x0000_i1126" DrawAspect="Content" ObjectID="_1845028589" r:id="rId219"/>
        </w:object>
      </w:r>
      <w:r w:rsidRPr="006437FB">
        <w:rPr>
          <w:rFonts w:cs="Times New Roman"/>
          <w:szCs w:val="21"/>
        </w:rPr>
        <w:t>值变化对风险传导的影响。结果表明在不同</w:t>
      </w:r>
      <w:r w:rsidRPr="006437FB">
        <w:rPr>
          <w:rFonts w:cs="Times New Roman"/>
          <w:position w:val="-6"/>
        </w:rPr>
        <w:object w:dxaOrig="180" w:dyaOrig="200" w14:anchorId="04D8CB53">
          <v:shape id="_x0000_i1127" type="#_x0000_t75" style="width:9pt;height:9.75pt" o:ole="">
            <v:imagedata r:id="rId220" o:title=""/>
          </v:shape>
          <o:OLEObject Type="Embed" ProgID="Equation.DSMT4" ShapeID="_x0000_i1127" DrawAspect="Content" ObjectID="_1845028590" r:id="rId221"/>
        </w:object>
      </w:r>
      <w:r w:rsidRPr="006437FB">
        <w:rPr>
          <w:rFonts w:cs="Times New Roman"/>
          <w:szCs w:val="21"/>
        </w:rPr>
        <w:t>下，</w:t>
      </w:r>
      <w:r w:rsidRPr="006437FB">
        <w:rPr>
          <w:rFonts w:cs="Times New Roman"/>
          <w:position w:val="-6"/>
        </w:rPr>
        <w:object w:dxaOrig="180" w:dyaOrig="270" w14:anchorId="0BFCF06B">
          <v:shape id="_x0000_i1128" type="#_x0000_t75" style="width:9pt;height:13.5pt" o:ole="">
            <v:imagedata r:id="rId222" o:title=""/>
          </v:shape>
          <o:OLEObject Type="Embed" ProgID="Equation.DSMT4" ShapeID="_x0000_i1128" DrawAspect="Content" ObjectID="_1845028591" r:id="rId223"/>
        </w:object>
      </w:r>
      <w:r w:rsidRPr="006437FB">
        <w:rPr>
          <w:rFonts w:cs="Times New Roman"/>
          <w:szCs w:val="21"/>
        </w:rPr>
        <w:t>值增大对风险传导范围与速度的作用未呈现显著差异，证明了结论的可靠性。</w:t>
      </w:r>
    </w:p>
    <w:p w14:paraId="7310A18D" w14:textId="77777777" w:rsidR="000B1599" w:rsidRPr="006437FB" w:rsidRDefault="00000000">
      <w:pPr>
        <w:ind w:firstLine="420"/>
        <w:jc w:val="both"/>
        <w:rPr>
          <w:rFonts w:cs="Times New Roman"/>
          <w:szCs w:val="21"/>
        </w:rPr>
      </w:pPr>
      <w:r w:rsidRPr="006437FB">
        <w:rPr>
          <w:rFonts w:cs="Times New Roman"/>
          <w:szCs w:val="21"/>
        </w:rPr>
        <w:t>整体风险传导参数</w:t>
      </w:r>
      <w:r w:rsidRPr="006437FB">
        <w:rPr>
          <w:rFonts w:cs="Times New Roman"/>
          <w:position w:val="-6"/>
        </w:rPr>
        <w:object w:dxaOrig="180" w:dyaOrig="270" w14:anchorId="019FF45E">
          <v:shape id="_x0000_i1129" type="#_x0000_t75" style="width:9pt;height:13.5pt" o:ole="">
            <v:imagedata r:id="rId224" o:title=""/>
          </v:shape>
          <o:OLEObject Type="Embed" ProgID="Equation.DSMT4" ShapeID="_x0000_i1129" DrawAspect="Content" ObjectID="_1845028592" r:id="rId225"/>
        </w:object>
      </w:r>
      <w:r w:rsidRPr="006437FB">
        <w:rPr>
          <w:rFonts w:cs="Times New Roman"/>
          <w:szCs w:val="21"/>
        </w:rPr>
        <w:t>受电力管廊所在舱室的内</w:t>
      </w:r>
      <w:r w:rsidRPr="006437FB">
        <w:rPr>
          <w:rFonts w:cs="Times New Roman"/>
          <w:szCs w:val="21"/>
        </w:rPr>
        <w:lastRenderedPageBreak/>
        <w:t>部环境、电力管线及相关设备状态的共同影响。</w:t>
      </w:r>
      <w:r w:rsidRPr="006437FB">
        <w:rPr>
          <w:rFonts w:cs="Times New Roman"/>
          <w:position w:val="-6"/>
        </w:rPr>
        <w:object w:dxaOrig="180" w:dyaOrig="270" w14:anchorId="706E762A">
          <v:shape id="_x0000_i1130" type="#_x0000_t75" style="width:9pt;height:13.5pt" o:ole="">
            <v:imagedata r:id="rId226" o:title=""/>
          </v:shape>
          <o:OLEObject Type="Embed" ProgID="Equation.DSMT4" ShapeID="_x0000_i1130" DrawAspect="Content" ObjectID="_1845028593" r:id="rId227"/>
        </w:object>
      </w:r>
      <w:r w:rsidRPr="006437FB">
        <w:rPr>
          <w:rFonts w:cs="Times New Roman"/>
          <w:szCs w:val="21"/>
        </w:rPr>
        <w:t>值越大，尤其</w:t>
      </w:r>
      <w:r w:rsidRPr="006437FB">
        <w:rPr>
          <w:rFonts w:cs="Times New Roman"/>
          <w:position w:val="-6"/>
        </w:rPr>
        <w:object w:dxaOrig="180" w:dyaOrig="270" w14:anchorId="58B8160E">
          <v:shape id="_x0000_i1131" type="#_x0000_t75" style="width:9pt;height:13.5pt" o:ole="">
            <v:imagedata r:id="rId228" o:title=""/>
          </v:shape>
          <o:OLEObject Type="Embed" ProgID="Equation.DSMT4" ShapeID="_x0000_i1131" DrawAspect="Content" ObjectID="_1845028594" r:id="rId229"/>
        </w:object>
      </w:r>
      <w:r w:rsidRPr="006437FB">
        <w:rPr>
          <w:rFonts w:cs="Times New Roman"/>
          <w:szCs w:val="21"/>
        </w:rPr>
        <w:t>小于</w:t>
      </w:r>
      <w:r w:rsidRPr="006437FB">
        <w:rPr>
          <w:rFonts w:cs="Times New Roman"/>
          <w:szCs w:val="21"/>
        </w:rPr>
        <w:t>0.8</w:t>
      </w:r>
      <w:r w:rsidRPr="006437FB">
        <w:rPr>
          <w:rFonts w:cs="Times New Roman"/>
          <w:szCs w:val="21"/>
        </w:rPr>
        <w:t>时，电力管廊风险的传导速度越快、范围越广，控制风险所需的安全投入也相应越大。由此可见，确保电力管廊所处舱室维持适宜的温湿度条件，并及时更换老化、受损的电力管线及其附属设施设备，对优化风险防控具有重要的实践意义。</w:t>
      </w:r>
    </w:p>
    <w:p w14:paraId="60129EF3" w14:textId="77777777" w:rsidR="000B1599" w:rsidRPr="006437FB" w:rsidRDefault="00000000">
      <w:pPr>
        <w:keepNext/>
        <w:widowControl/>
        <w:spacing w:line="240" w:lineRule="atLeast"/>
        <w:ind w:firstLineChars="0" w:firstLine="0"/>
        <w:jc w:val="both"/>
        <w:outlineLvl w:val="1"/>
        <w:rPr>
          <w:rFonts w:cs="Times New Roman"/>
          <w:b/>
          <w:kern w:val="0"/>
          <w:szCs w:val="21"/>
        </w:rPr>
      </w:pPr>
      <w:r w:rsidRPr="006437FB">
        <w:rPr>
          <w:rFonts w:cs="Times New Roman"/>
          <w:b/>
          <w:kern w:val="0"/>
          <w:szCs w:val="21"/>
        </w:rPr>
        <w:t>3.</w:t>
      </w:r>
      <w:bookmarkStart w:id="9" w:name="_Hlk204800856"/>
      <w:r w:rsidRPr="006437FB">
        <w:rPr>
          <w:rFonts w:cs="Times New Roman"/>
          <w:b/>
          <w:kern w:val="0"/>
          <w:szCs w:val="21"/>
        </w:rPr>
        <w:t>4</w:t>
      </w:r>
      <w:r w:rsidRPr="006437FB">
        <w:rPr>
          <w:rFonts w:cs="Times New Roman"/>
          <w:b/>
          <w:kern w:val="0"/>
          <w:szCs w:val="21"/>
        </w:rPr>
        <w:t>风险响应度</w:t>
      </w:r>
      <w:bookmarkEnd w:id="9"/>
      <w:r w:rsidRPr="006437FB">
        <w:rPr>
          <w:rFonts w:cs="Times New Roman"/>
          <w:b/>
          <w:kern w:val="0"/>
          <w:szCs w:val="21"/>
        </w:rPr>
        <w:t>对风险传导的影响</w:t>
      </w:r>
    </w:p>
    <w:p w14:paraId="4568AC84" w14:textId="77777777" w:rsidR="000B1599" w:rsidRPr="006437FB" w:rsidRDefault="00000000">
      <w:pPr>
        <w:ind w:firstLine="420"/>
        <w:jc w:val="both"/>
        <w:rPr>
          <w:rFonts w:cs="Times New Roman"/>
          <w:szCs w:val="21"/>
        </w:rPr>
      </w:pPr>
      <w:r w:rsidRPr="006437FB">
        <w:rPr>
          <w:rFonts w:cs="Times New Roman"/>
          <w:szCs w:val="21"/>
        </w:rPr>
        <w:t>风险响应度不足可能导致风险防控效果不能达到预期，本节利用风险响应度分析风险响应措施强度与实际效果对电力管廊风险传导的影响。固定</w:t>
      </w:r>
      <w:r w:rsidRPr="006437FB">
        <w:rPr>
          <w:rFonts w:cs="Times New Roman"/>
          <w:szCs w:val="21"/>
        </w:rPr>
        <w:t>γ=0.6</w:t>
      </w:r>
      <w:r w:rsidRPr="006437FB">
        <w:rPr>
          <w:rFonts w:cs="Times New Roman"/>
          <w:szCs w:val="21"/>
        </w:rPr>
        <w:t>、</w:t>
      </w:r>
      <w:r w:rsidRPr="006437FB">
        <w:rPr>
          <w:rFonts w:cs="Times New Roman"/>
          <w:szCs w:val="21"/>
        </w:rPr>
        <w:t>μ=0.05</w:t>
      </w:r>
      <w:r w:rsidRPr="006437FB">
        <w:rPr>
          <w:rFonts w:cs="Times New Roman"/>
          <w:szCs w:val="21"/>
        </w:rPr>
        <w:t>、</w:t>
      </w:r>
      <w:r w:rsidRPr="006437FB">
        <w:rPr>
          <w:rFonts w:cs="Times New Roman"/>
          <w:position w:val="-6"/>
        </w:rPr>
        <w:object w:dxaOrig="180" w:dyaOrig="270" w14:anchorId="2932F293">
          <v:shape id="_x0000_i1132" type="#_x0000_t75" style="width:9pt;height:13.5pt" o:ole="">
            <v:imagedata r:id="rId230" o:title=""/>
          </v:shape>
          <o:OLEObject Type="Embed" ProgID="Equation.DSMT4" ShapeID="_x0000_i1132" DrawAspect="Content" ObjectID="_1845028595" r:id="rId231"/>
        </w:object>
      </w:r>
      <w:r w:rsidRPr="006437FB">
        <w:rPr>
          <w:rFonts w:cs="Times New Roman"/>
          <w:szCs w:val="21"/>
        </w:rPr>
        <w:t>=0.4</w:t>
      </w:r>
      <w:r w:rsidRPr="006437FB">
        <w:rPr>
          <w:rFonts w:cs="Times New Roman"/>
          <w:szCs w:val="21"/>
        </w:rPr>
        <w:t>、</w:t>
      </w:r>
      <w:r w:rsidRPr="006437FB">
        <w:rPr>
          <w:rFonts w:cs="Times New Roman"/>
          <w:szCs w:val="21"/>
        </w:rPr>
        <w:t>t</w:t>
      </w:r>
      <w:r w:rsidRPr="006437FB">
        <w:rPr>
          <w:rFonts w:cs="Times New Roman"/>
          <w:szCs w:val="21"/>
          <w:vertAlign w:val="subscript"/>
        </w:rPr>
        <w:t>控制</w:t>
      </w:r>
      <w:r w:rsidRPr="006437FB">
        <w:rPr>
          <w:rFonts w:cs="Times New Roman"/>
          <w:szCs w:val="21"/>
        </w:rPr>
        <w:t>=50</w:t>
      </w:r>
      <w:r w:rsidRPr="006437FB">
        <w:rPr>
          <w:rFonts w:cs="Times New Roman"/>
          <w:szCs w:val="21"/>
        </w:rPr>
        <w:t>，设置</w:t>
      </w:r>
      <w:r w:rsidRPr="006437FB">
        <w:rPr>
          <w:rFonts w:cs="Times New Roman"/>
          <w:position w:val="-6"/>
        </w:rPr>
        <w:object w:dxaOrig="180" w:dyaOrig="200" w14:anchorId="2290C2ED">
          <v:shape id="_x0000_i1133" type="#_x0000_t75" style="width:9pt;height:9.75pt" o:ole="">
            <v:imagedata r:id="rId232" o:title=""/>
          </v:shape>
          <o:OLEObject Type="Embed" ProgID="Equation.DSMT4" ShapeID="_x0000_i1133" DrawAspect="Content" ObjectID="_1845028596" r:id="rId233"/>
        </w:object>
      </w:r>
      <w:r w:rsidRPr="006437FB">
        <w:rPr>
          <w:rFonts w:ascii="宋体" w:hAnsi="宋体" w:cs="宋体" w:hint="eastAsia"/>
          <w:szCs w:val="21"/>
        </w:rPr>
        <w:t>∈</w:t>
      </w:r>
      <w:r w:rsidRPr="006437FB">
        <w:rPr>
          <w:rFonts w:cs="Times New Roman"/>
          <w:szCs w:val="21"/>
        </w:rPr>
        <w:t>{0.2</w:t>
      </w:r>
      <w:r w:rsidRPr="006437FB">
        <w:rPr>
          <w:rFonts w:cs="Times New Roman"/>
          <w:szCs w:val="21"/>
        </w:rPr>
        <w:t>，</w:t>
      </w:r>
      <w:r w:rsidRPr="006437FB">
        <w:rPr>
          <w:rFonts w:cs="Times New Roman"/>
          <w:szCs w:val="21"/>
        </w:rPr>
        <w:t>0.4</w:t>
      </w:r>
      <w:r w:rsidRPr="006437FB">
        <w:rPr>
          <w:rFonts w:cs="Times New Roman"/>
          <w:szCs w:val="21"/>
        </w:rPr>
        <w:t>，</w:t>
      </w:r>
      <w:r w:rsidRPr="006437FB">
        <w:rPr>
          <w:rFonts w:cs="Times New Roman"/>
          <w:szCs w:val="21"/>
        </w:rPr>
        <w:t>0.6</w:t>
      </w:r>
      <w:r w:rsidRPr="006437FB">
        <w:rPr>
          <w:rFonts w:cs="Times New Roman"/>
          <w:szCs w:val="21"/>
        </w:rPr>
        <w:t>，</w:t>
      </w:r>
      <w:r w:rsidRPr="006437FB">
        <w:rPr>
          <w:rFonts w:cs="Times New Roman"/>
          <w:szCs w:val="21"/>
        </w:rPr>
        <w:t>0.8</w:t>
      </w:r>
      <w:r w:rsidRPr="006437FB">
        <w:rPr>
          <w:rFonts w:cs="Times New Roman"/>
          <w:szCs w:val="21"/>
        </w:rPr>
        <w:t>，</w:t>
      </w:r>
      <w:r w:rsidRPr="006437FB">
        <w:rPr>
          <w:rFonts w:cs="Times New Roman"/>
          <w:szCs w:val="21"/>
        </w:rPr>
        <w:t>1.0}</w:t>
      </w:r>
      <w:r w:rsidRPr="006437FB">
        <w:rPr>
          <w:rFonts w:cs="Times New Roman"/>
          <w:szCs w:val="21"/>
        </w:rPr>
        <w:t>，并以节点</w:t>
      </w:r>
      <w:r w:rsidRPr="006437FB">
        <w:rPr>
          <w:rFonts w:cs="Times New Roman"/>
          <w:szCs w:val="21"/>
        </w:rPr>
        <w:t>M2</w:t>
      </w:r>
      <w:r w:rsidRPr="006437FB">
        <w:rPr>
          <w:rFonts w:cs="Times New Roman"/>
          <w:szCs w:val="21"/>
        </w:rPr>
        <w:t>为初始触发节点，开展</w:t>
      </w:r>
      <w:r w:rsidRPr="006437FB">
        <w:rPr>
          <w:rFonts w:cs="Times New Roman"/>
          <w:szCs w:val="21"/>
        </w:rPr>
        <w:t>1000</w:t>
      </w:r>
      <w:r w:rsidRPr="006437FB">
        <w:rPr>
          <w:rFonts w:cs="Times New Roman"/>
          <w:szCs w:val="21"/>
        </w:rPr>
        <w:t>轮模拟，计算网络风险因素节点中感染和恢复状态节点比例（</w:t>
      </w:r>
      <w:r w:rsidRPr="006437FB">
        <w:rPr>
          <w:rFonts w:cs="Times New Roman"/>
          <w:szCs w:val="21"/>
        </w:rPr>
        <w:t>I(t)</w:t>
      </w:r>
      <w:r w:rsidRPr="006437FB">
        <w:rPr>
          <w:rFonts w:cs="Times New Roman"/>
          <w:szCs w:val="21"/>
        </w:rPr>
        <w:t>、</w:t>
      </w:r>
      <w:r w:rsidRPr="006437FB">
        <w:rPr>
          <w:rFonts w:cs="Times New Roman"/>
          <w:szCs w:val="21"/>
        </w:rPr>
        <w:t>R(t)</w:t>
      </w:r>
      <w:r w:rsidRPr="006437FB">
        <w:rPr>
          <w:rFonts w:cs="Times New Roman"/>
          <w:szCs w:val="21"/>
        </w:rPr>
        <w:t>）随时间变化的平均值</w:t>
      </w:r>
      <w:r w:rsidRPr="006437FB">
        <w:rPr>
          <w:rFonts w:cs="Times New Roman"/>
          <w:szCs w:val="21"/>
        </w:rPr>
        <w:t>,</w:t>
      </w:r>
      <w:r w:rsidRPr="006437FB">
        <w:rPr>
          <w:rFonts w:cs="Times New Roman"/>
          <w:szCs w:val="21"/>
        </w:rPr>
        <w:t>如图</w:t>
      </w:r>
      <w:r w:rsidRPr="006437FB">
        <w:rPr>
          <w:rFonts w:cs="Times New Roman"/>
          <w:szCs w:val="21"/>
        </w:rPr>
        <w:t>9</w:t>
      </w:r>
      <w:r w:rsidRPr="006437FB">
        <w:rPr>
          <w:rFonts w:cs="Times New Roman"/>
          <w:szCs w:val="21"/>
        </w:rPr>
        <w:t>所示。</w:t>
      </w:r>
    </w:p>
    <w:p w14:paraId="5BAF0E6E" w14:textId="77777777" w:rsidR="000B1599" w:rsidRPr="006437FB" w:rsidRDefault="00000000">
      <w:pPr>
        <w:ind w:firstLine="420"/>
        <w:jc w:val="both"/>
        <w:rPr>
          <w:rFonts w:cs="Times New Roman"/>
          <w:szCs w:val="21"/>
        </w:rPr>
      </w:pPr>
      <w:r w:rsidRPr="006437FB">
        <w:rPr>
          <w:rFonts w:cs="Times New Roman"/>
          <w:szCs w:val="21"/>
        </w:rPr>
        <w:t>在电力管廊风险防控场景中，在</w:t>
      </w:r>
      <w:r w:rsidRPr="006437FB">
        <w:rPr>
          <w:rFonts w:cs="Times New Roman"/>
          <w:szCs w:val="21"/>
        </w:rPr>
        <w:t>t=50</w:t>
      </w:r>
      <w:r w:rsidRPr="006437FB">
        <w:rPr>
          <w:rFonts w:cs="Times New Roman"/>
          <w:szCs w:val="21"/>
        </w:rPr>
        <w:t>之后，针对电力管廊风险，开始采取控制措施，控制效果受</w:t>
      </w:r>
      <w:r w:rsidRPr="006437FB">
        <w:rPr>
          <w:rFonts w:cs="Times New Roman"/>
          <w:position w:val="-6"/>
        </w:rPr>
        <w:object w:dxaOrig="180" w:dyaOrig="200" w14:anchorId="2692C98D">
          <v:shape id="_x0000_i1134" type="#_x0000_t75" style="width:9pt;height:9.75pt" o:ole="">
            <v:imagedata r:id="rId234" o:title=""/>
          </v:shape>
          <o:OLEObject Type="Embed" ProgID="Equation.DSMT4" ShapeID="_x0000_i1134" DrawAspect="Content" ObjectID="_1845028597" r:id="rId235"/>
        </w:object>
      </w:r>
      <w:r w:rsidRPr="006437FB">
        <w:rPr>
          <w:rFonts w:cs="Times New Roman"/>
          <w:szCs w:val="21"/>
        </w:rPr>
        <w:t>影响，</w:t>
      </w:r>
      <w:r w:rsidRPr="006437FB">
        <w:rPr>
          <w:rFonts w:cs="Times New Roman"/>
          <w:position w:val="-6"/>
        </w:rPr>
        <w:object w:dxaOrig="180" w:dyaOrig="200" w14:anchorId="684AFCB0">
          <v:shape id="_x0000_i1135" type="#_x0000_t75" style="width:9pt;height:9.75pt" o:ole="">
            <v:imagedata r:id="rId236" o:title=""/>
          </v:shape>
          <o:OLEObject Type="Embed" ProgID="Equation.DSMT4" ShapeID="_x0000_i1135" DrawAspect="Content" ObjectID="_1845028598" r:id="rId237"/>
        </w:object>
      </w:r>
      <w:r w:rsidRPr="006437FB">
        <w:rPr>
          <w:rFonts w:cs="Times New Roman"/>
          <w:szCs w:val="21"/>
        </w:rPr>
        <w:t>越小，感染状态节点存在的时间越长，</w:t>
      </w:r>
      <w:r w:rsidRPr="006437FB">
        <w:rPr>
          <w:rFonts w:cs="Times New Roman"/>
          <w:szCs w:val="21"/>
        </w:rPr>
        <w:t>I(t)</w:t>
      </w:r>
      <w:r w:rsidRPr="006437FB">
        <w:rPr>
          <w:rFonts w:cs="Times New Roman"/>
          <w:szCs w:val="21"/>
        </w:rPr>
        <w:t>归零所需的时间也越长，尤其在</w:t>
      </w:r>
      <w:r w:rsidRPr="006437FB">
        <w:rPr>
          <w:rFonts w:cs="Times New Roman"/>
          <w:position w:val="-6"/>
        </w:rPr>
        <w:object w:dxaOrig="180" w:dyaOrig="200" w14:anchorId="1FCCDD4E">
          <v:shape id="_x0000_i1136" type="#_x0000_t75" style="width:9pt;height:9.75pt" o:ole="">
            <v:imagedata r:id="rId238" o:title=""/>
          </v:shape>
          <o:OLEObject Type="Embed" ProgID="Equation.DSMT4" ShapeID="_x0000_i1136" DrawAspect="Content" ObjectID="_1845028599" r:id="rId239"/>
        </w:object>
      </w:r>
      <w:r w:rsidRPr="006437FB">
        <w:rPr>
          <w:rFonts w:cs="Times New Roman"/>
          <w:szCs w:val="21"/>
        </w:rPr>
        <w:t>＜</w:t>
      </w:r>
      <w:r w:rsidRPr="006437FB">
        <w:rPr>
          <w:rFonts w:cs="Times New Roman"/>
          <w:szCs w:val="21"/>
        </w:rPr>
        <w:t>0.4</w:t>
      </w:r>
      <w:r w:rsidRPr="006437FB">
        <w:rPr>
          <w:rFonts w:cs="Times New Roman"/>
          <w:szCs w:val="21"/>
        </w:rPr>
        <w:t>时，</w:t>
      </w:r>
      <w:r w:rsidRPr="006437FB">
        <w:rPr>
          <w:rFonts w:cs="Times New Roman"/>
          <w:position w:val="-6"/>
        </w:rPr>
        <w:object w:dxaOrig="180" w:dyaOrig="200" w14:anchorId="1152CC5C">
          <v:shape id="_x0000_i1137" type="#_x0000_t75" style="width:9pt;height:9.75pt" o:ole="">
            <v:imagedata r:id="rId240" o:title=""/>
          </v:shape>
          <o:OLEObject Type="Embed" ProgID="Equation.DSMT4" ShapeID="_x0000_i1137" DrawAspect="Content" ObjectID="_1845028600" r:id="rId241"/>
        </w:object>
      </w:r>
      <w:r w:rsidRPr="006437FB">
        <w:rPr>
          <w:rFonts w:cs="Times New Roman"/>
          <w:szCs w:val="21"/>
        </w:rPr>
        <w:t>由</w:t>
      </w:r>
      <w:r w:rsidRPr="006437FB">
        <w:rPr>
          <w:rFonts w:cs="Times New Roman"/>
          <w:szCs w:val="21"/>
        </w:rPr>
        <w:t>0.4</w:t>
      </w:r>
      <w:r w:rsidRPr="006437FB">
        <w:rPr>
          <w:rFonts w:cs="Times New Roman"/>
          <w:szCs w:val="21"/>
        </w:rPr>
        <w:t>降低到</w:t>
      </w:r>
      <w:r w:rsidRPr="006437FB">
        <w:rPr>
          <w:rFonts w:cs="Times New Roman"/>
          <w:szCs w:val="21"/>
        </w:rPr>
        <w:t>0.2</w:t>
      </w:r>
      <w:r w:rsidRPr="006437FB">
        <w:rPr>
          <w:rFonts w:cs="Times New Roman"/>
          <w:szCs w:val="21"/>
        </w:rPr>
        <w:t>，</w:t>
      </w:r>
      <w:r w:rsidRPr="006437FB">
        <w:rPr>
          <w:rFonts w:cs="Times New Roman"/>
          <w:szCs w:val="21"/>
        </w:rPr>
        <w:t>I(t)</w:t>
      </w:r>
      <w:r w:rsidRPr="006437FB">
        <w:rPr>
          <w:rFonts w:cs="Times New Roman"/>
          <w:szCs w:val="21"/>
        </w:rPr>
        <w:t>归零的时间由</w:t>
      </w:r>
      <w:r w:rsidRPr="006437FB">
        <w:rPr>
          <w:rFonts w:cs="Times New Roman"/>
          <w:szCs w:val="21"/>
        </w:rPr>
        <w:t>t=116</w:t>
      </w:r>
      <w:r w:rsidRPr="006437FB">
        <w:rPr>
          <w:rFonts w:cs="Times New Roman"/>
          <w:szCs w:val="21"/>
        </w:rPr>
        <w:t>跃升到</w:t>
      </w:r>
      <w:r w:rsidRPr="006437FB">
        <w:rPr>
          <w:rFonts w:cs="Times New Roman"/>
          <w:szCs w:val="21"/>
        </w:rPr>
        <w:t>t=160</w:t>
      </w:r>
      <w:r w:rsidRPr="006437FB">
        <w:rPr>
          <w:rFonts w:cs="Times New Roman"/>
          <w:szCs w:val="21"/>
        </w:rPr>
        <w:t>，相比之下，</w:t>
      </w:r>
      <w:r w:rsidRPr="006437FB">
        <w:rPr>
          <w:rFonts w:cs="Times New Roman"/>
          <w:position w:val="-6"/>
        </w:rPr>
        <w:object w:dxaOrig="180" w:dyaOrig="200" w14:anchorId="3076A2CA">
          <v:shape id="_x0000_i1138" type="#_x0000_t75" style="width:9pt;height:9.75pt" o:ole="">
            <v:imagedata r:id="rId242" o:title=""/>
          </v:shape>
          <o:OLEObject Type="Embed" ProgID="Equation.DSMT4" ShapeID="_x0000_i1138" DrawAspect="Content" ObjectID="_1845028601" r:id="rId243"/>
        </w:object>
      </w:r>
      <w:r w:rsidRPr="006437FB">
        <w:rPr>
          <w:rFonts w:cs="Times New Roman"/>
          <w:szCs w:val="21"/>
        </w:rPr>
        <w:t>由</w:t>
      </w:r>
      <w:r w:rsidRPr="006437FB">
        <w:rPr>
          <w:rFonts w:cs="Times New Roman"/>
          <w:szCs w:val="21"/>
        </w:rPr>
        <w:t>0.6</w:t>
      </w:r>
      <w:r w:rsidRPr="006437FB">
        <w:rPr>
          <w:rFonts w:cs="Times New Roman"/>
          <w:szCs w:val="21"/>
        </w:rPr>
        <w:t>降低到</w:t>
      </w:r>
      <w:r w:rsidRPr="006437FB">
        <w:rPr>
          <w:rFonts w:cs="Times New Roman"/>
          <w:szCs w:val="21"/>
        </w:rPr>
        <w:t>0.4</w:t>
      </w:r>
      <w:r w:rsidRPr="006437FB">
        <w:rPr>
          <w:rFonts w:cs="Times New Roman"/>
          <w:szCs w:val="21"/>
        </w:rPr>
        <w:t>时，</w:t>
      </w:r>
      <w:r w:rsidRPr="006437FB">
        <w:rPr>
          <w:rFonts w:cs="Times New Roman"/>
          <w:szCs w:val="21"/>
        </w:rPr>
        <w:t>I(t)</w:t>
      </w:r>
      <w:r w:rsidRPr="006437FB">
        <w:rPr>
          <w:rFonts w:cs="Times New Roman"/>
          <w:szCs w:val="21"/>
        </w:rPr>
        <w:t>归零的时间仅由</w:t>
      </w:r>
      <w:r w:rsidRPr="006437FB">
        <w:rPr>
          <w:rFonts w:cs="Times New Roman"/>
          <w:szCs w:val="21"/>
        </w:rPr>
        <w:t>t=99</w:t>
      </w:r>
      <w:r w:rsidRPr="006437FB">
        <w:rPr>
          <w:rFonts w:cs="Times New Roman"/>
          <w:szCs w:val="21"/>
        </w:rPr>
        <w:t>提升到</w:t>
      </w:r>
      <w:r w:rsidRPr="006437FB">
        <w:rPr>
          <w:rFonts w:cs="Times New Roman"/>
          <w:szCs w:val="21"/>
        </w:rPr>
        <w:t>t=116</w:t>
      </w:r>
      <w:r w:rsidRPr="006437FB">
        <w:rPr>
          <w:rFonts w:cs="Times New Roman"/>
          <w:szCs w:val="21"/>
        </w:rPr>
        <w:t>，增幅明显低于风险响应度由</w:t>
      </w:r>
      <w:r w:rsidRPr="006437FB">
        <w:rPr>
          <w:rFonts w:cs="Times New Roman"/>
          <w:szCs w:val="21"/>
        </w:rPr>
        <w:t>0.4</w:t>
      </w:r>
      <w:r w:rsidRPr="006437FB">
        <w:rPr>
          <w:rFonts w:cs="Times New Roman"/>
          <w:szCs w:val="21"/>
        </w:rPr>
        <w:t>降低到</w:t>
      </w:r>
      <w:r w:rsidRPr="006437FB">
        <w:rPr>
          <w:rFonts w:cs="Times New Roman"/>
          <w:szCs w:val="21"/>
        </w:rPr>
        <w:t>0.2</w:t>
      </w:r>
      <w:r w:rsidRPr="006437FB">
        <w:rPr>
          <w:rFonts w:cs="Times New Roman"/>
          <w:szCs w:val="21"/>
        </w:rPr>
        <w:t>的过程，因此严格保证在风险响应度</w:t>
      </w:r>
      <w:r w:rsidRPr="006437FB">
        <w:rPr>
          <w:rFonts w:cs="Times New Roman"/>
          <w:szCs w:val="21"/>
        </w:rPr>
        <w:t>0.4</w:t>
      </w:r>
      <w:r w:rsidRPr="006437FB">
        <w:rPr>
          <w:rFonts w:cs="Times New Roman"/>
          <w:szCs w:val="21"/>
        </w:rPr>
        <w:t>以上是高效风险防控的关键阈值。</w:t>
      </w:r>
    </w:p>
    <w:p w14:paraId="65C980EE" w14:textId="77777777" w:rsidR="000B1599" w:rsidRPr="006437FB" w:rsidRDefault="00000000">
      <w:pPr>
        <w:pStyle w:val="a7"/>
        <w:widowControl/>
        <w:spacing w:beforeAutospacing="0" w:afterAutospacing="0"/>
        <w:ind w:firstLine="420"/>
        <w:jc w:val="both"/>
        <w:rPr>
          <w:sz w:val="21"/>
          <w:szCs w:val="21"/>
        </w:rPr>
      </w:pPr>
      <w:r w:rsidRPr="006437FB">
        <w:rPr>
          <w:sz w:val="21"/>
          <w:szCs w:val="21"/>
        </w:rPr>
        <w:t>由图</w:t>
      </w:r>
      <w:r w:rsidRPr="006437FB">
        <w:rPr>
          <w:sz w:val="21"/>
          <w:szCs w:val="21"/>
        </w:rPr>
        <w:t>9</w:t>
      </w:r>
      <w:r w:rsidRPr="006437FB">
        <w:rPr>
          <w:sz w:val="21"/>
          <w:szCs w:val="21"/>
        </w:rPr>
        <w:t>（</w:t>
      </w:r>
      <w:r w:rsidRPr="006437FB">
        <w:rPr>
          <w:sz w:val="21"/>
          <w:szCs w:val="21"/>
        </w:rPr>
        <w:t>b</w:t>
      </w:r>
      <w:r w:rsidRPr="006437FB">
        <w:rPr>
          <w:sz w:val="21"/>
          <w:szCs w:val="21"/>
        </w:rPr>
        <w:t>）可知，恢复状态节点比例曲线</w:t>
      </w:r>
      <w:bookmarkStart w:id="10" w:name="_Hlk204804672"/>
      <w:r w:rsidRPr="006437FB">
        <w:rPr>
          <w:sz w:val="21"/>
          <w:szCs w:val="21"/>
        </w:rPr>
        <w:t>R(t)</w:t>
      </w:r>
      <w:bookmarkEnd w:id="10"/>
      <w:r w:rsidRPr="006437FB">
        <w:rPr>
          <w:sz w:val="21"/>
          <w:szCs w:val="21"/>
        </w:rPr>
        <w:t>在风险响应度</w:t>
      </w:r>
      <w:r w:rsidRPr="006437FB">
        <w:rPr>
          <w:position w:val="-6"/>
        </w:rPr>
        <w:object w:dxaOrig="180" w:dyaOrig="200" w14:anchorId="524FF028">
          <v:shape id="_x0000_i1139" type="#_x0000_t75" style="width:9pt;height:9.75pt" o:ole="">
            <v:imagedata r:id="rId244" o:title=""/>
          </v:shape>
          <o:OLEObject Type="Embed" ProgID="Equation.DSMT4" ShapeID="_x0000_i1139" DrawAspect="Content" ObjectID="_1845028602" r:id="rId245"/>
        </w:object>
      </w:r>
      <w:r w:rsidRPr="006437FB">
        <w:rPr>
          <w:sz w:val="21"/>
          <w:szCs w:val="21"/>
        </w:rPr>
        <w:t>较高的情况下表现为更快、更高的恢复趋势，最终</w:t>
      </w:r>
      <w:r w:rsidRPr="006437FB">
        <w:rPr>
          <w:sz w:val="21"/>
          <w:szCs w:val="21"/>
        </w:rPr>
        <w:t>R(t)</w:t>
      </w:r>
      <w:r w:rsidRPr="006437FB">
        <w:rPr>
          <w:sz w:val="21"/>
          <w:szCs w:val="21"/>
        </w:rPr>
        <w:t>可达</w:t>
      </w:r>
      <w:r w:rsidRPr="006437FB">
        <w:rPr>
          <w:sz w:val="21"/>
          <w:szCs w:val="21"/>
        </w:rPr>
        <w:t>98%</w:t>
      </w:r>
      <w:r w:rsidRPr="006437FB">
        <w:rPr>
          <w:sz w:val="21"/>
          <w:szCs w:val="21"/>
        </w:rPr>
        <w:t>以上。在电力管廊中，风险响应越迅速、所采取措施越合适，风险受控的速度越快，电力管廊达到安全要求的速度越快。</w:t>
      </w:r>
      <w:r w:rsidRPr="006437FB">
        <w:rPr>
          <w:position w:val="-6"/>
        </w:rPr>
        <w:object w:dxaOrig="180" w:dyaOrig="200" w14:anchorId="5FBD0107">
          <v:shape id="_x0000_i1140" type="#_x0000_t75" style="width:9pt;height:9.75pt" o:ole="">
            <v:imagedata r:id="rId246" o:title=""/>
          </v:shape>
          <o:OLEObject Type="Embed" ProgID="Equation.DSMT4" ShapeID="_x0000_i1140" DrawAspect="Content" ObjectID="_1845028603" r:id="rId247"/>
        </w:object>
      </w:r>
      <w:r w:rsidRPr="006437FB">
        <w:rPr>
          <w:sz w:val="21"/>
          <w:szCs w:val="21"/>
        </w:rPr>
        <w:t>与电力管廊防护失效概率呈负相关关系，</w:t>
      </w:r>
      <w:r w:rsidRPr="006437FB">
        <w:rPr>
          <w:position w:val="-6"/>
        </w:rPr>
        <w:object w:dxaOrig="180" w:dyaOrig="200" w14:anchorId="70DD42DB">
          <v:shape id="_x0000_i1141" type="#_x0000_t75" style="width:9pt;height:9.75pt" o:ole="">
            <v:imagedata r:id="rId246" o:title=""/>
          </v:shape>
          <o:OLEObject Type="Embed" ProgID="Equation.DSMT4" ShapeID="_x0000_i1141" DrawAspect="Content" ObjectID="_1845028604" r:id="rId248"/>
        </w:object>
      </w:r>
      <w:r w:rsidRPr="006437FB">
        <w:rPr>
          <w:sz w:val="21"/>
          <w:szCs w:val="21"/>
        </w:rPr>
        <w:t>越大，电力管廊最终的风险受控水平越接近</w:t>
      </w:r>
      <w:r w:rsidRPr="006437FB">
        <w:rPr>
          <w:sz w:val="21"/>
          <w:szCs w:val="21"/>
        </w:rPr>
        <w:t>1</w:t>
      </w:r>
      <w:r w:rsidRPr="006437FB">
        <w:rPr>
          <w:sz w:val="21"/>
          <w:szCs w:val="21"/>
        </w:rPr>
        <w:t>。当</w:t>
      </w:r>
      <w:r w:rsidRPr="006437FB">
        <w:rPr>
          <w:position w:val="-6"/>
        </w:rPr>
        <w:object w:dxaOrig="180" w:dyaOrig="200" w14:anchorId="735AB92D">
          <v:shape id="_x0000_i1142" type="#_x0000_t75" style="width:9pt;height:9.75pt" o:ole="">
            <v:imagedata r:id="rId249" o:title=""/>
          </v:shape>
          <o:OLEObject Type="Embed" ProgID="Equation.DSMT4" ShapeID="_x0000_i1142" DrawAspect="Content" ObjectID="_1845028605" r:id="rId250"/>
        </w:object>
      </w:r>
      <w:r w:rsidRPr="006437FB">
        <w:rPr>
          <w:sz w:val="21"/>
          <w:szCs w:val="21"/>
        </w:rPr>
        <w:t>小于</w:t>
      </w:r>
      <w:r w:rsidRPr="006437FB">
        <w:rPr>
          <w:sz w:val="21"/>
          <w:szCs w:val="21"/>
        </w:rPr>
        <w:t>0.4</w:t>
      </w:r>
      <w:r w:rsidRPr="006437FB">
        <w:rPr>
          <w:sz w:val="21"/>
          <w:szCs w:val="21"/>
        </w:rPr>
        <w:t>时，</w:t>
      </w:r>
      <w:r w:rsidRPr="006437FB">
        <w:rPr>
          <w:sz w:val="21"/>
          <w:szCs w:val="21"/>
        </w:rPr>
        <w:t>R(t)</w:t>
      </w:r>
      <w:r w:rsidRPr="006437FB">
        <w:rPr>
          <w:sz w:val="21"/>
          <w:szCs w:val="21"/>
        </w:rPr>
        <w:t>下降明显加快，进一步印证了在电力管廊风险防控中风险响应度不宜低于</w:t>
      </w:r>
      <w:r w:rsidRPr="006437FB">
        <w:rPr>
          <w:sz w:val="21"/>
          <w:szCs w:val="21"/>
        </w:rPr>
        <w:t>0.4</w:t>
      </w:r>
      <w:r w:rsidRPr="006437FB">
        <w:rPr>
          <w:sz w:val="21"/>
          <w:szCs w:val="21"/>
        </w:rPr>
        <w:t>的结论。</w:t>
      </w:r>
    </w:p>
    <w:p w14:paraId="7E6404AC" w14:textId="77777777" w:rsidR="000B1599" w:rsidRPr="006437FB" w:rsidRDefault="00000000">
      <w:pPr>
        <w:ind w:firstLine="420"/>
        <w:jc w:val="both"/>
        <w:rPr>
          <w:rFonts w:cs="Times New Roman"/>
          <w:kern w:val="0"/>
          <w:szCs w:val="21"/>
        </w:rPr>
      </w:pPr>
      <w:r w:rsidRPr="006437FB">
        <w:rPr>
          <w:rFonts w:cs="Times New Roman"/>
          <w:kern w:val="0"/>
          <w:szCs w:val="21"/>
        </w:rPr>
        <w:t>为保证风险响应度</w:t>
      </w:r>
      <w:r w:rsidRPr="006437FB">
        <w:rPr>
          <w:rFonts w:cs="Times New Roman"/>
          <w:position w:val="-6"/>
        </w:rPr>
        <w:object w:dxaOrig="180" w:dyaOrig="200" w14:anchorId="7A7EE9A8">
          <v:shape id="_x0000_i1143" type="#_x0000_t75" style="width:9pt;height:9.75pt" o:ole="">
            <v:imagedata r:id="rId251" o:title=""/>
          </v:shape>
          <o:OLEObject Type="Embed" ProgID="Equation.DSMT4" ShapeID="_x0000_i1143" DrawAspect="Content" ObjectID="_1845028606" r:id="rId252"/>
        </w:object>
      </w:r>
      <w:r w:rsidRPr="006437FB">
        <w:rPr>
          <w:rFonts w:cs="Times New Roman"/>
          <w:kern w:val="0"/>
          <w:szCs w:val="21"/>
        </w:rPr>
        <w:t>的影响不受整体风险传导参数</w:t>
      </w:r>
      <w:r w:rsidRPr="006437FB">
        <w:rPr>
          <w:rFonts w:cs="Times New Roman"/>
          <w:position w:val="-6"/>
        </w:rPr>
        <w:object w:dxaOrig="180" w:dyaOrig="270" w14:anchorId="71D6CB0A">
          <v:shape id="_x0000_i1144" type="#_x0000_t75" style="width:9pt;height:13.5pt" o:ole="">
            <v:imagedata r:id="rId253" o:title=""/>
          </v:shape>
          <o:OLEObject Type="Embed" ProgID="Equation.DSMT4" ShapeID="_x0000_i1144" DrawAspect="Content" ObjectID="_1845028607" r:id="rId254"/>
        </w:object>
      </w:r>
      <w:r w:rsidRPr="006437FB">
        <w:rPr>
          <w:rFonts w:cs="Times New Roman"/>
          <w:kern w:val="0"/>
          <w:szCs w:val="21"/>
        </w:rPr>
        <w:t>干扰，本研究补充模拟了</w:t>
      </w:r>
      <w:r w:rsidRPr="006437FB">
        <w:rPr>
          <w:rFonts w:cs="Times New Roman"/>
          <w:position w:val="-6"/>
        </w:rPr>
        <w:object w:dxaOrig="180" w:dyaOrig="270" w14:anchorId="583825F5">
          <v:shape id="_x0000_i1145" type="#_x0000_t75" style="width:9pt;height:13.5pt" o:ole="">
            <v:imagedata r:id="rId255" o:title=""/>
          </v:shape>
          <o:OLEObject Type="Embed" ProgID="Equation.DSMT4" ShapeID="_x0000_i1145" DrawAspect="Content" ObjectID="_1845028608" r:id="rId256"/>
        </w:object>
      </w:r>
      <w:r w:rsidRPr="006437FB">
        <w:rPr>
          <w:rFonts w:cs="Times New Roman"/>
          <w:kern w:val="0"/>
          <w:szCs w:val="21"/>
        </w:rPr>
        <w:t>=0.2, 0.6, 1.0</w:t>
      </w:r>
      <w:r w:rsidRPr="006437FB">
        <w:rPr>
          <w:rFonts w:cs="Times New Roman"/>
          <w:kern w:val="0"/>
          <w:szCs w:val="21"/>
        </w:rPr>
        <w:t>条件下</w:t>
      </w:r>
      <w:r w:rsidRPr="006437FB">
        <w:rPr>
          <w:rFonts w:cs="Times New Roman"/>
          <w:position w:val="-6"/>
        </w:rPr>
        <w:object w:dxaOrig="180" w:dyaOrig="200" w14:anchorId="7D15146C">
          <v:shape id="_x0000_i1146" type="#_x0000_t75" style="width:9pt;height:9.75pt" o:ole="">
            <v:imagedata r:id="rId257" o:title=""/>
          </v:shape>
          <o:OLEObject Type="Embed" ProgID="Equation.DSMT4" ShapeID="_x0000_i1146" DrawAspect="Content" ObjectID="_1845028609" r:id="rId258"/>
        </w:object>
      </w:r>
      <w:r w:rsidRPr="006437FB">
        <w:rPr>
          <w:rFonts w:cs="Times New Roman"/>
          <w:kern w:val="0"/>
          <w:szCs w:val="21"/>
        </w:rPr>
        <w:t>值变化的影响。结果表明在不同</w:t>
      </w:r>
      <w:r w:rsidRPr="006437FB">
        <w:rPr>
          <w:rFonts w:cs="Times New Roman"/>
          <w:position w:val="-6"/>
        </w:rPr>
        <w:object w:dxaOrig="180" w:dyaOrig="270" w14:anchorId="2CBD6D12">
          <v:shape id="_x0000_i1147" type="#_x0000_t75" style="width:9pt;height:13.5pt" o:ole="">
            <v:imagedata r:id="rId259" o:title=""/>
          </v:shape>
          <o:OLEObject Type="Embed" ProgID="Equation.DSMT4" ShapeID="_x0000_i1147" DrawAspect="Content" ObjectID="_1845028610" r:id="rId260"/>
        </w:object>
      </w:r>
      <w:r w:rsidRPr="006437FB">
        <w:rPr>
          <w:rFonts w:cs="Times New Roman"/>
          <w:kern w:val="0"/>
          <w:szCs w:val="21"/>
        </w:rPr>
        <w:t>值下，</w:t>
      </w:r>
      <w:r w:rsidRPr="006437FB">
        <w:rPr>
          <w:rFonts w:cs="Times New Roman"/>
          <w:position w:val="-6"/>
        </w:rPr>
        <w:object w:dxaOrig="180" w:dyaOrig="200" w14:anchorId="7A0E0C80">
          <v:shape id="_x0000_i1148" type="#_x0000_t75" style="width:9pt;height:9.75pt" o:ole="">
            <v:imagedata r:id="rId261" o:title=""/>
          </v:shape>
          <o:OLEObject Type="Embed" ProgID="Equation.DSMT4" ShapeID="_x0000_i1148" DrawAspect="Content" ObjectID="_1845028611" r:id="rId262"/>
        </w:object>
      </w:r>
      <w:r w:rsidRPr="006437FB">
        <w:rPr>
          <w:rFonts w:cs="Times New Roman"/>
          <w:kern w:val="0"/>
          <w:szCs w:val="21"/>
        </w:rPr>
        <w:t>值降低对系统恢复效率的抑制作用及风险持续传导时间延长的规律保持一致，进一步验证了在电力管廊风险防控中</w:t>
      </w:r>
      <w:r w:rsidRPr="006437FB">
        <w:rPr>
          <w:rFonts w:cs="Times New Roman"/>
          <w:szCs w:val="21"/>
        </w:rPr>
        <w:t>风险响应度</w:t>
      </w:r>
      <w:r w:rsidRPr="006437FB">
        <w:rPr>
          <w:rFonts w:cs="Times New Roman"/>
          <w:position w:val="-6"/>
        </w:rPr>
        <w:object w:dxaOrig="180" w:dyaOrig="200" w14:anchorId="080276DA">
          <v:shape id="_x0000_i1149" type="#_x0000_t75" style="width:9pt;height:9.75pt" o:ole="">
            <v:imagedata r:id="rId263" o:title=""/>
          </v:shape>
          <o:OLEObject Type="Embed" ProgID="Equation.DSMT4" ShapeID="_x0000_i1149" DrawAspect="Content" ObjectID="_1845028612" r:id="rId264"/>
        </w:object>
      </w:r>
      <w:r w:rsidRPr="006437FB">
        <w:rPr>
          <w:rFonts w:cs="Times New Roman"/>
          <w:kern w:val="0"/>
          <w:szCs w:val="21"/>
        </w:rPr>
        <w:t>临界效应结论的鲁棒性。</w:t>
      </w:r>
    </w:p>
    <w:p w14:paraId="5E142EFF" w14:textId="77777777" w:rsidR="000B1599" w:rsidRPr="006437FB" w:rsidRDefault="00000000">
      <w:pPr>
        <w:ind w:firstLine="420"/>
        <w:jc w:val="both"/>
        <w:rPr>
          <w:rFonts w:cs="Times New Roman"/>
          <w:szCs w:val="21"/>
        </w:rPr>
      </w:pPr>
      <w:r w:rsidRPr="006437FB">
        <w:rPr>
          <w:rFonts w:cs="Times New Roman"/>
          <w:szCs w:val="21"/>
        </w:rPr>
        <w:t>综合对比不同</w:t>
      </w:r>
      <w:r w:rsidRPr="006437FB">
        <w:rPr>
          <w:rFonts w:cs="Times New Roman"/>
          <w:position w:val="-6"/>
        </w:rPr>
        <w:object w:dxaOrig="180" w:dyaOrig="200" w14:anchorId="61962F7B">
          <v:shape id="_x0000_i1150" type="#_x0000_t75" style="width:9pt;height:9.75pt" o:ole="">
            <v:imagedata r:id="rId265" o:title=""/>
          </v:shape>
          <o:OLEObject Type="Embed" ProgID="Equation.DSMT4" ShapeID="_x0000_i1150" DrawAspect="Content" ObjectID="_1845028613" r:id="rId266"/>
        </w:object>
      </w:r>
      <w:r w:rsidRPr="006437FB">
        <w:rPr>
          <w:rFonts w:cs="Times New Roman"/>
          <w:szCs w:val="21"/>
        </w:rPr>
        <w:t>条件下的感染状态节点受控速率、风险控制所需时间、最终受控比例与受控速率等指标，可得风险响应度对于风险传导具有显著的影响，且风险响应度必须严格限制在</w:t>
      </w:r>
      <w:r w:rsidRPr="006437FB">
        <w:rPr>
          <w:rFonts w:cs="Times New Roman"/>
          <w:szCs w:val="21"/>
        </w:rPr>
        <w:t>0.4</w:t>
      </w:r>
      <w:r w:rsidRPr="006437FB">
        <w:rPr>
          <w:rFonts w:cs="Times New Roman"/>
          <w:szCs w:val="21"/>
        </w:rPr>
        <w:t>以上，否则可能导致电力管廊风险传导持续时间延长，引发管廊结构受损、电力供应中断等严重后果，安全投入需求增加。该分析为实际电力管廊工程系统中风险防控优化策略的制定提供了定量依据，明确了风险响应</w:t>
      </w:r>
      <w:r w:rsidRPr="006437FB">
        <w:rPr>
          <w:rFonts w:cs="Times New Roman"/>
          <w:szCs w:val="21"/>
        </w:rPr>
        <w:t>度的合理阈值，也验证了基于节点状态的风险传导研究的可行性与适用性。</w:t>
      </w:r>
    </w:p>
    <w:p w14:paraId="475BD7DC" w14:textId="77777777" w:rsidR="000B1599" w:rsidRPr="006437FB" w:rsidRDefault="00000000">
      <w:pPr>
        <w:ind w:firstLineChars="0" w:firstLine="0"/>
        <w:jc w:val="center"/>
        <w:rPr>
          <w:rFonts w:cs="Times New Roman"/>
          <w:szCs w:val="21"/>
        </w:rPr>
      </w:pPr>
      <w:r w:rsidRPr="006437FB">
        <w:rPr>
          <w:rFonts w:cs="Times New Roman"/>
          <w:noProof/>
          <w:szCs w:val="21"/>
        </w:rPr>
        <w:drawing>
          <wp:inline distT="0" distB="0" distL="0" distR="0" wp14:anchorId="59A87AEB" wp14:editId="2F805F2A">
            <wp:extent cx="2519680" cy="2068830"/>
            <wp:effectExtent l="0" t="0" r="0" b="7620"/>
            <wp:docPr id="1111021356" name="图片 2" descr="图表, 图示, 直方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021356" name="图片 2" descr="图表, 图示, 直方图&#10;&#10;AI 生成的内容可能不正确。"/>
                    <pic:cNvPicPr>
                      <a:picLocks noChangeAspect="1"/>
                    </pic:cNvPicPr>
                  </pic:nvPicPr>
                  <pic:blipFill>
                    <a:blip r:embed="rId267" cstate="print">
                      <a:extLst>
                        <a:ext uri="{28A0092B-C50C-407E-A947-70E740481C1C}">
                          <a14:useLocalDpi xmlns:a14="http://schemas.microsoft.com/office/drawing/2010/main" val="0"/>
                        </a:ext>
                      </a:extLst>
                    </a:blip>
                    <a:srcRect l="8091" t="6002" r="8812" b="4829"/>
                    <a:stretch>
                      <a:fillRect/>
                    </a:stretch>
                  </pic:blipFill>
                  <pic:spPr>
                    <a:xfrm>
                      <a:off x="0" y="0"/>
                      <a:ext cx="2520000" cy="2069092"/>
                    </a:xfrm>
                    <a:prstGeom prst="rect">
                      <a:avLst/>
                    </a:prstGeom>
                    <a:ln>
                      <a:noFill/>
                    </a:ln>
                  </pic:spPr>
                </pic:pic>
              </a:graphicData>
            </a:graphic>
          </wp:inline>
        </w:drawing>
      </w:r>
    </w:p>
    <w:p w14:paraId="2974E9FE" w14:textId="77777777" w:rsidR="000B1599" w:rsidRPr="006437FB" w:rsidRDefault="00000000">
      <w:pPr>
        <w:ind w:firstLineChars="0" w:firstLine="0"/>
        <w:jc w:val="center"/>
        <w:rPr>
          <w:rFonts w:cs="Times New Roman"/>
          <w:szCs w:val="21"/>
        </w:rPr>
      </w:pPr>
      <w:r w:rsidRPr="006437FB">
        <w:rPr>
          <w:rFonts w:cs="Times New Roman"/>
          <w:szCs w:val="21"/>
        </w:rPr>
        <w:t>（</w:t>
      </w:r>
      <w:r w:rsidRPr="006437FB">
        <w:rPr>
          <w:rFonts w:cs="Times New Roman"/>
          <w:szCs w:val="21"/>
        </w:rPr>
        <w:t>a</w:t>
      </w:r>
      <w:r w:rsidRPr="006437FB">
        <w:rPr>
          <w:rFonts w:cs="Times New Roman"/>
          <w:szCs w:val="21"/>
        </w:rPr>
        <w:t>）</w:t>
      </w:r>
      <w:r w:rsidRPr="006437FB">
        <w:rPr>
          <w:rFonts w:cs="Times New Roman"/>
          <w:szCs w:val="21"/>
        </w:rPr>
        <w:t>I(t)</w:t>
      </w:r>
    </w:p>
    <w:p w14:paraId="05416B4D" w14:textId="77777777" w:rsidR="000B1599" w:rsidRPr="006437FB" w:rsidRDefault="00000000">
      <w:pPr>
        <w:ind w:firstLineChars="0" w:firstLine="0"/>
        <w:jc w:val="center"/>
        <w:rPr>
          <w:rFonts w:cs="Times New Roman"/>
          <w:szCs w:val="21"/>
        </w:rPr>
      </w:pPr>
      <w:r w:rsidRPr="006437FB">
        <w:rPr>
          <w:rFonts w:cs="Times New Roman"/>
          <w:noProof/>
          <w:szCs w:val="21"/>
        </w:rPr>
        <w:drawing>
          <wp:inline distT="0" distB="0" distL="0" distR="0" wp14:anchorId="6ACFA745" wp14:editId="3B50FA2D">
            <wp:extent cx="2519680" cy="2135505"/>
            <wp:effectExtent l="0" t="0" r="0" b="0"/>
            <wp:docPr id="2056505656" name="图片 1" descr="图表&#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6505656" name="图片 1" descr="图表&#10;&#10;AI 生成的内容可能不正确。"/>
                    <pic:cNvPicPr>
                      <a:picLocks noChangeAspect="1"/>
                    </pic:cNvPicPr>
                  </pic:nvPicPr>
                  <pic:blipFill>
                    <a:blip r:embed="rId268" cstate="print">
                      <a:extLst>
                        <a:ext uri="{28A0092B-C50C-407E-A947-70E740481C1C}">
                          <a14:useLocalDpi xmlns:a14="http://schemas.microsoft.com/office/drawing/2010/main" val="0"/>
                        </a:ext>
                      </a:extLst>
                    </a:blip>
                    <a:srcRect l="9840" t="8288" r="12749" b="5973"/>
                    <a:stretch>
                      <a:fillRect/>
                    </a:stretch>
                  </pic:blipFill>
                  <pic:spPr>
                    <a:xfrm>
                      <a:off x="0" y="0"/>
                      <a:ext cx="2520000" cy="2135776"/>
                    </a:xfrm>
                    <a:prstGeom prst="rect">
                      <a:avLst/>
                    </a:prstGeom>
                    <a:ln>
                      <a:noFill/>
                    </a:ln>
                  </pic:spPr>
                </pic:pic>
              </a:graphicData>
            </a:graphic>
          </wp:inline>
        </w:drawing>
      </w:r>
    </w:p>
    <w:p w14:paraId="39BE1B07" w14:textId="77777777" w:rsidR="000B1599" w:rsidRPr="006437FB" w:rsidRDefault="00000000">
      <w:pPr>
        <w:ind w:firstLineChars="0" w:firstLine="0"/>
        <w:jc w:val="center"/>
        <w:rPr>
          <w:rFonts w:cs="Times New Roman"/>
          <w:szCs w:val="21"/>
        </w:rPr>
      </w:pPr>
      <w:r w:rsidRPr="006437FB">
        <w:rPr>
          <w:rFonts w:cs="Times New Roman"/>
          <w:szCs w:val="21"/>
        </w:rPr>
        <w:t>（</w:t>
      </w:r>
      <w:r w:rsidRPr="006437FB">
        <w:rPr>
          <w:rFonts w:cs="Times New Roman"/>
          <w:szCs w:val="21"/>
        </w:rPr>
        <w:t>b</w:t>
      </w:r>
      <w:r w:rsidRPr="006437FB">
        <w:rPr>
          <w:rFonts w:cs="Times New Roman"/>
          <w:szCs w:val="21"/>
        </w:rPr>
        <w:t>）</w:t>
      </w:r>
      <w:r w:rsidRPr="006437FB">
        <w:rPr>
          <w:rFonts w:cs="Times New Roman"/>
          <w:szCs w:val="21"/>
        </w:rPr>
        <w:t>R(t)</w:t>
      </w:r>
    </w:p>
    <w:p w14:paraId="4D1F9BE8" w14:textId="77777777" w:rsidR="000B1599" w:rsidRPr="006437FB" w:rsidRDefault="00000000">
      <w:pPr>
        <w:ind w:firstLineChars="0" w:firstLine="0"/>
        <w:jc w:val="center"/>
        <w:rPr>
          <w:rFonts w:cs="Times New Roman"/>
          <w:szCs w:val="21"/>
        </w:rPr>
      </w:pPr>
      <w:r w:rsidRPr="006437FB">
        <w:rPr>
          <w:rFonts w:cs="Times New Roman"/>
          <w:szCs w:val="21"/>
        </w:rPr>
        <w:t>图</w:t>
      </w:r>
      <w:r w:rsidRPr="006437FB">
        <w:rPr>
          <w:rFonts w:cs="Times New Roman"/>
          <w:szCs w:val="21"/>
        </w:rPr>
        <w:t>9</w:t>
      </w:r>
      <w:r w:rsidRPr="006437FB">
        <w:rPr>
          <w:rFonts w:cs="Times New Roman"/>
          <w:szCs w:val="21"/>
        </w:rPr>
        <w:t>：不同</w:t>
      </w:r>
      <w:r w:rsidRPr="006437FB">
        <w:rPr>
          <w:rFonts w:cs="Times New Roman"/>
          <w:position w:val="-6"/>
        </w:rPr>
        <w:object w:dxaOrig="180" w:dyaOrig="200" w14:anchorId="2C9A70C8">
          <v:shape id="_x0000_i1151" type="#_x0000_t75" style="width:9pt;height:9.75pt" o:ole="">
            <v:imagedata r:id="rId269" o:title=""/>
          </v:shape>
          <o:OLEObject Type="Embed" ProgID="Equation.DSMT4" ShapeID="_x0000_i1151" DrawAspect="Content" ObjectID="_1845028614" r:id="rId270"/>
        </w:object>
      </w:r>
      <w:r w:rsidRPr="006437FB">
        <w:rPr>
          <w:rFonts w:cs="Times New Roman"/>
          <w:szCs w:val="21"/>
        </w:rPr>
        <w:t>下感染、恢复节点比例随时间的变化</w:t>
      </w:r>
    </w:p>
    <w:p w14:paraId="50ACEE3E" w14:textId="77777777" w:rsidR="000B1599" w:rsidRPr="006437FB" w:rsidRDefault="00000000">
      <w:pPr>
        <w:keepNext/>
        <w:widowControl/>
        <w:spacing w:line="240" w:lineRule="atLeast"/>
        <w:ind w:firstLineChars="0" w:firstLine="0"/>
        <w:jc w:val="both"/>
        <w:outlineLvl w:val="0"/>
        <w:rPr>
          <w:rFonts w:cs="Times New Roman"/>
          <w:b/>
          <w:bCs/>
          <w:kern w:val="0"/>
          <w:sz w:val="24"/>
        </w:rPr>
      </w:pPr>
      <w:r w:rsidRPr="006437FB">
        <w:rPr>
          <w:rFonts w:cs="Times New Roman"/>
          <w:b/>
          <w:bCs/>
          <w:kern w:val="0"/>
          <w:sz w:val="24"/>
        </w:rPr>
        <w:t>4</w:t>
      </w:r>
      <w:r w:rsidRPr="006437FB">
        <w:rPr>
          <w:rFonts w:cs="Times New Roman"/>
          <w:b/>
          <w:bCs/>
          <w:kern w:val="0"/>
          <w:sz w:val="24"/>
        </w:rPr>
        <w:t>结论</w:t>
      </w:r>
    </w:p>
    <w:p w14:paraId="153CADFF" w14:textId="77777777" w:rsidR="000B1599" w:rsidRPr="006437FB" w:rsidRDefault="00000000">
      <w:pPr>
        <w:ind w:firstLine="420"/>
        <w:jc w:val="both"/>
        <w:rPr>
          <w:rFonts w:cs="Times New Roman"/>
          <w:highlight w:val="yellow"/>
          <w:shd w:val="clear" w:color="auto" w:fill="FFFF00"/>
        </w:rPr>
      </w:pPr>
      <w:r w:rsidRPr="006437FB">
        <w:rPr>
          <w:rFonts w:cs="Times New Roman"/>
        </w:rPr>
        <w:t>本研究通过结合复杂网络理论与改进传染病模型，从静态结构分析和动态风险传导双重角度实现了电力管廊关键风险因素的识别，量化分析了整体风险水平特征和风险响应度对电力管廊风险传导的影响，为电力管廊的风险防控优化提供了科学依据。</w:t>
      </w:r>
    </w:p>
    <w:p w14:paraId="53EBD193" w14:textId="77777777" w:rsidR="000B1599" w:rsidRPr="006437FB" w:rsidRDefault="00000000">
      <w:pPr>
        <w:ind w:firstLineChars="0" w:firstLine="420"/>
        <w:jc w:val="both"/>
        <w:rPr>
          <w:rFonts w:cs="Times New Roman"/>
        </w:rPr>
      </w:pPr>
      <w:r w:rsidRPr="006437FB">
        <w:rPr>
          <w:rFonts w:cs="Times New Roman"/>
        </w:rPr>
        <w:t>在电力管廊风险防控中应优先管控兼具静态枢纽性和动态风险传导能力的核心节点，在静态结构和动态风险传导能力分析中，</w:t>
      </w:r>
      <w:r w:rsidRPr="006437FB">
        <w:rPr>
          <w:rFonts w:cs="Times New Roman"/>
        </w:rPr>
        <w:t>“</w:t>
      </w:r>
      <w:r w:rsidRPr="006437FB">
        <w:rPr>
          <w:rFonts w:cs="Times New Roman"/>
        </w:rPr>
        <w:t>未落实安全生产责任制</w:t>
      </w:r>
      <w:r w:rsidRPr="006437FB">
        <w:rPr>
          <w:rFonts w:cs="Times New Roman"/>
        </w:rPr>
        <w:t>”</w:t>
      </w:r>
      <w:r w:rsidRPr="006437FB">
        <w:rPr>
          <w:rFonts w:cs="Times New Roman"/>
        </w:rPr>
        <w:t>、</w:t>
      </w:r>
      <w:r w:rsidRPr="006437FB">
        <w:rPr>
          <w:rFonts w:cs="Times New Roman"/>
        </w:rPr>
        <w:t>“</w:t>
      </w:r>
      <w:r w:rsidRPr="006437FB">
        <w:rPr>
          <w:rFonts w:cs="Times New Roman"/>
        </w:rPr>
        <w:t>地质环境变动</w:t>
      </w:r>
      <w:r w:rsidRPr="006437FB">
        <w:rPr>
          <w:rFonts w:cs="Times New Roman"/>
        </w:rPr>
        <w:t>”</w:t>
      </w:r>
      <w:r w:rsidRPr="006437FB">
        <w:rPr>
          <w:rFonts w:cs="Times New Roman"/>
        </w:rPr>
        <w:t>、</w:t>
      </w:r>
      <w:r w:rsidRPr="006437FB">
        <w:rPr>
          <w:rFonts w:cs="Times New Roman"/>
        </w:rPr>
        <w:t>“</w:t>
      </w:r>
      <w:r w:rsidRPr="006437FB">
        <w:rPr>
          <w:rFonts w:cs="Times New Roman"/>
        </w:rPr>
        <w:t>积水</w:t>
      </w:r>
      <w:r w:rsidRPr="006437FB">
        <w:rPr>
          <w:rFonts w:cs="Times New Roman"/>
        </w:rPr>
        <w:t>”</w:t>
      </w:r>
      <w:r w:rsidRPr="006437FB">
        <w:rPr>
          <w:rFonts w:cs="Times New Roman"/>
        </w:rPr>
        <w:t>和</w:t>
      </w:r>
      <w:r w:rsidRPr="006437FB">
        <w:rPr>
          <w:rFonts w:cs="Times New Roman"/>
        </w:rPr>
        <w:t>“</w:t>
      </w:r>
      <w:r w:rsidRPr="006437FB">
        <w:rPr>
          <w:rFonts w:cs="Times New Roman"/>
        </w:rPr>
        <w:t>安全检查不到位</w:t>
      </w:r>
      <w:r w:rsidRPr="006437FB">
        <w:rPr>
          <w:rFonts w:cs="Times New Roman"/>
        </w:rPr>
        <w:t>”</w:t>
      </w:r>
      <w:r w:rsidRPr="006437FB">
        <w:rPr>
          <w:rFonts w:cs="Times New Roman"/>
        </w:rPr>
        <w:t>节点均位列前十名。整体风险水平特征与电力管廊风险传导速率和范围呈非线性正相关；风险响应度与电力管廊风险受控的效率及范围也呈非线性正相关，风险响应度</w:t>
      </w:r>
      <w:r w:rsidRPr="006437FB">
        <w:rPr>
          <w:rFonts w:cs="Times New Roman"/>
          <w:position w:val="-6"/>
        </w:rPr>
        <w:object w:dxaOrig="180" w:dyaOrig="200" w14:anchorId="3BE579BB">
          <v:shape id="_x0000_i1152" type="#_x0000_t75" style="width:9pt;height:9.75pt" o:ole="">
            <v:imagedata r:id="rId271" o:title=""/>
          </v:shape>
          <o:OLEObject Type="Embed" ProgID="Equation.DSMT4" ShapeID="_x0000_i1152" DrawAspect="Content" ObjectID="_1845028615" r:id="rId272"/>
        </w:object>
      </w:r>
      <w:r w:rsidRPr="006437FB">
        <w:rPr>
          <w:rFonts w:cs="Times New Roman"/>
        </w:rPr>
        <w:t>越高，风险受控的速度越快，范围越大，当</w:t>
      </w:r>
      <w:r w:rsidRPr="006437FB">
        <w:rPr>
          <w:rFonts w:cs="Times New Roman"/>
          <w:position w:val="-6"/>
        </w:rPr>
        <w:object w:dxaOrig="180" w:dyaOrig="200" w14:anchorId="6D7BC2F0">
          <v:shape id="_x0000_i1153" type="#_x0000_t75" style="width:9pt;height:9.75pt" o:ole="">
            <v:imagedata r:id="rId273" o:title=""/>
          </v:shape>
          <o:OLEObject Type="Embed" ProgID="Equation.DSMT4" ShapeID="_x0000_i1153" DrawAspect="Content" ObjectID="_1845028616" r:id="rId274"/>
        </w:object>
      </w:r>
      <w:r w:rsidRPr="006437FB">
        <w:rPr>
          <w:rFonts w:cs="Times New Roman"/>
        </w:rPr>
        <w:t>大于</w:t>
      </w:r>
      <w:r w:rsidRPr="006437FB">
        <w:rPr>
          <w:rFonts w:cs="Times New Roman"/>
        </w:rPr>
        <w:t>0.6</w:t>
      </w:r>
      <w:r w:rsidRPr="006437FB">
        <w:rPr>
          <w:rFonts w:cs="Times New Roman"/>
        </w:rPr>
        <w:t>时，系统受控概率可达到</w:t>
      </w:r>
      <w:r w:rsidRPr="006437FB">
        <w:rPr>
          <w:rFonts w:cs="Times New Roman"/>
        </w:rPr>
        <w:t>90%</w:t>
      </w:r>
      <w:r w:rsidRPr="006437FB">
        <w:rPr>
          <w:rFonts w:cs="Times New Roman"/>
        </w:rPr>
        <w:t>以上，而将</w:t>
      </w:r>
      <w:r w:rsidRPr="006437FB">
        <w:rPr>
          <w:rFonts w:cs="Times New Roman"/>
          <w:position w:val="-6"/>
        </w:rPr>
        <w:object w:dxaOrig="180" w:dyaOrig="200" w14:anchorId="3FF26062">
          <v:shape id="_x0000_i1154" type="#_x0000_t75" style="width:9pt;height:9.75pt" o:ole="">
            <v:imagedata r:id="rId275" o:title=""/>
          </v:shape>
          <o:OLEObject Type="Embed" ProgID="Equation.DSMT4" ShapeID="_x0000_i1154" DrawAspect="Content" ObjectID="_1845028617" r:id="rId276"/>
        </w:object>
      </w:r>
      <w:r w:rsidRPr="006437FB">
        <w:rPr>
          <w:rFonts w:cs="Times New Roman"/>
        </w:rPr>
        <w:t>严格控制在</w:t>
      </w:r>
      <w:r w:rsidRPr="006437FB">
        <w:rPr>
          <w:rFonts w:cs="Times New Roman"/>
        </w:rPr>
        <w:t>0.4</w:t>
      </w:r>
      <w:r w:rsidRPr="006437FB">
        <w:rPr>
          <w:rFonts w:cs="Times New Roman"/>
        </w:rPr>
        <w:t>以上，则能有效避免风险防控延迟问题。</w:t>
      </w:r>
    </w:p>
    <w:p w14:paraId="18D3C840" w14:textId="77777777" w:rsidR="000B1599" w:rsidRPr="006437FB" w:rsidRDefault="00000000">
      <w:pPr>
        <w:ind w:firstLine="420"/>
        <w:jc w:val="both"/>
        <w:rPr>
          <w:rFonts w:cs="Times New Roman"/>
        </w:rPr>
      </w:pPr>
      <w:r w:rsidRPr="006437FB">
        <w:rPr>
          <w:rFonts w:cs="Times New Roman"/>
        </w:rPr>
        <w:lastRenderedPageBreak/>
        <w:t>基于上述分析，应针对性地采取以下风险防控措施：针对静态结构中</w:t>
      </w:r>
      <w:r w:rsidRPr="006437FB">
        <w:rPr>
          <w:rFonts w:cs="Times New Roman"/>
        </w:rPr>
        <w:t>“</w:t>
      </w:r>
      <w:r w:rsidRPr="006437FB">
        <w:rPr>
          <w:rFonts w:cs="Times New Roman"/>
        </w:rPr>
        <w:t>隐患排查治理不到位</w:t>
      </w:r>
      <w:r w:rsidRPr="006437FB">
        <w:rPr>
          <w:rFonts w:cs="Times New Roman"/>
        </w:rPr>
        <w:t>”</w:t>
      </w:r>
      <w:r w:rsidRPr="006437FB">
        <w:rPr>
          <w:rFonts w:cs="Times New Roman"/>
        </w:rPr>
        <w:t>、</w:t>
      </w:r>
      <w:r w:rsidRPr="006437FB">
        <w:rPr>
          <w:rFonts w:cs="Times New Roman"/>
        </w:rPr>
        <w:t>“</w:t>
      </w:r>
      <w:r w:rsidRPr="006437FB">
        <w:rPr>
          <w:rFonts w:cs="Times New Roman"/>
        </w:rPr>
        <w:t>绝缘老化</w:t>
      </w:r>
      <w:r w:rsidRPr="006437FB">
        <w:rPr>
          <w:rFonts w:cs="Times New Roman"/>
        </w:rPr>
        <w:t>”</w:t>
      </w:r>
      <w:r w:rsidRPr="006437FB">
        <w:rPr>
          <w:rFonts w:cs="Times New Roman"/>
        </w:rPr>
        <w:t>等核心节点，建立定期检修与长期监控机制，及时控制以降低其本身结构脆弱性，阻断风险传导；围绕动态风险传导中</w:t>
      </w:r>
      <w:r w:rsidRPr="006437FB">
        <w:rPr>
          <w:rFonts w:cs="Times New Roman"/>
        </w:rPr>
        <w:t>“</w:t>
      </w:r>
      <w:r w:rsidRPr="006437FB">
        <w:rPr>
          <w:rFonts w:cs="Times New Roman"/>
        </w:rPr>
        <w:t>安全检查不到位</w:t>
      </w:r>
      <w:r w:rsidRPr="006437FB">
        <w:rPr>
          <w:rFonts w:cs="Times New Roman"/>
        </w:rPr>
        <w:t>”“</w:t>
      </w:r>
      <w:r w:rsidRPr="006437FB">
        <w:rPr>
          <w:rFonts w:cs="Times New Roman"/>
        </w:rPr>
        <w:t>管理制度不健全</w:t>
      </w:r>
      <w:r w:rsidRPr="006437FB">
        <w:rPr>
          <w:rFonts w:cs="Times New Roman"/>
        </w:rPr>
        <w:t>”</w:t>
      </w:r>
      <w:r w:rsidRPr="006437FB">
        <w:rPr>
          <w:rFonts w:cs="Times New Roman"/>
        </w:rPr>
        <w:t>等关键环节，推进制度缺陷治理并建立定期更新机制，配套实时流程追溯等动态监控措施，切断风险传导链条；同时，重点关注静态结构和动态风险传导能力分析中均排名靠前的因素，采取安全投入倾斜策略，强化实时控制效能与闭环管控流程；而整体风险传导参数与风险响应度的调控需贯穿于所有关键节点的防控过程中，确保风险响应度维持在</w:t>
      </w:r>
      <w:r w:rsidRPr="006437FB">
        <w:rPr>
          <w:rFonts w:cs="Times New Roman"/>
        </w:rPr>
        <w:t>0.6</w:t>
      </w:r>
      <w:r w:rsidRPr="006437FB">
        <w:rPr>
          <w:rFonts w:cs="Times New Roman"/>
        </w:rPr>
        <w:t>以上。通过上述措施有助于从源头上阻断风险传导，实现风险防控优化。</w:t>
      </w:r>
    </w:p>
    <w:p w14:paraId="0FB5FC8B" w14:textId="77777777" w:rsidR="000B1599" w:rsidRPr="006437FB" w:rsidRDefault="00000000">
      <w:pPr>
        <w:ind w:firstLine="420"/>
        <w:jc w:val="both"/>
        <w:rPr>
          <w:rFonts w:cs="Times New Roman"/>
        </w:rPr>
      </w:pPr>
      <w:r w:rsidRPr="006437FB">
        <w:rPr>
          <w:rFonts w:cs="Times New Roman"/>
        </w:rPr>
        <w:t>综上所述，本研究的</w:t>
      </w:r>
      <w:r w:rsidRPr="006437FB">
        <w:rPr>
          <w:rFonts w:cs="Times New Roman"/>
        </w:rPr>
        <w:t>SEIRS-C</w:t>
      </w:r>
      <w:r w:rsidRPr="006437FB">
        <w:rPr>
          <w:rFonts w:cs="Times New Roman"/>
        </w:rPr>
        <w:t>模型在关键风险因素识别和风险传导阈值量化方面取得了预期成果，所提出的风险防控优化措施为电力管廊的安全运行提供了支撑。但整体风险传导参数</w:t>
      </w:r>
      <w:r w:rsidRPr="006437FB">
        <w:rPr>
          <w:rFonts w:cs="Times New Roman"/>
          <w:position w:val="-6"/>
        </w:rPr>
        <w:object w:dxaOrig="180" w:dyaOrig="270" w14:anchorId="5068585B">
          <v:shape id="_x0000_i1155" type="#_x0000_t75" style="width:9pt;height:13.5pt" o:ole="">
            <v:imagedata r:id="rId277" o:title=""/>
          </v:shape>
          <o:OLEObject Type="Embed" ProgID="Equation.DSMT4" ShapeID="_x0000_i1155" DrawAspect="Content" ObjectID="_1845028618" r:id="rId278"/>
        </w:object>
      </w:r>
      <w:r w:rsidRPr="006437FB">
        <w:rPr>
          <w:rFonts w:cs="Times New Roman"/>
        </w:rPr>
        <w:t>与风险响应度</w:t>
      </w:r>
      <w:r w:rsidRPr="006437FB">
        <w:rPr>
          <w:rFonts w:cs="Times New Roman"/>
          <w:position w:val="-6"/>
        </w:rPr>
        <w:object w:dxaOrig="180" w:dyaOrig="200" w14:anchorId="4E128335">
          <v:shape id="_x0000_i1156" type="#_x0000_t75" style="width:9pt;height:9.75pt" o:ole="">
            <v:imagedata r:id="rId279" o:title=""/>
          </v:shape>
          <o:OLEObject Type="Embed" ProgID="Equation.DSMT4" ShapeID="_x0000_i1156" DrawAspect="Content" ObjectID="_1845028619" r:id="rId280"/>
        </w:object>
      </w:r>
      <w:r w:rsidRPr="006437FB">
        <w:rPr>
          <w:rFonts w:cs="Times New Roman"/>
        </w:rPr>
        <w:t>的设定仍需结合工程实际，未来工作可进一步探索其与物理系统的内在关联，支撑风险防控实践。</w:t>
      </w:r>
    </w:p>
    <w:p w14:paraId="53A62A4D" w14:textId="77777777" w:rsidR="000B1599" w:rsidRPr="006437FB" w:rsidRDefault="00000000">
      <w:pPr>
        <w:ind w:firstLineChars="0" w:firstLine="0"/>
        <w:jc w:val="both"/>
        <w:rPr>
          <w:rFonts w:cs="Times New Roman"/>
        </w:rPr>
      </w:pPr>
      <w:r w:rsidRPr="006437FB">
        <w:rPr>
          <w:rFonts w:cs="Times New Roman"/>
        </w:rPr>
        <w:t>参考文献</w:t>
      </w:r>
    </w:p>
    <w:p w14:paraId="28B1A297"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lang w:val="nl-NL"/>
        </w:rPr>
        <w:t xml:space="preserve">ZHU J J, CHENG Y M, ZHANG Y H. </w:t>
      </w:r>
      <w:r w:rsidRPr="006437FB">
        <w:rPr>
          <w:rFonts w:cs="Times New Roman"/>
          <w:szCs w:val="21"/>
        </w:rPr>
        <w:t>Risk propagation mechanism research based on SITR model of complex supply networks [J]. International Journal of Information Systems and Supply Chain Management, 2021, 14(3): 18-38.</w:t>
      </w:r>
    </w:p>
    <w:p w14:paraId="41B753CC"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lang w:val="nl-NL"/>
        </w:rPr>
        <w:t xml:space="preserve">NIU Q F, YUAN Q, WANG Y P, et al. </w:t>
      </w:r>
      <w:r w:rsidRPr="006437FB">
        <w:rPr>
          <w:rFonts w:cs="Times New Roman"/>
          <w:szCs w:val="21"/>
        </w:rPr>
        <w:t>Fire risk assessment of urban utility tunnels based on improved cloud model and evidence theory [J]. Applied Sciences-Basel, 2023, 13(4): 2204.</w:t>
      </w:r>
    </w:p>
    <w:p w14:paraId="311683E4"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rPr>
        <w:t>LIANG K, HAO X F, AN W G, et al. Study on cable fire spread and smoke temperature distribution in T-shaped utility tunnel [J]. Case Studies in Thermal Engineering, 2019, 9: 100433.</w:t>
      </w:r>
    </w:p>
    <w:p w14:paraId="47CE7FF2"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lang w:val="nl-NL"/>
        </w:rPr>
        <w:t xml:space="preserve">LIU X J, XU Z D, SUN B, et al. </w:t>
      </w:r>
      <w:r w:rsidRPr="006437FB">
        <w:rPr>
          <w:rFonts w:cs="Times New Roman"/>
          <w:szCs w:val="21"/>
        </w:rPr>
        <w:t>Spatiotemporal state assessment for the underground pipe gallery: Physical model and experimental verification [J]. Tunnelling and Underground Space Technology, 2023, 143(11): 105474.</w:t>
      </w:r>
    </w:p>
    <w:p w14:paraId="580F30A4"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rPr>
        <w:t>BILAL Z, MOHAMMED K, BRAHIM H. Bayesian network and bowtie to analyze the risk of fire and explosion of pipelines [J]. Process Safety Progress, 2016, 36(2): 202-212.</w:t>
      </w:r>
    </w:p>
    <w:p w14:paraId="59C9F997"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lang w:val="nl-NL"/>
        </w:rPr>
        <w:t xml:space="preserve">ZHU XP, WU J S, BAI Y P, et al. </w:t>
      </w:r>
      <w:r w:rsidRPr="006437FB">
        <w:rPr>
          <w:rFonts w:cs="Times New Roman"/>
          <w:szCs w:val="21"/>
        </w:rPr>
        <w:t>Integrating FBN and FDS for quantitative risk assessment of cable fire in utility tunnel [J]. Journal of Loss Prevention in the Process Industries, 2024, 88(2): 105266.</w:t>
      </w:r>
    </w:p>
    <w:p w14:paraId="3478F2EB"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lang w:val="nl-NL"/>
        </w:rPr>
        <w:t xml:space="preserve">HE L P, MA G L, HU Q J, et al. </w:t>
      </w:r>
      <w:r w:rsidRPr="006437FB">
        <w:rPr>
          <w:rFonts w:cs="Times New Roman"/>
          <w:szCs w:val="21"/>
        </w:rPr>
        <w:t>A novel method for risk assessment of cable fires in utility tunnel [J]. Mathematical Problems in Engineering, 2019: 2563012.</w:t>
      </w:r>
    </w:p>
    <w:p w14:paraId="1F0BEBC7"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rPr>
        <w:t>米红甫</w:t>
      </w:r>
      <w:r w:rsidRPr="006437FB">
        <w:rPr>
          <w:rFonts w:cs="Times New Roman"/>
          <w:szCs w:val="21"/>
        </w:rPr>
        <w:t>,</w:t>
      </w:r>
      <w:r w:rsidRPr="006437FB">
        <w:rPr>
          <w:rFonts w:cs="Times New Roman"/>
          <w:szCs w:val="21"/>
        </w:rPr>
        <w:t>张小梅</w:t>
      </w:r>
      <w:r w:rsidRPr="006437FB">
        <w:rPr>
          <w:rFonts w:cs="Times New Roman"/>
          <w:szCs w:val="21"/>
        </w:rPr>
        <w:t>,</w:t>
      </w:r>
      <w:r w:rsidRPr="006437FB">
        <w:rPr>
          <w:rFonts w:cs="Times New Roman"/>
          <w:szCs w:val="21"/>
        </w:rPr>
        <w:t>杨文璟</w:t>
      </w:r>
      <w:r w:rsidRPr="006437FB">
        <w:rPr>
          <w:rFonts w:cs="Times New Roman"/>
          <w:szCs w:val="21"/>
        </w:rPr>
        <w:t>,</w:t>
      </w:r>
      <w:r w:rsidRPr="006437FB">
        <w:rPr>
          <w:rFonts w:cs="Times New Roman"/>
          <w:szCs w:val="21"/>
        </w:rPr>
        <w:t>等</w:t>
      </w:r>
      <w:r w:rsidRPr="006437FB">
        <w:rPr>
          <w:rFonts w:cs="Times New Roman"/>
          <w:szCs w:val="21"/>
        </w:rPr>
        <w:t>.</w:t>
      </w:r>
      <w:r w:rsidRPr="006437FB">
        <w:rPr>
          <w:rFonts w:cs="Times New Roman"/>
          <w:szCs w:val="21"/>
        </w:rPr>
        <w:t>城市地下综合管廊电缆舱火灾概率分析方法</w:t>
      </w:r>
      <w:r w:rsidRPr="006437FB">
        <w:rPr>
          <w:rFonts w:cs="Times New Roman"/>
          <w:szCs w:val="21"/>
        </w:rPr>
        <w:t xml:space="preserve">[J]. </w:t>
      </w:r>
      <w:r w:rsidRPr="006437FB">
        <w:rPr>
          <w:rFonts w:cs="Times New Roman"/>
          <w:szCs w:val="21"/>
        </w:rPr>
        <w:t>中国安全科学学报</w:t>
      </w:r>
      <w:r w:rsidRPr="006437FB">
        <w:rPr>
          <w:rFonts w:cs="Times New Roman"/>
          <w:szCs w:val="21"/>
        </w:rPr>
        <w:t>,2021, 31 (1): 165-172.</w:t>
      </w:r>
    </w:p>
    <w:p w14:paraId="2760F2EF" w14:textId="77777777" w:rsidR="000B1599" w:rsidRPr="006437FB" w:rsidRDefault="00000000">
      <w:pPr>
        <w:pStyle w:val="af0"/>
        <w:ind w:left="295" w:firstLineChars="0" w:firstLine="0"/>
        <w:jc w:val="both"/>
        <w:rPr>
          <w:rFonts w:cs="Times New Roman"/>
          <w:szCs w:val="21"/>
        </w:rPr>
      </w:pPr>
      <w:r w:rsidRPr="006437FB">
        <w:rPr>
          <w:rFonts w:cs="Times New Roman"/>
          <w:szCs w:val="21"/>
          <w:lang w:val="nl-NL"/>
        </w:rPr>
        <w:t xml:space="preserve">MI H F, ZHANG X M, YANG W J, et al. </w:t>
      </w:r>
      <w:r w:rsidRPr="006437FB">
        <w:rPr>
          <w:rFonts w:cs="Times New Roman"/>
          <w:szCs w:val="21"/>
        </w:rPr>
        <w:t>Probability analysis method for fire in cable compartment of urban underground utility tunnel [J]. China Safety Science Journal, 2021, 31(1): 165-172. (in Chinese)</w:t>
      </w:r>
    </w:p>
    <w:p w14:paraId="4D5472CC"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lang w:val="nl-NL"/>
        </w:rPr>
        <w:t xml:space="preserve">XU N, HU Y T, ZHANG B, et al. </w:t>
      </w:r>
      <w:r w:rsidRPr="006437FB">
        <w:rPr>
          <w:rFonts w:cs="Times New Roman"/>
          <w:szCs w:val="21"/>
        </w:rPr>
        <w:t>Safety-risk transmission assessment based on a factor-event network for metro construction projects [J]. Natural Hazards Review, 2024, 25(1): 04023056.</w:t>
      </w:r>
    </w:p>
    <w:p w14:paraId="3BC4C9E3"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rPr>
        <w:t>CHENG L H, CAO D Q. Evolution model and quantitative assessment of risk network in housing construction accidents [J]. Engineering Construction and Architectural Management, 2022, 31(1): 227-246.</w:t>
      </w:r>
    </w:p>
    <w:p w14:paraId="0781D1C6"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lang w:val="nl-NL"/>
        </w:rPr>
        <w:t xml:space="preserve">NOGUCHI H, HIENUKI S, FUSE M, et al. </w:t>
      </w:r>
      <w:r w:rsidRPr="006437FB">
        <w:rPr>
          <w:rFonts w:cs="Times New Roman"/>
          <w:szCs w:val="21"/>
        </w:rPr>
        <w:t>Network theory-based accident scenario analysis for hazardous material transport: A case study of liquefied petroleum gas transport in Japan [J]. Reliability Engineering &amp; System Safety, 2020, 203: 107107.</w:t>
      </w:r>
    </w:p>
    <w:p w14:paraId="1A595746"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lang w:val="nl-NL"/>
        </w:rPr>
        <w:t xml:space="preserve">HAN Y W, SHEN J, ZHU X W, et al. </w:t>
      </w:r>
      <w:r w:rsidRPr="006437FB">
        <w:rPr>
          <w:rFonts w:cs="Times New Roman"/>
          <w:szCs w:val="21"/>
        </w:rPr>
        <w:t>Two-stage propagation analysis of safety risks in complex underground engineering: An integrated modeling framework [J]. Reliability Engineering &amp; System Safety, 2025, 261: 111081.</w:t>
      </w:r>
    </w:p>
    <w:p w14:paraId="7075D0B3"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lang w:val="nl-NL"/>
        </w:rPr>
        <w:t xml:space="preserve">WANG R X, YAN H, KANG R, et al. </w:t>
      </w:r>
      <w:r w:rsidRPr="006437FB">
        <w:rPr>
          <w:rFonts w:cs="Times New Roman"/>
          <w:szCs w:val="21"/>
        </w:rPr>
        <w:t>Evaluation and classification of accident-inducing and risk propagation in airport apron networks [J]. IEEE Access, 2025, 13: 66238-66249.</w:t>
      </w:r>
    </w:p>
    <w:p w14:paraId="72D44CAC"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lang w:val="nl-NL"/>
        </w:rPr>
        <w:t xml:space="preserve">MA X X, DENG W Y, QIAO W L, et al. </w:t>
      </w:r>
      <w:r w:rsidRPr="006437FB">
        <w:rPr>
          <w:rFonts w:cs="Times New Roman"/>
          <w:szCs w:val="21"/>
        </w:rPr>
        <w:t>A methodology to quantify the risk propagation of hazardous events for ship grounding accidents based on directed CN [J]. Reliability Engineering &amp; System Safety, 2022, 221(5): 108334.</w:t>
      </w:r>
    </w:p>
    <w:p w14:paraId="558E672E"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rPr>
        <w:t>周佳美</w:t>
      </w:r>
      <w:r w:rsidRPr="006437FB">
        <w:rPr>
          <w:rFonts w:cs="Times New Roman"/>
          <w:szCs w:val="21"/>
        </w:rPr>
        <w:t>,</w:t>
      </w:r>
      <w:r w:rsidRPr="006437FB">
        <w:rPr>
          <w:rFonts w:cs="Times New Roman"/>
          <w:szCs w:val="21"/>
        </w:rPr>
        <w:t>吕伟</w:t>
      </w:r>
      <w:r w:rsidRPr="006437FB">
        <w:rPr>
          <w:rFonts w:cs="Times New Roman"/>
          <w:szCs w:val="21"/>
        </w:rPr>
        <w:t>,</w:t>
      </w:r>
      <w:r w:rsidRPr="006437FB">
        <w:rPr>
          <w:rFonts w:cs="Times New Roman"/>
          <w:szCs w:val="21"/>
        </w:rPr>
        <w:t>汪京辉</w:t>
      </w:r>
      <w:r w:rsidRPr="006437FB">
        <w:rPr>
          <w:rFonts w:cs="Times New Roman"/>
          <w:szCs w:val="21"/>
        </w:rPr>
        <w:t>.</w:t>
      </w:r>
      <w:r w:rsidRPr="006437FB">
        <w:rPr>
          <w:rFonts w:cs="Times New Roman"/>
          <w:szCs w:val="21"/>
        </w:rPr>
        <w:t>基于多重网络下风险与信息耦合传播的供应链韧性分析</w:t>
      </w:r>
      <w:r w:rsidRPr="006437FB">
        <w:rPr>
          <w:rFonts w:cs="Times New Roman"/>
          <w:szCs w:val="21"/>
        </w:rPr>
        <w:t xml:space="preserve"> [J]. </w:t>
      </w:r>
      <w:r w:rsidRPr="006437FB">
        <w:rPr>
          <w:rFonts w:cs="Times New Roman"/>
          <w:szCs w:val="21"/>
        </w:rPr>
        <w:t>清华大学学报</w:t>
      </w:r>
      <w:r w:rsidRPr="006437FB">
        <w:rPr>
          <w:rFonts w:cs="Times New Roman"/>
          <w:szCs w:val="21"/>
        </w:rPr>
        <w:t xml:space="preserve"> (</w:t>
      </w:r>
      <w:r w:rsidRPr="006437FB">
        <w:rPr>
          <w:rFonts w:cs="Times New Roman"/>
          <w:szCs w:val="21"/>
        </w:rPr>
        <w:t>自然科学版</w:t>
      </w:r>
      <w:r w:rsidRPr="006437FB">
        <w:rPr>
          <w:rFonts w:cs="Times New Roman"/>
          <w:szCs w:val="21"/>
        </w:rPr>
        <w:t>), 2025, 65 (6): 1050-1059.</w:t>
      </w:r>
      <w:r w:rsidRPr="006437FB">
        <w:rPr>
          <w:rFonts w:cs="Times New Roman"/>
          <w:szCs w:val="21"/>
        </w:rPr>
        <w:br/>
        <w:t xml:space="preserve">ZHOU J M, LYU W, WANG J H. Resilience analysis of supply chain based on coupled propagation of risk and information under multiple networks [J]. Journal of Tsinghua University (Science and Technology), </w:t>
      </w:r>
      <w:r w:rsidRPr="006437FB">
        <w:rPr>
          <w:rFonts w:cs="Times New Roman"/>
          <w:szCs w:val="21"/>
        </w:rPr>
        <w:lastRenderedPageBreak/>
        <w:t>2025, 65(6): 1050-1059. (in Chinese)</w:t>
      </w:r>
    </w:p>
    <w:p w14:paraId="531943ED"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rPr>
        <w:t>郭振超</w:t>
      </w:r>
      <w:r w:rsidRPr="006437FB">
        <w:rPr>
          <w:rFonts w:cs="Times New Roman"/>
          <w:szCs w:val="21"/>
        </w:rPr>
        <w:t>.</w:t>
      </w:r>
      <w:r w:rsidRPr="006437FB">
        <w:rPr>
          <w:rFonts w:cs="Times New Roman"/>
          <w:szCs w:val="21"/>
        </w:rPr>
        <w:t>综合管廊运维期多灾害安全事故致因分析与风险管控研究</w:t>
      </w:r>
      <w:r w:rsidRPr="006437FB">
        <w:rPr>
          <w:rFonts w:cs="Times New Roman"/>
          <w:szCs w:val="21"/>
        </w:rPr>
        <w:t xml:space="preserve"> [D]. </w:t>
      </w:r>
      <w:r w:rsidRPr="006437FB">
        <w:rPr>
          <w:rFonts w:cs="Times New Roman"/>
          <w:szCs w:val="21"/>
        </w:rPr>
        <w:t>深圳：深圳大学</w:t>
      </w:r>
      <w:r w:rsidRPr="006437FB">
        <w:rPr>
          <w:rFonts w:cs="Times New Roman"/>
          <w:szCs w:val="21"/>
        </w:rPr>
        <w:t>,2023.</w:t>
      </w:r>
      <w:r w:rsidRPr="006437FB">
        <w:rPr>
          <w:rFonts w:cs="Times New Roman"/>
          <w:szCs w:val="21"/>
        </w:rPr>
        <w:br/>
        <w:t>GUO Z C. Cause analysis and risk control research on multi-hazard safety accidents during operation and maintenance period of utility tunnel [D]. Shenzhen: Shenzhen University, 2023. (in Chinese)</w:t>
      </w:r>
    </w:p>
    <w:p w14:paraId="0B4FAA60"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rPr>
        <w:t>冯伟鑫</w:t>
      </w:r>
      <w:r w:rsidRPr="006437FB">
        <w:rPr>
          <w:rFonts w:cs="Times New Roman"/>
          <w:szCs w:val="21"/>
        </w:rPr>
        <w:t>.</w:t>
      </w:r>
      <w:r w:rsidRPr="006437FB">
        <w:rPr>
          <w:rFonts w:cs="Times New Roman"/>
          <w:szCs w:val="21"/>
        </w:rPr>
        <w:t>基于复杂网络的综合管廊燃气灾害事故风险预警研究</w:t>
      </w:r>
      <w:r w:rsidRPr="006437FB">
        <w:rPr>
          <w:rFonts w:cs="Times New Roman"/>
          <w:szCs w:val="21"/>
        </w:rPr>
        <w:t xml:space="preserve"> [D]. </w:t>
      </w:r>
      <w:r w:rsidRPr="006437FB">
        <w:rPr>
          <w:rFonts w:cs="Times New Roman"/>
          <w:szCs w:val="21"/>
        </w:rPr>
        <w:t>北京：北京交通大学</w:t>
      </w:r>
      <w:r w:rsidRPr="006437FB">
        <w:rPr>
          <w:rFonts w:cs="Times New Roman"/>
          <w:szCs w:val="21"/>
        </w:rPr>
        <w:t>,2022.</w:t>
      </w:r>
      <w:r w:rsidRPr="006437FB">
        <w:rPr>
          <w:rFonts w:cs="Times New Roman"/>
          <w:szCs w:val="21"/>
        </w:rPr>
        <w:br/>
        <w:t>FENG W X. Research on risk early warning of gas disaster accidents in utility tunnel based on complex network [D]. Beijing: Beijing Jiaotong University, 2022. (in Chinese)</w:t>
      </w:r>
    </w:p>
    <w:p w14:paraId="0A47DF19"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rPr>
        <w:t>CHEN H Q, YANG M H, TANG X. Association rule mining of aircraft event causes based on the Apriori algorithm [J]. Scientific Reports, 2024, 14(1): 13440.</w:t>
      </w:r>
    </w:p>
    <w:p w14:paraId="02467ABB"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lang w:val="nl-NL"/>
        </w:rPr>
        <w:t xml:space="preserve">FU L P, WANG X Q, ZHAO H, et al. </w:t>
      </w:r>
      <w:r w:rsidRPr="006437FB">
        <w:rPr>
          <w:rFonts w:cs="Times New Roman"/>
          <w:szCs w:val="21"/>
        </w:rPr>
        <w:t>Interactions among safety risks in metro deep foundation pit projects: An association rule mining-based modeling framework [J]. Reliability Engineering &amp; System Safety, 2022, 221: 108381.</w:t>
      </w:r>
    </w:p>
    <w:p w14:paraId="64DF17B2"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lang w:val="nl-NL"/>
        </w:rPr>
        <w:t xml:space="preserve">LIU W F, WANG X Y, YE P H, et al. </w:t>
      </w:r>
      <w:r w:rsidRPr="006437FB">
        <w:rPr>
          <w:rFonts w:cs="Times New Roman"/>
          <w:szCs w:val="21"/>
        </w:rPr>
        <w:t xml:space="preserve">Safety accident </w:t>
      </w:r>
      <w:r w:rsidRPr="006437FB">
        <w:rPr>
          <w:rFonts w:cs="Times New Roman"/>
          <w:szCs w:val="21"/>
        </w:rPr>
        <w:t>analysis of power transmission and substation projects based on association rule mining [J]. Environmental Science and Pollution Research, 2023.</w:t>
      </w:r>
    </w:p>
    <w:p w14:paraId="5D9CF79C"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lang w:val="nl-NL"/>
        </w:rPr>
        <w:t xml:space="preserve">ZHOU Y, WANG Y, LI C S, et al. </w:t>
      </w:r>
      <w:r w:rsidRPr="006437FB">
        <w:rPr>
          <w:rFonts w:cs="Times New Roman"/>
          <w:szCs w:val="21"/>
        </w:rPr>
        <w:t>Coupled risk analysis of hospital infection: A multi-method-fusion model combining association rules with complex networks [J]. Computers &amp; Industrial Engineering, 2023, 186: 109720.</w:t>
      </w:r>
    </w:p>
    <w:p w14:paraId="69D3F462"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rPr>
        <w:t>ÇIFTÇI O, TENEKECI S, ÜLGENTÜRK C. Artist recommendation based on association rule mining and community detection [C]// Proceedings of the 13th International Joint Conference on Knowledge Discovery, Knowledge Engineering and Knowledge Management (IC3K2021)-Volume 1: KDIR. SCITEPRESS–Science and Technology Publications, Lda., 2021: 257-263.</w:t>
      </w:r>
    </w:p>
    <w:p w14:paraId="03535635" w14:textId="77777777" w:rsidR="000B1599" w:rsidRPr="006437FB" w:rsidRDefault="00000000">
      <w:pPr>
        <w:pStyle w:val="af0"/>
        <w:numPr>
          <w:ilvl w:val="0"/>
          <w:numId w:val="1"/>
        </w:numPr>
        <w:ind w:firstLineChars="0"/>
        <w:jc w:val="both"/>
        <w:rPr>
          <w:rFonts w:cs="Times New Roman"/>
          <w:szCs w:val="21"/>
        </w:rPr>
      </w:pPr>
      <w:r w:rsidRPr="006437FB">
        <w:rPr>
          <w:rFonts w:cs="Times New Roman"/>
          <w:szCs w:val="21"/>
          <w:lang w:val="nl-NL"/>
        </w:rPr>
        <w:t xml:space="preserve">ZEMP D C, WIEDERMANN M, KURTHS J, et al. </w:t>
      </w:r>
      <w:r w:rsidRPr="006437FB">
        <w:rPr>
          <w:rFonts w:cs="Times New Roman"/>
          <w:szCs w:val="21"/>
        </w:rPr>
        <w:t>Node-weighted measures for complex networks with directed and weighted edges for studying continental moisture cycling [J]. EPL, 2014, 107: 58005.</w:t>
      </w:r>
    </w:p>
    <w:p w14:paraId="2F1ED35F" w14:textId="77777777" w:rsidR="000B1599" w:rsidRPr="006437FB" w:rsidRDefault="00000000">
      <w:pPr>
        <w:pStyle w:val="af0"/>
        <w:numPr>
          <w:ilvl w:val="0"/>
          <w:numId w:val="1"/>
        </w:numPr>
        <w:ind w:firstLineChars="0"/>
        <w:jc w:val="both"/>
        <w:rPr>
          <w:rFonts w:cs="Times New Roman"/>
          <w:szCs w:val="21"/>
        </w:rPr>
        <w:sectPr w:rsidR="000B1599" w:rsidRPr="006437FB">
          <w:type w:val="continuous"/>
          <w:pgSz w:w="11906" w:h="16838"/>
          <w:pgMar w:top="1985" w:right="1021" w:bottom="1021" w:left="1021" w:header="851" w:footer="992" w:gutter="0"/>
          <w:cols w:num="2" w:space="425"/>
          <w:docGrid w:type="lines" w:linePitch="288"/>
        </w:sectPr>
      </w:pPr>
      <w:r w:rsidRPr="006437FB">
        <w:rPr>
          <w:rFonts w:cs="Times New Roman"/>
          <w:szCs w:val="21"/>
          <w:lang w:val="nl-NL"/>
        </w:rPr>
        <w:t xml:space="preserve">BJØRNSTAD O N, SHEA K, KRZYWINSKI M, et al. </w:t>
      </w:r>
      <w:r w:rsidRPr="006437FB">
        <w:rPr>
          <w:rFonts w:cs="Times New Roman"/>
          <w:szCs w:val="21"/>
        </w:rPr>
        <w:t>The SEIRS model for infectious disease dynamics [J]. Nature Methods, 2020, 17: 557-558.</w:t>
      </w:r>
    </w:p>
    <w:p w14:paraId="4C9FAC1E" w14:textId="77777777" w:rsidR="000B1599" w:rsidRPr="006437FB" w:rsidRDefault="00000000">
      <w:pPr>
        <w:ind w:firstLineChars="0" w:firstLine="0"/>
        <w:jc w:val="center"/>
        <w:rPr>
          <w:rFonts w:cs="Times New Roman"/>
          <w:sz w:val="28"/>
          <w:szCs w:val="28"/>
        </w:rPr>
      </w:pPr>
      <w:r w:rsidRPr="006437FB">
        <w:rPr>
          <w:rFonts w:cs="Times New Roman"/>
          <w:sz w:val="28"/>
          <w:szCs w:val="28"/>
        </w:rPr>
        <w:t>Quantification of risk propagation in power utility tunnels based on complex networks</w:t>
      </w:r>
    </w:p>
    <w:p w14:paraId="2F468EE5" w14:textId="18DC7C24" w:rsidR="000B1599" w:rsidRPr="006437FB" w:rsidRDefault="00000000">
      <w:pPr>
        <w:ind w:firstLineChars="0" w:firstLine="0"/>
        <w:jc w:val="both"/>
        <w:rPr>
          <w:rFonts w:cs="Times New Roman"/>
          <w:sz w:val="18"/>
          <w:szCs w:val="18"/>
        </w:rPr>
      </w:pPr>
      <w:r w:rsidRPr="006437FB">
        <w:rPr>
          <w:rFonts w:eastAsia="仿宋" w:cs="Times New Roman"/>
          <w:b/>
          <w:sz w:val="18"/>
          <w:szCs w:val="18"/>
        </w:rPr>
        <w:t xml:space="preserve">Abstract: </w:t>
      </w:r>
      <w:r w:rsidRPr="006437FB">
        <w:rPr>
          <w:rFonts w:cs="Times New Roman"/>
          <w:sz w:val="18"/>
          <w:szCs w:val="18"/>
        </w:rPr>
        <w:t xml:space="preserve">Underground power utility tunnels serve as critical arteries for energy transmission. Equipment failures, management deficiencies, and environmental disturbances interact and create major challenges for risk control. To improve risk prevention in tunnel accidents, </w:t>
      </w:r>
      <w:r w:rsidR="009E6BC4" w:rsidRPr="006437FB">
        <w:rPr>
          <w:rFonts w:cs="Times New Roman"/>
          <w:sz w:val="18"/>
          <w:szCs w:val="18"/>
        </w:rPr>
        <w:t>i</w:t>
      </w:r>
      <w:r w:rsidRPr="006437FB">
        <w:rPr>
          <w:rFonts w:cs="Times New Roman"/>
          <w:sz w:val="18"/>
          <w:szCs w:val="18"/>
        </w:rPr>
        <w:t>t used a multidimensional method to identify risks. The method covered four risk types: human, machine, environment, and management. It also included how these risks interact. The study built a directed and weighted network to describe how risks spread. It designed a dynamic risk model based on risk latency and control mechanisms. The analysis identified key risk factors through static structure analysis and dynamic simulation. It also found the risk propagation threshold. The results show that four risk factors ranked in the top ten in both static and dynamic analyses: failure to follow safety responsibilities, geological changes, poor safety inspections, and water buildup. These factors should receive special attention. The system’s ability to spread risk depends on its overall risk level and its response rate. The response rate should stay above 0.4 to avoid delays. The findings offer theory and guidance for better risk control in power utility tunnels.</w:t>
      </w:r>
    </w:p>
    <w:p w14:paraId="40E4B3EB" w14:textId="77777777" w:rsidR="000B1599" w:rsidRPr="006437FB" w:rsidRDefault="00000000">
      <w:pPr>
        <w:ind w:firstLineChars="0" w:firstLine="0"/>
        <w:rPr>
          <w:rFonts w:cs="Times New Roman"/>
          <w:sz w:val="18"/>
          <w:szCs w:val="18"/>
        </w:rPr>
      </w:pPr>
      <w:r w:rsidRPr="006437FB">
        <w:rPr>
          <w:rFonts w:cs="Times New Roman"/>
          <w:b/>
          <w:bCs/>
          <w:sz w:val="18"/>
          <w:szCs w:val="18"/>
        </w:rPr>
        <w:t xml:space="preserve">Keywords: </w:t>
      </w:r>
      <w:r w:rsidRPr="006437FB">
        <w:rPr>
          <w:rFonts w:cs="Times New Roman"/>
          <w:sz w:val="18"/>
          <w:szCs w:val="18"/>
        </w:rPr>
        <w:t>power utility tunnel; complex network; epidemic model; risk propagation; risk prevention and control optimization</w:t>
      </w:r>
    </w:p>
    <w:p w14:paraId="20D71836" w14:textId="77777777" w:rsidR="000B1599" w:rsidRPr="006437FB" w:rsidRDefault="000B1599">
      <w:pPr>
        <w:ind w:firstLineChars="0" w:firstLine="0"/>
        <w:jc w:val="both"/>
        <w:rPr>
          <w:rFonts w:cs="Times New Roman"/>
          <w:kern w:val="0"/>
          <w:szCs w:val="21"/>
        </w:rPr>
      </w:pPr>
    </w:p>
    <w:sectPr w:rsidR="000B1599" w:rsidRPr="006437FB">
      <w:type w:val="continuous"/>
      <w:pgSz w:w="11906" w:h="16838"/>
      <w:pgMar w:top="1985" w:right="1021" w:bottom="1021" w:left="1021" w:header="851" w:footer="992" w:gutter="0"/>
      <w:cols w:space="425"/>
      <w:docGrid w:type="lines" w:linePitch="28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10727C" w14:textId="77777777" w:rsidR="00871993" w:rsidRDefault="00871993">
      <w:pPr>
        <w:ind w:firstLine="420"/>
      </w:pPr>
      <w:r>
        <w:separator/>
      </w:r>
    </w:p>
  </w:endnote>
  <w:endnote w:type="continuationSeparator" w:id="0">
    <w:p w14:paraId="0BF113FA" w14:textId="77777777" w:rsidR="00871993" w:rsidRDefault="00871993">
      <w:pPr>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82C281" w14:textId="77777777" w:rsidR="000B1599" w:rsidRDefault="000B1599">
    <w:pPr>
      <w:pStyle w:val="a5"/>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34D734" w14:textId="77777777" w:rsidR="000B1599" w:rsidRDefault="000B1599">
    <w:pPr>
      <w:pStyle w:val="a5"/>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0656CA" w14:textId="77777777" w:rsidR="000B1599" w:rsidRDefault="000B1599">
    <w:pPr>
      <w:pStyle w:val="a5"/>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FC2404" w14:textId="77777777" w:rsidR="00871993" w:rsidRDefault="00871993">
      <w:pPr>
        <w:ind w:firstLine="420"/>
      </w:pPr>
      <w:r>
        <w:separator/>
      </w:r>
    </w:p>
  </w:footnote>
  <w:footnote w:type="continuationSeparator" w:id="0">
    <w:p w14:paraId="40B80A75" w14:textId="77777777" w:rsidR="00871993" w:rsidRDefault="00871993">
      <w:pPr>
        <w:ind w:firstLine="42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BFD631" w14:textId="77777777" w:rsidR="000B1599" w:rsidRDefault="000B1599">
    <w:pPr>
      <w:pStyle w:val="a6"/>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F6BCE8" w14:textId="77777777" w:rsidR="000B1599" w:rsidRDefault="000B1599">
    <w:pPr>
      <w:pStyle w:val="a6"/>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F0E05E" w14:textId="77777777" w:rsidR="000B1599" w:rsidRDefault="000B1599">
    <w:pPr>
      <w:pStyle w:val="a6"/>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3A5386"/>
    <w:multiLevelType w:val="multilevel"/>
    <w:tmpl w:val="1E3A5386"/>
    <w:lvl w:ilvl="0">
      <w:start w:val="1"/>
      <w:numFmt w:val="decimal"/>
      <w:suff w:val="space"/>
      <w:lvlText w:val="[%1]"/>
      <w:lvlJc w:val="left"/>
      <w:pPr>
        <w:ind w:left="295" w:hanging="295"/>
      </w:pPr>
      <w:rPr>
        <w:rFonts w:hint="eastAsia"/>
      </w:rPr>
    </w:lvl>
    <w:lvl w:ilvl="1">
      <w:start w:val="1"/>
      <w:numFmt w:val="lowerLetter"/>
      <w:lvlText w:val="%2)"/>
      <w:lvlJc w:val="left"/>
      <w:pPr>
        <w:ind w:left="880" w:hanging="440"/>
      </w:pPr>
      <w:rPr>
        <w:rFonts w:hint="eastAsia"/>
      </w:rPr>
    </w:lvl>
    <w:lvl w:ilvl="2">
      <w:start w:val="1"/>
      <w:numFmt w:val="lowerRoman"/>
      <w:lvlText w:val="%3."/>
      <w:lvlJc w:val="right"/>
      <w:pPr>
        <w:ind w:left="1320" w:hanging="440"/>
      </w:pPr>
      <w:rPr>
        <w:rFonts w:hint="eastAsia"/>
      </w:rPr>
    </w:lvl>
    <w:lvl w:ilvl="3">
      <w:start w:val="1"/>
      <w:numFmt w:val="decimal"/>
      <w:lvlText w:val="%4."/>
      <w:lvlJc w:val="left"/>
      <w:pPr>
        <w:ind w:left="1760" w:hanging="440"/>
      </w:pPr>
      <w:rPr>
        <w:rFonts w:hint="eastAsia"/>
      </w:rPr>
    </w:lvl>
    <w:lvl w:ilvl="4">
      <w:start w:val="1"/>
      <w:numFmt w:val="lowerLetter"/>
      <w:lvlText w:val="%5)"/>
      <w:lvlJc w:val="left"/>
      <w:pPr>
        <w:ind w:left="2200" w:hanging="440"/>
      </w:pPr>
      <w:rPr>
        <w:rFonts w:hint="eastAsia"/>
      </w:rPr>
    </w:lvl>
    <w:lvl w:ilvl="5">
      <w:start w:val="1"/>
      <w:numFmt w:val="lowerRoman"/>
      <w:lvlText w:val="%6."/>
      <w:lvlJc w:val="right"/>
      <w:pPr>
        <w:ind w:left="2640" w:hanging="440"/>
      </w:pPr>
      <w:rPr>
        <w:rFonts w:hint="eastAsia"/>
      </w:rPr>
    </w:lvl>
    <w:lvl w:ilvl="6">
      <w:start w:val="1"/>
      <w:numFmt w:val="decimal"/>
      <w:lvlText w:val="%7."/>
      <w:lvlJc w:val="left"/>
      <w:pPr>
        <w:ind w:left="3080" w:hanging="440"/>
      </w:pPr>
      <w:rPr>
        <w:rFonts w:hint="eastAsia"/>
      </w:rPr>
    </w:lvl>
    <w:lvl w:ilvl="7">
      <w:start w:val="1"/>
      <w:numFmt w:val="lowerLetter"/>
      <w:lvlText w:val="%8)"/>
      <w:lvlJc w:val="left"/>
      <w:pPr>
        <w:ind w:left="3520" w:hanging="440"/>
      </w:pPr>
      <w:rPr>
        <w:rFonts w:hint="eastAsia"/>
      </w:rPr>
    </w:lvl>
    <w:lvl w:ilvl="8">
      <w:start w:val="1"/>
      <w:numFmt w:val="lowerRoman"/>
      <w:lvlText w:val="%9."/>
      <w:lvlJc w:val="right"/>
      <w:pPr>
        <w:ind w:left="3960" w:hanging="440"/>
      </w:pPr>
      <w:rPr>
        <w:rFonts w:hint="eastAsia"/>
      </w:rPr>
    </w:lvl>
  </w:abstractNum>
  <w:num w:numId="1" w16cid:durableId="92661868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defaultTabStop w:val="420"/>
  <w:drawingGridHorizontalSpacing w:val="105"/>
  <w:drawingGridVerticalSpacing w:val="144"/>
  <w:displayHorizontalDrawingGridEvery w:val="2"/>
  <w:displayVerticalDrawingGridEvery w:val="2"/>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1035"/>
    <w:rsid w:val="00000D56"/>
    <w:rsid w:val="00006171"/>
    <w:rsid w:val="000109D7"/>
    <w:rsid w:val="00015DA1"/>
    <w:rsid w:val="00023C50"/>
    <w:rsid w:val="00032457"/>
    <w:rsid w:val="000333B9"/>
    <w:rsid w:val="00045738"/>
    <w:rsid w:val="00052F07"/>
    <w:rsid w:val="0006716E"/>
    <w:rsid w:val="0008514C"/>
    <w:rsid w:val="000875BA"/>
    <w:rsid w:val="0009624B"/>
    <w:rsid w:val="00096554"/>
    <w:rsid w:val="000A7859"/>
    <w:rsid w:val="000B1599"/>
    <w:rsid w:val="000B4638"/>
    <w:rsid w:val="000B50FC"/>
    <w:rsid w:val="000B5FE5"/>
    <w:rsid w:val="000B7C18"/>
    <w:rsid w:val="000C3F12"/>
    <w:rsid w:val="000D19D6"/>
    <w:rsid w:val="000D2417"/>
    <w:rsid w:val="000D2C53"/>
    <w:rsid w:val="000D2F89"/>
    <w:rsid w:val="000E095D"/>
    <w:rsid w:val="000E5C6D"/>
    <w:rsid w:val="000F1953"/>
    <w:rsid w:val="00100AB2"/>
    <w:rsid w:val="00106164"/>
    <w:rsid w:val="001062B7"/>
    <w:rsid w:val="00112937"/>
    <w:rsid w:val="00112C84"/>
    <w:rsid w:val="00113124"/>
    <w:rsid w:val="00114170"/>
    <w:rsid w:val="001257BF"/>
    <w:rsid w:val="00134216"/>
    <w:rsid w:val="00135ED6"/>
    <w:rsid w:val="00143F46"/>
    <w:rsid w:val="00144894"/>
    <w:rsid w:val="00145A12"/>
    <w:rsid w:val="00156C3E"/>
    <w:rsid w:val="0016074B"/>
    <w:rsid w:val="0016303F"/>
    <w:rsid w:val="00164BFE"/>
    <w:rsid w:val="00173FD3"/>
    <w:rsid w:val="0017656E"/>
    <w:rsid w:val="00176578"/>
    <w:rsid w:val="00176C43"/>
    <w:rsid w:val="001776F2"/>
    <w:rsid w:val="00181140"/>
    <w:rsid w:val="00181DF4"/>
    <w:rsid w:val="00182143"/>
    <w:rsid w:val="00183118"/>
    <w:rsid w:val="00186552"/>
    <w:rsid w:val="00193116"/>
    <w:rsid w:val="001A3074"/>
    <w:rsid w:val="001B4A54"/>
    <w:rsid w:val="001C572A"/>
    <w:rsid w:val="001C75FE"/>
    <w:rsid w:val="001D0FB4"/>
    <w:rsid w:val="001D3D6E"/>
    <w:rsid w:val="001D7112"/>
    <w:rsid w:val="001D7FAB"/>
    <w:rsid w:val="001E374C"/>
    <w:rsid w:val="001F4530"/>
    <w:rsid w:val="001F79D1"/>
    <w:rsid w:val="00202D2E"/>
    <w:rsid w:val="0020551B"/>
    <w:rsid w:val="00214F3D"/>
    <w:rsid w:val="00226258"/>
    <w:rsid w:val="00233CAC"/>
    <w:rsid w:val="00233CF3"/>
    <w:rsid w:val="00236FD7"/>
    <w:rsid w:val="00242256"/>
    <w:rsid w:val="002432E3"/>
    <w:rsid w:val="002440C7"/>
    <w:rsid w:val="002512DB"/>
    <w:rsid w:val="00253048"/>
    <w:rsid w:val="00260ACB"/>
    <w:rsid w:val="002637F9"/>
    <w:rsid w:val="00281297"/>
    <w:rsid w:val="00284B2D"/>
    <w:rsid w:val="00287D02"/>
    <w:rsid w:val="002941CA"/>
    <w:rsid w:val="0029676A"/>
    <w:rsid w:val="002A199E"/>
    <w:rsid w:val="002A3CC5"/>
    <w:rsid w:val="002A4929"/>
    <w:rsid w:val="002B409A"/>
    <w:rsid w:val="002C0A1D"/>
    <w:rsid w:val="002D3558"/>
    <w:rsid w:val="002D4A54"/>
    <w:rsid w:val="002D56C9"/>
    <w:rsid w:val="002D76C8"/>
    <w:rsid w:val="002E01C1"/>
    <w:rsid w:val="002E0307"/>
    <w:rsid w:val="002E5D85"/>
    <w:rsid w:val="002F1502"/>
    <w:rsid w:val="002F46A1"/>
    <w:rsid w:val="002F4909"/>
    <w:rsid w:val="00301559"/>
    <w:rsid w:val="00315E41"/>
    <w:rsid w:val="00320B16"/>
    <w:rsid w:val="003262AF"/>
    <w:rsid w:val="00336F3A"/>
    <w:rsid w:val="0034094E"/>
    <w:rsid w:val="00340A9E"/>
    <w:rsid w:val="003433C6"/>
    <w:rsid w:val="003445E2"/>
    <w:rsid w:val="00345C55"/>
    <w:rsid w:val="003460C7"/>
    <w:rsid w:val="0034758E"/>
    <w:rsid w:val="003501A6"/>
    <w:rsid w:val="003534F1"/>
    <w:rsid w:val="003620EB"/>
    <w:rsid w:val="00372926"/>
    <w:rsid w:val="00380C4E"/>
    <w:rsid w:val="00383393"/>
    <w:rsid w:val="00387E1B"/>
    <w:rsid w:val="003964EF"/>
    <w:rsid w:val="003A0290"/>
    <w:rsid w:val="003A08F7"/>
    <w:rsid w:val="003A4D2C"/>
    <w:rsid w:val="003A52CB"/>
    <w:rsid w:val="003B40D2"/>
    <w:rsid w:val="003B5A70"/>
    <w:rsid w:val="003B644A"/>
    <w:rsid w:val="003C0129"/>
    <w:rsid w:val="003C209C"/>
    <w:rsid w:val="003C2D3D"/>
    <w:rsid w:val="003D2F4C"/>
    <w:rsid w:val="003D5658"/>
    <w:rsid w:val="003D645D"/>
    <w:rsid w:val="003F18F5"/>
    <w:rsid w:val="00400AF7"/>
    <w:rsid w:val="0040658B"/>
    <w:rsid w:val="00406A59"/>
    <w:rsid w:val="004071A0"/>
    <w:rsid w:val="00414DF7"/>
    <w:rsid w:val="0042032E"/>
    <w:rsid w:val="00430998"/>
    <w:rsid w:val="00436F34"/>
    <w:rsid w:val="00450A4A"/>
    <w:rsid w:val="00450FF6"/>
    <w:rsid w:val="004516A9"/>
    <w:rsid w:val="00451D08"/>
    <w:rsid w:val="00453534"/>
    <w:rsid w:val="004538C4"/>
    <w:rsid w:val="004551CF"/>
    <w:rsid w:val="004562D4"/>
    <w:rsid w:val="004701F9"/>
    <w:rsid w:val="004805B8"/>
    <w:rsid w:val="00481FD6"/>
    <w:rsid w:val="00483573"/>
    <w:rsid w:val="00484A6C"/>
    <w:rsid w:val="00486734"/>
    <w:rsid w:val="004909C3"/>
    <w:rsid w:val="00490D8F"/>
    <w:rsid w:val="004A2B94"/>
    <w:rsid w:val="004B6099"/>
    <w:rsid w:val="004B674F"/>
    <w:rsid w:val="004C197D"/>
    <w:rsid w:val="004C4DE1"/>
    <w:rsid w:val="004C4DF3"/>
    <w:rsid w:val="004C595A"/>
    <w:rsid w:val="004C5FAA"/>
    <w:rsid w:val="004C6D6C"/>
    <w:rsid w:val="004D2C82"/>
    <w:rsid w:val="004D6D8B"/>
    <w:rsid w:val="004E05B9"/>
    <w:rsid w:val="004E544A"/>
    <w:rsid w:val="004E66CD"/>
    <w:rsid w:val="004E733F"/>
    <w:rsid w:val="004F5053"/>
    <w:rsid w:val="004F62F2"/>
    <w:rsid w:val="00504030"/>
    <w:rsid w:val="0050753C"/>
    <w:rsid w:val="00511956"/>
    <w:rsid w:val="0052179E"/>
    <w:rsid w:val="00523B15"/>
    <w:rsid w:val="00526A70"/>
    <w:rsid w:val="00532534"/>
    <w:rsid w:val="00533A2F"/>
    <w:rsid w:val="00534104"/>
    <w:rsid w:val="0054291D"/>
    <w:rsid w:val="00542E41"/>
    <w:rsid w:val="005458F6"/>
    <w:rsid w:val="00547FAA"/>
    <w:rsid w:val="005510CB"/>
    <w:rsid w:val="00573A56"/>
    <w:rsid w:val="00583AE0"/>
    <w:rsid w:val="005907AC"/>
    <w:rsid w:val="00592577"/>
    <w:rsid w:val="00592B7B"/>
    <w:rsid w:val="005947DB"/>
    <w:rsid w:val="005A0030"/>
    <w:rsid w:val="005A12DF"/>
    <w:rsid w:val="005A233E"/>
    <w:rsid w:val="005B240F"/>
    <w:rsid w:val="005B43C6"/>
    <w:rsid w:val="005B7082"/>
    <w:rsid w:val="005D4076"/>
    <w:rsid w:val="005D425A"/>
    <w:rsid w:val="005E5457"/>
    <w:rsid w:val="005F2FC6"/>
    <w:rsid w:val="00602793"/>
    <w:rsid w:val="0060524B"/>
    <w:rsid w:val="00616473"/>
    <w:rsid w:val="00617D52"/>
    <w:rsid w:val="00621632"/>
    <w:rsid w:val="006224D2"/>
    <w:rsid w:val="0064320A"/>
    <w:rsid w:val="006437FB"/>
    <w:rsid w:val="006445CF"/>
    <w:rsid w:val="00651BBD"/>
    <w:rsid w:val="006555FE"/>
    <w:rsid w:val="0065696E"/>
    <w:rsid w:val="00667883"/>
    <w:rsid w:val="00670FA0"/>
    <w:rsid w:val="00671200"/>
    <w:rsid w:val="00673612"/>
    <w:rsid w:val="00673B4D"/>
    <w:rsid w:val="006779EB"/>
    <w:rsid w:val="0068318D"/>
    <w:rsid w:val="006831B1"/>
    <w:rsid w:val="0069130E"/>
    <w:rsid w:val="00691C45"/>
    <w:rsid w:val="00694EA9"/>
    <w:rsid w:val="00696F68"/>
    <w:rsid w:val="00696F76"/>
    <w:rsid w:val="00697117"/>
    <w:rsid w:val="006A1772"/>
    <w:rsid w:val="006A3B42"/>
    <w:rsid w:val="006A7AB3"/>
    <w:rsid w:val="006A7E58"/>
    <w:rsid w:val="006B0B5C"/>
    <w:rsid w:val="006B1DF2"/>
    <w:rsid w:val="006B351B"/>
    <w:rsid w:val="006B6975"/>
    <w:rsid w:val="006B7664"/>
    <w:rsid w:val="006E1035"/>
    <w:rsid w:val="006E22F0"/>
    <w:rsid w:val="006F0229"/>
    <w:rsid w:val="006F1C22"/>
    <w:rsid w:val="006F32DD"/>
    <w:rsid w:val="00701798"/>
    <w:rsid w:val="007023A5"/>
    <w:rsid w:val="00703213"/>
    <w:rsid w:val="00716570"/>
    <w:rsid w:val="007177A7"/>
    <w:rsid w:val="0073614A"/>
    <w:rsid w:val="0074037E"/>
    <w:rsid w:val="007503DA"/>
    <w:rsid w:val="00750439"/>
    <w:rsid w:val="007517D3"/>
    <w:rsid w:val="00754D53"/>
    <w:rsid w:val="00766A11"/>
    <w:rsid w:val="007703C2"/>
    <w:rsid w:val="00773DC8"/>
    <w:rsid w:val="00774DE7"/>
    <w:rsid w:val="00775C3D"/>
    <w:rsid w:val="00785BD7"/>
    <w:rsid w:val="007914A9"/>
    <w:rsid w:val="007914E6"/>
    <w:rsid w:val="007A0EBA"/>
    <w:rsid w:val="007A13F1"/>
    <w:rsid w:val="007A19FC"/>
    <w:rsid w:val="007A246C"/>
    <w:rsid w:val="007A4671"/>
    <w:rsid w:val="007A560E"/>
    <w:rsid w:val="007B1C5A"/>
    <w:rsid w:val="007B245E"/>
    <w:rsid w:val="007C054D"/>
    <w:rsid w:val="007C071F"/>
    <w:rsid w:val="007C1701"/>
    <w:rsid w:val="007D15DE"/>
    <w:rsid w:val="007D6355"/>
    <w:rsid w:val="007F3B3D"/>
    <w:rsid w:val="0080036E"/>
    <w:rsid w:val="00806A44"/>
    <w:rsid w:val="00810E50"/>
    <w:rsid w:val="00812875"/>
    <w:rsid w:val="008175FC"/>
    <w:rsid w:val="008179DE"/>
    <w:rsid w:val="00836961"/>
    <w:rsid w:val="00837324"/>
    <w:rsid w:val="0085366B"/>
    <w:rsid w:val="00855297"/>
    <w:rsid w:val="0085603B"/>
    <w:rsid w:val="0086116F"/>
    <w:rsid w:val="008623AB"/>
    <w:rsid w:val="0086293B"/>
    <w:rsid w:val="0087037B"/>
    <w:rsid w:val="0087130B"/>
    <w:rsid w:val="008714D2"/>
    <w:rsid w:val="00871993"/>
    <w:rsid w:val="008732AC"/>
    <w:rsid w:val="00875943"/>
    <w:rsid w:val="008759F9"/>
    <w:rsid w:val="00876F99"/>
    <w:rsid w:val="008862FE"/>
    <w:rsid w:val="00886C55"/>
    <w:rsid w:val="00896A11"/>
    <w:rsid w:val="008A0072"/>
    <w:rsid w:val="008B4399"/>
    <w:rsid w:val="008B7F34"/>
    <w:rsid w:val="008C3767"/>
    <w:rsid w:val="008C3E92"/>
    <w:rsid w:val="008D0EFD"/>
    <w:rsid w:val="008D4696"/>
    <w:rsid w:val="008D6563"/>
    <w:rsid w:val="008D74A1"/>
    <w:rsid w:val="008E02A7"/>
    <w:rsid w:val="008E3A89"/>
    <w:rsid w:val="008E6292"/>
    <w:rsid w:val="008E6411"/>
    <w:rsid w:val="008E6C51"/>
    <w:rsid w:val="008F4858"/>
    <w:rsid w:val="009001F8"/>
    <w:rsid w:val="00900E8D"/>
    <w:rsid w:val="00900F08"/>
    <w:rsid w:val="00904584"/>
    <w:rsid w:val="00911310"/>
    <w:rsid w:val="00913E36"/>
    <w:rsid w:val="00914769"/>
    <w:rsid w:val="009237FF"/>
    <w:rsid w:val="00925C09"/>
    <w:rsid w:val="00932146"/>
    <w:rsid w:val="00933F45"/>
    <w:rsid w:val="009364A9"/>
    <w:rsid w:val="00937E7D"/>
    <w:rsid w:val="00941A8A"/>
    <w:rsid w:val="00952F26"/>
    <w:rsid w:val="00953352"/>
    <w:rsid w:val="0095555C"/>
    <w:rsid w:val="0095631E"/>
    <w:rsid w:val="00957B68"/>
    <w:rsid w:val="00964849"/>
    <w:rsid w:val="00972805"/>
    <w:rsid w:val="00980277"/>
    <w:rsid w:val="0098054D"/>
    <w:rsid w:val="009837A8"/>
    <w:rsid w:val="0098710A"/>
    <w:rsid w:val="0099344D"/>
    <w:rsid w:val="0099419A"/>
    <w:rsid w:val="00996286"/>
    <w:rsid w:val="00997F96"/>
    <w:rsid w:val="009A250C"/>
    <w:rsid w:val="009A3DD3"/>
    <w:rsid w:val="009B5BC3"/>
    <w:rsid w:val="009B7056"/>
    <w:rsid w:val="009C4B7B"/>
    <w:rsid w:val="009C7137"/>
    <w:rsid w:val="009D04CF"/>
    <w:rsid w:val="009D182A"/>
    <w:rsid w:val="009D33F8"/>
    <w:rsid w:val="009D35DE"/>
    <w:rsid w:val="009D5986"/>
    <w:rsid w:val="009E6BC4"/>
    <w:rsid w:val="009F046E"/>
    <w:rsid w:val="009F1429"/>
    <w:rsid w:val="009F59CD"/>
    <w:rsid w:val="009F65A1"/>
    <w:rsid w:val="009F7FBF"/>
    <w:rsid w:val="00A1599A"/>
    <w:rsid w:val="00A25043"/>
    <w:rsid w:val="00A300EB"/>
    <w:rsid w:val="00A3348D"/>
    <w:rsid w:val="00A335CE"/>
    <w:rsid w:val="00A40C5C"/>
    <w:rsid w:val="00A47BE4"/>
    <w:rsid w:val="00A47C19"/>
    <w:rsid w:val="00A55164"/>
    <w:rsid w:val="00A61BC3"/>
    <w:rsid w:val="00A6448C"/>
    <w:rsid w:val="00A64CFB"/>
    <w:rsid w:val="00A70481"/>
    <w:rsid w:val="00A7645B"/>
    <w:rsid w:val="00A813D0"/>
    <w:rsid w:val="00A81FFC"/>
    <w:rsid w:val="00A8686E"/>
    <w:rsid w:val="00A86B93"/>
    <w:rsid w:val="00A90730"/>
    <w:rsid w:val="00A91041"/>
    <w:rsid w:val="00AA640F"/>
    <w:rsid w:val="00AB4905"/>
    <w:rsid w:val="00AC51C4"/>
    <w:rsid w:val="00AD02CB"/>
    <w:rsid w:val="00AD173B"/>
    <w:rsid w:val="00AD255B"/>
    <w:rsid w:val="00AD37C7"/>
    <w:rsid w:val="00AD433E"/>
    <w:rsid w:val="00AD786E"/>
    <w:rsid w:val="00AE02FD"/>
    <w:rsid w:val="00AE0D0E"/>
    <w:rsid w:val="00AF0E93"/>
    <w:rsid w:val="00AF3429"/>
    <w:rsid w:val="00AF73E7"/>
    <w:rsid w:val="00AF768C"/>
    <w:rsid w:val="00B049F3"/>
    <w:rsid w:val="00B1326D"/>
    <w:rsid w:val="00B16407"/>
    <w:rsid w:val="00B16A0C"/>
    <w:rsid w:val="00B20CA5"/>
    <w:rsid w:val="00B2141A"/>
    <w:rsid w:val="00B3145C"/>
    <w:rsid w:val="00B317A8"/>
    <w:rsid w:val="00B332F4"/>
    <w:rsid w:val="00B36538"/>
    <w:rsid w:val="00B376F2"/>
    <w:rsid w:val="00B42355"/>
    <w:rsid w:val="00B477C0"/>
    <w:rsid w:val="00B51777"/>
    <w:rsid w:val="00B52272"/>
    <w:rsid w:val="00B53C79"/>
    <w:rsid w:val="00B572A5"/>
    <w:rsid w:val="00B605F5"/>
    <w:rsid w:val="00B655E6"/>
    <w:rsid w:val="00B67132"/>
    <w:rsid w:val="00B8168D"/>
    <w:rsid w:val="00B8169E"/>
    <w:rsid w:val="00B87766"/>
    <w:rsid w:val="00B93A82"/>
    <w:rsid w:val="00BA2C1E"/>
    <w:rsid w:val="00BA477A"/>
    <w:rsid w:val="00BB2447"/>
    <w:rsid w:val="00BE01D4"/>
    <w:rsid w:val="00BF3AF3"/>
    <w:rsid w:val="00BF62FF"/>
    <w:rsid w:val="00C07F87"/>
    <w:rsid w:val="00C10B88"/>
    <w:rsid w:val="00C131DE"/>
    <w:rsid w:val="00C21899"/>
    <w:rsid w:val="00C22929"/>
    <w:rsid w:val="00C26942"/>
    <w:rsid w:val="00C26ADC"/>
    <w:rsid w:val="00C30085"/>
    <w:rsid w:val="00C30D1C"/>
    <w:rsid w:val="00C32486"/>
    <w:rsid w:val="00C359C8"/>
    <w:rsid w:val="00C36B5B"/>
    <w:rsid w:val="00C40DF8"/>
    <w:rsid w:val="00C41649"/>
    <w:rsid w:val="00C41A5B"/>
    <w:rsid w:val="00C41FE6"/>
    <w:rsid w:val="00C42422"/>
    <w:rsid w:val="00C44B6C"/>
    <w:rsid w:val="00C458BD"/>
    <w:rsid w:val="00C46807"/>
    <w:rsid w:val="00C46EE1"/>
    <w:rsid w:val="00C52EB8"/>
    <w:rsid w:val="00C54F2A"/>
    <w:rsid w:val="00C56E44"/>
    <w:rsid w:val="00C64B3A"/>
    <w:rsid w:val="00C66A60"/>
    <w:rsid w:val="00C761B8"/>
    <w:rsid w:val="00C77858"/>
    <w:rsid w:val="00C85EE0"/>
    <w:rsid w:val="00C86C3A"/>
    <w:rsid w:val="00CA2024"/>
    <w:rsid w:val="00CA3DCA"/>
    <w:rsid w:val="00CA78CC"/>
    <w:rsid w:val="00CB01BB"/>
    <w:rsid w:val="00CB0C17"/>
    <w:rsid w:val="00CB2AFF"/>
    <w:rsid w:val="00CB7E13"/>
    <w:rsid w:val="00CC4E55"/>
    <w:rsid w:val="00CC64B3"/>
    <w:rsid w:val="00CD5B5C"/>
    <w:rsid w:val="00CE047F"/>
    <w:rsid w:val="00CE4ED8"/>
    <w:rsid w:val="00CE5CF1"/>
    <w:rsid w:val="00CE660D"/>
    <w:rsid w:val="00CE744C"/>
    <w:rsid w:val="00CE7C4B"/>
    <w:rsid w:val="00D01300"/>
    <w:rsid w:val="00D01BAE"/>
    <w:rsid w:val="00D1081F"/>
    <w:rsid w:val="00D1137E"/>
    <w:rsid w:val="00D17682"/>
    <w:rsid w:val="00D21592"/>
    <w:rsid w:val="00D27803"/>
    <w:rsid w:val="00D27E07"/>
    <w:rsid w:val="00D3373F"/>
    <w:rsid w:val="00D37E29"/>
    <w:rsid w:val="00D40791"/>
    <w:rsid w:val="00D427AF"/>
    <w:rsid w:val="00D4537F"/>
    <w:rsid w:val="00D45A14"/>
    <w:rsid w:val="00D500D7"/>
    <w:rsid w:val="00D51CF6"/>
    <w:rsid w:val="00D54014"/>
    <w:rsid w:val="00D54252"/>
    <w:rsid w:val="00D55AB4"/>
    <w:rsid w:val="00D62516"/>
    <w:rsid w:val="00D62B38"/>
    <w:rsid w:val="00D80DEC"/>
    <w:rsid w:val="00D81060"/>
    <w:rsid w:val="00D830F2"/>
    <w:rsid w:val="00D83BB8"/>
    <w:rsid w:val="00D9418F"/>
    <w:rsid w:val="00DA34A7"/>
    <w:rsid w:val="00DA56DA"/>
    <w:rsid w:val="00DA6218"/>
    <w:rsid w:val="00DA7E8B"/>
    <w:rsid w:val="00DB0980"/>
    <w:rsid w:val="00DB0BA4"/>
    <w:rsid w:val="00DC3CBB"/>
    <w:rsid w:val="00DD0945"/>
    <w:rsid w:val="00DD1C4B"/>
    <w:rsid w:val="00DD52EC"/>
    <w:rsid w:val="00DE3067"/>
    <w:rsid w:val="00DE4360"/>
    <w:rsid w:val="00DE6CBD"/>
    <w:rsid w:val="00DF0E55"/>
    <w:rsid w:val="00DF170F"/>
    <w:rsid w:val="00DF1E4E"/>
    <w:rsid w:val="00E041E3"/>
    <w:rsid w:val="00E0711F"/>
    <w:rsid w:val="00E07E7C"/>
    <w:rsid w:val="00E1338D"/>
    <w:rsid w:val="00E209AE"/>
    <w:rsid w:val="00E30D07"/>
    <w:rsid w:val="00E33630"/>
    <w:rsid w:val="00E346CD"/>
    <w:rsid w:val="00E4029D"/>
    <w:rsid w:val="00E4283D"/>
    <w:rsid w:val="00E43CCD"/>
    <w:rsid w:val="00E4641E"/>
    <w:rsid w:val="00E469E8"/>
    <w:rsid w:val="00E50477"/>
    <w:rsid w:val="00E5177E"/>
    <w:rsid w:val="00E52C03"/>
    <w:rsid w:val="00E61B30"/>
    <w:rsid w:val="00E63CA8"/>
    <w:rsid w:val="00E63EB2"/>
    <w:rsid w:val="00E70075"/>
    <w:rsid w:val="00E705E9"/>
    <w:rsid w:val="00E70C46"/>
    <w:rsid w:val="00E734DF"/>
    <w:rsid w:val="00E73DAA"/>
    <w:rsid w:val="00E7543B"/>
    <w:rsid w:val="00E90C95"/>
    <w:rsid w:val="00E92336"/>
    <w:rsid w:val="00E94BA1"/>
    <w:rsid w:val="00EB5FAC"/>
    <w:rsid w:val="00EB6327"/>
    <w:rsid w:val="00EC2C7E"/>
    <w:rsid w:val="00EC2F11"/>
    <w:rsid w:val="00EC5AF0"/>
    <w:rsid w:val="00EC6673"/>
    <w:rsid w:val="00ED01A6"/>
    <w:rsid w:val="00ED0409"/>
    <w:rsid w:val="00ED1BFC"/>
    <w:rsid w:val="00ED425A"/>
    <w:rsid w:val="00ED46C2"/>
    <w:rsid w:val="00ED4D28"/>
    <w:rsid w:val="00ED7927"/>
    <w:rsid w:val="00EE3B7E"/>
    <w:rsid w:val="00EE637F"/>
    <w:rsid w:val="00EF2603"/>
    <w:rsid w:val="00F01790"/>
    <w:rsid w:val="00F12A87"/>
    <w:rsid w:val="00F152F0"/>
    <w:rsid w:val="00F27332"/>
    <w:rsid w:val="00F3113C"/>
    <w:rsid w:val="00F318E1"/>
    <w:rsid w:val="00F31A1A"/>
    <w:rsid w:val="00F34218"/>
    <w:rsid w:val="00F4267C"/>
    <w:rsid w:val="00F436D2"/>
    <w:rsid w:val="00F56259"/>
    <w:rsid w:val="00F56B95"/>
    <w:rsid w:val="00F5782A"/>
    <w:rsid w:val="00F62121"/>
    <w:rsid w:val="00F62720"/>
    <w:rsid w:val="00F6490C"/>
    <w:rsid w:val="00F673CA"/>
    <w:rsid w:val="00F75DD4"/>
    <w:rsid w:val="00F80A0B"/>
    <w:rsid w:val="00F83AE5"/>
    <w:rsid w:val="00F87D26"/>
    <w:rsid w:val="00F94BBD"/>
    <w:rsid w:val="00FA0687"/>
    <w:rsid w:val="00FA31E7"/>
    <w:rsid w:val="00FA4465"/>
    <w:rsid w:val="00FA5CF0"/>
    <w:rsid w:val="00FB0B9D"/>
    <w:rsid w:val="00FB12D8"/>
    <w:rsid w:val="00FB2C2F"/>
    <w:rsid w:val="00FB37D4"/>
    <w:rsid w:val="00FC0BCE"/>
    <w:rsid w:val="00FC223E"/>
    <w:rsid w:val="00FC5198"/>
    <w:rsid w:val="00FC545E"/>
    <w:rsid w:val="00FC6894"/>
    <w:rsid w:val="00FD78AD"/>
    <w:rsid w:val="00FE248D"/>
    <w:rsid w:val="00FF123D"/>
    <w:rsid w:val="00FF48D7"/>
    <w:rsid w:val="01BD35AB"/>
    <w:rsid w:val="01FD609D"/>
    <w:rsid w:val="025A704C"/>
    <w:rsid w:val="02A93B2F"/>
    <w:rsid w:val="03AA5DB1"/>
    <w:rsid w:val="041A2F36"/>
    <w:rsid w:val="048F21AA"/>
    <w:rsid w:val="05094D59"/>
    <w:rsid w:val="05280D7C"/>
    <w:rsid w:val="05503AC8"/>
    <w:rsid w:val="05967BFC"/>
    <w:rsid w:val="05B20F4D"/>
    <w:rsid w:val="05D2339D"/>
    <w:rsid w:val="05F0156E"/>
    <w:rsid w:val="05F31C91"/>
    <w:rsid w:val="0668393D"/>
    <w:rsid w:val="06D61CB9"/>
    <w:rsid w:val="0730475C"/>
    <w:rsid w:val="08536A17"/>
    <w:rsid w:val="08821DC3"/>
    <w:rsid w:val="08EE4992"/>
    <w:rsid w:val="08FB2C0B"/>
    <w:rsid w:val="090650D7"/>
    <w:rsid w:val="096C6874"/>
    <w:rsid w:val="09FC4E8C"/>
    <w:rsid w:val="0A805ABD"/>
    <w:rsid w:val="0D4571DC"/>
    <w:rsid w:val="0DE46363"/>
    <w:rsid w:val="0EBE4E06"/>
    <w:rsid w:val="0EC35F79"/>
    <w:rsid w:val="0F3155D8"/>
    <w:rsid w:val="0FCD3553"/>
    <w:rsid w:val="0FDE1CCB"/>
    <w:rsid w:val="0FDF3286"/>
    <w:rsid w:val="10680233"/>
    <w:rsid w:val="11252F1A"/>
    <w:rsid w:val="112C24FB"/>
    <w:rsid w:val="11AE1162"/>
    <w:rsid w:val="11E52C83"/>
    <w:rsid w:val="12F7762B"/>
    <w:rsid w:val="130654AF"/>
    <w:rsid w:val="130D3C66"/>
    <w:rsid w:val="13125454"/>
    <w:rsid w:val="135574F5"/>
    <w:rsid w:val="140C03C2"/>
    <w:rsid w:val="155F58A4"/>
    <w:rsid w:val="1635775C"/>
    <w:rsid w:val="169A09ED"/>
    <w:rsid w:val="16C136E5"/>
    <w:rsid w:val="18357EE7"/>
    <w:rsid w:val="184B770B"/>
    <w:rsid w:val="18B2778A"/>
    <w:rsid w:val="18B76B4E"/>
    <w:rsid w:val="19E971DB"/>
    <w:rsid w:val="19FD2C86"/>
    <w:rsid w:val="1A2E2DBD"/>
    <w:rsid w:val="1A2E4BEE"/>
    <w:rsid w:val="1A8C7B66"/>
    <w:rsid w:val="1AC6751C"/>
    <w:rsid w:val="1B8B42C2"/>
    <w:rsid w:val="1BA86C22"/>
    <w:rsid w:val="1C766D20"/>
    <w:rsid w:val="1CFF0AC4"/>
    <w:rsid w:val="1D1E3640"/>
    <w:rsid w:val="1E0C3498"/>
    <w:rsid w:val="1E4A5D6E"/>
    <w:rsid w:val="1EB957BA"/>
    <w:rsid w:val="1F1C3BAF"/>
    <w:rsid w:val="1FCC1A98"/>
    <w:rsid w:val="208512E0"/>
    <w:rsid w:val="21AB3214"/>
    <w:rsid w:val="22571F8F"/>
    <w:rsid w:val="22CF2CE6"/>
    <w:rsid w:val="22CF5EF6"/>
    <w:rsid w:val="231375A3"/>
    <w:rsid w:val="236B0C61"/>
    <w:rsid w:val="23D246D0"/>
    <w:rsid w:val="23DE15D6"/>
    <w:rsid w:val="243B5664"/>
    <w:rsid w:val="24A33FFE"/>
    <w:rsid w:val="25207829"/>
    <w:rsid w:val="253432D4"/>
    <w:rsid w:val="25987D07"/>
    <w:rsid w:val="260D24A3"/>
    <w:rsid w:val="2610789E"/>
    <w:rsid w:val="2674607E"/>
    <w:rsid w:val="2790513A"/>
    <w:rsid w:val="27BD3A55"/>
    <w:rsid w:val="2845095B"/>
    <w:rsid w:val="28BA4438"/>
    <w:rsid w:val="294A30C6"/>
    <w:rsid w:val="2A77438F"/>
    <w:rsid w:val="2AAF3FAE"/>
    <w:rsid w:val="2B0F6376"/>
    <w:rsid w:val="2C6C5D03"/>
    <w:rsid w:val="2CCB09C2"/>
    <w:rsid w:val="2D0A14EA"/>
    <w:rsid w:val="2D727090"/>
    <w:rsid w:val="2DFE26D1"/>
    <w:rsid w:val="2E2E7341"/>
    <w:rsid w:val="2EC57342"/>
    <w:rsid w:val="30226B4B"/>
    <w:rsid w:val="317F04E3"/>
    <w:rsid w:val="3183186B"/>
    <w:rsid w:val="31A94BB5"/>
    <w:rsid w:val="324A2389"/>
    <w:rsid w:val="32BF2D77"/>
    <w:rsid w:val="32E26574"/>
    <w:rsid w:val="33196BD8"/>
    <w:rsid w:val="339064C2"/>
    <w:rsid w:val="34030A42"/>
    <w:rsid w:val="34871673"/>
    <w:rsid w:val="351D13FF"/>
    <w:rsid w:val="35FA1A97"/>
    <w:rsid w:val="36080591"/>
    <w:rsid w:val="36333795"/>
    <w:rsid w:val="36BB3856"/>
    <w:rsid w:val="36DD557A"/>
    <w:rsid w:val="37117919"/>
    <w:rsid w:val="373D5B83"/>
    <w:rsid w:val="37E82442"/>
    <w:rsid w:val="37EF1A09"/>
    <w:rsid w:val="382A0C93"/>
    <w:rsid w:val="38726196"/>
    <w:rsid w:val="38A345A1"/>
    <w:rsid w:val="398C3A13"/>
    <w:rsid w:val="39D81FF4"/>
    <w:rsid w:val="39FA28E7"/>
    <w:rsid w:val="3ADB6274"/>
    <w:rsid w:val="3B6E0E96"/>
    <w:rsid w:val="3D3659E4"/>
    <w:rsid w:val="3D78424E"/>
    <w:rsid w:val="3DB04A6F"/>
    <w:rsid w:val="3DDE02D9"/>
    <w:rsid w:val="3E5E1696"/>
    <w:rsid w:val="3E610962"/>
    <w:rsid w:val="3EEB27FE"/>
    <w:rsid w:val="3EF7710B"/>
    <w:rsid w:val="406D3E12"/>
    <w:rsid w:val="40B84F95"/>
    <w:rsid w:val="40CD48B1"/>
    <w:rsid w:val="41676AB4"/>
    <w:rsid w:val="42114C71"/>
    <w:rsid w:val="42B555FD"/>
    <w:rsid w:val="438124F9"/>
    <w:rsid w:val="441A605F"/>
    <w:rsid w:val="447D214A"/>
    <w:rsid w:val="46167423"/>
    <w:rsid w:val="46AC70E5"/>
    <w:rsid w:val="474433F3"/>
    <w:rsid w:val="47C307BC"/>
    <w:rsid w:val="48901983"/>
    <w:rsid w:val="48B30830"/>
    <w:rsid w:val="48B33EF7"/>
    <w:rsid w:val="49555444"/>
    <w:rsid w:val="49B16DC9"/>
    <w:rsid w:val="4A0A4BEE"/>
    <w:rsid w:val="4AC5484B"/>
    <w:rsid w:val="4B02784D"/>
    <w:rsid w:val="4B5A1437"/>
    <w:rsid w:val="4BA31F49"/>
    <w:rsid w:val="4D5679DC"/>
    <w:rsid w:val="4DE82D2A"/>
    <w:rsid w:val="4E265601"/>
    <w:rsid w:val="4E4B5067"/>
    <w:rsid w:val="4ED41501"/>
    <w:rsid w:val="4F344645"/>
    <w:rsid w:val="4F5F526E"/>
    <w:rsid w:val="50DB286F"/>
    <w:rsid w:val="51326565"/>
    <w:rsid w:val="51917235"/>
    <w:rsid w:val="519805C3"/>
    <w:rsid w:val="519D2F0D"/>
    <w:rsid w:val="51E679BF"/>
    <w:rsid w:val="527821A3"/>
    <w:rsid w:val="529E60AD"/>
    <w:rsid w:val="52AD62F0"/>
    <w:rsid w:val="52AE138A"/>
    <w:rsid w:val="52F757BE"/>
    <w:rsid w:val="53334A48"/>
    <w:rsid w:val="535B1FF7"/>
    <w:rsid w:val="53BA774D"/>
    <w:rsid w:val="53E75158"/>
    <w:rsid w:val="5411465D"/>
    <w:rsid w:val="54120B01"/>
    <w:rsid w:val="5507660F"/>
    <w:rsid w:val="56792883"/>
    <w:rsid w:val="570861EB"/>
    <w:rsid w:val="57135B7E"/>
    <w:rsid w:val="57174803"/>
    <w:rsid w:val="58515970"/>
    <w:rsid w:val="58EB7B73"/>
    <w:rsid w:val="59DF0944"/>
    <w:rsid w:val="5A735CB4"/>
    <w:rsid w:val="5A9E591D"/>
    <w:rsid w:val="5B667984"/>
    <w:rsid w:val="5C135AFA"/>
    <w:rsid w:val="5D5850AB"/>
    <w:rsid w:val="5DAB430F"/>
    <w:rsid w:val="5DAF73C1"/>
    <w:rsid w:val="5DD15589"/>
    <w:rsid w:val="5DE05449"/>
    <w:rsid w:val="5E3D7492"/>
    <w:rsid w:val="5E4915C3"/>
    <w:rsid w:val="5EA52572"/>
    <w:rsid w:val="5EB427B5"/>
    <w:rsid w:val="5EE44E48"/>
    <w:rsid w:val="5F0D0843"/>
    <w:rsid w:val="5F1A4D0E"/>
    <w:rsid w:val="603A2503"/>
    <w:rsid w:val="606D5311"/>
    <w:rsid w:val="60AD570E"/>
    <w:rsid w:val="60F33A68"/>
    <w:rsid w:val="61710BF5"/>
    <w:rsid w:val="61894395"/>
    <w:rsid w:val="619F14FA"/>
    <w:rsid w:val="61C9530D"/>
    <w:rsid w:val="61CF0031"/>
    <w:rsid w:val="61E3588B"/>
    <w:rsid w:val="625C563D"/>
    <w:rsid w:val="63212B0F"/>
    <w:rsid w:val="64041AE8"/>
    <w:rsid w:val="645C1924"/>
    <w:rsid w:val="64B330A9"/>
    <w:rsid w:val="655A04FD"/>
    <w:rsid w:val="65C77271"/>
    <w:rsid w:val="660D737A"/>
    <w:rsid w:val="66162FE2"/>
    <w:rsid w:val="664B1C51"/>
    <w:rsid w:val="674566A0"/>
    <w:rsid w:val="674D37A6"/>
    <w:rsid w:val="682E182A"/>
    <w:rsid w:val="69861312"/>
    <w:rsid w:val="698D20D2"/>
    <w:rsid w:val="6A563389"/>
    <w:rsid w:val="6A7A6C13"/>
    <w:rsid w:val="6ABC136F"/>
    <w:rsid w:val="6ADB7A47"/>
    <w:rsid w:val="6C164AAF"/>
    <w:rsid w:val="6C2C42D2"/>
    <w:rsid w:val="6C7D68DC"/>
    <w:rsid w:val="6CD209D6"/>
    <w:rsid w:val="6D853C9A"/>
    <w:rsid w:val="6DA4006D"/>
    <w:rsid w:val="6DA57E98"/>
    <w:rsid w:val="6E0C70D8"/>
    <w:rsid w:val="6EDF387E"/>
    <w:rsid w:val="6EEB5D7F"/>
    <w:rsid w:val="6FAC19B2"/>
    <w:rsid w:val="6FCF744E"/>
    <w:rsid w:val="70052E70"/>
    <w:rsid w:val="70A519A1"/>
    <w:rsid w:val="70F27898"/>
    <w:rsid w:val="71122145"/>
    <w:rsid w:val="712D4F76"/>
    <w:rsid w:val="71445C1A"/>
    <w:rsid w:val="719D4CF5"/>
    <w:rsid w:val="726F27D5"/>
    <w:rsid w:val="73722F12"/>
    <w:rsid w:val="74640AAD"/>
    <w:rsid w:val="7487479C"/>
    <w:rsid w:val="748C1DB2"/>
    <w:rsid w:val="759E1D9D"/>
    <w:rsid w:val="75E75140"/>
    <w:rsid w:val="766D5DB4"/>
    <w:rsid w:val="76960CC6"/>
    <w:rsid w:val="76AD7DBE"/>
    <w:rsid w:val="76FA1255"/>
    <w:rsid w:val="7A151A35"/>
    <w:rsid w:val="7A8157E9"/>
    <w:rsid w:val="7AED2E7F"/>
    <w:rsid w:val="7BBA7B82"/>
    <w:rsid w:val="7BC938EC"/>
    <w:rsid w:val="7BD5403F"/>
    <w:rsid w:val="7C134D08"/>
    <w:rsid w:val="7C1E59E5"/>
    <w:rsid w:val="7C482A62"/>
    <w:rsid w:val="7C6E40A4"/>
    <w:rsid w:val="7CA500CE"/>
    <w:rsid w:val="7D3A0E5D"/>
    <w:rsid w:val="7D5B0573"/>
    <w:rsid w:val="7DA20010"/>
    <w:rsid w:val="7E4D3542"/>
    <w:rsid w:val="7ECF1219"/>
    <w:rsid w:val="7F17671C"/>
    <w:rsid w:val="7F4E65E2"/>
    <w:rsid w:val="7F7E49ED"/>
    <w:rsid w:val="7F8C2C66"/>
    <w:rsid w:val="7FCA07E7"/>
    <w:rsid w:val="7FF27A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2AF845F"/>
  <w15:docId w15:val="{E3E84D0D-A3FC-47B4-9A4E-47E38E31A5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nhideWhenUsed="1" w:qFormat="1"/>
    <w:lsdException w:name="heading 3" w:unhideWhenUsed="1" w:qFormat="1"/>
    <w:lsdException w:name="heading 4" w:unhideWhenUsed="1" w:qFormat="1"/>
    <w:lsdException w:name="heading 5"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Preformatted" w:qFormat="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ind w:firstLineChars="200" w:firstLine="640"/>
    </w:pPr>
    <w:rPr>
      <w:rFonts w:cstheme="minorBidi"/>
      <w:kern w:val="2"/>
      <w:sz w:val="21"/>
      <w:szCs w:val="24"/>
    </w:rPr>
  </w:style>
  <w:style w:type="paragraph" w:styleId="1">
    <w:name w:val="heading 1"/>
    <w:basedOn w:val="a"/>
    <w:next w:val="a"/>
    <w:qFormat/>
    <w:pPr>
      <w:keepNext/>
      <w:keepLines/>
      <w:spacing w:before="340" w:after="330" w:line="576" w:lineRule="auto"/>
      <w:outlineLvl w:val="0"/>
    </w:pPr>
    <w:rPr>
      <w:rFonts w:asciiTheme="minorHAnsi" w:hAnsiTheme="minorHAnsi"/>
      <w:b/>
      <w:kern w:val="44"/>
      <w:sz w:val="32"/>
    </w:rPr>
  </w:style>
  <w:style w:type="paragraph" w:styleId="2">
    <w:name w:val="heading 2"/>
    <w:basedOn w:val="a"/>
    <w:next w:val="a"/>
    <w:unhideWhenUsed/>
    <w:qFormat/>
    <w:pPr>
      <w:keepNext/>
      <w:keepLines/>
      <w:ind w:firstLineChars="0" w:firstLine="0"/>
      <w:outlineLvl w:val="1"/>
    </w:pPr>
    <w:rPr>
      <w:rFonts w:eastAsia="黑体"/>
    </w:rPr>
  </w:style>
  <w:style w:type="paragraph" w:styleId="3">
    <w:name w:val="heading 3"/>
    <w:basedOn w:val="a"/>
    <w:next w:val="a"/>
    <w:unhideWhenUsed/>
    <w:qFormat/>
    <w:pPr>
      <w:keepNext/>
      <w:ind w:firstLineChars="0" w:firstLine="0"/>
      <w:outlineLvl w:val="2"/>
    </w:pPr>
    <w:rPr>
      <w:rFonts w:cs="Times New Roman"/>
      <w:bCs/>
      <w:kern w:val="0"/>
      <w:szCs w:val="27"/>
    </w:rPr>
  </w:style>
  <w:style w:type="paragraph" w:styleId="4">
    <w:name w:val="heading 4"/>
    <w:basedOn w:val="a"/>
    <w:next w:val="a"/>
    <w:unhideWhenUsed/>
    <w:qFormat/>
    <w:pPr>
      <w:keepNext/>
      <w:keepLines/>
      <w:ind w:firstLineChars="0" w:firstLine="0"/>
      <w:outlineLvl w:val="3"/>
    </w:pPr>
  </w:style>
  <w:style w:type="paragraph" w:styleId="5">
    <w:name w:val="heading 5"/>
    <w:basedOn w:val="a"/>
    <w:next w:val="a"/>
    <w:unhideWhenUsed/>
    <w:qFormat/>
    <w:pPr>
      <w:keepNext/>
      <w:keepLines/>
      <w:outlineLvl w:val="4"/>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qFormat/>
  </w:style>
  <w:style w:type="paragraph" w:styleId="a5">
    <w:name w:val="footer"/>
    <w:basedOn w:val="a"/>
    <w:qFormat/>
    <w:pPr>
      <w:tabs>
        <w:tab w:val="center" w:pos="4153"/>
        <w:tab w:val="right" w:pos="8306"/>
      </w:tabs>
      <w:snapToGrid w:val="0"/>
    </w:pPr>
    <w:rPr>
      <w:sz w:val="18"/>
    </w:rPr>
  </w:style>
  <w:style w:type="paragraph" w:styleId="a6">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jc w:val="both"/>
    </w:pPr>
    <w:rPr>
      <w:sz w:val="18"/>
    </w:rPr>
  </w:style>
  <w:style w:type="paragraph" w:styleId="HTML">
    <w:name w:val="HTML Preformatted"/>
    <w:basedOn w:val="a"/>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宋体" w:hAnsi="宋体" w:cs="Times New Roman" w:hint="eastAsia"/>
      <w:kern w:val="0"/>
      <w:sz w:val="24"/>
    </w:rPr>
  </w:style>
  <w:style w:type="paragraph" w:styleId="a7">
    <w:name w:val="Normal (Web)"/>
    <w:basedOn w:val="a"/>
    <w:qFormat/>
    <w:pPr>
      <w:spacing w:beforeAutospacing="1" w:afterAutospacing="1"/>
    </w:pPr>
    <w:rPr>
      <w:rFonts w:cs="Times New Roman"/>
      <w:kern w:val="0"/>
      <w:sz w:val="24"/>
    </w:rPr>
  </w:style>
  <w:style w:type="paragraph" w:styleId="a8">
    <w:name w:val="annotation subject"/>
    <w:basedOn w:val="a3"/>
    <w:next w:val="a3"/>
    <w:link w:val="a9"/>
    <w:qFormat/>
    <w:rPr>
      <w:b/>
      <w:bCs/>
    </w:rPr>
  </w:style>
  <w:style w:type="table" w:styleId="aa">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op w:val="single" w:sz="4" w:space="0" w:color="auto"/>
        <w:left w:val="single" w:sz="4" w:space="0" w:color="auto"/>
        <w:bottom w:val="single" w:sz="4" w:space="0" w:color="auto"/>
        <w:right w:val="single" w:sz="4" w:space="0" w:color="auto"/>
      </w:tcBorders>
    </w:tcPr>
  </w:style>
  <w:style w:type="character" w:styleId="ab">
    <w:name w:val="Strong"/>
    <w:basedOn w:val="a0"/>
    <w:qFormat/>
    <w:rPr>
      <w:b/>
    </w:rPr>
  </w:style>
  <w:style w:type="character" w:styleId="ac">
    <w:name w:val="Emphasis"/>
    <w:basedOn w:val="a0"/>
    <w:qFormat/>
    <w:rPr>
      <w:i/>
    </w:rPr>
  </w:style>
  <w:style w:type="character" w:styleId="ad">
    <w:name w:val="annotation reference"/>
    <w:basedOn w:val="a0"/>
    <w:qFormat/>
    <w:rPr>
      <w:sz w:val="21"/>
      <w:szCs w:val="21"/>
    </w:rPr>
  </w:style>
  <w:style w:type="paragraph" w:customStyle="1" w:styleId="ae">
    <w:name w:val="摘要"/>
    <w:basedOn w:val="a"/>
    <w:qFormat/>
    <w:rPr>
      <w:rFonts w:cs="Times New Roman"/>
      <w:szCs w:val="21"/>
    </w:rPr>
  </w:style>
  <w:style w:type="paragraph" w:customStyle="1" w:styleId="af">
    <w:name w:val="参考文献"/>
    <w:basedOn w:val="a"/>
    <w:qFormat/>
    <w:pPr>
      <w:ind w:firstLineChars="0" w:firstLine="0"/>
    </w:pPr>
    <w:rPr>
      <w:rFonts w:cs="Times New Roman"/>
      <w:szCs w:val="21"/>
    </w:rPr>
  </w:style>
  <w:style w:type="paragraph" w:customStyle="1" w:styleId="10">
    <w:name w:val="修订1"/>
    <w:hidden/>
    <w:uiPriority w:val="99"/>
    <w:unhideWhenUsed/>
    <w:qFormat/>
    <w:rPr>
      <w:rFonts w:cstheme="minorBidi"/>
      <w:kern w:val="2"/>
      <w:sz w:val="21"/>
      <w:szCs w:val="24"/>
    </w:rPr>
  </w:style>
  <w:style w:type="paragraph" w:styleId="af0">
    <w:name w:val="List Paragraph"/>
    <w:basedOn w:val="a"/>
    <w:uiPriority w:val="99"/>
    <w:unhideWhenUsed/>
    <w:qFormat/>
    <w:pPr>
      <w:ind w:firstLine="420"/>
    </w:pPr>
  </w:style>
  <w:style w:type="character" w:customStyle="1" w:styleId="a4">
    <w:name w:val="批注文字 字符"/>
    <w:basedOn w:val="a0"/>
    <w:link w:val="a3"/>
    <w:qFormat/>
    <w:rPr>
      <w:rFonts w:cstheme="minorBidi"/>
      <w:kern w:val="2"/>
      <w:sz w:val="21"/>
      <w:szCs w:val="24"/>
    </w:rPr>
  </w:style>
  <w:style w:type="character" w:customStyle="1" w:styleId="a9">
    <w:name w:val="批注主题 字符"/>
    <w:basedOn w:val="a4"/>
    <w:link w:val="a8"/>
    <w:qFormat/>
    <w:rPr>
      <w:rFonts w:cstheme="minorBidi"/>
      <w:b/>
      <w:bCs/>
      <w:kern w:val="2"/>
      <w:sz w:val="21"/>
      <w:szCs w:val="24"/>
    </w:rPr>
  </w:style>
  <w:style w:type="character" w:customStyle="1" w:styleId="MTConvertedEquation">
    <w:name w:val="MTConvertedEquation"/>
    <w:basedOn w:val="a0"/>
    <w:qFormat/>
    <w:rPr>
      <w:sz w:val="21"/>
      <w:szCs w:val="21"/>
    </w:rPr>
  </w:style>
  <w:style w:type="table" w:customStyle="1" w:styleId="11">
    <w:name w:val="网格型1"/>
    <w:basedOn w:val="a1"/>
    <w:uiPriority w:val="99"/>
    <w:qFormat/>
    <w:pPr>
      <w:widowControl w:val="0"/>
      <w:jc w:val="both"/>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1">
    <w:name w:val="List Paragraph1"/>
    <w:basedOn w:val="a"/>
    <w:semiHidden/>
    <w:qFormat/>
    <w:pPr>
      <w:ind w:firstLine="420"/>
    </w:pPr>
    <w:rPr>
      <w:rFonts w:cs="Times New Roman"/>
      <w:szCs w:val="21"/>
    </w:rPr>
  </w:style>
  <w:style w:type="paragraph" w:customStyle="1" w:styleId="20">
    <w:name w:val="修订2"/>
    <w:hidden/>
    <w:uiPriority w:val="99"/>
    <w:unhideWhenUsed/>
    <w:qFormat/>
    <w:rPr>
      <w:rFonts w:cstheme="minorBidi"/>
      <w:kern w:val="2"/>
      <w:sz w:val="21"/>
      <w:szCs w:val="24"/>
    </w:rPr>
  </w:style>
  <w:style w:type="paragraph" w:customStyle="1" w:styleId="30">
    <w:name w:val="修订3"/>
    <w:hidden/>
    <w:uiPriority w:val="99"/>
    <w:unhideWhenUsed/>
    <w:qFormat/>
    <w:rPr>
      <w:rFonts w:cstheme="minorBidi"/>
      <w:kern w:val="2"/>
      <w:sz w:val="21"/>
      <w:szCs w:val="24"/>
    </w:rPr>
  </w:style>
  <w:style w:type="table" w:customStyle="1" w:styleId="21">
    <w:name w:val="网格型2"/>
    <w:basedOn w:val="a1"/>
    <w:uiPriority w:val="99"/>
    <w:qFormat/>
    <w:pPr>
      <w:widowControl w:val="0"/>
      <w:jc w:val="both"/>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1.bin"/><Relationship Id="rId21" Type="http://schemas.openxmlformats.org/officeDocument/2006/relationships/oleObject" Target="embeddings/oleObject3.bin"/><Relationship Id="rId63" Type="http://schemas.openxmlformats.org/officeDocument/2006/relationships/image" Target="media/image26.wmf"/><Relationship Id="rId159" Type="http://schemas.openxmlformats.org/officeDocument/2006/relationships/oleObject" Target="embeddings/oleObject71.bin"/><Relationship Id="rId170" Type="http://schemas.openxmlformats.org/officeDocument/2006/relationships/image" Target="media/image79.wmf"/><Relationship Id="rId226" Type="http://schemas.openxmlformats.org/officeDocument/2006/relationships/image" Target="media/image108.wmf"/><Relationship Id="rId268" Type="http://schemas.openxmlformats.org/officeDocument/2006/relationships/image" Target="media/image129.png"/><Relationship Id="rId32" Type="http://schemas.openxmlformats.org/officeDocument/2006/relationships/image" Target="media/image10.wmf"/><Relationship Id="rId74" Type="http://schemas.openxmlformats.org/officeDocument/2006/relationships/image" Target="media/image31.wmf"/><Relationship Id="rId128" Type="http://schemas.openxmlformats.org/officeDocument/2006/relationships/package" Target="embeddings/Microsoft_Visio_Drawing1.vsdx"/><Relationship Id="rId5" Type="http://schemas.openxmlformats.org/officeDocument/2006/relationships/webSettings" Target="webSettings.xml"/><Relationship Id="rId181" Type="http://schemas.openxmlformats.org/officeDocument/2006/relationships/oleObject" Target="embeddings/oleObject82.bin"/><Relationship Id="rId237" Type="http://schemas.openxmlformats.org/officeDocument/2006/relationships/oleObject" Target="embeddings/oleObject109.bin"/><Relationship Id="rId279" Type="http://schemas.openxmlformats.org/officeDocument/2006/relationships/image" Target="media/image135.wmf"/><Relationship Id="rId22" Type="http://schemas.openxmlformats.org/officeDocument/2006/relationships/image" Target="media/image5.wmf"/><Relationship Id="rId43" Type="http://schemas.openxmlformats.org/officeDocument/2006/relationships/oleObject" Target="embeddings/oleObject14.bin"/><Relationship Id="rId64" Type="http://schemas.openxmlformats.org/officeDocument/2006/relationships/oleObject" Target="embeddings/oleObject24.bin"/><Relationship Id="rId118" Type="http://schemas.openxmlformats.org/officeDocument/2006/relationships/image" Target="media/image53.wmf"/><Relationship Id="rId139" Type="http://schemas.openxmlformats.org/officeDocument/2006/relationships/oleObject" Target="embeddings/oleObject61.bin"/><Relationship Id="rId85" Type="http://schemas.openxmlformats.org/officeDocument/2006/relationships/image" Target="media/image36.wmf"/><Relationship Id="rId150" Type="http://schemas.openxmlformats.org/officeDocument/2006/relationships/image" Target="media/image69.wmf"/><Relationship Id="rId171" Type="http://schemas.openxmlformats.org/officeDocument/2006/relationships/oleObject" Target="embeddings/oleObject77.bin"/><Relationship Id="rId192" Type="http://schemas.openxmlformats.org/officeDocument/2006/relationships/oleObject" Target="embeddings/oleObject87.bin"/><Relationship Id="rId206" Type="http://schemas.openxmlformats.org/officeDocument/2006/relationships/oleObject" Target="embeddings/oleObject94.bin"/><Relationship Id="rId227" Type="http://schemas.openxmlformats.org/officeDocument/2006/relationships/oleObject" Target="embeddings/oleObject104.bin"/><Relationship Id="rId248" Type="http://schemas.openxmlformats.org/officeDocument/2006/relationships/oleObject" Target="embeddings/oleObject115.bin"/><Relationship Id="rId269" Type="http://schemas.openxmlformats.org/officeDocument/2006/relationships/image" Target="media/image130.wmf"/><Relationship Id="rId12" Type="http://schemas.openxmlformats.org/officeDocument/2006/relationships/header" Target="header3.xml"/><Relationship Id="rId33" Type="http://schemas.openxmlformats.org/officeDocument/2006/relationships/oleObject" Target="embeddings/oleObject9.bin"/><Relationship Id="rId108" Type="http://schemas.openxmlformats.org/officeDocument/2006/relationships/image" Target="media/image48.wmf"/><Relationship Id="rId129" Type="http://schemas.openxmlformats.org/officeDocument/2006/relationships/image" Target="media/image59.wmf"/><Relationship Id="rId280" Type="http://schemas.openxmlformats.org/officeDocument/2006/relationships/oleObject" Target="embeddings/oleObject130.bin"/><Relationship Id="rId54" Type="http://schemas.openxmlformats.org/officeDocument/2006/relationships/oleObject" Target="embeddings/oleObject19.bin"/><Relationship Id="rId75" Type="http://schemas.openxmlformats.org/officeDocument/2006/relationships/oleObject" Target="embeddings/oleObject30.bin"/><Relationship Id="rId96" Type="http://schemas.openxmlformats.org/officeDocument/2006/relationships/oleObject" Target="embeddings/oleObject41.bin"/><Relationship Id="rId140" Type="http://schemas.openxmlformats.org/officeDocument/2006/relationships/image" Target="media/image64.wmf"/><Relationship Id="rId161" Type="http://schemas.openxmlformats.org/officeDocument/2006/relationships/oleObject" Target="embeddings/oleObject72.bin"/><Relationship Id="rId182" Type="http://schemas.openxmlformats.org/officeDocument/2006/relationships/image" Target="media/image85.wmf"/><Relationship Id="rId217" Type="http://schemas.openxmlformats.org/officeDocument/2006/relationships/oleObject" Target="embeddings/oleObject99.bin"/><Relationship Id="rId6" Type="http://schemas.openxmlformats.org/officeDocument/2006/relationships/footnotes" Target="footnotes.xml"/><Relationship Id="rId238" Type="http://schemas.openxmlformats.org/officeDocument/2006/relationships/image" Target="media/image114.wmf"/><Relationship Id="rId259" Type="http://schemas.openxmlformats.org/officeDocument/2006/relationships/image" Target="media/image124.wmf"/><Relationship Id="rId23" Type="http://schemas.openxmlformats.org/officeDocument/2006/relationships/oleObject" Target="embeddings/oleObject4.bin"/><Relationship Id="rId119" Type="http://schemas.openxmlformats.org/officeDocument/2006/relationships/oleObject" Target="embeddings/oleObject52.bin"/><Relationship Id="rId270" Type="http://schemas.openxmlformats.org/officeDocument/2006/relationships/oleObject" Target="embeddings/oleObject125.bin"/><Relationship Id="rId44" Type="http://schemas.openxmlformats.org/officeDocument/2006/relationships/image" Target="media/image16.png"/><Relationship Id="rId65" Type="http://schemas.openxmlformats.org/officeDocument/2006/relationships/image" Target="media/image27.wmf"/><Relationship Id="rId86" Type="http://schemas.openxmlformats.org/officeDocument/2006/relationships/oleObject" Target="embeddings/oleObject36.bin"/><Relationship Id="rId130" Type="http://schemas.openxmlformats.org/officeDocument/2006/relationships/oleObject" Target="embeddings/oleObject56.bin"/><Relationship Id="rId151" Type="http://schemas.openxmlformats.org/officeDocument/2006/relationships/oleObject" Target="embeddings/oleObject67.bin"/><Relationship Id="rId172" Type="http://schemas.openxmlformats.org/officeDocument/2006/relationships/image" Target="media/image80.wmf"/><Relationship Id="rId193" Type="http://schemas.openxmlformats.org/officeDocument/2006/relationships/image" Target="media/image91.wmf"/><Relationship Id="rId207" Type="http://schemas.openxmlformats.org/officeDocument/2006/relationships/image" Target="media/image98.png"/><Relationship Id="rId228" Type="http://schemas.openxmlformats.org/officeDocument/2006/relationships/image" Target="media/image109.wmf"/><Relationship Id="rId249" Type="http://schemas.openxmlformats.org/officeDocument/2006/relationships/image" Target="media/image119.wmf"/><Relationship Id="rId13" Type="http://schemas.openxmlformats.org/officeDocument/2006/relationships/footer" Target="footer3.xml"/><Relationship Id="rId109" Type="http://schemas.openxmlformats.org/officeDocument/2006/relationships/oleObject" Target="embeddings/oleObject47.bin"/><Relationship Id="rId260" Type="http://schemas.openxmlformats.org/officeDocument/2006/relationships/oleObject" Target="embeddings/oleObject121.bin"/><Relationship Id="rId281" Type="http://schemas.openxmlformats.org/officeDocument/2006/relationships/fontTable" Target="fontTable.xml"/><Relationship Id="rId34" Type="http://schemas.openxmlformats.org/officeDocument/2006/relationships/image" Target="media/image11.wmf"/><Relationship Id="rId55" Type="http://schemas.openxmlformats.org/officeDocument/2006/relationships/image" Target="media/image22.wmf"/><Relationship Id="rId76" Type="http://schemas.openxmlformats.org/officeDocument/2006/relationships/image" Target="media/image32.wmf"/><Relationship Id="rId97" Type="http://schemas.openxmlformats.org/officeDocument/2006/relationships/image" Target="media/image42.wmf"/><Relationship Id="rId120" Type="http://schemas.openxmlformats.org/officeDocument/2006/relationships/image" Target="media/image54.wmf"/><Relationship Id="rId141" Type="http://schemas.openxmlformats.org/officeDocument/2006/relationships/oleObject" Target="embeddings/oleObject62.bin"/><Relationship Id="rId7" Type="http://schemas.openxmlformats.org/officeDocument/2006/relationships/endnotes" Target="endnotes.xml"/><Relationship Id="rId162" Type="http://schemas.openxmlformats.org/officeDocument/2006/relationships/image" Target="media/image75.wmf"/><Relationship Id="rId183" Type="http://schemas.openxmlformats.org/officeDocument/2006/relationships/oleObject" Target="embeddings/oleObject83.bin"/><Relationship Id="rId218" Type="http://schemas.openxmlformats.org/officeDocument/2006/relationships/image" Target="media/image104.wmf"/><Relationship Id="rId239" Type="http://schemas.openxmlformats.org/officeDocument/2006/relationships/oleObject" Target="embeddings/oleObject110.bin"/><Relationship Id="rId250" Type="http://schemas.openxmlformats.org/officeDocument/2006/relationships/oleObject" Target="embeddings/oleObject116.bin"/><Relationship Id="rId271" Type="http://schemas.openxmlformats.org/officeDocument/2006/relationships/image" Target="media/image131.wmf"/><Relationship Id="rId24" Type="http://schemas.openxmlformats.org/officeDocument/2006/relationships/image" Target="media/image6.wmf"/><Relationship Id="rId45" Type="http://schemas.openxmlformats.org/officeDocument/2006/relationships/image" Target="media/image17.wmf"/><Relationship Id="rId66" Type="http://schemas.openxmlformats.org/officeDocument/2006/relationships/oleObject" Target="embeddings/oleObject25.bin"/><Relationship Id="rId87" Type="http://schemas.openxmlformats.org/officeDocument/2006/relationships/image" Target="media/image37.wmf"/><Relationship Id="rId110" Type="http://schemas.openxmlformats.org/officeDocument/2006/relationships/image" Target="media/image49.wmf"/><Relationship Id="rId131" Type="http://schemas.openxmlformats.org/officeDocument/2006/relationships/image" Target="media/image60.wmf"/><Relationship Id="rId152" Type="http://schemas.openxmlformats.org/officeDocument/2006/relationships/image" Target="media/image70.wmf"/><Relationship Id="rId173" Type="http://schemas.openxmlformats.org/officeDocument/2006/relationships/oleObject" Target="embeddings/oleObject78.bin"/><Relationship Id="rId194" Type="http://schemas.openxmlformats.org/officeDocument/2006/relationships/oleObject" Target="embeddings/oleObject88.bin"/><Relationship Id="rId208" Type="http://schemas.openxmlformats.org/officeDocument/2006/relationships/image" Target="media/image99.wmf"/><Relationship Id="rId229" Type="http://schemas.openxmlformats.org/officeDocument/2006/relationships/oleObject" Target="embeddings/oleObject105.bin"/><Relationship Id="rId240" Type="http://schemas.openxmlformats.org/officeDocument/2006/relationships/image" Target="media/image115.wmf"/><Relationship Id="rId261" Type="http://schemas.openxmlformats.org/officeDocument/2006/relationships/image" Target="media/image125.wmf"/><Relationship Id="rId14" Type="http://schemas.openxmlformats.org/officeDocument/2006/relationships/image" Target="media/image1.emf"/><Relationship Id="rId35" Type="http://schemas.openxmlformats.org/officeDocument/2006/relationships/oleObject" Target="embeddings/oleObject10.bin"/><Relationship Id="rId56" Type="http://schemas.openxmlformats.org/officeDocument/2006/relationships/oleObject" Target="embeddings/oleObject20.bin"/><Relationship Id="rId77" Type="http://schemas.openxmlformats.org/officeDocument/2006/relationships/oleObject" Target="embeddings/oleObject31.bin"/><Relationship Id="rId100" Type="http://schemas.openxmlformats.org/officeDocument/2006/relationships/oleObject" Target="embeddings/oleObject43.bin"/><Relationship Id="rId282" Type="http://schemas.openxmlformats.org/officeDocument/2006/relationships/theme" Target="theme/theme1.xml"/><Relationship Id="rId8" Type="http://schemas.openxmlformats.org/officeDocument/2006/relationships/header" Target="header1.xml"/><Relationship Id="rId98" Type="http://schemas.openxmlformats.org/officeDocument/2006/relationships/oleObject" Target="embeddings/oleObject42.bin"/><Relationship Id="rId121" Type="http://schemas.openxmlformats.org/officeDocument/2006/relationships/oleObject" Target="embeddings/oleObject53.bin"/><Relationship Id="rId142" Type="http://schemas.openxmlformats.org/officeDocument/2006/relationships/image" Target="media/image65.wmf"/><Relationship Id="rId163" Type="http://schemas.openxmlformats.org/officeDocument/2006/relationships/oleObject" Target="embeddings/oleObject73.bin"/><Relationship Id="rId184" Type="http://schemas.openxmlformats.org/officeDocument/2006/relationships/image" Target="media/image86.wmf"/><Relationship Id="rId219" Type="http://schemas.openxmlformats.org/officeDocument/2006/relationships/oleObject" Target="embeddings/oleObject100.bin"/><Relationship Id="rId230" Type="http://schemas.openxmlformats.org/officeDocument/2006/relationships/image" Target="media/image110.wmf"/><Relationship Id="rId251" Type="http://schemas.openxmlformats.org/officeDocument/2006/relationships/image" Target="media/image120.wmf"/><Relationship Id="rId25" Type="http://schemas.openxmlformats.org/officeDocument/2006/relationships/oleObject" Target="embeddings/oleObject5.bin"/><Relationship Id="rId46" Type="http://schemas.openxmlformats.org/officeDocument/2006/relationships/oleObject" Target="embeddings/oleObject15.bin"/><Relationship Id="rId67" Type="http://schemas.openxmlformats.org/officeDocument/2006/relationships/image" Target="media/image28.wmf"/><Relationship Id="rId272" Type="http://schemas.openxmlformats.org/officeDocument/2006/relationships/oleObject" Target="embeddings/oleObject126.bin"/><Relationship Id="rId88" Type="http://schemas.openxmlformats.org/officeDocument/2006/relationships/oleObject" Target="embeddings/oleObject37.bin"/><Relationship Id="rId111" Type="http://schemas.openxmlformats.org/officeDocument/2006/relationships/oleObject" Target="embeddings/oleObject48.bin"/><Relationship Id="rId132" Type="http://schemas.openxmlformats.org/officeDocument/2006/relationships/oleObject" Target="embeddings/oleObject57.bin"/><Relationship Id="rId153" Type="http://schemas.openxmlformats.org/officeDocument/2006/relationships/oleObject" Target="embeddings/oleObject68.bin"/><Relationship Id="rId174" Type="http://schemas.openxmlformats.org/officeDocument/2006/relationships/image" Target="media/image81.wmf"/><Relationship Id="rId195" Type="http://schemas.openxmlformats.org/officeDocument/2006/relationships/image" Target="media/image92.wmf"/><Relationship Id="rId209" Type="http://schemas.openxmlformats.org/officeDocument/2006/relationships/oleObject" Target="embeddings/oleObject95.bin"/><Relationship Id="rId220" Type="http://schemas.openxmlformats.org/officeDocument/2006/relationships/image" Target="media/image105.wmf"/><Relationship Id="rId241" Type="http://schemas.openxmlformats.org/officeDocument/2006/relationships/oleObject" Target="embeddings/oleObject111.bin"/><Relationship Id="rId15" Type="http://schemas.openxmlformats.org/officeDocument/2006/relationships/package" Target="embeddings/Microsoft_Visio_Drawing.vsdx"/><Relationship Id="rId36" Type="http://schemas.openxmlformats.org/officeDocument/2006/relationships/image" Target="media/image12.wmf"/><Relationship Id="rId57" Type="http://schemas.openxmlformats.org/officeDocument/2006/relationships/image" Target="media/image23.wmf"/><Relationship Id="rId262" Type="http://schemas.openxmlformats.org/officeDocument/2006/relationships/oleObject" Target="embeddings/oleObject122.bin"/><Relationship Id="rId78" Type="http://schemas.openxmlformats.org/officeDocument/2006/relationships/image" Target="media/image33.wmf"/><Relationship Id="rId99" Type="http://schemas.openxmlformats.org/officeDocument/2006/relationships/image" Target="media/image43.wmf"/><Relationship Id="rId101" Type="http://schemas.openxmlformats.org/officeDocument/2006/relationships/image" Target="media/image44.wmf"/><Relationship Id="rId122" Type="http://schemas.openxmlformats.org/officeDocument/2006/relationships/image" Target="media/image55.wmf"/><Relationship Id="rId143" Type="http://schemas.openxmlformats.org/officeDocument/2006/relationships/oleObject" Target="embeddings/oleObject63.bin"/><Relationship Id="rId164" Type="http://schemas.openxmlformats.org/officeDocument/2006/relationships/image" Target="media/image76.wmf"/><Relationship Id="rId185" Type="http://schemas.openxmlformats.org/officeDocument/2006/relationships/oleObject" Target="embeddings/oleObject84.bin"/><Relationship Id="rId9" Type="http://schemas.openxmlformats.org/officeDocument/2006/relationships/header" Target="header2.xml"/><Relationship Id="rId210" Type="http://schemas.openxmlformats.org/officeDocument/2006/relationships/image" Target="media/image100.wmf"/><Relationship Id="rId26" Type="http://schemas.openxmlformats.org/officeDocument/2006/relationships/image" Target="media/image7.wmf"/><Relationship Id="rId231" Type="http://schemas.openxmlformats.org/officeDocument/2006/relationships/oleObject" Target="embeddings/oleObject106.bin"/><Relationship Id="rId252" Type="http://schemas.openxmlformats.org/officeDocument/2006/relationships/oleObject" Target="embeddings/oleObject117.bin"/><Relationship Id="rId273" Type="http://schemas.openxmlformats.org/officeDocument/2006/relationships/image" Target="media/image132.wmf"/><Relationship Id="rId47" Type="http://schemas.openxmlformats.org/officeDocument/2006/relationships/image" Target="media/image18.wmf"/><Relationship Id="rId68" Type="http://schemas.openxmlformats.org/officeDocument/2006/relationships/oleObject" Target="embeddings/oleObject26.bin"/><Relationship Id="rId89" Type="http://schemas.openxmlformats.org/officeDocument/2006/relationships/image" Target="media/image38.wmf"/><Relationship Id="rId112" Type="http://schemas.openxmlformats.org/officeDocument/2006/relationships/image" Target="media/image50.wmf"/><Relationship Id="rId133" Type="http://schemas.openxmlformats.org/officeDocument/2006/relationships/image" Target="media/image61.wmf"/><Relationship Id="rId154" Type="http://schemas.openxmlformats.org/officeDocument/2006/relationships/image" Target="media/image71.wmf"/><Relationship Id="rId175" Type="http://schemas.openxmlformats.org/officeDocument/2006/relationships/oleObject" Target="embeddings/oleObject79.bin"/><Relationship Id="rId196" Type="http://schemas.openxmlformats.org/officeDocument/2006/relationships/oleObject" Target="embeddings/oleObject89.bin"/><Relationship Id="rId200" Type="http://schemas.openxmlformats.org/officeDocument/2006/relationships/oleObject" Target="embeddings/oleObject91.bin"/><Relationship Id="rId16" Type="http://schemas.openxmlformats.org/officeDocument/2006/relationships/image" Target="media/image2.wmf"/><Relationship Id="rId221" Type="http://schemas.openxmlformats.org/officeDocument/2006/relationships/oleObject" Target="embeddings/oleObject101.bin"/><Relationship Id="rId242" Type="http://schemas.openxmlformats.org/officeDocument/2006/relationships/image" Target="media/image116.wmf"/><Relationship Id="rId263" Type="http://schemas.openxmlformats.org/officeDocument/2006/relationships/image" Target="media/image126.wmf"/><Relationship Id="rId37" Type="http://schemas.openxmlformats.org/officeDocument/2006/relationships/oleObject" Target="embeddings/oleObject11.bin"/><Relationship Id="rId58" Type="http://schemas.openxmlformats.org/officeDocument/2006/relationships/oleObject" Target="embeddings/oleObject21.bin"/><Relationship Id="rId79" Type="http://schemas.openxmlformats.org/officeDocument/2006/relationships/oleObject" Target="embeddings/oleObject32.bin"/><Relationship Id="rId102" Type="http://schemas.openxmlformats.org/officeDocument/2006/relationships/oleObject" Target="embeddings/oleObject44.bin"/><Relationship Id="rId123" Type="http://schemas.openxmlformats.org/officeDocument/2006/relationships/oleObject" Target="embeddings/oleObject54.bin"/><Relationship Id="rId144" Type="http://schemas.openxmlformats.org/officeDocument/2006/relationships/image" Target="media/image66.wmf"/><Relationship Id="rId90" Type="http://schemas.openxmlformats.org/officeDocument/2006/relationships/oleObject" Target="embeddings/oleObject38.bin"/><Relationship Id="rId165" Type="http://schemas.openxmlformats.org/officeDocument/2006/relationships/oleObject" Target="embeddings/oleObject74.bin"/><Relationship Id="rId186" Type="http://schemas.openxmlformats.org/officeDocument/2006/relationships/image" Target="media/image87.png"/><Relationship Id="rId211" Type="http://schemas.openxmlformats.org/officeDocument/2006/relationships/oleObject" Target="embeddings/oleObject96.bin"/><Relationship Id="rId232" Type="http://schemas.openxmlformats.org/officeDocument/2006/relationships/image" Target="media/image111.wmf"/><Relationship Id="rId253" Type="http://schemas.openxmlformats.org/officeDocument/2006/relationships/image" Target="media/image121.wmf"/><Relationship Id="rId274" Type="http://schemas.openxmlformats.org/officeDocument/2006/relationships/oleObject" Target="embeddings/oleObject127.bin"/><Relationship Id="rId27" Type="http://schemas.openxmlformats.org/officeDocument/2006/relationships/oleObject" Target="embeddings/oleObject6.bin"/><Relationship Id="rId48" Type="http://schemas.openxmlformats.org/officeDocument/2006/relationships/oleObject" Target="embeddings/oleObject16.bin"/><Relationship Id="rId69" Type="http://schemas.openxmlformats.org/officeDocument/2006/relationships/image" Target="media/image29.wmf"/><Relationship Id="rId113" Type="http://schemas.openxmlformats.org/officeDocument/2006/relationships/oleObject" Target="embeddings/oleObject49.bin"/><Relationship Id="rId134" Type="http://schemas.openxmlformats.org/officeDocument/2006/relationships/oleObject" Target="embeddings/oleObject58.bin"/><Relationship Id="rId80" Type="http://schemas.openxmlformats.org/officeDocument/2006/relationships/image" Target="media/image34.wmf"/><Relationship Id="rId155" Type="http://schemas.openxmlformats.org/officeDocument/2006/relationships/oleObject" Target="embeddings/oleObject69.bin"/><Relationship Id="rId176" Type="http://schemas.openxmlformats.org/officeDocument/2006/relationships/image" Target="media/image82.wmf"/><Relationship Id="rId197" Type="http://schemas.openxmlformats.org/officeDocument/2006/relationships/image" Target="media/image93.wmf"/><Relationship Id="rId201" Type="http://schemas.openxmlformats.org/officeDocument/2006/relationships/image" Target="media/image95.wmf"/><Relationship Id="rId222" Type="http://schemas.openxmlformats.org/officeDocument/2006/relationships/image" Target="media/image106.wmf"/><Relationship Id="rId243" Type="http://schemas.openxmlformats.org/officeDocument/2006/relationships/oleObject" Target="embeddings/oleObject112.bin"/><Relationship Id="rId264" Type="http://schemas.openxmlformats.org/officeDocument/2006/relationships/oleObject" Target="embeddings/oleObject123.bin"/><Relationship Id="rId17" Type="http://schemas.openxmlformats.org/officeDocument/2006/relationships/oleObject" Target="embeddings/oleObject1.bin"/><Relationship Id="rId38" Type="http://schemas.openxmlformats.org/officeDocument/2006/relationships/image" Target="media/image13.wmf"/><Relationship Id="rId59" Type="http://schemas.openxmlformats.org/officeDocument/2006/relationships/image" Target="media/image24.wmf"/><Relationship Id="rId103" Type="http://schemas.openxmlformats.org/officeDocument/2006/relationships/oleObject" Target="embeddings/oleObject45.bin"/><Relationship Id="rId124" Type="http://schemas.openxmlformats.org/officeDocument/2006/relationships/image" Target="media/image56.wmf"/><Relationship Id="rId70" Type="http://schemas.openxmlformats.org/officeDocument/2006/relationships/oleObject" Target="embeddings/oleObject27.bin"/><Relationship Id="rId91" Type="http://schemas.openxmlformats.org/officeDocument/2006/relationships/image" Target="media/image39.wmf"/><Relationship Id="rId145" Type="http://schemas.openxmlformats.org/officeDocument/2006/relationships/oleObject" Target="embeddings/oleObject64.bin"/><Relationship Id="rId166" Type="http://schemas.openxmlformats.org/officeDocument/2006/relationships/image" Target="media/image77.wmf"/><Relationship Id="rId187" Type="http://schemas.openxmlformats.org/officeDocument/2006/relationships/image" Target="media/image88.wmf"/><Relationship Id="rId1" Type="http://schemas.openxmlformats.org/officeDocument/2006/relationships/customXml" Target="../customXml/item1.xml"/><Relationship Id="rId212" Type="http://schemas.openxmlformats.org/officeDocument/2006/relationships/image" Target="media/image101.wmf"/><Relationship Id="rId233" Type="http://schemas.openxmlformats.org/officeDocument/2006/relationships/oleObject" Target="embeddings/oleObject107.bin"/><Relationship Id="rId254" Type="http://schemas.openxmlformats.org/officeDocument/2006/relationships/oleObject" Target="embeddings/oleObject118.bin"/><Relationship Id="rId28" Type="http://schemas.openxmlformats.org/officeDocument/2006/relationships/image" Target="media/image8.wmf"/><Relationship Id="rId49" Type="http://schemas.openxmlformats.org/officeDocument/2006/relationships/image" Target="media/image19.wmf"/><Relationship Id="rId114" Type="http://schemas.openxmlformats.org/officeDocument/2006/relationships/image" Target="media/image51.wmf"/><Relationship Id="rId275" Type="http://schemas.openxmlformats.org/officeDocument/2006/relationships/image" Target="media/image133.wmf"/><Relationship Id="rId60" Type="http://schemas.openxmlformats.org/officeDocument/2006/relationships/oleObject" Target="embeddings/oleObject22.bin"/><Relationship Id="rId81" Type="http://schemas.openxmlformats.org/officeDocument/2006/relationships/oleObject" Target="embeddings/oleObject33.bin"/><Relationship Id="rId135" Type="http://schemas.openxmlformats.org/officeDocument/2006/relationships/oleObject" Target="embeddings/oleObject59.bin"/><Relationship Id="rId156" Type="http://schemas.openxmlformats.org/officeDocument/2006/relationships/image" Target="media/image72.wmf"/><Relationship Id="rId177" Type="http://schemas.openxmlformats.org/officeDocument/2006/relationships/oleObject" Target="embeddings/oleObject80.bin"/><Relationship Id="rId198" Type="http://schemas.openxmlformats.org/officeDocument/2006/relationships/oleObject" Target="embeddings/oleObject90.bin"/><Relationship Id="rId202" Type="http://schemas.openxmlformats.org/officeDocument/2006/relationships/oleObject" Target="embeddings/oleObject92.bin"/><Relationship Id="rId223" Type="http://schemas.openxmlformats.org/officeDocument/2006/relationships/oleObject" Target="embeddings/oleObject102.bin"/><Relationship Id="rId244" Type="http://schemas.openxmlformats.org/officeDocument/2006/relationships/image" Target="media/image117.wmf"/><Relationship Id="rId18" Type="http://schemas.openxmlformats.org/officeDocument/2006/relationships/image" Target="media/image3.wmf"/><Relationship Id="rId39" Type="http://schemas.openxmlformats.org/officeDocument/2006/relationships/oleObject" Target="embeddings/oleObject12.bin"/><Relationship Id="rId265" Type="http://schemas.openxmlformats.org/officeDocument/2006/relationships/image" Target="media/image127.wmf"/><Relationship Id="rId50" Type="http://schemas.openxmlformats.org/officeDocument/2006/relationships/oleObject" Target="embeddings/oleObject17.bin"/><Relationship Id="rId104" Type="http://schemas.openxmlformats.org/officeDocument/2006/relationships/image" Target="media/image45.png"/><Relationship Id="rId125" Type="http://schemas.openxmlformats.org/officeDocument/2006/relationships/oleObject" Target="embeddings/oleObject55.bin"/><Relationship Id="rId146" Type="http://schemas.openxmlformats.org/officeDocument/2006/relationships/image" Target="media/image67.wmf"/><Relationship Id="rId167" Type="http://schemas.openxmlformats.org/officeDocument/2006/relationships/oleObject" Target="embeddings/oleObject75.bin"/><Relationship Id="rId188" Type="http://schemas.openxmlformats.org/officeDocument/2006/relationships/oleObject" Target="embeddings/oleObject85.bin"/><Relationship Id="rId71" Type="http://schemas.openxmlformats.org/officeDocument/2006/relationships/oleObject" Target="embeddings/oleObject28.bin"/><Relationship Id="rId92" Type="http://schemas.openxmlformats.org/officeDocument/2006/relationships/oleObject" Target="embeddings/oleObject39.bin"/><Relationship Id="rId213" Type="http://schemas.openxmlformats.org/officeDocument/2006/relationships/oleObject" Target="embeddings/oleObject97.bin"/><Relationship Id="rId234" Type="http://schemas.openxmlformats.org/officeDocument/2006/relationships/image" Target="media/image112.wmf"/><Relationship Id="rId2" Type="http://schemas.openxmlformats.org/officeDocument/2006/relationships/numbering" Target="numbering.xml"/><Relationship Id="rId29" Type="http://schemas.openxmlformats.org/officeDocument/2006/relationships/oleObject" Target="embeddings/oleObject7.bin"/><Relationship Id="rId255" Type="http://schemas.openxmlformats.org/officeDocument/2006/relationships/image" Target="media/image122.wmf"/><Relationship Id="rId276" Type="http://schemas.openxmlformats.org/officeDocument/2006/relationships/oleObject" Target="embeddings/oleObject128.bin"/><Relationship Id="rId40" Type="http://schemas.openxmlformats.org/officeDocument/2006/relationships/image" Target="media/image14.wmf"/><Relationship Id="rId115" Type="http://schemas.openxmlformats.org/officeDocument/2006/relationships/oleObject" Target="embeddings/oleObject50.bin"/><Relationship Id="rId136" Type="http://schemas.openxmlformats.org/officeDocument/2006/relationships/image" Target="media/image62.wmf"/><Relationship Id="rId157" Type="http://schemas.openxmlformats.org/officeDocument/2006/relationships/oleObject" Target="embeddings/oleObject70.bin"/><Relationship Id="rId178" Type="http://schemas.openxmlformats.org/officeDocument/2006/relationships/image" Target="media/image83.wmf"/><Relationship Id="rId61" Type="http://schemas.openxmlformats.org/officeDocument/2006/relationships/image" Target="media/image25.wmf"/><Relationship Id="rId82" Type="http://schemas.openxmlformats.org/officeDocument/2006/relationships/image" Target="media/image35.wmf"/><Relationship Id="rId199" Type="http://schemas.openxmlformats.org/officeDocument/2006/relationships/image" Target="media/image94.wmf"/><Relationship Id="rId203" Type="http://schemas.openxmlformats.org/officeDocument/2006/relationships/image" Target="media/image96.wmf"/><Relationship Id="rId19" Type="http://schemas.openxmlformats.org/officeDocument/2006/relationships/oleObject" Target="embeddings/oleObject2.bin"/><Relationship Id="rId224" Type="http://schemas.openxmlformats.org/officeDocument/2006/relationships/image" Target="media/image107.wmf"/><Relationship Id="rId245" Type="http://schemas.openxmlformats.org/officeDocument/2006/relationships/oleObject" Target="embeddings/oleObject113.bin"/><Relationship Id="rId266" Type="http://schemas.openxmlformats.org/officeDocument/2006/relationships/oleObject" Target="embeddings/oleObject124.bin"/><Relationship Id="rId30" Type="http://schemas.openxmlformats.org/officeDocument/2006/relationships/image" Target="media/image9.wmf"/><Relationship Id="rId105" Type="http://schemas.openxmlformats.org/officeDocument/2006/relationships/image" Target="media/image46.png"/><Relationship Id="rId126" Type="http://schemas.openxmlformats.org/officeDocument/2006/relationships/image" Target="media/image57.png"/><Relationship Id="rId147" Type="http://schemas.openxmlformats.org/officeDocument/2006/relationships/oleObject" Target="embeddings/oleObject65.bin"/><Relationship Id="rId168" Type="http://schemas.openxmlformats.org/officeDocument/2006/relationships/image" Target="media/image78.wmf"/><Relationship Id="rId51" Type="http://schemas.openxmlformats.org/officeDocument/2006/relationships/image" Target="media/image20.wmf"/><Relationship Id="rId72" Type="http://schemas.openxmlformats.org/officeDocument/2006/relationships/image" Target="media/image30.wmf"/><Relationship Id="rId93" Type="http://schemas.openxmlformats.org/officeDocument/2006/relationships/image" Target="media/image40.wmf"/><Relationship Id="rId189" Type="http://schemas.openxmlformats.org/officeDocument/2006/relationships/image" Target="media/image89.wmf"/><Relationship Id="rId3" Type="http://schemas.openxmlformats.org/officeDocument/2006/relationships/styles" Target="styles.xml"/><Relationship Id="rId214" Type="http://schemas.openxmlformats.org/officeDocument/2006/relationships/image" Target="media/image102.wmf"/><Relationship Id="rId235" Type="http://schemas.openxmlformats.org/officeDocument/2006/relationships/oleObject" Target="embeddings/oleObject108.bin"/><Relationship Id="rId256" Type="http://schemas.openxmlformats.org/officeDocument/2006/relationships/oleObject" Target="embeddings/oleObject119.bin"/><Relationship Id="rId277" Type="http://schemas.openxmlformats.org/officeDocument/2006/relationships/image" Target="media/image134.wmf"/><Relationship Id="rId116" Type="http://schemas.openxmlformats.org/officeDocument/2006/relationships/image" Target="media/image52.wmf"/><Relationship Id="rId137" Type="http://schemas.openxmlformats.org/officeDocument/2006/relationships/oleObject" Target="embeddings/oleObject60.bin"/><Relationship Id="rId158" Type="http://schemas.openxmlformats.org/officeDocument/2006/relationships/image" Target="media/image73.wmf"/><Relationship Id="rId20" Type="http://schemas.openxmlformats.org/officeDocument/2006/relationships/image" Target="media/image4.wmf"/><Relationship Id="rId41" Type="http://schemas.openxmlformats.org/officeDocument/2006/relationships/oleObject" Target="embeddings/oleObject13.bin"/><Relationship Id="rId62" Type="http://schemas.openxmlformats.org/officeDocument/2006/relationships/oleObject" Target="embeddings/oleObject23.bin"/><Relationship Id="rId83" Type="http://schemas.openxmlformats.org/officeDocument/2006/relationships/oleObject" Target="embeddings/oleObject34.bin"/><Relationship Id="rId179" Type="http://schemas.openxmlformats.org/officeDocument/2006/relationships/oleObject" Target="embeddings/oleObject81.bin"/><Relationship Id="rId190" Type="http://schemas.openxmlformats.org/officeDocument/2006/relationships/oleObject" Target="embeddings/oleObject86.bin"/><Relationship Id="rId204" Type="http://schemas.openxmlformats.org/officeDocument/2006/relationships/oleObject" Target="embeddings/oleObject93.bin"/><Relationship Id="rId225" Type="http://schemas.openxmlformats.org/officeDocument/2006/relationships/oleObject" Target="embeddings/oleObject103.bin"/><Relationship Id="rId246" Type="http://schemas.openxmlformats.org/officeDocument/2006/relationships/image" Target="media/image118.wmf"/><Relationship Id="rId267" Type="http://schemas.openxmlformats.org/officeDocument/2006/relationships/image" Target="media/image128.png"/><Relationship Id="rId106" Type="http://schemas.openxmlformats.org/officeDocument/2006/relationships/image" Target="media/image47.wmf"/><Relationship Id="rId127" Type="http://schemas.openxmlformats.org/officeDocument/2006/relationships/image" Target="media/image58.emf"/><Relationship Id="rId10" Type="http://schemas.openxmlformats.org/officeDocument/2006/relationships/footer" Target="footer1.xml"/><Relationship Id="rId31" Type="http://schemas.openxmlformats.org/officeDocument/2006/relationships/oleObject" Target="embeddings/oleObject8.bin"/><Relationship Id="rId52" Type="http://schemas.openxmlformats.org/officeDocument/2006/relationships/oleObject" Target="embeddings/oleObject18.bin"/><Relationship Id="rId73" Type="http://schemas.openxmlformats.org/officeDocument/2006/relationships/oleObject" Target="embeddings/oleObject29.bin"/><Relationship Id="rId94" Type="http://schemas.openxmlformats.org/officeDocument/2006/relationships/oleObject" Target="embeddings/oleObject40.bin"/><Relationship Id="rId148" Type="http://schemas.openxmlformats.org/officeDocument/2006/relationships/image" Target="media/image68.wmf"/><Relationship Id="rId169" Type="http://schemas.openxmlformats.org/officeDocument/2006/relationships/oleObject" Target="embeddings/oleObject76.bin"/><Relationship Id="rId4" Type="http://schemas.openxmlformats.org/officeDocument/2006/relationships/settings" Target="settings.xml"/><Relationship Id="rId180" Type="http://schemas.openxmlformats.org/officeDocument/2006/relationships/image" Target="media/image84.wmf"/><Relationship Id="rId215" Type="http://schemas.openxmlformats.org/officeDocument/2006/relationships/oleObject" Target="embeddings/oleObject98.bin"/><Relationship Id="rId236" Type="http://schemas.openxmlformats.org/officeDocument/2006/relationships/image" Target="media/image113.wmf"/><Relationship Id="rId257" Type="http://schemas.openxmlformats.org/officeDocument/2006/relationships/image" Target="media/image123.wmf"/><Relationship Id="rId278" Type="http://schemas.openxmlformats.org/officeDocument/2006/relationships/oleObject" Target="embeddings/oleObject129.bin"/><Relationship Id="rId42" Type="http://schemas.openxmlformats.org/officeDocument/2006/relationships/image" Target="media/image15.wmf"/><Relationship Id="rId84" Type="http://schemas.openxmlformats.org/officeDocument/2006/relationships/oleObject" Target="embeddings/oleObject35.bin"/><Relationship Id="rId138" Type="http://schemas.openxmlformats.org/officeDocument/2006/relationships/image" Target="media/image63.wmf"/><Relationship Id="rId191" Type="http://schemas.openxmlformats.org/officeDocument/2006/relationships/image" Target="media/image90.wmf"/><Relationship Id="rId205" Type="http://schemas.openxmlformats.org/officeDocument/2006/relationships/image" Target="media/image97.wmf"/><Relationship Id="rId247" Type="http://schemas.openxmlformats.org/officeDocument/2006/relationships/oleObject" Target="embeddings/oleObject114.bin"/><Relationship Id="rId107" Type="http://schemas.openxmlformats.org/officeDocument/2006/relationships/oleObject" Target="embeddings/oleObject46.bin"/><Relationship Id="rId11" Type="http://schemas.openxmlformats.org/officeDocument/2006/relationships/footer" Target="footer2.xml"/><Relationship Id="rId53" Type="http://schemas.openxmlformats.org/officeDocument/2006/relationships/image" Target="media/image21.wmf"/><Relationship Id="rId149" Type="http://schemas.openxmlformats.org/officeDocument/2006/relationships/oleObject" Target="embeddings/oleObject66.bin"/><Relationship Id="rId95" Type="http://schemas.openxmlformats.org/officeDocument/2006/relationships/image" Target="media/image41.wmf"/><Relationship Id="rId160" Type="http://schemas.openxmlformats.org/officeDocument/2006/relationships/image" Target="media/image74.wmf"/><Relationship Id="rId216" Type="http://schemas.openxmlformats.org/officeDocument/2006/relationships/image" Target="media/image103.wmf"/><Relationship Id="rId258" Type="http://schemas.openxmlformats.org/officeDocument/2006/relationships/oleObject" Target="embeddings/oleObject120.bin"/></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834B5C-D539-4FC9-ADBB-48DF4D204C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5293</TotalTime>
  <Pages>10</Pages>
  <Words>2922</Words>
  <Characters>16658</Characters>
  <Application>Microsoft Office Word</Application>
  <DocSecurity>0</DocSecurity>
  <Lines>138</Lines>
  <Paragraphs>39</Paragraphs>
  <ScaleCrop>false</ScaleCrop>
  <Company/>
  <LinksUpToDate>false</LinksUpToDate>
  <CharactersWithSpaces>19541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yh X</cp:lastModifiedBy>
  <cp:revision>195</cp:revision>
  <cp:lastPrinted>2025-09-01T11:55:00Z</cp:lastPrinted>
  <dcterms:created xsi:type="dcterms:W3CDTF">2025-08-12T06:51:00Z</dcterms:created>
  <dcterms:modified xsi:type="dcterms:W3CDTF">2026-07-08T07:06:00Z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eyJoZGlkIjoiNTdlZmVhNmU0ZGQ0ZTVmNWRhNjlkNjZjNGI4YmI4MjgiLCJ1c2VySWQiOiI2NDA4NzU1NjUifQ==</vt:lpwstr>
  </property>
  <property fmtid="{D5CDD505-2E9C-101B-9397-08002B2CF9AE}" pid="4" name="ICV">
    <vt:lpwstr>B9524AFF1D564A329F290D7C4AEE1648_13</vt:lpwstr>
  </property>
  <property fmtid="{D5CDD505-2E9C-101B-9397-08002B2CF9AE}" pid="5" name="MTUseMTPrefs">
    <vt:lpwstr>1</vt:lpwstr>
  </property>
  <property fmtid="{D5CDD505-2E9C-101B-9397-08002B2CF9AE}" pid="6" name="MTWinEqns">
    <vt:bool>true</vt:bool>
  </property>
</Properties>
</file>